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343535</wp:posOffset>
            </wp:positionV>
            <wp:extent cx="712152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33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color w:val="auto"/>
        </w:rPr>
        <w:t>Washington, D.C. 20549</w:t>
      </w:r>
    </w:p>
    <w:p>
      <w:pPr>
        <w:ind w:left="5200"/>
        <w:spacing w:after="0"/>
        <w:rPr>
          <w:sz w:val="20"/>
          <w:szCs w:val="20"/>
          <w:color w:val="auto"/>
        </w:rPr>
      </w:pPr>
      <w:r>
        <w:rPr>
          <w:rFonts w:ascii="Arial" w:cs="Arial" w:eastAsia="Arial" w:hAnsi="Arial"/>
          <w:sz w:val="16"/>
          <w:szCs w:val="16"/>
          <w:b w:val="1"/>
          <w:bCs w:val="1"/>
          <w:color w:val="auto"/>
        </w:rPr>
        <w:t>FORM 10-Q</w:t>
      </w:r>
    </w:p>
    <w:p>
      <w:pPr>
        <w:spacing w:after="0" w:line="7" w:lineRule="exact"/>
        <w:rPr>
          <w:sz w:val="24"/>
          <w:szCs w:val="24"/>
          <w:color w:val="auto"/>
        </w:rPr>
      </w:pPr>
    </w:p>
    <w:p>
      <w:pPr>
        <w:ind w:left="5260"/>
        <w:spacing w:after="0"/>
        <w:rPr>
          <w:sz w:val="20"/>
          <w:szCs w:val="20"/>
          <w:color w:val="auto"/>
        </w:rPr>
      </w:pPr>
      <w:r>
        <w:rPr>
          <w:rFonts w:ascii="Arial" w:cs="Arial" w:eastAsia="Arial" w:hAnsi="Arial"/>
          <w:sz w:val="16"/>
          <w:szCs w:val="16"/>
          <w:color w:val="auto"/>
        </w:rPr>
        <w:t>(Mark One)</w:t>
      </w:r>
    </w:p>
    <w:p>
      <w:pPr>
        <w:spacing w:after="0" w:line="31" w:lineRule="exact"/>
        <w:rPr>
          <w:sz w:val="24"/>
          <w:szCs w:val="24"/>
          <w:color w:val="auto"/>
        </w:rPr>
      </w:pPr>
    </w:p>
    <w:p>
      <w:pPr>
        <w:ind w:left="1020" w:hanging="588"/>
        <w:spacing w:after="0"/>
        <w:tabs>
          <w:tab w:leader="none" w:pos="10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49" w:lineRule="exact"/>
        <w:rPr>
          <w:sz w:val="24"/>
          <w:szCs w:val="24"/>
          <w:color w:val="auto"/>
        </w:rPr>
      </w:pPr>
    </w:p>
    <w:p>
      <w:pPr>
        <w:ind w:left="1020" w:hanging="588"/>
        <w:spacing w:after="0"/>
        <w:tabs>
          <w:tab w:leader="none" w:pos="102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230" w:right="339" w:bottom="1440" w:gutter="0" w:footer="0" w:header="0"/>
        </w:sectPr>
      </w:pPr>
    </w:p>
    <w:p>
      <w:pPr>
        <w:spacing w:after="0" w:line="304"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360" w:space="400"/>
            <w:col w:w="4480"/>
          </w:cols>
          <w:pgMar w:left="320" w:top="230" w:right="339" w:bottom="1440" w:gutter="0" w:footer="0" w:header="0"/>
          <w:type w:val="continuous"/>
        </w:sectPr>
      </w:pP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001-40574</w:t>
      </w:r>
    </w:p>
    <w:p>
      <w:pPr>
        <w:sectPr>
          <w:pgSz w:w="11900" w:h="16838" w:orient="portrait"/>
          <w:cols w:equalWidth="0" w:num="1">
            <w:col w:w="11240"/>
          </w:cols>
          <w:pgMar w:left="320" w:top="230" w:right="339" w:bottom="1440" w:gutter="0" w:footer="0" w:header="0"/>
          <w:type w:val="continuous"/>
        </w:sect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SYNCHRONOSS TECHNOLOGIES, INC.</w:t>
      </w:r>
    </w:p>
    <w:p>
      <w:pPr>
        <w:spacing w:after="0" w:line="38" w:lineRule="exact"/>
        <w:rPr>
          <w:sz w:val="24"/>
          <w:szCs w:val="24"/>
          <w:color w:val="auto"/>
        </w:rPr>
      </w:pPr>
    </w:p>
    <w:tbl>
      <w:tblPr>
        <w:tblLayout w:type="fixed"/>
        <w:tblInd w:w="1600" w:type="dxa"/>
        <w:tblCellMar>
          <w:top w:w="0" w:type="dxa"/>
          <w:left w:w="0" w:type="dxa"/>
          <w:bottom w:w="0" w:type="dxa"/>
          <w:right w:w="0" w:type="dxa"/>
        </w:tblCellMar>
      </w:tblPr>
      <w:tr>
        <w:trPr>
          <w:trHeight w:val="196"/>
        </w:trPr>
        <w:tc>
          <w:tcPr>
            <w:tcW w:w="5940" w:type="dxa"/>
            <w:vAlign w:val="bottom"/>
          </w:tcPr>
          <w:p>
            <w:pPr>
              <w:jc w:val="center"/>
              <w:ind w:left="2022"/>
              <w:spacing w:after="0"/>
              <w:rPr>
                <w:sz w:val="20"/>
                <w:szCs w:val="20"/>
                <w:color w:val="auto"/>
              </w:rPr>
            </w:pPr>
            <w:r>
              <w:rPr>
                <w:rFonts w:ascii="Arial" w:cs="Arial" w:eastAsia="Arial" w:hAnsi="Arial"/>
                <w:sz w:val="16"/>
                <w:szCs w:val="16"/>
                <w:color w:val="auto"/>
                <w:w w:val="87"/>
              </w:rPr>
              <w:t>(Exact name of registrant as specified in its charter)</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40" w:type="dxa"/>
            <w:vAlign w:val="bottom"/>
          </w:tcPr>
          <w:p>
            <w:pPr>
              <w:jc w:val="center"/>
              <w:ind w:right="3422"/>
              <w:spacing w:after="0"/>
              <w:rPr>
                <w:sz w:val="20"/>
                <w:szCs w:val="20"/>
                <w:color w:val="auto"/>
              </w:rPr>
            </w:pPr>
            <w:r>
              <w:rPr>
                <w:rFonts w:ascii="Arial" w:cs="Arial" w:eastAsia="Arial" w:hAnsi="Arial"/>
                <w:sz w:val="16"/>
                <w:szCs w:val="16"/>
                <w:b w:val="1"/>
                <w:bCs w:val="1"/>
                <w:color w:val="auto"/>
                <w:w w:val="91"/>
              </w:rPr>
              <w:t>Delaware</w:t>
            </w:r>
          </w:p>
        </w:tc>
        <w:tc>
          <w:tcPr>
            <w:tcW w:w="1460" w:type="dxa"/>
            <w:vAlign w:val="bottom"/>
          </w:tcPr>
          <w:p>
            <w:pPr>
              <w:jc w:val="right"/>
              <w:ind w:right="122"/>
              <w:spacing w:after="0"/>
              <w:rPr>
                <w:sz w:val="20"/>
                <w:szCs w:val="20"/>
                <w:color w:val="auto"/>
              </w:rPr>
            </w:pPr>
            <w:r>
              <w:rPr>
                <w:rFonts w:ascii="Arial" w:cs="Arial" w:eastAsia="Arial" w:hAnsi="Arial"/>
                <w:sz w:val="16"/>
                <w:szCs w:val="16"/>
                <w:b w:val="1"/>
                <w:bCs w:val="1"/>
                <w:color w:val="auto"/>
              </w:rPr>
              <w:t>06-1594540</w:t>
            </w:r>
          </w:p>
        </w:tc>
        <w:tc>
          <w:tcPr>
            <w:tcW w:w="0" w:type="dxa"/>
            <w:vAlign w:val="bottom"/>
          </w:tcPr>
          <w:p>
            <w:pPr>
              <w:spacing w:after="0"/>
              <w:rPr>
                <w:sz w:val="1"/>
                <w:szCs w:val="1"/>
                <w:color w:val="auto"/>
              </w:rPr>
            </w:pPr>
          </w:p>
        </w:tc>
      </w:tr>
      <w:tr>
        <w:trPr>
          <w:trHeight w:val="166"/>
        </w:trPr>
        <w:tc>
          <w:tcPr>
            <w:tcW w:w="5940" w:type="dxa"/>
            <w:vAlign w:val="bottom"/>
          </w:tcPr>
          <w:p>
            <w:pPr>
              <w:jc w:val="center"/>
              <w:ind w:right="3422"/>
              <w:spacing w:after="0" w:line="166" w:lineRule="exact"/>
              <w:rPr>
                <w:sz w:val="20"/>
                <w:szCs w:val="20"/>
                <w:color w:val="auto"/>
              </w:rPr>
            </w:pPr>
            <w:r>
              <w:rPr>
                <w:rFonts w:ascii="Arial" w:cs="Arial" w:eastAsia="Arial" w:hAnsi="Arial"/>
                <w:sz w:val="16"/>
                <w:szCs w:val="16"/>
                <w:color w:val="auto"/>
                <w:w w:val="89"/>
              </w:rPr>
              <w:t>(State or other jurisdiction of</w:t>
            </w:r>
          </w:p>
        </w:tc>
        <w:tc>
          <w:tcPr>
            <w:tcW w:w="1460" w:type="dxa"/>
            <w:vAlign w:val="bottom"/>
          </w:tcPr>
          <w:p>
            <w:pPr>
              <w:jc w:val="center"/>
              <w:ind w:left="242"/>
              <w:spacing w:after="0" w:line="166" w:lineRule="exact"/>
              <w:rPr>
                <w:sz w:val="20"/>
                <w:szCs w:val="20"/>
                <w:color w:val="auto"/>
              </w:rPr>
            </w:pPr>
            <w:r>
              <w:rPr>
                <w:rFonts w:ascii="Arial" w:cs="Arial" w:eastAsia="Arial" w:hAnsi="Arial"/>
                <w:sz w:val="16"/>
                <w:szCs w:val="16"/>
                <w:color w:val="auto"/>
                <w:w w:val="90"/>
              </w:rPr>
              <w:t>(I.R.S. Employer</w:t>
            </w:r>
          </w:p>
        </w:tc>
        <w:tc>
          <w:tcPr>
            <w:tcW w:w="0" w:type="dxa"/>
            <w:vAlign w:val="bottom"/>
          </w:tcPr>
          <w:p>
            <w:pPr>
              <w:spacing w:after="0"/>
              <w:rPr>
                <w:sz w:val="1"/>
                <w:szCs w:val="1"/>
                <w:color w:val="auto"/>
              </w:rPr>
            </w:pPr>
          </w:p>
        </w:tc>
      </w:tr>
      <w:tr>
        <w:trPr>
          <w:trHeight w:val="196"/>
        </w:trPr>
        <w:tc>
          <w:tcPr>
            <w:tcW w:w="5940" w:type="dxa"/>
            <w:vAlign w:val="bottom"/>
          </w:tcPr>
          <w:p>
            <w:pPr>
              <w:jc w:val="center"/>
              <w:ind w:right="3422"/>
              <w:spacing w:after="0"/>
              <w:rPr>
                <w:sz w:val="20"/>
                <w:szCs w:val="20"/>
                <w:color w:val="auto"/>
              </w:rPr>
            </w:pPr>
            <w:r>
              <w:rPr>
                <w:rFonts w:ascii="Arial" w:cs="Arial" w:eastAsia="Arial" w:hAnsi="Arial"/>
                <w:sz w:val="16"/>
                <w:szCs w:val="16"/>
                <w:color w:val="auto"/>
                <w:w w:val="90"/>
              </w:rPr>
              <w:t>incorporation or organization)</w:t>
            </w:r>
          </w:p>
        </w:tc>
        <w:tc>
          <w:tcPr>
            <w:tcW w:w="1460" w:type="dxa"/>
            <w:vAlign w:val="bottom"/>
          </w:tcPr>
          <w:p>
            <w:pPr>
              <w:jc w:val="center"/>
              <w:ind w:left="222"/>
              <w:spacing w:after="0"/>
              <w:rPr>
                <w:sz w:val="20"/>
                <w:szCs w:val="20"/>
                <w:color w:val="auto"/>
              </w:rPr>
            </w:pPr>
            <w:r>
              <w:rPr>
                <w:rFonts w:ascii="Arial" w:cs="Arial" w:eastAsia="Arial" w:hAnsi="Arial"/>
                <w:sz w:val="16"/>
                <w:szCs w:val="16"/>
                <w:color w:val="auto"/>
                <w:w w:val="93"/>
              </w:rPr>
              <w:t>Identification No.)</w:t>
            </w:r>
          </w:p>
        </w:tc>
        <w:tc>
          <w:tcPr>
            <w:tcW w:w="0" w:type="dxa"/>
            <w:vAlign w:val="bottom"/>
          </w:tcPr>
          <w:p>
            <w:pPr>
              <w:spacing w:after="0"/>
              <w:rPr>
                <w:sz w:val="1"/>
                <w:szCs w:val="1"/>
                <w:color w:val="auto"/>
              </w:rPr>
            </w:pPr>
          </w:p>
        </w:tc>
      </w:tr>
      <w:tr>
        <w:trPr>
          <w:trHeight w:val="367"/>
        </w:trPr>
        <w:tc>
          <w:tcPr>
            <w:tcW w:w="5940" w:type="dxa"/>
            <w:vAlign w:val="bottom"/>
          </w:tcPr>
          <w:p>
            <w:pPr>
              <w:jc w:val="center"/>
              <w:ind w:right="3422"/>
              <w:spacing w:after="0"/>
              <w:rPr>
                <w:sz w:val="20"/>
                <w:szCs w:val="20"/>
                <w:color w:val="auto"/>
              </w:rPr>
            </w:pPr>
            <w:r>
              <w:rPr>
                <w:rFonts w:ascii="Arial" w:cs="Arial" w:eastAsia="Arial" w:hAnsi="Arial"/>
                <w:sz w:val="16"/>
                <w:szCs w:val="16"/>
                <w:b w:val="1"/>
                <w:bCs w:val="1"/>
                <w:color w:val="auto"/>
                <w:w w:val="87"/>
              </w:rPr>
              <w:t>200 Crossing Boulevard, 8th Floor</w:t>
            </w:r>
          </w:p>
        </w:tc>
        <w:tc>
          <w:tcPr>
            <w:tcW w:w="146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08807</w:t>
            </w:r>
          </w:p>
        </w:tc>
        <w:tc>
          <w:tcPr>
            <w:tcW w:w="0" w:type="dxa"/>
            <w:vAlign w:val="bottom"/>
          </w:tcPr>
          <w:p>
            <w:pPr>
              <w:spacing w:after="0"/>
              <w:rPr>
                <w:sz w:val="1"/>
                <w:szCs w:val="1"/>
                <w:color w:val="auto"/>
              </w:rPr>
            </w:pPr>
          </w:p>
        </w:tc>
      </w:tr>
      <w:tr>
        <w:trPr>
          <w:trHeight w:val="202"/>
        </w:trPr>
        <w:tc>
          <w:tcPr>
            <w:tcW w:w="5940" w:type="dxa"/>
            <w:vAlign w:val="bottom"/>
          </w:tcPr>
          <w:p>
            <w:pPr>
              <w:jc w:val="center"/>
              <w:ind w:right="3422"/>
              <w:spacing w:after="0"/>
              <w:rPr>
                <w:sz w:val="20"/>
                <w:szCs w:val="20"/>
                <w:color w:val="auto"/>
              </w:rPr>
            </w:pPr>
            <w:r>
              <w:rPr>
                <w:rFonts w:ascii="Arial" w:cs="Arial" w:eastAsia="Arial" w:hAnsi="Arial"/>
                <w:sz w:val="16"/>
                <w:szCs w:val="16"/>
                <w:b w:val="1"/>
                <w:bCs w:val="1"/>
                <w:color w:val="auto"/>
                <w:w w:val="86"/>
              </w:rPr>
              <w:t>Bridgewater, New Jersey</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Pr>
          <w:p>
            <w:pPr>
              <w:jc w:val="center"/>
              <w:ind w:right="3402"/>
              <w:spacing w:after="0"/>
              <w:rPr>
                <w:sz w:val="20"/>
                <w:szCs w:val="20"/>
                <w:color w:val="auto"/>
              </w:rPr>
            </w:pPr>
            <w:r>
              <w:rPr>
                <w:rFonts w:ascii="Arial" w:cs="Arial" w:eastAsia="Arial" w:hAnsi="Arial"/>
                <w:sz w:val="16"/>
                <w:szCs w:val="16"/>
                <w:color w:val="auto"/>
                <w:w w:val="89"/>
              </w:rPr>
              <w:t>(Address of principal executive offices)</w:t>
            </w:r>
          </w:p>
        </w:tc>
        <w:tc>
          <w:tcPr>
            <w:tcW w:w="1460" w:type="dxa"/>
            <w:vAlign w:val="bottom"/>
          </w:tcPr>
          <w:p>
            <w:pPr>
              <w:jc w:val="center"/>
              <w:ind w:left="222"/>
              <w:spacing w:after="0"/>
              <w:rPr>
                <w:sz w:val="20"/>
                <w:szCs w:val="20"/>
                <w:color w:val="auto"/>
              </w:rPr>
            </w:pPr>
            <w:r>
              <w:rPr>
                <w:rFonts w:ascii="Arial" w:cs="Arial" w:eastAsia="Arial" w:hAnsi="Arial"/>
                <w:sz w:val="16"/>
                <w:szCs w:val="16"/>
                <w:color w:val="auto"/>
                <w:w w:val="89"/>
              </w:rPr>
              <w:t>(Zip Code)</w:t>
            </w:r>
          </w:p>
        </w:tc>
        <w:tc>
          <w:tcPr>
            <w:tcW w:w="0" w:type="dxa"/>
            <w:vAlign w:val="bottom"/>
          </w:tcPr>
          <w:p>
            <w:pPr>
              <w:spacing w:after="0"/>
              <w:rPr>
                <w:sz w:val="1"/>
                <w:szCs w:val="1"/>
                <w:color w:val="auto"/>
              </w:rPr>
            </w:pPr>
          </w:p>
        </w:tc>
      </w:tr>
      <w:tr>
        <w:trPr>
          <w:trHeight w:val="450"/>
        </w:trPr>
        <w:tc>
          <w:tcPr>
            <w:tcW w:w="5940" w:type="dxa"/>
            <w:vAlign w:val="bottom"/>
          </w:tcPr>
          <w:p>
            <w:pPr>
              <w:jc w:val="right"/>
              <w:ind w:right="1362"/>
              <w:spacing w:after="0"/>
              <w:rPr>
                <w:sz w:val="20"/>
                <w:szCs w:val="20"/>
                <w:color w:val="auto"/>
              </w:rPr>
            </w:pPr>
            <w:r>
              <w:rPr>
                <w:rFonts w:ascii="Arial" w:cs="Arial" w:eastAsia="Arial" w:hAnsi="Arial"/>
                <w:sz w:val="16"/>
                <w:szCs w:val="16"/>
                <w:b w:val="1"/>
                <w:bCs w:val="1"/>
                <w:color w:val="auto"/>
              </w:rPr>
              <w:t>(866) 620-3940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40" w:type="dxa"/>
            <w:vAlign w:val="bottom"/>
          </w:tcPr>
          <w:p>
            <w:pPr>
              <w:ind w:left="2360"/>
              <w:spacing w:after="0"/>
              <w:rPr>
                <w:sz w:val="20"/>
                <w:szCs w:val="20"/>
                <w:color w:val="auto"/>
              </w:rPr>
            </w:pPr>
            <w:r>
              <w:rPr>
                <w:rFonts w:ascii="Arial" w:cs="Arial" w:eastAsia="Arial" w:hAnsi="Arial"/>
                <w:sz w:val="16"/>
                <w:szCs w:val="16"/>
                <w:color w:val="auto"/>
                <w:w w:val="94"/>
              </w:rPr>
              <w:t>(Registrant’s telephone number, including area code)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29" w:lineRule="exact"/>
        <w:rPr>
          <w:sz w:val="24"/>
          <w:szCs w:val="24"/>
          <w:color w:val="auto"/>
        </w:rPr>
      </w:pPr>
    </w:p>
    <w:p>
      <w:pPr>
        <w:spacing w:after="0" w:line="20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86" w:lineRule="exact"/>
        <w:rPr>
          <w:sz w:val="24"/>
          <w:szCs w:val="24"/>
          <w:color w:val="auto"/>
        </w:rPr>
      </w:pPr>
    </w:p>
    <w:p>
      <w:pPr>
        <w:spacing w:after="0" w:line="20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63" w:lineRule="exact"/>
        <w:rPr>
          <w:sz w:val="24"/>
          <w:szCs w:val="24"/>
          <w:color w:val="auto"/>
        </w:rPr>
      </w:pPr>
    </w:p>
    <w:p>
      <w:pPr>
        <w:spacing w:after="0" w:line="24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4"/>
          <w:szCs w:val="24"/>
          <w:color w:val="auto"/>
        </w:rPr>
      </w:pPr>
    </w:p>
    <w:tbl>
      <w:tblPr>
        <w:tblLayout w:type="fixed"/>
        <w:tblInd w:w="700" w:type="dxa"/>
        <w:tblCellMar>
          <w:top w:w="0" w:type="dxa"/>
          <w:left w:w="0" w:type="dxa"/>
          <w:bottom w:w="0" w:type="dxa"/>
          <w:right w:w="0" w:type="dxa"/>
        </w:tblCellMar>
      </w:tblPr>
      <w:tr>
        <w:trPr>
          <w:trHeight w:val="191"/>
        </w:trPr>
        <w:tc>
          <w:tcPr>
            <w:tcW w:w="2100" w:type="dxa"/>
            <w:vAlign w:val="bottom"/>
          </w:tcPr>
          <w:p>
            <w:pPr>
              <w:jc w:val="center"/>
              <w:ind w:right="342"/>
              <w:spacing w:after="0"/>
              <w:rPr>
                <w:sz w:val="20"/>
                <w:szCs w:val="20"/>
                <w:color w:val="auto"/>
              </w:rPr>
            </w:pPr>
            <w:r>
              <w:rPr>
                <w:rFonts w:ascii="Arial" w:cs="Arial" w:eastAsia="Arial" w:hAnsi="Arial"/>
                <w:sz w:val="16"/>
                <w:szCs w:val="16"/>
                <w:color w:val="auto"/>
                <w:w w:val="88"/>
              </w:rPr>
              <w:t>Large accelerated filer</w:t>
            </w:r>
          </w:p>
        </w:tc>
        <w:tc>
          <w:tcPr>
            <w:tcW w:w="30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082"/>
              <w:spacing w:after="0"/>
              <w:rPr>
                <w:sz w:val="20"/>
                <w:szCs w:val="20"/>
                <w:color w:val="auto"/>
              </w:rPr>
            </w:pPr>
            <w:r>
              <w:rPr>
                <w:rFonts w:ascii="Arial" w:cs="Arial" w:eastAsia="Arial" w:hAnsi="Arial"/>
                <w:sz w:val="16"/>
                <w:szCs w:val="16"/>
                <w:color w:val="auto"/>
                <w:w w:val="88"/>
              </w:rPr>
              <w:t>Accelerated filer</w:t>
            </w:r>
          </w:p>
        </w:tc>
        <w:tc>
          <w:tcPr>
            <w:tcW w:w="520" w:type="dxa"/>
            <w:vAlign w:val="bottom"/>
          </w:tcPr>
          <w:p>
            <w:pPr>
              <w:jc w:val="center"/>
              <w:ind w:left="307"/>
              <w:spacing w:after="0"/>
              <w:rPr>
                <w:sz w:val="20"/>
                <w:szCs w:val="20"/>
                <w:color w:val="auto"/>
              </w:rPr>
            </w:pPr>
            <w:r>
              <w:rPr>
                <w:rFonts w:ascii="Arial" w:cs="Arial" w:eastAsia="Arial" w:hAnsi="Arial"/>
                <w:sz w:val="14"/>
                <w:szCs w:val="14"/>
                <w:color w:val="auto"/>
                <w:w w:val="85"/>
              </w:rPr>
              <w:t>x</w:t>
            </w:r>
          </w:p>
        </w:tc>
      </w:tr>
      <w:tr>
        <w:trPr>
          <w:trHeight w:val="207"/>
        </w:trPr>
        <w:tc>
          <w:tcPr>
            <w:tcW w:w="2100" w:type="dxa"/>
            <w:vAlign w:val="bottom"/>
          </w:tcPr>
          <w:p>
            <w:pPr>
              <w:jc w:val="center"/>
              <w:ind w:right="342"/>
              <w:spacing w:after="0"/>
              <w:rPr>
                <w:sz w:val="20"/>
                <w:szCs w:val="20"/>
                <w:color w:val="auto"/>
              </w:rPr>
            </w:pPr>
            <w:r>
              <w:rPr>
                <w:rFonts w:ascii="Arial" w:cs="Arial" w:eastAsia="Arial" w:hAnsi="Arial"/>
                <w:sz w:val="16"/>
                <w:szCs w:val="16"/>
                <w:color w:val="auto"/>
                <w:w w:val="89"/>
              </w:rPr>
              <w:t>Non-accelerated filer</w:t>
            </w:r>
          </w:p>
        </w:tc>
        <w:tc>
          <w:tcPr>
            <w:tcW w:w="30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082"/>
              <w:spacing w:after="0"/>
              <w:rPr>
                <w:sz w:val="20"/>
                <w:szCs w:val="20"/>
                <w:color w:val="auto"/>
              </w:rPr>
            </w:pPr>
            <w:r>
              <w:rPr>
                <w:rFonts w:ascii="Arial" w:cs="Arial" w:eastAsia="Arial" w:hAnsi="Arial"/>
                <w:sz w:val="16"/>
                <w:szCs w:val="16"/>
                <w:color w:val="auto"/>
                <w:w w:val="88"/>
              </w:rPr>
              <w:t>Smaller Reporting Company</w:t>
            </w:r>
          </w:p>
        </w:tc>
        <w:tc>
          <w:tcPr>
            <w:tcW w:w="520" w:type="dxa"/>
            <w:vAlign w:val="bottom"/>
          </w:tcPr>
          <w:p>
            <w:pPr>
              <w:jc w:val="center"/>
              <w:ind w:left="307"/>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0"/>
        </w:trPr>
        <w:tc>
          <w:tcPr>
            <w:tcW w:w="2100" w:type="dxa"/>
            <w:vAlign w:val="bottom"/>
          </w:tcPr>
          <w:p>
            <w:pPr>
              <w:jc w:val="center"/>
              <w:ind w:right="322"/>
              <w:spacing w:after="0"/>
              <w:rPr>
                <w:sz w:val="20"/>
                <w:szCs w:val="20"/>
                <w:color w:val="auto"/>
              </w:rPr>
            </w:pPr>
            <w:r>
              <w:rPr>
                <w:rFonts w:ascii="Arial" w:cs="Arial" w:eastAsia="Arial" w:hAnsi="Arial"/>
                <w:sz w:val="16"/>
                <w:szCs w:val="16"/>
                <w:color w:val="auto"/>
                <w:w w:val="89"/>
              </w:rPr>
              <w:t>Emerging growth company</w:t>
            </w:r>
          </w:p>
        </w:tc>
        <w:tc>
          <w:tcPr>
            <w:tcW w:w="30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116"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3"/>
          <w:szCs w:val="13"/>
          <w:color w:val="auto"/>
        </w:rPr>
        <w:t>x</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235"/>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Title of each class</w:t>
            </w:r>
          </w:p>
        </w:tc>
        <w:tc>
          <w:tcPr>
            <w:tcW w:w="10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Trading Symbol(s)</w:t>
            </w:r>
          </w:p>
        </w:tc>
        <w:tc>
          <w:tcPr>
            <w:tcW w:w="100" w:type="dxa"/>
            <w:vAlign w:val="bottom"/>
          </w:tcPr>
          <w:p>
            <w:pPr>
              <w:spacing w:after="0"/>
              <w:rPr>
                <w:sz w:val="20"/>
                <w:szCs w:val="20"/>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6"/>
              </w:rPr>
              <w:t>Name of each exchange on which registered</w:t>
            </w:r>
          </w:p>
        </w:tc>
      </w:tr>
      <w:tr>
        <w:trPr>
          <w:trHeight w:val="197"/>
        </w:trPr>
        <w:tc>
          <w:tcPr>
            <w:tcW w:w="4540" w:type="dxa"/>
            <w:vAlign w:val="bottom"/>
          </w:tcPr>
          <w:p>
            <w:pPr>
              <w:jc w:val="center"/>
              <w:spacing w:after="0"/>
              <w:rPr>
                <w:sz w:val="20"/>
                <w:szCs w:val="20"/>
                <w:color w:val="auto"/>
              </w:rPr>
            </w:pPr>
            <w:r>
              <w:rPr>
                <w:rFonts w:ascii="Arial" w:cs="Arial" w:eastAsia="Arial" w:hAnsi="Arial"/>
                <w:sz w:val="16"/>
                <w:szCs w:val="16"/>
                <w:color w:val="auto"/>
                <w:w w:val="87"/>
              </w:rPr>
              <w:t>Common Stock, $.0001 par value</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SNCR</w:t>
            </w:r>
          </w:p>
        </w:tc>
        <w:tc>
          <w:tcPr>
            <w:tcW w:w="100" w:type="dxa"/>
            <w:vAlign w:val="bottom"/>
          </w:tcPr>
          <w:p>
            <w:pPr>
              <w:spacing w:after="0"/>
              <w:rPr>
                <w:sz w:val="17"/>
                <w:szCs w:val="17"/>
                <w:color w:val="auto"/>
              </w:rPr>
            </w:pPr>
          </w:p>
        </w:tc>
        <w:tc>
          <w:tcPr>
            <w:tcW w:w="4540" w:type="dxa"/>
            <w:vAlign w:val="bottom"/>
          </w:tcPr>
          <w:p>
            <w:pPr>
              <w:jc w:val="center"/>
              <w:spacing w:after="0"/>
              <w:rPr>
                <w:sz w:val="20"/>
                <w:szCs w:val="20"/>
                <w:color w:val="auto"/>
              </w:rPr>
            </w:pPr>
            <w:r>
              <w:rPr>
                <w:rFonts w:ascii="Arial" w:cs="Arial" w:eastAsia="Arial" w:hAnsi="Arial"/>
                <w:sz w:val="16"/>
                <w:szCs w:val="16"/>
                <w:color w:val="auto"/>
                <w:w w:val="89"/>
              </w:rPr>
              <w:t>The Nasdaq Stock Market, LLC</w:t>
            </w:r>
          </w:p>
        </w:tc>
      </w:tr>
      <w:tr>
        <w:trPr>
          <w:trHeight w:val="207"/>
        </w:trPr>
        <w:tc>
          <w:tcPr>
            <w:tcW w:w="4540" w:type="dxa"/>
            <w:vAlign w:val="bottom"/>
          </w:tcPr>
          <w:p>
            <w:pPr>
              <w:jc w:val="center"/>
              <w:spacing w:after="0"/>
              <w:rPr>
                <w:sz w:val="20"/>
                <w:szCs w:val="20"/>
                <w:color w:val="auto"/>
              </w:rPr>
            </w:pPr>
            <w:r>
              <w:rPr>
                <w:rFonts w:ascii="Arial" w:cs="Arial" w:eastAsia="Arial" w:hAnsi="Arial"/>
                <w:sz w:val="16"/>
                <w:szCs w:val="16"/>
                <w:color w:val="auto"/>
                <w:w w:val="87"/>
              </w:rPr>
              <w:t>8.375% Senior Notes due 2026</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2"/>
              </w:rPr>
              <w:t>SNCRL</w:t>
            </w:r>
          </w:p>
        </w:tc>
        <w:tc>
          <w:tcPr>
            <w:tcW w:w="100" w:type="dxa"/>
            <w:vAlign w:val="bottom"/>
          </w:tcPr>
          <w:p>
            <w:pPr>
              <w:spacing w:after="0"/>
              <w:rPr>
                <w:sz w:val="17"/>
                <w:szCs w:val="17"/>
                <w:color w:val="auto"/>
              </w:rPr>
            </w:pPr>
          </w:p>
        </w:tc>
        <w:tc>
          <w:tcPr>
            <w:tcW w:w="4540" w:type="dxa"/>
            <w:vAlign w:val="bottom"/>
          </w:tcPr>
          <w:p>
            <w:pPr>
              <w:jc w:val="center"/>
              <w:spacing w:after="0"/>
              <w:rPr>
                <w:sz w:val="20"/>
                <w:szCs w:val="20"/>
                <w:color w:val="auto"/>
              </w:rPr>
            </w:pPr>
            <w:r>
              <w:rPr>
                <w:rFonts w:ascii="Arial" w:cs="Arial" w:eastAsia="Arial" w:hAnsi="Arial"/>
                <w:sz w:val="16"/>
                <w:szCs w:val="16"/>
                <w:color w:val="auto"/>
                <w:w w:val="89"/>
              </w:rPr>
              <w:t>The Nasdaq Stock Market, LLC</w:t>
            </w:r>
          </w:p>
        </w:tc>
      </w:tr>
    </w:tbl>
    <w:p>
      <w:pPr>
        <w:spacing w:after="0" w:line="179" w:lineRule="exact"/>
        <w:rPr>
          <w:sz w:val="24"/>
          <w:szCs w:val="24"/>
          <w:color w:val="auto"/>
        </w:rPr>
      </w:pPr>
    </w:p>
    <w:p>
      <w:pPr>
        <w:spacing w:after="0"/>
        <w:rPr>
          <w:sz w:val="20"/>
          <w:szCs w:val="20"/>
          <w:color w:val="auto"/>
        </w:rPr>
      </w:pPr>
      <w:r>
        <w:rPr>
          <w:rFonts w:ascii="Arial" w:cs="Arial" w:eastAsia="Arial" w:hAnsi="Arial"/>
          <w:sz w:val="16"/>
          <w:szCs w:val="16"/>
          <w:color w:val="auto"/>
        </w:rPr>
        <w:t>As of August 8, 2023, there were 93,396,059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507365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660" w:type="dxa"/>
            <w:vAlign w:val="bottom"/>
            <w:gridSpan w:val="6"/>
          </w:tcPr>
          <w:p>
            <w:pPr>
              <w:spacing w:after="0"/>
              <w:rPr>
                <w:sz w:val="20"/>
                <w:szCs w:val="20"/>
                <w:color w:val="auto"/>
              </w:rPr>
            </w:pPr>
            <w:r>
              <w:rPr>
                <w:rFonts w:ascii="Arial" w:cs="Arial" w:eastAsia="Arial" w:hAnsi="Arial"/>
                <w:sz w:val="17"/>
                <w:szCs w:val="17"/>
                <w:color w:val="0000FF"/>
              </w:rPr>
              <w:t>Table of Contents</w:t>
            </w: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737"/>
        </w:trPr>
        <w:tc>
          <w:tcPr>
            <w:tcW w:w="6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80" w:type="dxa"/>
            <w:vAlign w:val="bottom"/>
            <w:gridSpan w:val="10"/>
          </w:tcPr>
          <w:p>
            <w:pPr>
              <w:jc w:val="center"/>
              <w:ind w:right="2760"/>
              <w:spacing w:after="0"/>
              <w:rPr>
                <w:sz w:val="20"/>
                <w:szCs w:val="20"/>
                <w:color w:val="auto"/>
              </w:rPr>
            </w:pPr>
            <w:r>
              <w:rPr>
                <w:rFonts w:ascii="Arial" w:cs="Arial" w:eastAsia="Arial" w:hAnsi="Arial"/>
                <w:sz w:val="17"/>
                <w:szCs w:val="17"/>
                <w:b w:val="1"/>
                <w:bCs w:val="1"/>
                <w:color w:val="auto"/>
              </w:rPr>
              <w:t>SYNCHRONOSS TECHNOLOGIES, INC.</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5"/>
        </w:trPr>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80" w:type="dxa"/>
            <w:vAlign w:val="bottom"/>
            <w:gridSpan w:val="10"/>
          </w:tcPr>
          <w:p>
            <w:pPr>
              <w:jc w:val="center"/>
              <w:ind w:right="2780"/>
              <w:spacing w:after="0"/>
              <w:rPr>
                <w:sz w:val="20"/>
                <w:szCs w:val="20"/>
                <w:color w:val="auto"/>
              </w:rPr>
            </w:pPr>
            <w:r>
              <w:rPr>
                <w:rFonts w:ascii="Arial" w:cs="Arial" w:eastAsia="Arial" w:hAnsi="Arial"/>
                <w:sz w:val="17"/>
                <w:szCs w:val="17"/>
                <w:b w:val="1"/>
                <w:bCs w:val="1"/>
                <w:color w:val="auto"/>
              </w:rPr>
              <w:t>FORM 10-Q INDEX</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Page</w:t>
            </w:r>
          </w:p>
        </w:tc>
      </w:tr>
      <w:tr>
        <w:trPr>
          <w:trHeight w:val="174"/>
        </w:trPr>
        <w:tc>
          <w:tcPr>
            <w:tcW w:w="640" w:type="dxa"/>
            <w:vAlign w:val="bottom"/>
          </w:tcPr>
          <w:p>
            <w:pPr>
              <w:spacing w:after="0"/>
              <w:rPr>
                <w:sz w:val="15"/>
                <w:szCs w:val="15"/>
                <w:color w:val="auto"/>
              </w:rPr>
            </w:pPr>
          </w:p>
        </w:tc>
        <w:tc>
          <w:tcPr>
            <w:tcW w:w="560" w:type="dxa"/>
            <w:vAlign w:val="bottom"/>
            <w:gridSpan w:val="2"/>
          </w:tcPr>
          <w:p>
            <w:pPr>
              <w:spacing w:after="0" w:line="174" w:lineRule="exact"/>
              <w:rPr>
                <w:sz w:val="20"/>
                <w:szCs w:val="20"/>
                <w:color w:val="auto"/>
              </w:rPr>
            </w:pPr>
            <w:r>
              <w:rPr>
                <w:rFonts w:ascii="Arial" w:cs="Arial" w:eastAsia="Arial" w:hAnsi="Arial"/>
                <w:sz w:val="17"/>
                <w:szCs w:val="17"/>
                <w:color w:val="0000FF"/>
                <w:w w:val="90"/>
              </w:rPr>
              <w:t>PART I.</w:t>
            </w:r>
          </w:p>
        </w:tc>
        <w:tc>
          <w:tcPr>
            <w:tcW w:w="460" w:type="dxa"/>
            <w:vAlign w:val="bottom"/>
            <w:gridSpan w:val="3"/>
          </w:tcPr>
          <w:p>
            <w:pPr>
              <w:spacing w:after="0"/>
              <w:rPr>
                <w:sz w:val="15"/>
                <w:szCs w:val="15"/>
                <w:color w:val="auto"/>
              </w:rPr>
            </w:pPr>
          </w:p>
        </w:tc>
        <w:tc>
          <w:tcPr>
            <w:tcW w:w="9100" w:type="dxa"/>
            <w:vAlign w:val="bottom"/>
            <w:gridSpan w:val="18"/>
          </w:tcPr>
          <w:p>
            <w:pPr>
              <w:spacing w:after="0" w:line="174" w:lineRule="exact"/>
              <w:rPr>
                <w:sz w:val="20"/>
                <w:szCs w:val="20"/>
                <w:color w:val="auto"/>
              </w:rPr>
            </w:pPr>
            <w:r>
              <w:rPr>
                <w:rFonts w:ascii="Arial" w:cs="Arial" w:eastAsia="Arial" w:hAnsi="Arial"/>
                <w:sz w:val="17"/>
                <w:szCs w:val="17"/>
                <w:color w:val="0000FF"/>
              </w:rPr>
              <w:t>FINANCIAL INFORMATION</w:t>
            </w:r>
          </w:p>
        </w:tc>
        <w:tc>
          <w:tcPr>
            <w:tcW w:w="580" w:type="dxa"/>
            <w:vAlign w:val="bottom"/>
            <w:gridSpan w:val="2"/>
          </w:tcPr>
          <w:p>
            <w:pPr>
              <w:jc w:val="right"/>
              <w:spacing w:after="0" w:line="174" w:lineRule="exact"/>
              <w:rPr>
                <w:sz w:val="20"/>
                <w:szCs w:val="20"/>
                <w:color w:val="auto"/>
              </w:rPr>
            </w:pPr>
            <w:r>
              <w:rPr>
                <w:rFonts w:ascii="Arial" w:cs="Arial" w:eastAsia="Arial" w:hAnsi="Arial"/>
                <w:sz w:val="17"/>
                <w:szCs w:val="17"/>
                <w:color w:val="0000FF"/>
              </w:rPr>
              <w:t>3</w:t>
            </w:r>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6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7"/>
                <w:szCs w:val="17"/>
                <w:color w:val="0000FF"/>
                <w:w w:val="84"/>
              </w:rPr>
              <w:t>Item 1.</w:t>
            </w:r>
          </w:p>
        </w:tc>
        <w:tc>
          <w:tcPr>
            <w:tcW w:w="80" w:type="dxa"/>
            <w:vAlign w:val="bottom"/>
          </w:tcPr>
          <w:p>
            <w:pPr>
              <w:spacing w:after="0"/>
              <w:rPr>
                <w:sz w:val="24"/>
                <w:szCs w:val="24"/>
                <w:color w:val="auto"/>
              </w:rPr>
            </w:pPr>
          </w:p>
        </w:tc>
        <w:tc>
          <w:tcPr>
            <w:tcW w:w="460" w:type="dxa"/>
            <w:vAlign w:val="bottom"/>
            <w:gridSpan w:val="3"/>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7"/>
                <w:szCs w:val="17"/>
                <w:color w:val="0000FF"/>
              </w:rPr>
              <w:t>Condensed Consolidated Financial Statements and Notes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w:t>
            </w:r>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7"/>
                <w:szCs w:val="17"/>
                <w:color w:val="0000FF"/>
              </w:rPr>
              <w:t>Condensed Consolidated Balance Sheets (unaudited)</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w:t>
            </w: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9"/>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80" w:type="dxa"/>
            <w:vAlign w:val="bottom"/>
            <w:gridSpan w:val="13"/>
          </w:tcPr>
          <w:p>
            <w:pPr>
              <w:spacing w:after="0"/>
              <w:rPr>
                <w:sz w:val="20"/>
                <w:szCs w:val="20"/>
                <w:color w:val="auto"/>
              </w:rPr>
            </w:pPr>
            <w:r>
              <w:rPr>
                <w:rFonts w:ascii="Arial" w:cs="Arial" w:eastAsia="Arial" w:hAnsi="Arial"/>
                <w:sz w:val="17"/>
                <w:szCs w:val="17"/>
                <w:color w:val="0000FF"/>
                <w:w w:val="90"/>
              </w:rPr>
              <w:t>Condensed Consolidated Statements of Operations (unaudited)</w:t>
            </w:r>
          </w:p>
        </w:tc>
        <w:tc>
          <w:tcPr>
            <w:tcW w:w="4720" w:type="dxa"/>
            <w:vAlign w:val="bottom"/>
            <w:gridSpan w:val="5"/>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w:t>
            </w: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45"/>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160" w:type="dxa"/>
            <w:vAlign w:val="bottom"/>
            <w:gridSpan w:val="17"/>
          </w:tcPr>
          <w:p>
            <w:pPr>
              <w:spacing w:after="0"/>
              <w:rPr>
                <w:sz w:val="20"/>
                <w:szCs w:val="20"/>
                <w:color w:val="auto"/>
              </w:rPr>
            </w:pPr>
            <w:r>
              <w:rPr>
                <w:rFonts w:ascii="Arial" w:cs="Arial" w:eastAsia="Arial" w:hAnsi="Arial"/>
                <w:sz w:val="17"/>
                <w:szCs w:val="17"/>
                <w:color w:val="0000FF"/>
                <w:w w:val="97"/>
              </w:rPr>
              <w:t>Condensed Consolidated Statements of Comprehensive (Loss) Income (unaudited)</w:t>
            </w:r>
          </w:p>
        </w:tc>
        <w:tc>
          <w:tcPr>
            <w:tcW w:w="29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5</w:t>
            </w: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160" w:type="dxa"/>
            <w:vAlign w:val="bottom"/>
            <w:gridSpan w:val="17"/>
          </w:tcPr>
          <w:p>
            <w:pPr>
              <w:spacing w:after="0"/>
              <w:rPr>
                <w:sz w:val="20"/>
                <w:szCs w:val="20"/>
                <w:color w:val="auto"/>
              </w:rPr>
            </w:pPr>
            <w:r>
              <w:rPr>
                <w:rFonts w:ascii="Arial" w:cs="Arial" w:eastAsia="Arial" w:hAnsi="Arial"/>
                <w:sz w:val="17"/>
                <w:szCs w:val="17"/>
                <w:color w:val="0000FF"/>
              </w:rPr>
              <w:t>Condensed Consolidated Statements of Stockholders’ Equity (unaudited)</w:t>
            </w:r>
          </w:p>
        </w:tc>
        <w:tc>
          <w:tcPr>
            <w:tcW w:w="29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6</w:t>
            </w: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58"/>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20" w:type="dxa"/>
            <w:vAlign w:val="bottom"/>
            <w:gridSpan w:val="15"/>
          </w:tcPr>
          <w:p>
            <w:pPr>
              <w:spacing w:after="0"/>
              <w:rPr>
                <w:sz w:val="20"/>
                <w:szCs w:val="20"/>
                <w:color w:val="auto"/>
              </w:rPr>
            </w:pPr>
            <w:r>
              <w:rPr>
                <w:rFonts w:ascii="Arial" w:cs="Arial" w:eastAsia="Arial" w:hAnsi="Arial"/>
                <w:sz w:val="17"/>
                <w:szCs w:val="17"/>
                <w:color w:val="0000FF"/>
              </w:rPr>
              <w:t>Condensed Consolidated Statements of Cash Flows (unaudited)</w:t>
            </w:r>
          </w:p>
        </w:tc>
        <w:tc>
          <w:tcPr>
            <w:tcW w:w="4080" w:type="dxa"/>
            <w:vAlign w:val="bottom"/>
            <w:gridSpan w:val="3"/>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8</w:t>
            </w: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160" w:type="dxa"/>
            <w:vAlign w:val="bottom"/>
            <w:gridSpan w:val="17"/>
          </w:tcPr>
          <w:p>
            <w:pPr>
              <w:spacing w:after="0"/>
              <w:rPr>
                <w:sz w:val="20"/>
                <w:szCs w:val="20"/>
                <w:color w:val="auto"/>
              </w:rPr>
            </w:pPr>
            <w:r>
              <w:rPr>
                <w:rFonts w:ascii="Arial" w:cs="Arial" w:eastAsia="Arial" w:hAnsi="Arial"/>
                <w:sz w:val="17"/>
                <w:szCs w:val="17"/>
                <w:color w:val="0000FF"/>
              </w:rPr>
              <w:t>Notes to Condensed Consolidated Financial Statements (unaudited)</w:t>
            </w:r>
          </w:p>
        </w:tc>
        <w:tc>
          <w:tcPr>
            <w:tcW w:w="29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9</w:t>
            </w: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652"/>
        </w:trPr>
        <w:tc>
          <w:tcPr>
            <w:tcW w:w="64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Arial" w:cs="Arial" w:eastAsia="Arial" w:hAnsi="Arial"/>
                <w:sz w:val="17"/>
                <w:szCs w:val="17"/>
                <w:color w:val="0000FF"/>
              </w:rPr>
              <w:t>Item 2.</w:t>
            </w:r>
          </w:p>
        </w:tc>
        <w:tc>
          <w:tcPr>
            <w:tcW w:w="9100" w:type="dxa"/>
            <w:vAlign w:val="bottom"/>
            <w:gridSpan w:val="18"/>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28</w:t>
            </w:r>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64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Arial" w:cs="Arial" w:eastAsia="Arial" w:hAnsi="Arial"/>
                <w:sz w:val="17"/>
                <w:szCs w:val="17"/>
                <w:color w:val="0000FF"/>
              </w:rPr>
              <w:t>Item 3.</w:t>
            </w:r>
          </w:p>
        </w:tc>
        <w:tc>
          <w:tcPr>
            <w:tcW w:w="9100" w:type="dxa"/>
            <w:vAlign w:val="bottom"/>
            <w:gridSpan w:val="18"/>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34</w:t>
            </w:r>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9"/>
        </w:trPr>
        <w:tc>
          <w:tcPr>
            <w:tcW w:w="64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Arial" w:cs="Arial" w:eastAsia="Arial" w:hAnsi="Arial"/>
                <w:sz w:val="17"/>
                <w:szCs w:val="17"/>
                <w:color w:val="0000FF"/>
              </w:rPr>
              <w:t>Item 4.</w:t>
            </w:r>
          </w:p>
        </w:tc>
        <w:tc>
          <w:tcPr>
            <w:tcW w:w="9100" w:type="dxa"/>
            <w:vAlign w:val="bottom"/>
            <w:gridSpan w:val="18"/>
          </w:tcPr>
          <w:p>
            <w:pPr>
              <w:spacing w:after="0"/>
              <w:rPr>
                <w:sz w:val="20"/>
                <w:szCs w:val="20"/>
                <w:color w:val="auto"/>
              </w:rPr>
            </w:pPr>
            <w:r>
              <w:rPr>
                <w:rFonts w:ascii="Arial" w:cs="Arial" w:eastAsia="Arial" w:hAnsi="Arial"/>
                <w:sz w:val="17"/>
                <w:szCs w:val="17"/>
                <w:color w:val="0000FF"/>
              </w:rPr>
              <w:t>Controls and Procedures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35</w:t>
            </w:r>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652"/>
        </w:trPr>
        <w:tc>
          <w:tcPr>
            <w:tcW w:w="64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3"/>
              </w:rPr>
              <w:t>PART II.</w:t>
            </w:r>
          </w:p>
        </w:tc>
        <w:tc>
          <w:tcPr>
            <w:tcW w:w="400" w:type="dxa"/>
            <w:vAlign w:val="bottom"/>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7"/>
                <w:szCs w:val="17"/>
                <w:color w:val="0000FF"/>
              </w:rPr>
              <w:t>OTHER INFORMATION</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36</w:t>
            </w:r>
          </w:p>
        </w:tc>
      </w:tr>
      <w:tr>
        <w:trPr>
          <w:trHeight w:val="20"/>
        </w:trPr>
        <w:tc>
          <w:tcPr>
            <w:tcW w:w="6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64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rPr>
              <w:t>Item 1.</w:t>
            </w:r>
          </w:p>
        </w:tc>
        <w:tc>
          <w:tcPr>
            <w:tcW w:w="400" w:type="dxa"/>
            <w:vAlign w:val="bottom"/>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7"/>
                <w:szCs w:val="17"/>
                <w:color w:val="0000FF"/>
              </w:rPr>
              <w:t>Legal Proceedings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36</w:t>
            </w:r>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64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4"/>
              </w:rPr>
              <w:t>Item 1A.</w:t>
            </w:r>
          </w:p>
        </w:tc>
        <w:tc>
          <w:tcPr>
            <w:tcW w:w="400" w:type="dxa"/>
            <w:vAlign w:val="bottom"/>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7"/>
                <w:szCs w:val="17"/>
                <w:color w:val="0000FF"/>
              </w:rPr>
              <w:t>Risk Factors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36</w:t>
            </w:r>
          </w:p>
        </w:tc>
      </w:tr>
      <w:tr>
        <w:trPr>
          <w:trHeight w:val="20"/>
        </w:trPr>
        <w:tc>
          <w:tcPr>
            <w:tcW w:w="6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9"/>
        </w:trPr>
        <w:tc>
          <w:tcPr>
            <w:tcW w:w="64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rPr>
              <w:t>Item 2.</w:t>
            </w:r>
          </w:p>
        </w:tc>
        <w:tc>
          <w:tcPr>
            <w:tcW w:w="400" w:type="dxa"/>
            <w:vAlign w:val="bottom"/>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37</w:t>
            </w:r>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64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Arial" w:cs="Arial" w:eastAsia="Arial" w:hAnsi="Arial"/>
                <w:sz w:val="17"/>
                <w:szCs w:val="17"/>
                <w:color w:val="0000FF"/>
              </w:rPr>
              <w:t>Item 3.</w:t>
            </w:r>
          </w:p>
        </w:tc>
        <w:tc>
          <w:tcPr>
            <w:tcW w:w="9100" w:type="dxa"/>
            <w:vAlign w:val="bottom"/>
            <w:gridSpan w:val="18"/>
          </w:tcPr>
          <w:p>
            <w:pPr>
              <w:spacing w:after="0"/>
              <w:rPr>
                <w:sz w:val="20"/>
                <w:szCs w:val="20"/>
                <w:color w:val="auto"/>
              </w:rPr>
            </w:pPr>
            <w:r>
              <w:rPr>
                <w:rFonts w:ascii="Arial" w:cs="Arial" w:eastAsia="Arial" w:hAnsi="Arial"/>
                <w:sz w:val="17"/>
                <w:szCs w:val="17"/>
                <w:color w:val="0000FF"/>
              </w:rPr>
              <w:t>Defaults Upon Senior Securities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38</w:t>
            </w:r>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6880" w:type="dxa"/>
            <w:vAlign w:val="bottom"/>
            <w:gridSpan w:val="10"/>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9"/>
        </w:trPr>
        <w:tc>
          <w:tcPr>
            <w:tcW w:w="64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Arial" w:cs="Arial" w:eastAsia="Arial" w:hAnsi="Arial"/>
                <w:sz w:val="17"/>
                <w:szCs w:val="17"/>
                <w:color w:val="0000FF"/>
              </w:rPr>
              <w:t>Item 4.</w:t>
            </w:r>
          </w:p>
        </w:tc>
        <w:tc>
          <w:tcPr>
            <w:tcW w:w="9100" w:type="dxa"/>
            <w:vAlign w:val="bottom"/>
            <w:gridSpan w:val="18"/>
          </w:tcPr>
          <w:p>
            <w:pPr>
              <w:spacing w:after="0"/>
              <w:rPr>
                <w:sz w:val="20"/>
                <w:szCs w:val="20"/>
                <w:color w:val="auto"/>
              </w:rPr>
            </w:pPr>
            <w:r>
              <w:rPr>
                <w:rFonts w:ascii="Arial" w:cs="Arial" w:eastAsia="Arial" w:hAnsi="Arial"/>
                <w:sz w:val="17"/>
                <w:szCs w:val="17"/>
                <w:color w:val="0000FF"/>
              </w:rPr>
              <w:t>Mine Safety Disclosures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38</w:t>
            </w:r>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400" w:type="dxa"/>
            <w:vAlign w:val="bottom"/>
            <w:gridSpan w:val="13"/>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64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Arial" w:cs="Arial" w:eastAsia="Arial" w:hAnsi="Arial"/>
                <w:sz w:val="17"/>
                <w:szCs w:val="17"/>
                <w:color w:val="0000FF"/>
              </w:rPr>
              <w:t>Item 5.</w:t>
            </w:r>
          </w:p>
        </w:tc>
        <w:tc>
          <w:tcPr>
            <w:tcW w:w="9100" w:type="dxa"/>
            <w:vAlign w:val="bottom"/>
            <w:gridSpan w:val="18"/>
          </w:tcPr>
          <w:p>
            <w:pPr>
              <w:spacing w:after="0"/>
              <w:rPr>
                <w:sz w:val="20"/>
                <w:szCs w:val="20"/>
                <w:color w:val="auto"/>
              </w:rPr>
            </w:pPr>
            <w:r>
              <w:rPr>
                <w:rFonts w:ascii="Arial" w:cs="Arial" w:eastAsia="Arial" w:hAnsi="Arial"/>
                <w:sz w:val="17"/>
                <w:szCs w:val="17"/>
                <w:color w:val="0000FF"/>
              </w:rPr>
              <w:t>Other Information</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38</w:t>
            </w:r>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40" w:type="dxa"/>
            <w:vAlign w:val="bottom"/>
            <w:gridSpan w:val="1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64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Arial" w:cs="Arial" w:eastAsia="Arial" w:hAnsi="Arial"/>
                <w:sz w:val="17"/>
                <w:szCs w:val="17"/>
                <w:color w:val="0000FF"/>
              </w:rPr>
              <w:t>Item 6.</w:t>
            </w:r>
          </w:p>
        </w:tc>
        <w:tc>
          <w:tcPr>
            <w:tcW w:w="9100" w:type="dxa"/>
            <w:vAlign w:val="bottom"/>
            <w:gridSpan w:val="18"/>
          </w:tcPr>
          <w:p>
            <w:pPr>
              <w:spacing w:after="0"/>
              <w:rPr>
                <w:sz w:val="20"/>
                <w:szCs w:val="20"/>
                <w:color w:val="auto"/>
              </w:rPr>
            </w:pPr>
            <w:r>
              <w:rPr>
                <w:rFonts w:ascii="Arial" w:cs="Arial" w:eastAsia="Arial" w:hAnsi="Arial"/>
                <w:sz w:val="17"/>
                <w:szCs w:val="17"/>
                <w:color w:val="0000FF"/>
              </w:rPr>
              <w:t>Exhibits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39</w:t>
            </w:r>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5"/>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520" w:type="dxa"/>
            <w:vAlign w:val="bottom"/>
            <w:gridSpan w:val="1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9"/>
        </w:trPr>
        <w:tc>
          <w:tcPr>
            <w:tcW w:w="640" w:type="dxa"/>
            <w:vAlign w:val="bottom"/>
          </w:tcPr>
          <w:p>
            <w:pPr>
              <w:spacing w:after="0"/>
              <w:rPr>
                <w:sz w:val="24"/>
                <w:szCs w:val="24"/>
                <w:color w:val="auto"/>
              </w:rPr>
            </w:pPr>
          </w:p>
        </w:tc>
        <w:tc>
          <w:tcPr>
            <w:tcW w:w="10120" w:type="dxa"/>
            <w:vAlign w:val="bottom"/>
            <w:gridSpan w:val="23"/>
          </w:tcPr>
          <w:p>
            <w:pPr>
              <w:spacing w:after="0"/>
              <w:rPr>
                <w:sz w:val="20"/>
                <w:szCs w:val="20"/>
                <w:color w:val="auto"/>
              </w:rPr>
            </w:pPr>
            <w:r>
              <w:rPr>
                <w:rFonts w:ascii="Arial" w:cs="Arial" w:eastAsia="Arial" w:hAnsi="Arial"/>
                <w:sz w:val="17"/>
                <w:szCs w:val="17"/>
                <w:color w:val="0000FF"/>
              </w:rPr>
              <w:t>SIGNATURES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40</w:t>
            </w:r>
          </w:p>
        </w:tc>
      </w:tr>
      <w:tr>
        <w:trPr>
          <w:trHeight w:val="1704"/>
        </w:trPr>
        <w:tc>
          <w:tcPr>
            <w:tcW w:w="64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780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9"/>
        </w:trPr>
        <w:tc>
          <w:tcPr>
            <w:tcW w:w="7800" w:type="dxa"/>
            <w:vAlign w:val="bottom"/>
            <w:gridSpan w:val="3"/>
          </w:tcPr>
          <w:p>
            <w:pPr>
              <w:spacing w:after="0"/>
              <w:rPr>
                <w:sz w:val="20"/>
                <w:szCs w:val="20"/>
                <w:color w:val="auto"/>
              </w:rPr>
            </w:pPr>
            <w:r>
              <w:rPr>
                <w:rFonts w:ascii="Arial" w:cs="Arial" w:eastAsia="Arial" w:hAnsi="Arial"/>
                <w:sz w:val="17"/>
                <w:szCs w:val="17"/>
                <w:b w:val="1"/>
                <w:bCs w:val="1"/>
                <w:color w:val="auto"/>
              </w:rPr>
              <w:t>PART I. FINANCIAL INFORMATION</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800" w:type="dxa"/>
            <w:vAlign w:val="bottom"/>
            <w:gridSpan w:val="3"/>
          </w:tcPr>
          <w:p>
            <w:pPr>
              <w:spacing w:after="0"/>
              <w:rPr>
                <w:sz w:val="20"/>
                <w:szCs w:val="20"/>
                <w:color w:val="auto"/>
              </w:rPr>
            </w:pPr>
            <w:r>
              <w:rPr>
                <w:rFonts w:ascii="Arial" w:cs="Arial" w:eastAsia="Arial" w:hAnsi="Arial"/>
                <w:sz w:val="17"/>
                <w:szCs w:val="17"/>
                <w:b w:val="1"/>
                <w:bCs w:val="1"/>
                <w:color w:val="auto"/>
              </w:rPr>
              <w:t>ITEM 1. CONDENSED CONSOLIDATED FINANCIAL STATEMENTS AND NOTES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580" w:type="dxa"/>
            <w:vAlign w:val="bottom"/>
          </w:tcPr>
          <w:p>
            <w:pPr>
              <w:jc w:val="center"/>
              <w:ind w:left="2134"/>
              <w:spacing w:after="0"/>
              <w:rPr>
                <w:sz w:val="20"/>
                <w:szCs w:val="20"/>
                <w:color w:val="auto"/>
              </w:rPr>
            </w:pPr>
            <w:r>
              <w:rPr>
                <w:rFonts w:ascii="Arial" w:cs="Arial" w:eastAsia="Arial" w:hAnsi="Arial"/>
                <w:sz w:val="17"/>
                <w:szCs w:val="17"/>
                <w:b w:val="1"/>
                <w:bCs w:val="1"/>
                <w:color w:val="auto"/>
              </w:rPr>
              <w:t>SYNCHRONOSS TECHNOLOGIES, INC.</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580" w:type="dxa"/>
            <w:vAlign w:val="bottom"/>
          </w:tcPr>
          <w:p>
            <w:pPr>
              <w:jc w:val="center"/>
              <w:ind w:left="2154"/>
              <w:spacing w:after="0"/>
              <w:rPr>
                <w:sz w:val="20"/>
                <w:szCs w:val="20"/>
                <w:color w:val="auto"/>
              </w:rPr>
            </w:pPr>
            <w:r>
              <w:rPr>
                <w:rFonts w:ascii="Arial" w:cs="Arial" w:eastAsia="Arial" w:hAnsi="Arial"/>
                <w:sz w:val="17"/>
                <w:szCs w:val="17"/>
                <w:b w:val="1"/>
                <w:bCs w:val="1"/>
                <w:color w:val="auto"/>
              </w:rPr>
              <w:t>CONDENSED CONSOLIDATED BALANCE SHEETS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580" w:type="dxa"/>
            <w:vAlign w:val="bottom"/>
          </w:tcPr>
          <w:p>
            <w:pPr>
              <w:jc w:val="center"/>
              <w:ind w:left="2134"/>
              <w:spacing w:after="0"/>
              <w:rPr>
                <w:sz w:val="20"/>
                <w:szCs w:val="20"/>
                <w:color w:val="auto"/>
              </w:rPr>
            </w:pPr>
            <w:r>
              <w:rPr>
                <w:rFonts w:ascii="Arial" w:cs="Arial" w:eastAsia="Arial" w:hAnsi="Arial"/>
                <w:sz w:val="17"/>
                <w:szCs w:val="17"/>
                <w:b w:val="1"/>
                <w:bCs w:val="1"/>
                <w:color w:val="auto"/>
                <w:w w:val="92"/>
              </w:rPr>
              <w:t>(Unaudited) (In thousands)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7"/>
              </w:rPr>
              <w:t>June 30, 2023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90"/>
              </w:rPr>
              <w:t>December 31, 2022</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58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2"/>
              </w:rPr>
              <w:t>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21,921</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Accounts receivable,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39,841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47,024</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Prepaid &amp;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38,628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36,342</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97,798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105,287</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Non-current assets:</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Property and equipment,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4,384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4,582</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20,863</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212,125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210,889</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47,536</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Loan receivable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4,834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4,834</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Other assets, non-current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4,081</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77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Total non-current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286,331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292,785</w:t>
            </w: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384,129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398,072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bottom w:val="single" w:sz="8" w:color="CCEEFF"/>
            </w:tcBorders>
            <w:vMerge w:val="restart"/>
          </w:tcPr>
          <w:p>
            <w:pPr>
              <w:jc w:val="center"/>
              <w:ind w:right="1174"/>
              <w:spacing w:after="0"/>
              <w:rPr>
                <w:sz w:val="20"/>
                <w:szCs w:val="20"/>
                <w:color w:val="auto"/>
              </w:rPr>
            </w:pPr>
            <w:r>
              <w:rPr>
                <w:rFonts w:ascii="Arial" w:cs="Arial" w:eastAsia="Arial" w:hAnsi="Arial"/>
                <w:sz w:val="17"/>
                <w:szCs w:val="17"/>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11,780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14,209</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52,115</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Deferred revenues, current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19,696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13,859</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80,183</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Long-term debt, net of debt issuance costs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135,379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134,584</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Deferred tax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Deferred revenues, non-current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3,950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Leases, non-current</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29,637</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3,933</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252,133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249,127</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7"/>
                <w:szCs w:val="17"/>
                <w:color w:val="auto"/>
              </w:rPr>
              <w:t>Commitments and contingencies: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7740" w:type="dxa"/>
            <w:vAlign w:val="bottom"/>
            <w:gridSpan w:val="2"/>
            <w:shd w:val="clear" w:color="auto" w:fill="CCEEFF"/>
          </w:tcPr>
          <w:p>
            <w:pPr>
              <w:ind w:left="220"/>
              <w:spacing w:after="0" w:line="175" w:lineRule="exact"/>
              <w:rPr>
                <w:sz w:val="20"/>
                <w:szCs w:val="20"/>
                <w:color w:val="auto"/>
              </w:rPr>
            </w:pPr>
            <w:r>
              <w:rPr>
                <w:rFonts w:ascii="Arial" w:cs="Arial" w:eastAsia="Arial" w:hAnsi="Arial"/>
                <w:sz w:val="17"/>
                <w:szCs w:val="17"/>
                <w:color w:val="auto"/>
                <w:w w:val="93"/>
              </w:rPr>
              <w:t>Series B Non-Convertible Perpetual Preferred Stock, $0.0001 par value; 150 shares authorized, 71 and 71</w:t>
            </w: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68,348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68,348</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shares issued and outstanding at June 30, 2023 and December 31, 2022, respectively</w:t>
            </w: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Redeemable noncontrolling interest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7740" w:type="dxa"/>
            <w:vAlign w:val="bottom"/>
            <w:gridSpan w:val="2"/>
          </w:tcPr>
          <w:p>
            <w:pPr>
              <w:ind w:left="220"/>
              <w:spacing w:after="0" w:line="168" w:lineRule="exact"/>
              <w:rPr>
                <w:sz w:val="20"/>
                <w:szCs w:val="20"/>
                <w:color w:val="auto"/>
              </w:rPr>
            </w:pPr>
            <w:r>
              <w:rPr>
                <w:rFonts w:ascii="Arial" w:cs="Arial" w:eastAsia="Arial" w:hAnsi="Arial"/>
                <w:sz w:val="17"/>
                <w:szCs w:val="17"/>
                <w:color w:val="auto"/>
                <w:w w:val="91"/>
              </w:rPr>
              <w:t>Common stock, $0.0001 par value; 150,000 shares authorized, 93,522 and 90,853 issued and outstanding at</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June 30, 2023 and December 31, 2022, respectively</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486,579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488,848</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(39,390)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(44,131)</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Accumulated deficit</w:t>
            </w: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(396,050)</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(376,629)</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51,148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68,097</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384,129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398,072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366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6"/>
        </w:trPr>
        <w:tc>
          <w:tcPr>
            <w:tcW w:w="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440" w:type="dxa"/>
            <w:vAlign w:val="bottom"/>
          </w:tcPr>
          <w:p>
            <w:pPr>
              <w:spacing w:after="0"/>
              <w:rPr>
                <w:sz w:val="24"/>
                <w:szCs w:val="24"/>
                <w:color w:val="auto"/>
              </w:rPr>
            </w:pPr>
          </w:p>
        </w:tc>
        <w:tc>
          <w:tcPr>
            <w:tcW w:w="4120" w:type="dxa"/>
            <w:vAlign w:val="bottom"/>
            <w:gridSpan w:val="6"/>
          </w:tcPr>
          <w:p>
            <w:pPr>
              <w:jc w:val="right"/>
              <w:ind w:right="474"/>
              <w:spacing w:after="0"/>
              <w:rPr>
                <w:sz w:val="20"/>
                <w:szCs w:val="20"/>
                <w:color w:val="auto"/>
              </w:rPr>
            </w:pPr>
            <w:r>
              <w:rPr>
                <w:rFonts w:ascii="Arial" w:cs="Arial" w:eastAsia="Arial" w:hAnsi="Arial"/>
                <w:sz w:val="17"/>
                <w:szCs w:val="17"/>
                <w:b w:val="1"/>
                <w:bCs w:val="1"/>
                <w:color w:val="auto"/>
              </w:rPr>
              <w:t>SYNCHRONOSS TECHNOLOGIES, INC.</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140" w:type="dxa"/>
            <w:vAlign w:val="bottom"/>
            <w:gridSpan w:val="9"/>
          </w:tcPr>
          <w:p>
            <w:pPr>
              <w:jc w:val="right"/>
              <w:ind w:right="160"/>
              <w:spacing w:after="0"/>
              <w:rPr>
                <w:sz w:val="20"/>
                <w:szCs w:val="20"/>
                <w:color w:val="auto"/>
              </w:rPr>
            </w:pPr>
            <w:r>
              <w:rPr>
                <w:rFonts w:ascii="Arial" w:cs="Arial" w:eastAsia="Arial" w:hAnsi="Arial"/>
                <w:sz w:val="17"/>
                <w:szCs w:val="17"/>
                <w:b w:val="1"/>
                <w:bCs w:val="1"/>
                <w:color w:val="auto"/>
              </w:rPr>
              <w:t>CONDENSED CONSOLIDATED STATEMENTS OF OPERATIONS</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120" w:type="dxa"/>
            <w:vAlign w:val="bottom"/>
            <w:gridSpan w:val="6"/>
          </w:tcPr>
          <w:p>
            <w:pPr>
              <w:jc w:val="right"/>
              <w:spacing w:after="0"/>
              <w:rPr>
                <w:sz w:val="20"/>
                <w:szCs w:val="20"/>
                <w:color w:val="auto"/>
              </w:rPr>
            </w:pPr>
            <w:r>
              <w:rPr>
                <w:rFonts w:ascii="Arial" w:cs="Arial" w:eastAsia="Arial" w:hAnsi="Arial"/>
                <w:sz w:val="17"/>
                <w:szCs w:val="17"/>
                <w:b w:val="1"/>
                <w:bCs w:val="1"/>
                <w:color w:val="auto"/>
              </w:rPr>
              <w:t>(Unaudited) (In thousands, except per share data)</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w w:val="99"/>
              </w:rPr>
              <w:t>Six Months Ended June 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revenues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59,713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65,236</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117,421</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131,102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40" w:type="dxa"/>
            <w:vAlign w:val="bottom"/>
            <w:gridSpan w:val="2"/>
          </w:tcPr>
          <w:p>
            <w:pPr>
              <w:ind w:left="220"/>
              <w:spacing w:after="0"/>
              <w:rPr>
                <w:sz w:val="20"/>
                <w:szCs w:val="20"/>
                <w:color w:val="auto"/>
              </w:rPr>
            </w:pPr>
            <w:r>
              <w:rPr>
                <w:rFonts w:ascii="Arial" w:cs="Arial" w:eastAsia="Arial" w:hAnsi="Arial"/>
                <w:sz w:val="17"/>
                <w:szCs w:val="17"/>
                <w:color w:val="auto"/>
              </w:rPr>
              <w:t>Costs and expenses: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40" w:type="dxa"/>
            <w:vAlign w:val="bottom"/>
            <w:gridSpan w:val="2"/>
            <w:shd w:val="clear" w:color="auto" w:fill="CCEEFF"/>
          </w:tcPr>
          <w:p>
            <w:pPr>
              <w:ind w:left="40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47,155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40" w:type="dxa"/>
            <w:vAlign w:val="bottom"/>
            <w:gridSpan w:val="2"/>
          </w:tcPr>
          <w:p>
            <w:pPr>
              <w:ind w:left="400"/>
              <w:spacing w:after="0"/>
              <w:rPr>
                <w:sz w:val="20"/>
                <w:szCs w:val="20"/>
                <w:color w:val="auto"/>
              </w:rPr>
            </w:pPr>
            <w:r>
              <w:rPr>
                <w:rFonts w:ascii="Arial" w:cs="Arial" w:eastAsia="Arial" w:hAnsi="Arial"/>
                <w:sz w:val="17"/>
                <w:szCs w:val="17"/>
                <w:color w:val="auto"/>
              </w:rPr>
              <w:t>Research and development</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15,043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13,460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29,778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29,251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Selling, general and administrative</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33,185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40" w:type="dxa"/>
            <w:vAlign w:val="bottom"/>
            <w:gridSpan w:val="2"/>
          </w:tcPr>
          <w:p>
            <w:pPr>
              <w:ind w:left="400"/>
              <w:spacing w:after="0"/>
              <w:rPr>
                <w:sz w:val="20"/>
                <w:szCs w:val="20"/>
                <w:color w:val="auto"/>
              </w:rPr>
            </w:pPr>
            <w:r>
              <w:rPr>
                <w:rFonts w:ascii="Arial" w:cs="Arial" w:eastAsia="Arial" w:hAnsi="Arial"/>
                <w:sz w:val="17"/>
                <w:szCs w:val="17"/>
                <w:color w:val="auto"/>
              </w:rPr>
              <w:t>Restructuring charges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1,704</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6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Depreciation and amortization</w:t>
            </w:r>
          </w:p>
        </w:tc>
        <w:tc>
          <w:tcPr>
            <w:tcW w:w="7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8,259</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14,459</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7"/>
                <w:szCs w:val="17"/>
                <w:color w:val="auto"/>
              </w:rPr>
              <w:t>Total costs and expenses</w:t>
            </w:r>
          </w:p>
        </w:tc>
        <w:tc>
          <w:tcPr>
            <w:tcW w:w="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63,660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60,342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124,950</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127,588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income from operations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40" w:type="dxa"/>
            <w:vAlign w:val="bottom"/>
            <w:gridSpan w:val="2"/>
          </w:tcPr>
          <w:p>
            <w:pPr>
              <w:ind w:left="200"/>
              <w:spacing w:after="0"/>
              <w:rPr>
                <w:sz w:val="20"/>
                <w:szCs w:val="20"/>
                <w:color w:val="auto"/>
              </w:rPr>
            </w:pPr>
            <w:r>
              <w:rPr>
                <w:rFonts w:ascii="Arial" w:cs="Arial" w:eastAsia="Arial" w:hAnsi="Arial"/>
                <w:sz w:val="17"/>
                <w:szCs w:val="17"/>
                <w:color w:val="auto"/>
              </w:rPr>
              <w:t>Interest income</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Interest expense</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40" w:type="dxa"/>
            <w:vAlign w:val="bottom"/>
            <w:gridSpan w:val="2"/>
          </w:tcPr>
          <w:p>
            <w:pPr>
              <w:ind w:left="200"/>
              <w:spacing w:after="0"/>
              <w:rPr>
                <w:sz w:val="20"/>
                <w:szCs w:val="20"/>
                <w:color w:val="auto"/>
              </w:rPr>
            </w:pPr>
            <w:r>
              <w:rPr>
                <w:rFonts w:ascii="Arial" w:cs="Arial" w:eastAsia="Arial" w:hAnsi="Arial"/>
                <w:sz w:val="17"/>
                <w:szCs w:val="17"/>
                <w:color w:val="auto"/>
              </w:rPr>
              <w:t>Gain on divestiture</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2,622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Other (expense) income, net</w:t>
            </w:r>
          </w:p>
        </w:tc>
        <w:tc>
          <w:tcPr>
            <w:tcW w:w="7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7"/>
                <w:szCs w:val="17"/>
                <w:color w:val="auto"/>
              </w:rPr>
              <w:t>(Loss) income from operations, before taxes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(7,735)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8,356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(17,607)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Provision for income taxes</w:t>
            </w:r>
          </w:p>
        </w:tc>
        <w:tc>
          <w:tcPr>
            <w:tcW w:w="7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7"/>
                <w:szCs w:val="17"/>
                <w:color w:val="auto"/>
              </w:rPr>
              <w:t>Net (loss) income</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(8,518)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7,921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(19,449)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4,884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2"/>
            <w:shd w:val="clear" w:color="auto" w:fill="CCEEFF"/>
          </w:tcPr>
          <w:p>
            <w:pPr>
              <w:ind w:left="200"/>
              <w:spacing w:after="0" w:line="175" w:lineRule="exact"/>
              <w:rPr>
                <w:sz w:val="20"/>
                <w:szCs w:val="20"/>
                <w:color w:val="auto"/>
              </w:rPr>
            </w:pPr>
            <w:r>
              <w:rPr>
                <w:rFonts w:ascii="Arial" w:cs="Arial" w:eastAsia="Arial" w:hAnsi="Arial"/>
                <w:sz w:val="17"/>
                <w:szCs w:val="17"/>
                <w:color w:val="auto"/>
              </w:rPr>
              <w:t>Net income (loss) attributable to redeemable</w:t>
            </w: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40" w:type="dxa"/>
            <w:vAlign w:val="bottom"/>
            <w:gridSpan w:val="2"/>
            <w:vMerge w:val="restart"/>
            <w:shd w:val="clear" w:color="auto" w:fill="CCEEFF"/>
          </w:tcPr>
          <w:p>
            <w:pPr>
              <w:ind w:left="200"/>
              <w:spacing w:after="0"/>
              <w:rPr>
                <w:sz w:val="20"/>
                <w:szCs w:val="20"/>
                <w:color w:val="auto"/>
              </w:rPr>
            </w:pPr>
            <w:r>
              <w:rPr>
                <w:rFonts w:ascii="Arial" w:cs="Arial" w:eastAsia="Arial" w:hAnsi="Arial"/>
                <w:sz w:val="17"/>
                <w:szCs w:val="17"/>
                <w:color w:val="auto"/>
              </w:rPr>
              <w:t>noncontrolling interests</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40" w:type="dxa"/>
            <w:vAlign w:val="bottom"/>
            <w:gridSpan w:val="2"/>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Preferred stock dividend</w:t>
            </w:r>
          </w:p>
        </w:tc>
        <w:tc>
          <w:tcPr>
            <w:tcW w:w="7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(2,519)</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(4,949)</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Net (loss) income attributable to Synchronoss</w:t>
            </w:r>
          </w:p>
        </w:tc>
        <w:tc>
          <w:tcPr>
            <w:tcW w:w="110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(10,979)</w:t>
            </w:r>
          </w:p>
        </w:tc>
        <w:tc>
          <w:tcPr>
            <w:tcW w:w="46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5,327</w:t>
            </w:r>
          </w:p>
        </w:tc>
        <w:tc>
          <w:tcPr>
            <w:tcW w:w="58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(24,370)</w:t>
            </w:r>
          </w:p>
        </w:tc>
        <w:tc>
          <w:tcPr>
            <w:tcW w:w="46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(loss) per share:</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Basic</w:t>
            </w:r>
          </w:p>
        </w:tc>
        <w:tc>
          <w:tcPr>
            <w:tcW w:w="110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(0.13)</w:t>
            </w:r>
          </w:p>
        </w:tc>
        <w:tc>
          <w:tcPr>
            <w:tcW w:w="46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60" w:type="dxa"/>
            <w:vAlign w:val="bottom"/>
          </w:tcPr>
          <w:p>
            <w:pPr>
              <w:jc w:val="right"/>
              <w:spacing w:after="0" w:line="194" w:lineRule="exact"/>
              <w:rPr>
                <w:sz w:val="20"/>
                <w:szCs w:val="20"/>
                <w:color w:val="auto"/>
              </w:rPr>
            </w:pPr>
            <w:r>
              <w:rPr>
                <w:rFonts w:ascii="Arial" w:cs="Arial" w:eastAsia="Arial" w:hAnsi="Arial"/>
                <w:sz w:val="17"/>
                <w:szCs w:val="17"/>
                <w:color w:val="auto"/>
              </w:rPr>
              <w:t>0.06</w:t>
            </w:r>
          </w:p>
        </w:tc>
        <w:tc>
          <w:tcPr>
            <w:tcW w:w="580" w:type="dxa"/>
            <w:vAlign w:val="bottom"/>
            <w:gridSpan w:val="2"/>
          </w:tcPr>
          <w:p>
            <w:pPr>
              <w:jc w:val="right"/>
              <w:ind w:right="380"/>
              <w:spacing w:after="0" w:line="194" w:lineRule="exact"/>
              <w:rPr>
                <w:sz w:val="20"/>
                <w:szCs w:val="20"/>
                <w:color w:val="auto"/>
              </w:rPr>
            </w:pPr>
            <w:r>
              <w:rPr>
                <w:rFonts w:ascii="Arial" w:cs="Arial" w:eastAsia="Arial" w:hAnsi="Arial"/>
                <w:sz w:val="17"/>
                <w:szCs w:val="17"/>
                <w:color w:val="auto"/>
              </w:rPr>
              <w:t>$</w:t>
            </w: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(0.28)</w:t>
            </w:r>
          </w:p>
        </w:tc>
        <w:tc>
          <w:tcPr>
            <w:tcW w:w="460" w:type="dxa"/>
            <w:vAlign w:val="bottom"/>
            <w:gridSpan w:val="2"/>
          </w:tcPr>
          <w:p>
            <w:pPr>
              <w:jc w:val="right"/>
              <w:ind w:right="280"/>
              <w:spacing w:after="0" w:line="194" w:lineRule="exact"/>
              <w:rPr>
                <w:sz w:val="20"/>
                <w:szCs w:val="20"/>
                <w:color w:val="auto"/>
              </w:rPr>
            </w:pPr>
            <w:r>
              <w:rPr>
                <w:rFonts w:ascii="Arial" w:cs="Arial" w:eastAsia="Arial" w:hAnsi="Arial"/>
                <w:sz w:val="17"/>
                <w:szCs w:val="17"/>
                <w:color w:val="auto"/>
              </w:rPr>
              <w:t>$</w:t>
            </w:r>
          </w:p>
        </w:tc>
        <w:tc>
          <w:tcPr>
            <w:tcW w:w="12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Weighted-average common shares outstanding:</w:t>
            </w: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0"/>
                <w:szCs w:val="20"/>
                <w:color w:val="auto"/>
              </w:rPr>
            </w:pPr>
          </w:p>
        </w:tc>
        <w:tc>
          <w:tcPr>
            <w:tcW w:w="3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86,785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87,124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86,644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7"/>
                <w:szCs w:val="17"/>
                <w:color w:val="auto"/>
              </w:rPr>
              <w:t>Diluted</w:t>
            </w: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86,785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89,249</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86,644</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86,031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14" w:lineRule="auto"/>
        <w:tabs>
          <w:tab w:leader="none" w:pos="20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398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6"/>
        </w:trPr>
        <w:tc>
          <w:tcPr>
            <w:tcW w:w="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760" w:type="dxa"/>
            <w:vAlign w:val="bottom"/>
          </w:tcPr>
          <w:p>
            <w:pPr>
              <w:spacing w:after="0"/>
              <w:rPr>
                <w:sz w:val="24"/>
                <w:szCs w:val="24"/>
                <w:color w:val="auto"/>
              </w:rPr>
            </w:pPr>
          </w:p>
        </w:tc>
        <w:tc>
          <w:tcPr>
            <w:tcW w:w="3780" w:type="dxa"/>
            <w:vAlign w:val="bottom"/>
            <w:gridSpan w:val="6"/>
          </w:tcPr>
          <w:p>
            <w:pPr>
              <w:jc w:val="right"/>
              <w:ind w:right="454"/>
              <w:spacing w:after="0"/>
              <w:rPr>
                <w:sz w:val="20"/>
                <w:szCs w:val="20"/>
                <w:color w:val="auto"/>
              </w:rPr>
            </w:pPr>
            <w:r>
              <w:rPr>
                <w:rFonts w:ascii="Arial" w:cs="Arial" w:eastAsia="Arial" w:hAnsi="Arial"/>
                <w:sz w:val="17"/>
                <w:szCs w:val="17"/>
                <w:b w:val="1"/>
                <w:bCs w:val="1"/>
                <w:color w:val="auto"/>
              </w:rPr>
              <w:t>SYNCHRONOSS TECHNOLOGIES, INC.</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80" w:type="dxa"/>
            <w:vAlign w:val="bottom"/>
            <w:gridSpan w:val="10"/>
          </w:tcPr>
          <w:p>
            <w:pPr>
              <w:jc w:val="right"/>
              <w:ind w:right="334"/>
              <w:spacing w:after="0"/>
              <w:rPr>
                <w:sz w:val="20"/>
                <w:szCs w:val="20"/>
                <w:color w:val="auto"/>
              </w:rPr>
            </w:pPr>
            <w:r>
              <w:rPr>
                <w:rFonts w:ascii="Arial" w:cs="Arial" w:eastAsia="Arial" w:hAnsi="Arial"/>
                <w:sz w:val="17"/>
                <w:szCs w:val="17"/>
                <w:b w:val="1"/>
                <w:bCs w:val="1"/>
                <w:color w:val="auto"/>
              </w:rPr>
              <w:t>CONDENSED CONSOLIDATED STATEMENTS OF COMPREHENSIVE (LOSS) INCOME</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gridSpan w:val="4"/>
          </w:tcPr>
          <w:p>
            <w:pPr>
              <w:jc w:val="right"/>
              <w:ind w:right="734"/>
              <w:spacing w:after="0"/>
              <w:rPr>
                <w:sz w:val="20"/>
                <w:szCs w:val="20"/>
                <w:color w:val="auto"/>
              </w:rPr>
            </w:pPr>
            <w:r>
              <w:rPr>
                <w:rFonts w:ascii="Arial" w:cs="Arial" w:eastAsia="Arial" w:hAnsi="Arial"/>
                <w:sz w:val="17"/>
                <w:szCs w:val="17"/>
                <w:b w:val="1"/>
                <w:bCs w:val="1"/>
                <w:color w:val="auto"/>
              </w:rPr>
              <w:t>(Unaudited) (In thousands)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7"/>
                <w:szCs w:val="17"/>
                <w:b w:val="1"/>
                <w:bCs w:val="1"/>
                <w:color w:val="auto"/>
              </w:rPr>
              <w:t>Three Months Ended June 30,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(8,518)</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(19,449)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60" w:type="dxa"/>
            <w:vAlign w:val="bottom"/>
            <w:gridSpan w:val="2"/>
          </w:tcPr>
          <w:p>
            <w:pPr>
              <w:ind w:left="220"/>
              <w:spacing w:after="0"/>
              <w:rPr>
                <w:sz w:val="20"/>
                <w:szCs w:val="20"/>
                <w:color w:val="auto"/>
              </w:rPr>
            </w:pPr>
            <w:r>
              <w:rPr>
                <w:rFonts w:ascii="Arial" w:cs="Arial" w:eastAsia="Arial" w:hAnsi="Arial"/>
                <w:sz w:val="17"/>
                <w:szCs w:val="17"/>
                <w:color w:val="auto"/>
              </w:rPr>
              <w:t>Other comprehensive income (loss), net of tax:</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Foreign currency translation adjustments</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60" w:type="dxa"/>
            <w:vAlign w:val="bottom"/>
            <w:gridSpan w:val="2"/>
          </w:tcPr>
          <w:p>
            <w:pPr>
              <w:ind w:left="420"/>
              <w:spacing w:after="0" w:line="168" w:lineRule="exact"/>
              <w:rPr>
                <w:sz w:val="20"/>
                <w:szCs w:val="20"/>
                <w:color w:val="auto"/>
              </w:rPr>
            </w:pPr>
            <w:r>
              <w:rPr>
                <w:rFonts w:ascii="Arial" w:cs="Arial" w:eastAsia="Arial" w:hAnsi="Arial"/>
                <w:sz w:val="17"/>
                <w:szCs w:val="17"/>
                <w:color w:val="auto"/>
              </w:rPr>
              <w:t>Net income on inter-company foreign currency</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gridSpan w:val="2"/>
            <w:vMerge w:val="restart"/>
          </w:tcPr>
          <w:p>
            <w:pPr>
              <w:ind w:left="420"/>
              <w:spacing w:after="0"/>
              <w:rPr>
                <w:sz w:val="20"/>
                <w:szCs w:val="20"/>
                <w:color w:val="auto"/>
              </w:rPr>
            </w:pPr>
            <w:r>
              <w:rPr>
                <w:rFonts w:ascii="Arial" w:cs="Arial" w:eastAsia="Arial" w:hAnsi="Arial"/>
                <w:sz w:val="17"/>
                <w:szCs w:val="17"/>
                <w:color w:val="auto"/>
              </w:rPr>
              <w:t>transactions</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9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other comprehensive income (loss)</w:t>
            </w: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(12,095)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2"/>
          </w:tcPr>
          <w:p>
            <w:pPr>
              <w:ind w:left="20"/>
              <w:spacing w:after="0"/>
              <w:rPr>
                <w:sz w:val="20"/>
                <w:szCs w:val="20"/>
                <w:color w:val="auto"/>
              </w:rPr>
            </w:pPr>
            <w:r>
              <w:rPr>
                <w:rFonts w:ascii="Arial" w:cs="Arial" w:eastAsia="Arial" w:hAnsi="Arial"/>
                <w:sz w:val="17"/>
                <w:szCs w:val="17"/>
                <w:color w:val="auto"/>
              </w:rPr>
              <w:t>Comprehensive loss</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(8,347)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(14,708)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(10,352)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7"/>
                <w:szCs w:val="17"/>
                <w:color w:val="auto"/>
                <w:w w:val="91"/>
              </w:rPr>
              <w:t>Comprehensive income (loss) attributable to redeemable</w:t>
            </w: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960" w:type="dxa"/>
            <w:vAlign w:val="bottom"/>
            <w:gridSpan w:val="2"/>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2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Arial" w:cs="Arial" w:eastAsia="Arial" w:hAnsi="Arial"/>
                <w:sz w:val="17"/>
                <w:szCs w:val="17"/>
                <w:color w:val="auto"/>
              </w:rPr>
              <w:t>Comprehensive loss attributable to Synchronoss</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(8,333)</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(4,249)</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(14,680)</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line="282" w:lineRule="auto"/>
        <w:rPr>
          <w:sz w:val="20"/>
          <w:szCs w:val="20"/>
          <w:color w:val="auto"/>
        </w:rPr>
      </w:pPr>
      <w:r>
        <w:rPr>
          <w:rFonts w:ascii="Arial" w:cs="Arial" w:eastAsia="Arial" w:hAnsi="Arial"/>
          <w:sz w:val="17"/>
          <w:szCs w:val="17"/>
          <w:b w:val="1"/>
          <w:bCs w:val="1"/>
          <w:color w:val="auto"/>
        </w:rPr>
        <w:t>SYNCHRONOSS TECHNOLOGIES, INC. CONDENSED CONSOLIDATED STATEMENTS OF STOCKHOLDERS’ EQUITY (Unaudited) (In thousands)</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Three Months Ended June 30, 2023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480" w:type="dxa"/>
            <w:vAlign w:val="bottom"/>
          </w:tcPr>
          <w:p>
            <w:pPr>
              <w:spacing w:after="0"/>
              <w:rPr>
                <w:sz w:val="13"/>
                <w:szCs w:val="13"/>
                <w:color w:val="auto"/>
              </w:rPr>
            </w:pPr>
          </w:p>
        </w:tc>
        <w:tc>
          <w:tcPr>
            <w:tcW w:w="19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4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92"/>
              </w:rPr>
              <w:t>Accumulated Other</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480" w:type="dxa"/>
            <w:vAlign w:val="bottom"/>
          </w:tcPr>
          <w:p>
            <w:pPr>
              <w:spacing w:after="0"/>
              <w:rPr>
                <w:sz w:val="10"/>
                <w:szCs w:val="10"/>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Par Value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20"/>
              <w:spacing w:after="0" w:line="122" w:lineRule="exact"/>
              <w:rPr>
                <w:sz w:val="20"/>
                <w:szCs w:val="20"/>
                <w:color w:val="auto"/>
              </w:rPr>
            </w:pPr>
            <w:r>
              <w:rPr>
                <w:rFonts w:ascii="Arial" w:cs="Arial" w:eastAsia="Arial" w:hAnsi="Arial"/>
                <w:sz w:val="12"/>
                <w:szCs w:val="12"/>
                <w:b w:val="1"/>
                <w:bCs w:val="1"/>
                <w:color w:val="auto"/>
                <w:w w:val="96"/>
              </w:rPr>
              <w:t>Additional Paid-In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53"/>
              <w:spacing w:after="0" w:line="122" w:lineRule="exact"/>
              <w:rPr>
                <w:sz w:val="20"/>
                <w:szCs w:val="20"/>
                <w:color w:val="auto"/>
              </w:rPr>
            </w:pPr>
            <w:r>
              <w:rPr>
                <w:rFonts w:ascii="Arial" w:cs="Arial" w:eastAsia="Arial" w:hAnsi="Arial"/>
                <w:sz w:val="12"/>
                <w:szCs w:val="12"/>
                <w:b w:val="1"/>
                <w:bCs w:val="1"/>
                <w:color w:val="auto"/>
                <w:w w:val="88"/>
              </w:rPr>
              <w:t>Comprehensive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ind w:right="113"/>
              <w:spacing w:after="0" w:line="122"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0"/>
                <w:szCs w:val="10"/>
                <w:color w:val="auto"/>
              </w:rPr>
            </w:pPr>
          </w:p>
        </w:tc>
        <w:tc>
          <w:tcPr>
            <w:tcW w:w="1040" w:type="dxa"/>
            <w:vAlign w:val="bottom"/>
            <w:gridSpan w:val="2"/>
          </w:tcPr>
          <w:p>
            <w:pPr>
              <w:ind w:left="20"/>
              <w:spacing w:after="0" w:line="122" w:lineRule="exact"/>
              <w:rPr>
                <w:sz w:val="20"/>
                <w:szCs w:val="20"/>
                <w:color w:val="auto"/>
              </w:rPr>
            </w:pPr>
            <w:r>
              <w:rPr>
                <w:rFonts w:ascii="Arial" w:cs="Arial" w:eastAsia="Arial" w:hAnsi="Arial"/>
                <w:sz w:val="12"/>
                <w:szCs w:val="12"/>
                <w:b w:val="1"/>
                <w:bCs w:val="1"/>
                <w:color w:val="auto"/>
                <w:w w:val="90"/>
              </w:rPr>
              <w:t>Total Stockholders'</w:t>
            </w:r>
          </w:p>
        </w:tc>
        <w:tc>
          <w:tcPr>
            <w:tcW w:w="0" w:type="dxa"/>
            <w:vAlign w:val="bottom"/>
          </w:tcPr>
          <w:p>
            <w:pPr>
              <w:spacing w:after="0"/>
              <w:rPr>
                <w:sz w:val="1"/>
                <w:szCs w:val="1"/>
                <w:color w:val="auto"/>
              </w:rPr>
            </w:pPr>
          </w:p>
        </w:tc>
      </w:tr>
      <w:tr>
        <w:trPr>
          <w:trHeight w:val="163"/>
        </w:trPr>
        <w:tc>
          <w:tcPr>
            <w:tcW w:w="448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2"/>
                <w:szCs w:val="12"/>
                <w:b w:val="1"/>
                <w:bCs w:val="1"/>
                <w:color w:val="auto"/>
                <w:w w:val="88"/>
              </w:rPr>
              <w:t>Income (Loss)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2"/>
        </w:trPr>
        <w:tc>
          <w:tcPr>
            <w:tcW w:w="4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March 31, 2023</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93,547</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487,673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(39,561)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(387,546)</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60,575</w:t>
            </w:r>
          </w:p>
        </w:tc>
        <w:tc>
          <w:tcPr>
            <w:tcW w:w="0" w:type="dxa"/>
            <w:vAlign w:val="bottom"/>
          </w:tcPr>
          <w:p>
            <w:pPr>
              <w:spacing w:after="0"/>
              <w:rPr>
                <w:sz w:val="1"/>
                <w:szCs w:val="1"/>
                <w:color w:val="auto"/>
              </w:rPr>
            </w:pPr>
          </w:p>
        </w:tc>
      </w:tr>
      <w:tr>
        <w:trPr>
          <w:trHeight w:val="184"/>
        </w:trPr>
        <w:tc>
          <w:tcPr>
            <w:tcW w:w="448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190"/>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480" w:type="dxa"/>
            <w:vAlign w:val="bottom"/>
          </w:tcPr>
          <w:p>
            <w:pPr>
              <w:ind w:left="120"/>
              <w:spacing w:after="0"/>
              <w:rPr>
                <w:sz w:val="20"/>
                <w:szCs w:val="20"/>
                <w:color w:val="auto"/>
              </w:rPr>
            </w:pPr>
            <w:r>
              <w:rPr>
                <w:rFonts w:ascii="Arial" w:cs="Arial" w:eastAsia="Arial" w:hAnsi="Arial"/>
                <w:sz w:val="14"/>
                <w:szCs w:val="14"/>
                <w:color w:val="auto"/>
              </w:rPr>
              <w:t>Preferred stock dividend</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(2,475)</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7"/>
              </w:rPr>
              <w:t>Shares withheld for taxes in connection with issuance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8"/>
        </w:trPr>
        <w:tc>
          <w:tcPr>
            <w:tcW w:w="4480" w:type="dxa"/>
            <w:vAlign w:val="bottom"/>
          </w:tcPr>
          <w:p>
            <w:pPr>
              <w:ind w:left="120"/>
              <w:spacing w:after="0"/>
              <w:rPr>
                <w:sz w:val="20"/>
                <w:szCs w:val="20"/>
                <w:color w:val="auto"/>
              </w:rPr>
            </w:pPr>
            <w:r>
              <w:rPr>
                <w:rFonts w:ascii="Arial" w:cs="Arial" w:eastAsia="Arial" w:hAnsi="Arial"/>
                <w:sz w:val="14"/>
                <w:szCs w:val="14"/>
                <w:color w:val="auto"/>
              </w:rPr>
              <w:t>Net income (loss) attributable to Synchronoss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(8,518)</w:t>
            </w: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Non-controlling interest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4480" w:type="dxa"/>
            <w:vAlign w:val="bottom"/>
          </w:tcPr>
          <w:p>
            <w:pPr>
              <w:ind w:left="120"/>
              <w:spacing w:after="0"/>
              <w:rPr>
                <w:sz w:val="20"/>
                <w:szCs w:val="20"/>
                <w:color w:val="auto"/>
              </w:rPr>
            </w:pPr>
            <w:r>
              <w:rPr>
                <w:rFonts w:ascii="Arial" w:cs="Arial" w:eastAsia="Arial" w:hAnsi="Arial"/>
                <w:sz w:val="14"/>
                <w:szCs w:val="14"/>
                <w:color w:val="auto"/>
              </w:rPr>
              <w:t>Total other comprehensive income (loss)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June 30, 2023</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93,522</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486,579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(39,390)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(396,050)</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51,148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0"/>
              </w:rPr>
              <w:t>Three Months Ended June 30, 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188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4"/>
              </w:rPr>
              <w:t>Additional Paid-In</w:t>
            </w:r>
          </w:p>
        </w:tc>
        <w:tc>
          <w:tcPr>
            <w:tcW w:w="100" w:type="dxa"/>
            <w:vAlign w:val="bottom"/>
            <w:vMerge w:val="restart"/>
          </w:tcPr>
          <w:p>
            <w:pPr>
              <w:spacing w:after="0"/>
              <w:rPr>
                <w:sz w:val="2"/>
                <w:szCs w:val="2"/>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2"/>
              </w:rPr>
              <w:t>Accumulated Other</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restart"/>
          </w:tcPr>
          <w:p>
            <w:pPr>
              <w:jc w:val="center"/>
              <w:ind w:right="53"/>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96"/>
        </w:trPr>
        <w:tc>
          <w:tcPr>
            <w:tcW w:w="4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33"/>
              <w:spacing w:after="0" w:line="124" w:lineRule="exact"/>
              <w:rPr>
                <w:sz w:val="20"/>
                <w:szCs w:val="20"/>
                <w:color w:val="auto"/>
              </w:rPr>
            </w:pPr>
            <w:r>
              <w:rPr>
                <w:rFonts w:ascii="Arial" w:cs="Arial" w:eastAsia="Arial" w:hAnsi="Arial"/>
                <w:sz w:val="12"/>
                <w:szCs w:val="12"/>
                <w:b w:val="1"/>
                <w:bCs w:val="1"/>
                <w:color w:val="auto"/>
                <w:w w:val="88"/>
              </w:rPr>
              <w:t>Comprehensive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53"/>
              <w:spacing w:after="0" w:line="124"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66"/>
        </w:trPr>
        <w:tc>
          <w:tcPr>
            <w:tcW w:w="4540" w:type="dxa"/>
            <w:vAlign w:val="bottom"/>
          </w:tcPr>
          <w:p>
            <w:pPr>
              <w:spacing w:after="0"/>
              <w:rPr>
                <w:sz w:val="14"/>
                <w:szCs w:val="14"/>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Par Value</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2"/>
                <w:szCs w:val="12"/>
                <w:b w:val="1"/>
                <w:bCs w:val="1"/>
                <w:color w:val="auto"/>
                <w:w w:val="90"/>
              </w:rPr>
              <w:t>Income (Loss)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9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88,244</w:t>
            </w:r>
          </w:p>
        </w:tc>
        <w:tc>
          <w:tcPr>
            <w:tcW w:w="86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491,966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480"/>
              <w:spacing w:after="0"/>
              <w:rPr>
                <w:sz w:val="20"/>
                <w:szCs w:val="20"/>
                <w:color w:val="auto"/>
              </w:rPr>
            </w:pPr>
            <w:r>
              <w:rPr>
                <w:rFonts w:ascii="Arial" w:cs="Arial" w:eastAsia="Arial" w:hAnsi="Arial"/>
                <w:sz w:val="14"/>
                <w:szCs w:val="14"/>
                <w:color w:val="auto"/>
                <w:w w:val="91"/>
              </w:rPr>
              <w:t>(36,126)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(371,865)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83,984</w:t>
            </w:r>
          </w:p>
        </w:tc>
        <w:tc>
          <w:tcPr>
            <w:tcW w:w="0" w:type="dxa"/>
            <w:vAlign w:val="bottom"/>
          </w:tcPr>
          <w:p>
            <w:pPr>
              <w:spacing w:after="0"/>
              <w:rPr>
                <w:sz w:val="1"/>
                <w:szCs w:val="1"/>
                <w:color w:val="auto"/>
              </w:rPr>
            </w:pPr>
          </w:p>
        </w:tc>
      </w:tr>
      <w:tr>
        <w:trPr>
          <w:trHeight w:val="178"/>
        </w:trPr>
        <w:tc>
          <w:tcPr>
            <w:tcW w:w="4540" w:type="dxa"/>
            <w:vAlign w:val="bottom"/>
          </w:tcPr>
          <w:p>
            <w:pPr>
              <w:ind w:left="140"/>
              <w:spacing w:after="0"/>
              <w:rPr>
                <w:sz w:val="20"/>
                <w:szCs w:val="20"/>
                <w:color w:val="auto"/>
              </w:rPr>
            </w:pPr>
            <w:r>
              <w:rPr>
                <w:rFonts w:ascii="Arial" w:cs="Arial" w:eastAsia="Arial" w:hAnsi="Arial"/>
                <w:sz w:val="14"/>
                <w:szCs w:val="14"/>
                <w:color w:val="auto"/>
              </w:rPr>
              <w:t>Stock based compensation</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540" w:type="dxa"/>
            <w:vAlign w:val="bottom"/>
          </w:tcPr>
          <w:p>
            <w:pPr>
              <w:ind w:left="140"/>
              <w:spacing w:after="0"/>
              <w:rPr>
                <w:sz w:val="20"/>
                <w:szCs w:val="20"/>
                <w:color w:val="auto"/>
              </w:rPr>
            </w:pPr>
            <w:r>
              <w:rPr>
                <w:rFonts w:ascii="Arial" w:cs="Arial" w:eastAsia="Arial" w:hAnsi="Arial"/>
                <w:sz w:val="14"/>
                <w:szCs w:val="14"/>
                <w:color w:val="auto"/>
              </w:rPr>
              <w:t>Preferred stock dividend</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(2,376)</w:t>
            </w: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preferred stock issuance costs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84"/>
        </w:trPr>
        <w:tc>
          <w:tcPr>
            <w:tcW w:w="4540" w:type="dxa"/>
            <w:vAlign w:val="bottom"/>
          </w:tcPr>
          <w:p>
            <w:pPr>
              <w:ind w:left="140"/>
              <w:spacing w:after="0"/>
              <w:rPr>
                <w:sz w:val="20"/>
                <w:szCs w:val="20"/>
                <w:color w:val="auto"/>
              </w:rPr>
            </w:pPr>
            <w:r>
              <w:rPr>
                <w:rFonts w:ascii="Arial" w:cs="Arial" w:eastAsia="Arial" w:hAnsi="Arial"/>
                <w:sz w:val="14"/>
                <w:szCs w:val="14"/>
                <w:color w:val="auto"/>
                <w:w w:val="98"/>
              </w:rPr>
              <w:t>Shares withheld for taxes in connection with issuance of restricted stock</w:t>
            </w:r>
          </w:p>
        </w:tc>
        <w:tc>
          <w:tcPr>
            <w:tcW w:w="102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Synchronoss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7,921</w:t>
            </w:r>
          </w:p>
        </w:tc>
        <w:tc>
          <w:tcPr>
            <w:tcW w:w="0" w:type="dxa"/>
            <w:vAlign w:val="bottom"/>
          </w:tcPr>
          <w:p>
            <w:pPr>
              <w:spacing w:after="0"/>
              <w:rPr>
                <w:sz w:val="1"/>
                <w:szCs w:val="1"/>
                <w:color w:val="auto"/>
              </w:rPr>
            </w:pPr>
          </w:p>
        </w:tc>
      </w:tr>
      <w:tr>
        <w:trPr>
          <w:trHeight w:val="178"/>
        </w:trPr>
        <w:tc>
          <w:tcPr>
            <w:tcW w:w="4540" w:type="dxa"/>
            <w:vAlign w:val="bottom"/>
          </w:tcPr>
          <w:p>
            <w:pPr>
              <w:ind w:left="140"/>
              <w:spacing w:after="0"/>
              <w:rPr>
                <w:sz w:val="20"/>
                <w:szCs w:val="20"/>
                <w:color w:val="auto"/>
              </w:rPr>
            </w:pPr>
            <w:r>
              <w:rPr>
                <w:rFonts w:ascii="Arial" w:cs="Arial" w:eastAsia="Arial" w:hAnsi="Arial"/>
                <w:sz w:val="14"/>
                <w:szCs w:val="14"/>
                <w:color w:val="auto"/>
              </w:rPr>
              <w:t>Non-controlling interest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other comprehensive income (loss)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w w:val="91"/>
              </w:rPr>
              <w:t>(12,095)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(12,095)</w:t>
            </w:r>
          </w:p>
        </w:tc>
        <w:tc>
          <w:tcPr>
            <w:tcW w:w="0" w:type="dxa"/>
            <w:vAlign w:val="bottom"/>
          </w:tcPr>
          <w:p>
            <w:pPr>
              <w:spacing w:after="0"/>
              <w:rPr>
                <w:sz w:val="1"/>
                <w:szCs w:val="1"/>
                <w:color w:val="auto"/>
              </w:rPr>
            </w:pPr>
          </w:p>
        </w:tc>
      </w:tr>
      <w:tr>
        <w:trPr>
          <w:trHeight w:val="184"/>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020" w:type="dxa"/>
            <w:vAlign w:val="bottom"/>
          </w:tcPr>
          <w:p>
            <w:pPr>
              <w:jc w:val="right"/>
              <w:spacing w:after="0"/>
              <w:rPr>
                <w:sz w:val="20"/>
                <w:szCs w:val="20"/>
                <w:color w:val="auto"/>
              </w:rPr>
            </w:pPr>
            <w:r>
              <w:rPr>
                <w:rFonts w:ascii="Arial" w:cs="Arial" w:eastAsia="Arial" w:hAnsi="Arial"/>
                <w:sz w:val="14"/>
                <w:szCs w:val="14"/>
                <w:color w:val="auto"/>
              </w:rPr>
              <w:t>89,045</w:t>
            </w:r>
          </w:p>
        </w:tc>
        <w:tc>
          <w:tcPr>
            <w:tcW w:w="86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9</w:t>
            </w:r>
          </w:p>
        </w:tc>
        <w:tc>
          <w:tcPr>
            <w:tcW w:w="2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490,594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480"/>
              <w:spacing w:after="0"/>
              <w:rPr>
                <w:sz w:val="20"/>
                <w:szCs w:val="20"/>
                <w:color w:val="auto"/>
              </w:rPr>
            </w:pPr>
            <w:r>
              <w:rPr>
                <w:rFonts w:ascii="Arial" w:cs="Arial" w:eastAsia="Arial" w:hAnsi="Arial"/>
                <w:sz w:val="14"/>
                <w:szCs w:val="14"/>
                <w:color w:val="auto"/>
                <w:w w:val="91"/>
              </w:rPr>
              <w:t>(48,221)</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(364,019)</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78,363</w:t>
            </w: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89"/>
              </w:rPr>
              <w:t>Six Months Ended June 30, 2023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480" w:type="dxa"/>
            <w:vAlign w:val="bottom"/>
          </w:tcPr>
          <w:p>
            <w:pPr>
              <w:spacing w:after="0"/>
              <w:rPr>
                <w:sz w:val="13"/>
                <w:szCs w:val="13"/>
                <w:color w:val="auto"/>
              </w:rPr>
            </w:pPr>
          </w:p>
        </w:tc>
        <w:tc>
          <w:tcPr>
            <w:tcW w:w="192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4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92"/>
              </w:rPr>
              <w:t>Accumulated Other</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480" w:type="dxa"/>
            <w:vAlign w:val="bottom"/>
          </w:tcPr>
          <w:p>
            <w:pPr>
              <w:spacing w:after="0"/>
              <w:rPr>
                <w:sz w:val="10"/>
                <w:szCs w:val="10"/>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Par Value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20"/>
              <w:spacing w:after="0" w:line="122" w:lineRule="exact"/>
              <w:rPr>
                <w:sz w:val="20"/>
                <w:szCs w:val="20"/>
                <w:color w:val="auto"/>
              </w:rPr>
            </w:pPr>
            <w:r>
              <w:rPr>
                <w:rFonts w:ascii="Arial" w:cs="Arial" w:eastAsia="Arial" w:hAnsi="Arial"/>
                <w:sz w:val="12"/>
                <w:szCs w:val="12"/>
                <w:b w:val="1"/>
                <w:bCs w:val="1"/>
                <w:color w:val="auto"/>
                <w:w w:val="96"/>
              </w:rPr>
              <w:t>Additional Paid-In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52"/>
              <w:spacing w:after="0" w:line="122" w:lineRule="exact"/>
              <w:rPr>
                <w:sz w:val="20"/>
                <w:szCs w:val="20"/>
                <w:color w:val="auto"/>
              </w:rPr>
            </w:pPr>
            <w:r>
              <w:rPr>
                <w:rFonts w:ascii="Arial" w:cs="Arial" w:eastAsia="Arial" w:hAnsi="Arial"/>
                <w:sz w:val="12"/>
                <w:szCs w:val="12"/>
                <w:b w:val="1"/>
                <w:bCs w:val="1"/>
                <w:color w:val="auto"/>
                <w:w w:val="88"/>
              </w:rPr>
              <w:t>Comprehensive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ind w:right="112"/>
              <w:spacing w:after="0" w:line="122"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0"/>
                <w:szCs w:val="10"/>
                <w:color w:val="auto"/>
              </w:rPr>
            </w:pPr>
          </w:p>
        </w:tc>
        <w:tc>
          <w:tcPr>
            <w:tcW w:w="1040" w:type="dxa"/>
            <w:vAlign w:val="bottom"/>
            <w:gridSpan w:val="2"/>
          </w:tcPr>
          <w:p>
            <w:pPr>
              <w:ind w:left="20"/>
              <w:spacing w:after="0" w:line="122" w:lineRule="exact"/>
              <w:rPr>
                <w:sz w:val="20"/>
                <w:szCs w:val="20"/>
                <w:color w:val="auto"/>
              </w:rPr>
            </w:pPr>
            <w:r>
              <w:rPr>
                <w:rFonts w:ascii="Arial" w:cs="Arial" w:eastAsia="Arial" w:hAnsi="Arial"/>
                <w:sz w:val="12"/>
                <w:szCs w:val="12"/>
                <w:b w:val="1"/>
                <w:bCs w:val="1"/>
                <w:color w:val="auto"/>
                <w:w w:val="90"/>
              </w:rPr>
              <w:t>Total Stockholders'</w:t>
            </w:r>
          </w:p>
        </w:tc>
        <w:tc>
          <w:tcPr>
            <w:tcW w:w="0" w:type="dxa"/>
            <w:vAlign w:val="bottom"/>
          </w:tcPr>
          <w:p>
            <w:pPr>
              <w:spacing w:after="0"/>
              <w:rPr>
                <w:sz w:val="1"/>
                <w:szCs w:val="1"/>
                <w:color w:val="auto"/>
              </w:rPr>
            </w:pPr>
          </w:p>
        </w:tc>
      </w:tr>
      <w:tr>
        <w:trPr>
          <w:trHeight w:val="163"/>
        </w:trPr>
        <w:tc>
          <w:tcPr>
            <w:tcW w:w="448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w w:val="88"/>
              </w:rPr>
              <w:t>Income (Loss)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2"/>
        </w:trPr>
        <w:tc>
          <w:tcPr>
            <w:tcW w:w="4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2022</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90,853</w:t>
            </w:r>
          </w:p>
        </w:tc>
        <w:tc>
          <w:tcPr>
            <w:tcW w:w="900" w:type="dxa"/>
            <w:vAlign w:val="bottom"/>
            <w:gridSpan w:val="2"/>
            <w:shd w:val="clear" w:color="auto" w:fill="CCEEFF"/>
          </w:tcPr>
          <w:p>
            <w:pPr>
              <w:jc w:val="right"/>
              <w:ind w:right="655"/>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488,848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(376,629)</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68,097</w:t>
            </w:r>
          </w:p>
        </w:tc>
        <w:tc>
          <w:tcPr>
            <w:tcW w:w="0" w:type="dxa"/>
            <w:vAlign w:val="bottom"/>
          </w:tcPr>
          <w:p>
            <w:pPr>
              <w:spacing w:after="0"/>
              <w:rPr>
                <w:sz w:val="1"/>
                <w:szCs w:val="1"/>
                <w:color w:val="auto"/>
              </w:rPr>
            </w:pPr>
          </w:p>
        </w:tc>
      </w:tr>
      <w:tr>
        <w:trPr>
          <w:trHeight w:val="184"/>
        </w:trPr>
        <w:tc>
          <w:tcPr>
            <w:tcW w:w="448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2,840</w:t>
            </w:r>
          </w:p>
        </w:tc>
        <w:tc>
          <w:tcPr>
            <w:tcW w:w="0" w:type="dxa"/>
            <w:vAlign w:val="bottom"/>
          </w:tcPr>
          <w:p>
            <w:pPr>
              <w:spacing w:after="0"/>
              <w:rPr>
                <w:sz w:val="1"/>
                <w:szCs w:val="1"/>
                <w:color w:val="auto"/>
              </w:rPr>
            </w:pPr>
          </w:p>
        </w:tc>
      </w:tr>
      <w:tr>
        <w:trPr>
          <w:trHeight w:val="190"/>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480" w:type="dxa"/>
            <w:vAlign w:val="bottom"/>
          </w:tcPr>
          <w:p>
            <w:pPr>
              <w:ind w:left="120"/>
              <w:spacing w:after="0"/>
              <w:rPr>
                <w:sz w:val="20"/>
                <w:szCs w:val="20"/>
                <w:color w:val="auto"/>
              </w:rPr>
            </w:pPr>
            <w:r>
              <w:rPr>
                <w:rFonts w:ascii="Arial" w:cs="Arial" w:eastAsia="Arial" w:hAnsi="Arial"/>
                <w:sz w:val="14"/>
                <w:szCs w:val="14"/>
                <w:color w:val="auto"/>
              </w:rPr>
              <w:t>Preferred stock dividend</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(4,949)</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preferred stock issuance costs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4480" w:type="dxa"/>
            <w:vAlign w:val="bottom"/>
          </w:tcPr>
          <w:p>
            <w:pPr>
              <w:ind w:left="120"/>
              <w:spacing w:after="0"/>
              <w:rPr>
                <w:sz w:val="20"/>
                <w:szCs w:val="20"/>
                <w:color w:val="auto"/>
              </w:rPr>
            </w:pPr>
            <w:r>
              <w:rPr>
                <w:rFonts w:ascii="Arial" w:cs="Arial" w:eastAsia="Arial" w:hAnsi="Arial"/>
                <w:sz w:val="14"/>
                <w:szCs w:val="14"/>
                <w:color w:val="auto"/>
              </w:rPr>
              <w:t>Issuance of common stock on exercise of options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7"/>
              </w:rPr>
              <w:t>Shares withheld for taxes in connection with issuance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4"/>
        </w:trPr>
        <w:tc>
          <w:tcPr>
            <w:tcW w:w="4480" w:type="dxa"/>
            <w:vAlign w:val="bottom"/>
          </w:tcPr>
          <w:p>
            <w:pPr>
              <w:ind w:left="120"/>
              <w:spacing w:after="0"/>
              <w:rPr>
                <w:sz w:val="20"/>
                <w:szCs w:val="20"/>
                <w:color w:val="auto"/>
              </w:rPr>
            </w:pPr>
            <w:r>
              <w:rPr>
                <w:rFonts w:ascii="Arial" w:cs="Arial" w:eastAsia="Arial" w:hAnsi="Arial"/>
                <w:sz w:val="14"/>
                <w:szCs w:val="14"/>
                <w:color w:val="auto"/>
              </w:rPr>
              <w:t>Net income (loss) attributable to Synchronoss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(19,449)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(19,449)</w:t>
            </w:r>
          </w:p>
        </w:tc>
        <w:tc>
          <w:tcPr>
            <w:tcW w:w="0" w:type="dxa"/>
            <w:vAlign w:val="bottom"/>
          </w:tcPr>
          <w:p>
            <w:pPr>
              <w:spacing w:after="0"/>
              <w:rPr>
                <w:sz w:val="1"/>
                <w:szCs w:val="1"/>
                <w:color w:val="auto"/>
              </w:rPr>
            </w:pPr>
          </w:p>
        </w:tc>
      </w:tr>
      <w:tr>
        <w:trPr>
          <w:trHeight w:val="190"/>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Non-controlling interest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4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other comprehensive income (loss)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4,741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4,741</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June 30, 2023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93,522</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486,579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(39,390)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(396,050)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51,148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4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Six Months Ended June 30, 2022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480" w:type="dxa"/>
            <w:vAlign w:val="bottom"/>
          </w:tcPr>
          <w:p>
            <w:pPr>
              <w:spacing w:after="0"/>
              <w:rPr>
                <w:sz w:val="13"/>
                <w:szCs w:val="13"/>
                <w:color w:val="auto"/>
              </w:rPr>
            </w:pPr>
          </w:p>
        </w:tc>
        <w:tc>
          <w:tcPr>
            <w:tcW w:w="188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4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w w:val="92"/>
              </w:rPr>
              <w:t>Accumulated Other</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jc w:val="center"/>
              <w:ind w:right="53"/>
              <w:spacing w:after="0" w:line="111"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1"/>
        </w:trPr>
        <w:tc>
          <w:tcPr>
            <w:tcW w:w="4480" w:type="dxa"/>
            <w:vAlign w:val="bottom"/>
          </w:tcPr>
          <w:p>
            <w:pPr>
              <w:spacing w:after="0"/>
              <w:rPr>
                <w:sz w:val="10"/>
                <w:szCs w:val="10"/>
                <w:color w:val="auto"/>
              </w:rPr>
            </w:pPr>
          </w:p>
        </w:tc>
        <w:tc>
          <w:tcPr>
            <w:tcW w:w="1000" w:type="dxa"/>
            <w:vAlign w:val="bottom"/>
            <w:vMerge w:val="restart"/>
          </w:tcPr>
          <w:p>
            <w:pPr>
              <w:jc w:val="right"/>
              <w:ind w:right="253"/>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Par Value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20"/>
              <w:spacing w:after="0" w:line="122" w:lineRule="exact"/>
              <w:rPr>
                <w:sz w:val="20"/>
                <w:szCs w:val="20"/>
                <w:color w:val="auto"/>
              </w:rPr>
            </w:pPr>
            <w:r>
              <w:rPr>
                <w:rFonts w:ascii="Arial" w:cs="Arial" w:eastAsia="Arial" w:hAnsi="Arial"/>
                <w:sz w:val="12"/>
                <w:szCs w:val="12"/>
                <w:b w:val="1"/>
                <w:bCs w:val="1"/>
                <w:color w:val="auto"/>
                <w:w w:val="96"/>
              </w:rPr>
              <w:t>Additional Paid-In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73"/>
              <w:spacing w:after="0" w:line="122" w:lineRule="exact"/>
              <w:rPr>
                <w:sz w:val="20"/>
                <w:szCs w:val="20"/>
                <w:color w:val="auto"/>
              </w:rPr>
            </w:pPr>
            <w:r>
              <w:rPr>
                <w:rFonts w:ascii="Arial" w:cs="Arial" w:eastAsia="Arial" w:hAnsi="Arial"/>
                <w:sz w:val="12"/>
                <w:szCs w:val="12"/>
                <w:b w:val="1"/>
                <w:bCs w:val="1"/>
                <w:color w:val="auto"/>
                <w:w w:val="88"/>
              </w:rPr>
              <w:t>Comprehensive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ind w:right="113"/>
              <w:spacing w:after="0" w:line="122"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53"/>
              <w:spacing w:after="0" w:line="122"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63"/>
        </w:trPr>
        <w:tc>
          <w:tcPr>
            <w:tcW w:w="448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3"/>
              <w:spacing w:after="0"/>
              <w:rPr>
                <w:sz w:val="20"/>
                <w:szCs w:val="20"/>
                <w:color w:val="auto"/>
              </w:rPr>
            </w:pPr>
            <w:r>
              <w:rPr>
                <w:rFonts w:ascii="Arial" w:cs="Arial" w:eastAsia="Arial" w:hAnsi="Arial"/>
                <w:sz w:val="12"/>
                <w:szCs w:val="12"/>
                <w:b w:val="1"/>
                <w:bCs w:val="1"/>
                <w:color w:val="auto"/>
                <w:w w:val="88"/>
              </w:rPr>
              <w:t>Income (Loss)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92"/>
        </w:trPr>
        <w:tc>
          <w:tcPr>
            <w:tcW w:w="4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88,305</w:t>
            </w:r>
          </w:p>
        </w:tc>
        <w:tc>
          <w:tcPr>
            <w:tcW w:w="880" w:type="dxa"/>
            <w:vAlign w:val="bottom"/>
            <w:gridSpan w:val="2"/>
            <w:shd w:val="clear" w:color="auto" w:fill="CCEEFF"/>
          </w:tcPr>
          <w:p>
            <w:pPr>
              <w:jc w:val="right"/>
              <w:ind w:right="635"/>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492,512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480"/>
              <w:spacing w:after="0"/>
              <w:rPr>
                <w:sz w:val="20"/>
                <w:szCs w:val="20"/>
                <w:color w:val="auto"/>
              </w:rPr>
            </w:pPr>
            <w:r>
              <w:rPr>
                <w:rFonts w:ascii="Arial" w:cs="Arial" w:eastAsia="Arial" w:hAnsi="Arial"/>
                <w:sz w:val="14"/>
                <w:szCs w:val="14"/>
                <w:color w:val="auto"/>
                <w:w w:val="91"/>
              </w:rPr>
              <w:t>(32,985)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(368,713)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90,823</w:t>
            </w:r>
          </w:p>
        </w:tc>
        <w:tc>
          <w:tcPr>
            <w:tcW w:w="0" w:type="dxa"/>
            <w:vAlign w:val="bottom"/>
          </w:tcPr>
          <w:p>
            <w:pPr>
              <w:spacing w:after="0"/>
              <w:rPr>
                <w:sz w:val="1"/>
                <w:szCs w:val="1"/>
                <w:color w:val="auto"/>
              </w:rPr>
            </w:pPr>
          </w:p>
        </w:tc>
      </w:tr>
      <w:tr>
        <w:trPr>
          <w:trHeight w:val="184"/>
        </w:trPr>
        <w:tc>
          <w:tcPr>
            <w:tcW w:w="448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2,929</w:t>
            </w:r>
          </w:p>
        </w:tc>
        <w:tc>
          <w:tcPr>
            <w:tcW w:w="0" w:type="dxa"/>
            <w:vAlign w:val="bottom"/>
          </w:tcPr>
          <w:p>
            <w:pPr>
              <w:spacing w:after="0"/>
              <w:rPr>
                <w:sz w:val="1"/>
                <w:szCs w:val="1"/>
                <w:color w:val="auto"/>
              </w:rPr>
            </w:pPr>
          </w:p>
        </w:tc>
      </w:tr>
      <w:tr>
        <w:trPr>
          <w:trHeight w:val="190"/>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restricted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480" w:type="dxa"/>
            <w:vAlign w:val="bottom"/>
          </w:tcPr>
          <w:p>
            <w:pPr>
              <w:ind w:left="120"/>
              <w:spacing w:after="0"/>
              <w:rPr>
                <w:sz w:val="20"/>
                <w:szCs w:val="20"/>
                <w:color w:val="auto"/>
              </w:rPr>
            </w:pPr>
            <w:r>
              <w:rPr>
                <w:rFonts w:ascii="Arial" w:cs="Arial" w:eastAsia="Arial" w:hAnsi="Arial"/>
                <w:sz w:val="14"/>
                <w:szCs w:val="14"/>
                <w:color w:val="auto"/>
              </w:rPr>
              <w:t>Preferred stock dividend</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(4,814)</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preferred stock issuance costs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78"/>
        </w:trPr>
        <w:tc>
          <w:tcPr>
            <w:tcW w:w="4480" w:type="dxa"/>
            <w:vAlign w:val="bottom"/>
          </w:tcPr>
          <w:p>
            <w:pPr>
              <w:ind w:left="120"/>
              <w:spacing w:after="0"/>
              <w:rPr>
                <w:sz w:val="20"/>
                <w:szCs w:val="20"/>
                <w:color w:val="auto"/>
              </w:rPr>
            </w:pPr>
            <w:r>
              <w:rPr>
                <w:rFonts w:ascii="Arial" w:cs="Arial" w:eastAsia="Arial" w:hAnsi="Arial"/>
                <w:sz w:val="14"/>
                <w:szCs w:val="14"/>
                <w:color w:val="auto"/>
                <w:w w:val="97"/>
              </w:rPr>
              <w:t>Shares withheld for taxes in connection with issuance of restricted stock</w:t>
            </w:r>
          </w:p>
        </w:tc>
        <w:tc>
          <w:tcPr>
            <w:tcW w:w="100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(loss) attributable to Synchronoss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4,884</w:t>
            </w:r>
          </w:p>
        </w:tc>
        <w:tc>
          <w:tcPr>
            <w:tcW w:w="0" w:type="dxa"/>
            <w:vAlign w:val="bottom"/>
          </w:tcPr>
          <w:p>
            <w:pPr>
              <w:spacing w:after="0"/>
              <w:rPr>
                <w:sz w:val="1"/>
                <w:szCs w:val="1"/>
                <w:color w:val="auto"/>
              </w:rPr>
            </w:pPr>
          </w:p>
        </w:tc>
      </w:tr>
      <w:tr>
        <w:trPr>
          <w:trHeight w:val="184"/>
        </w:trPr>
        <w:tc>
          <w:tcPr>
            <w:tcW w:w="4480" w:type="dxa"/>
            <w:vAlign w:val="bottom"/>
          </w:tcPr>
          <w:p>
            <w:pPr>
              <w:ind w:left="120"/>
              <w:spacing w:after="0"/>
              <w:rPr>
                <w:sz w:val="20"/>
                <w:szCs w:val="20"/>
                <w:color w:val="auto"/>
              </w:rPr>
            </w:pPr>
            <w:r>
              <w:rPr>
                <w:rFonts w:ascii="Arial" w:cs="Arial" w:eastAsia="Arial" w:hAnsi="Arial"/>
                <w:sz w:val="14"/>
                <w:szCs w:val="14"/>
                <w:color w:val="auto"/>
              </w:rPr>
              <w:t>Non-controlling interest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other comprehensive income (loss)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w w:val="91"/>
              </w:rPr>
              <w:t>(15,236)</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(15,236)</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20"/>
                <w:szCs w:val="20"/>
                <w:color w:val="auto"/>
              </w:rPr>
            </w:pPr>
            <w:r>
              <w:rPr>
                <w:rFonts w:ascii="Arial" w:cs="Arial" w:eastAsia="Arial" w:hAnsi="Arial"/>
                <w:sz w:val="14"/>
                <w:szCs w:val="14"/>
                <w:b w:val="1"/>
                <w:bCs w:val="1"/>
                <w:color w:val="auto"/>
              </w:rPr>
              <w:t>Balance at June 30, 2022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89,045</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490,594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w w:val="91"/>
              </w:rPr>
              <w:t>(48,221)</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(364,019)</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78,363</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784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931"/>
        </w:trPr>
        <w:tc>
          <w:tcPr>
            <w:tcW w:w="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6620" w:type="dxa"/>
            <w:vAlign w:val="bottom"/>
          </w:tcPr>
          <w:p>
            <w:pPr>
              <w:jc w:val="center"/>
              <w:ind w:left="2094"/>
              <w:spacing w:after="0"/>
              <w:rPr>
                <w:sz w:val="20"/>
                <w:szCs w:val="20"/>
                <w:color w:val="auto"/>
              </w:rPr>
            </w:pPr>
            <w:r>
              <w:rPr>
                <w:rFonts w:ascii="Arial" w:cs="Arial" w:eastAsia="Arial" w:hAnsi="Arial"/>
                <w:sz w:val="17"/>
                <w:szCs w:val="17"/>
                <w:b w:val="1"/>
                <w:bCs w:val="1"/>
                <w:color w:val="auto"/>
              </w:rPr>
              <w:t>SYNCHRONOSS TECHNOLOGIES, INC.</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40" w:type="dxa"/>
            <w:vAlign w:val="bottom"/>
            <w:gridSpan w:val="2"/>
          </w:tcPr>
          <w:p>
            <w:pPr>
              <w:jc w:val="center"/>
              <w:ind w:left="1074"/>
              <w:spacing w:after="0"/>
              <w:rPr>
                <w:sz w:val="20"/>
                <w:szCs w:val="20"/>
                <w:color w:val="auto"/>
              </w:rPr>
            </w:pPr>
            <w:r>
              <w:rPr>
                <w:rFonts w:ascii="Arial" w:cs="Arial" w:eastAsia="Arial" w:hAnsi="Arial"/>
                <w:sz w:val="17"/>
                <w:szCs w:val="17"/>
                <w:b w:val="1"/>
                <w:bCs w:val="1"/>
                <w:color w:val="auto"/>
                <w:w w:val="99"/>
              </w:rPr>
              <w:t>CONDENSED CONSOLIDATED STATEMENTS OF CASH FLOWS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20" w:type="dxa"/>
            <w:vAlign w:val="bottom"/>
          </w:tcPr>
          <w:p>
            <w:pPr>
              <w:jc w:val="center"/>
              <w:ind w:left="2094"/>
              <w:spacing w:after="0"/>
              <w:rPr>
                <w:sz w:val="20"/>
                <w:szCs w:val="20"/>
                <w:color w:val="auto"/>
              </w:rPr>
            </w:pPr>
            <w:r>
              <w:rPr>
                <w:rFonts w:ascii="Arial" w:cs="Arial" w:eastAsia="Arial" w:hAnsi="Arial"/>
                <w:sz w:val="17"/>
                <w:szCs w:val="17"/>
                <w:b w:val="1"/>
                <w:bCs w:val="1"/>
                <w:color w:val="auto"/>
                <w:w w:val="92"/>
              </w:rPr>
              <w:t>(Unaudited) (In thousands)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78"/>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7"/>
                <w:szCs w:val="17"/>
                <w:b w:val="1"/>
                <w:bCs w:val="1"/>
                <w:color w:val="auto"/>
              </w:rPr>
              <w:t>Six Months Ended June 30,</w:t>
            </w:r>
          </w:p>
        </w:tc>
        <w:tc>
          <w:tcPr>
            <w:tcW w:w="640" w:type="dxa"/>
            <w:vAlign w:val="bottom"/>
            <w:tcBorders>
              <w:bottom w:val="single" w:sz="8" w:color="auto"/>
            </w:tcBorders>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2023</w:t>
            </w:r>
          </w:p>
        </w:tc>
        <w:tc>
          <w:tcPr>
            <w:tcW w:w="6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2022</w:t>
            </w:r>
          </w:p>
        </w:tc>
        <w:tc>
          <w:tcPr>
            <w:tcW w:w="64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7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0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7"/>
                <w:szCs w:val="17"/>
                <w:color w:val="auto"/>
              </w:rPr>
              <w:t>Net (loss) income from continuing operations</w:t>
            </w:r>
          </w:p>
        </w:tc>
        <w:tc>
          <w:tcPr>
            <w:tcW w:w="1020" w:type="dxa"/>
            <w:vAlign w:val="bottom"/>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(19,449)</w:t>
            </w:r>
          </w:p>
        </w:tc>
        <w:tc>
          <w:tcPr>
            <w:tcW w:w="1120" w:type="dxa"/>
            <w:vAlign w:val="bottom"/>
            <w:gridSpan w:val="2"/>
          </w:tcPr>
          <w:p>
            <w:pPr>
              <w:jc w:val="right"/>
              <w:ind w:right="9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4,884</w:t>
            </w:r>
          </w:p>
        </w:tc>
      </w:tr>
      <w:tr>
        <w:trPr>
          <w:trHeight w:val="187"/>
        </w:trPr>
        <w:tc>
          <w:tcPr>
            <w:tcW w:w="20" w:type="dxa"/>
            <w:vAlign w:val="bottom"/>
          </w:tcPr>
          <w:p>
            <w:pPr>
              <w:spacing w:after="0"/>
              <w:rPr>
                <w:sz w:val="16"/>
                <w:szCs w:val="16"/>
                <w:color w:val="auto"/>
              </w:rPr>
            </w:pPr>
          </w:p>
        </w:tc>
        <w:tc>
          <w:tcPr>
            <w:tcW w:w="7820" w:type="dxa"/>
            <w:vAlign w:val="bottom"/>
            <w:gridSpan w:val="2"/>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7"/>
                <w:szCs w:val="17"/>
                <w:color w:val="auto"/>
              </w:rPr>
              <w:t>Adjustments to reconcile net income (loss) to net cash used in operating activities: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7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16,293</w:t>
            </w:r>
          </w:p>
        </w:tc>
      </w:tr>
      <w:tr>
        <w:trPr>
          <w:trHeight w:val="220"/>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7"/>
                <w:szCs w:val="17"/>
                <w:color w:val="auto"/>
              </w:rPr>
              <w:t>Amortization of debt issuance costs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748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678</w:t>
            </w:r>
          </w:p>
        </w:tc>
      </w:tr>
      <w:tr>
        <w:trPr>
          <w:trHeight w:val="233"/>
        </w:trPr>
        <w:tc>
          <w:tcPr>
            <w:tcW w:w="20" w:type="dxa"/>
            <w:vAlign w:val="bottom"/>
          </w:tcPr>
          <w:p>
            <w:pPr>
              <w:spacing w:after="0"/>
              <w:rPr>
                <w:sz w:val="20"/>
                <w:szCs w:val="20"/>
                <w:color w:val="auto"/>
              </w:rPr>
            </w:pPr>
          </w:p>
        </w:tc>
        <w:tc>
          <w:tcPr>
            <w:tcW w:w="7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Loss on disposals of fixed assets</w:t>
            </w: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7"/>
                <w:szCs w:val="17"/>
                <w:color w:val="auto"/>
              </w:rPr>
              <w:t>Gain on sale of DXP Business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(2,622)</w:t>
            </w:r>
          </w:p>
        </w:tc>
      </w:tr>
      <w:tr>
        <w:trPr>
          <w:trHeight w:val="220"/>
        </w:trPr>
        <w:tc>
          <w:tcPr>
            <w:tcW w:w="20" w:type="dxa"/>
            <w:vAlign w:val="bottom"/>
          </w:tcPr>
          <w:p>
            <w:pPr>
              <w:spacing w:after="0"/>
              <w:rPr>
                <w:sz w:val="19"/>
                <w:szCs w:val="19"/>
                <w:color w:val="auto"/>
              </w:rPr>
            </w:pPr>
          </w:p>
        </w:tc>
        <w:tc>
          <w:tcPr>
            <w:tcW w:w="7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Amortization of bond discount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r>
      <w:tr>
        <w:trPr>
          <w:trHeight w:val="226"/>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7"/>
                <w:szCs w:val="17"/>
                <w:color w:val="auto"/>
              </w:rPr>
              <w:t>Deferred income taxes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6"/>
        </w:trPr>
        <w:tc>
          <w:tcPr>
            <w:tcW w:w="20" w:type="dxa"/>
            <w:vAlign w:val="bottom"/>
          </w:tcPr>
          <w:p>
            <w:pPr>
              <w:spacing w:after="0"/>
              <w:rPr>
                <w:sz w:val="19"/>
                <w:szCs w:val="19"/>
                <w:color w:val="auto"/>
              </w:rPr>
            </w:pPr>
          </w:p>
        </w:tc>
        <w:tc>
          <w:tcPr>
            <w:tcW w:w="7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2,891</w:t>
            </w:r>
          </w:p>
        </w:tc>
      </w:tr>
      <w:tr>
        <w:trPr>
          <w:trHeight w:val="220"/>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7"/>
                <w:szCs w:val="17"/>
                <w:color w:val="auto"/>
              </w:rPr>
              <w:t>Operating lease impairment, net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2,075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33"/>
        </w:trPr>
        <w:tc>
          <w:tcPr>
            <w:tcW w:w="20" w:type="dxa"/>
            <w:vAlign w:val="bottom"/>
          </w:tcPr>
          <w:p>
            <w:pPr>
              <w:spacing w:after="0"/>
              <w:rPr>
                <w:sz w:val="20"/>
                <w:szCs w:val="20"/>
                <w:color w:val="auto"/>
              </w:rPr>
            </w:pPr>
          </w:p>
        </w:tc>
        <w:tc>
          <w:tcPr>
            <w:tcW w:w="7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7"/>
                <w:szCs w:val="17"/>
                <w:color w:val="auto"/>
              </w:rPr>
              <w:t>Accounts receivable, net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7,328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3,661</w:t>
            </w:r>
          </w:p>
        </w:tc>
      </w:tr>
      <w:tr>
        <w:trPr>
          <w:trHeight w:val="220"/>
        </w:trPr>
        <w:tc>
          <w:tcPr>
            <w:tcW w:w="20" w:type="dxa"/>
            <w:vAlign w:val="bottom"/>
          </w:tcPr>
          <w:p>
            <w:pPr>
              <w:spacing w:after="0"/>
              <w:rPr>
                <w:sz w:val="19"/>
                <w:szCs w:val="19"/>
                <w:color w:val="auto"/>
              </w:rPr>
            </w:pPr>
          </w:p>
        </w:tc>
        <w:tc>
          <w:tcPr>
            <w:tcW w:w="7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r>
      <w:tr>
        <w:trPr>
          <w:trHeight w:val="226"/>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7"/>
                <w:szCs w:val="17"/>
                <w:color w:val="auto"/>
              </w:rPr>
              <w:t>Accounts payable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(2,478)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(5,237)</w:t>
            </w:r>
          </w:p>
        </w:tc>
      </w:tr>
      <w:tr>
        <w:trPr>
          <w:trHeight w:val="226"/>
        </w:trPr>
        <w:tc>
          <w:tcPr>
            <w:tcW w:w="20" w:type="dxa"/>
            <w:vAlign w:val="bottom"/>
          </w:tcPr>
          <w:p>
            <w:pPr>
              <w:spacing w:after="0"/>
              <w:rPr>
                <w:sz w:val="19"/>
                <w:szCs w:val="19"/>
                <w:color w:val="auto"/>
              </w:rPr>
            </w:pPr>
          </w:p>
        </w:tc>
        <w:tc>
          <w:tcPr>
            <w:tcW w:w="7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(2,650)</w:t>
            </w:r>
          </w:p>
        </w:tc>
      </w:tr>
      <w:tr>
        <w:trPr>
          <w:trHeight w:val="220"/>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7"/>
                <w:szCs w:val="17"/>
                <w:color w:val="auto"/>
              </w:rPr>
              <w:t>Deferred revenues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9,344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(3,015)</w:t>
            </w:r>
          </w:p>
        </w:tc>
      </w:tr>
      <w:tr>
        <w:trPr>
          <w:trHeight w:val="220"/>
        </w:trPr>
        <w:tc>
          <w:tcPr>
            <w:tcW w:w="20" w:type="dxa"/>
            <w:vAlign w:val="bottom"/>
          </w:tcPr>
          <w:p>
            <w:pPr>
              <w:spacing w:after="0"/>
              <w:rPr>
                <w:sz w:val="19"/>
                <w:szCs w:val="19"/>
                <w:color w:val="auto"/>
              </w:rPr>
            </w:pPr>
          </w:p>
        </w:tc>
        <w:tc>
          <w:tcPr>
            <w:tcW w:w="7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Other liabilities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(8,033)</w:t>
            </w:r>
          </w:p>
        </w:tc>
      </w:tr>
      <w:tr>
        <w:trPr>
          <w:trHeight w:val="222"/>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12,556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6,728</w:t>
            </w:r>
          </w:p>
        </w:tc>
      </w:tr>
      <w:tr>
        <w:trPr>
          <w:trHeight w:val="210"/>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7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Purchases of fixed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r>
      <w:tr>
        <w:trPr>
          <w:trHeight w:val="226"/>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7"/>
                <w:szCs w:val="17"/>
                <w:color w:val="auto"/>
              </w:rPr>
              <w:t>Additions to capitalized software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(9,350)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(10,695)</w:t>
            </w:r>
          </w:p>
        </w:tc>
      </w:tr>
      <w:tr>
        <w:trPr>
          <w:trHeight w:val="213"/>
        </w:trPr>
        <w:tc>
          <w:tcPr>
            <w:tcW w:w="20" w:type="dxa"/>
            <w:vAlign w:val="bottom"/>
          </w:tcPr>
          <w:p>
            <w:pPr>
              <w:spacing w:after="0"/>
              <w:rPr>
                <w:sz w:val="18"/>
                <w:szCs w:val="18"/>
                <w:color w:val="auto"/>
              </w:rPr>
            </w:pPr>
          </w:p>
        </w:tc>
        <w:tc>
          <w:tcPr>
            <w:tcW w:w="7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Proceeds from the sale of DXP Business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7,500</w:t>
            </w:r>
          </w:p>
        </w:tc>
      </w:tr>
      <w:tr>
        <w:trPr>
          <w:trHeight w:val="222"/>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(10,344)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(3,768)</w:t>
            </w:r>
          </w:p>
        </w:tc>
      </w:tr>
      <w:tr>
        <w:trPr>
          <w:trHeight w:val="210"/>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7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Taxes paid on withholding shares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26"/>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7"/>
                <w:szCs w:val="17"/>
                <w:color w:val="auto"/>
              </w:rPr>
              <w:t>Drawdown on A/R Facility</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20" w:type="dxa"/>
            <w:vAlign w:val="bottom"/>
          </w:tcPr>
          <w:p>
            <w:pPr>
              <w:spacing w:after="0"/>
              <w:rPr>
                <w:sz w:val="19"/>
                <w:szCs w:val="19"/>
                <w:color w:val="auto"/>
              </w:rPr>
            </w:pPr>
          </w:p>
        </w:tc>
        <w:tc>
          <w:tcPr>
            <w:tcW w:w="7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Repayment of A/R Facility</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7"/>
                <w:szCs w:val="17"/>
                <w:color w:val="auto"/>
              </w:rPr>
              <w:t>Series B Preferred dividend paid in cash</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(4,772)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(1,859)</w:t>
            </w:r>
          </w:p>
        </w:tc>
      </w:tr>
      <w:tr>
        <w:trPr>
          <w:trHeight w:val="220"/>
        </w:trPr>
        <w:tc>
          <w:tcPr>
            <w:tcW w:w="20" w:type="dxa"/>
            <w:vAlign w:val="bottom"/>
          </w:tcPr>
          <w:p>
            <w:pPr>
              <w:spacing w:after="0"/>
              <w:rPr>
                <w:sz w:val="19"/>
                <w:szCs w:val="19"/>
                <w:color w:val="auto"/>
              </w:rPr>
            </w:pPr>
          </w:p>
        </w:tc>
        <w:tc>
          <w:tcPr>
            <w:tcW w:w="7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Redemption of Series B Preferred stock</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(6,738)</w:t>
            </w:r>
          </w:p>
        </w:tc>
      </w:tr>
      <w:tr>
        <w:trPr>
          <w:trHeight w:val="213"/>
        </w:trPr>
        <w:tc>
          <w:tcPr>
            <w:tcW w:w="20" w:type="dxa"/>
            <w:vAlign w:val="bottom"/>
          </w:tcPr>
          <w:p>
            <w:pPr>
              <w:spacing w:after="0"/>
              <w:rPr>
                <w:sz w:val="18"/>
                <w:szCs w:val="18"/>
                <w:color w:val="auto"/>
              </w:rPr>
            </w:pPr>
          </w:p>
        </w:tc>
        <w:tc>
          <w:tcPr>
            <w:tcW w:w="782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cash used in financing activities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(4,904)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(8,517)</w:t>
            </w:r>
          </w:p>
        </w:tc>
      </w:tr>
      <w:tr>
        <w:trPr>
          <w:trHeight w:val="220"/>
        </w:trPr>
        <w:tc>
          <w:tcPr>
            <w:tcW w:w="20" w:type="dxa"/>
            <w:vAlign w:val="bottom"/>
          </w:tcPr>
          <w:p>
            <w:pPr>
              <w:spacing w:after="0"/>
              <w:rPr>
                <w:sz w:val="19"/>
                <w:szCs w:val="19"/>
                <w:color w:val="auto"/>
              </w:rPr>
            </w:pPr>
          </w:p>
        </w:tc>
        <w:tc>
          <w:tcPr>
            <w:tcW w:w="7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Effect of exchange rate changes on cash</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w:t>
            </w:r>
          </w:p>
        </w:tc>
      </w:tr>
      <w:tr>
        <w:trPr>
          <w:trHeight w:val="222"/>
        </w:trPr>
        <w:tc>
          <w:tcPr>
            <w:tcW w:w="20" w:type="dxa"/>
            <w:vAlign w:val="bottom"/>
          </w:tcPr>
          <w:p>
            <w:pPr>
              <w:spacing w:after="0"/>
              <w:rPr>
                <w:sz w:val="19"/>
                <w:szCs w:val="19"/>
                <w:color w:val="auto"/>
              </w:rPr>
            </w:pPr>
          </w:p>
        </w:tc>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Net decrease in cash and cash equivalents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(5,992)</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Cash and cash equivalents, beginning of period</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21,921</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31,504</w:t>
            </w:r>
          </w:p>
        </w:tc>
      </w:tr>
      <w:tr>
        <w:trPr>
          <w:trHeight w:val="213"/>
        </w:trPr>
        <w:tc>
          <w:tcPr>
            <w:tcW w:w="20" w:type="dxa"/>
            <w:vAlign w:val="bottom"/>
          </w:tcPr>
          <w:p>
            <w:pPr>
              <w:spacing w:after="0"/>
              <w:rPr>
                <w:sz w:val="18"/>
                <w:szCs w:val="18"/>
                <w:color w:val="auto"/>
              </w:rPr>
            </w:pPr>
          </w:p>
        </w:tc>
        <w:tc>
          <w:tcPr>
            <w:tcW w:w="7820" w:type="dxa"/>
            <w:vAlign w:val="bottom"/>
            <w:gridSpan w:val="2"/>
          </w:tcPr>
          <w:p>
            <w:pPr>
              <w:ind w:left="220"/>
              <w:spacing w:after="0"/>
              <w:rPr>
                <w:sz w:val="20"/>
                <w:szCs w:val="20"/>
                <w:color w:val="auto"/>
              </w:rPr>
            </w:pPr>
            <w:r>
              <w:rPr>
                <w:rFonts w:ascii="Arial" w:cs="Arial" w:eastAsia="Arial" w:hAnsi="Arial"/>
                <w:sz w:val="17"/>
                <w:szCs w:val="17"/>
                <w:color w:val="auto"/>
              </w:rPr>
              <w:t>Cash and cash equivalents, end of period</w:t>
            </w:r>
          </w:p>
        </w:tc>
        <w:tc>
          <w:tcPr>
            <w:tcW w:w="1020" w:type="dxa"/>
            <w:vAlign w:val="bottom"/>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19,329</w:t>
            </w:r>
          </w:p>
        </w:tc>
        <w:tc>
          <w:tcPr>
            <w:tcW w:w="1120" w:type="dxa"/>
            <w:vAlign w:val="bottom"/>
            <w:gridSpan w:val="2"/>
          </w:tcPr>
          <w:p>
            <w:pPr>
              <w:jc w:val="right"/>
              <w:ind w:right="9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25,512</w:t>
            </w: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Paid in kind dividends on Series B Preferred stock</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2,581</w:t>
            </w:r>
          </w:p>
        </w:tc>
      </w:tr>
    </w:tbl>
    <w:p>
      <w:pPr>
        <w:spacing w:after="0" w:line="26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44"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Synchronoss Technologies, Inc. (“Synchronoss” or the “Company”) is a leading provider of white label cloud, messaging, digital and network management solutions that enable our customers to keep subscribers, systems, networks and content in sync.</w:t>
      </w:r>
    </w:p>
    <w:p>
      <w:pPr>
        <w:spacing w:after="0" w:line="185"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The Synchronoss Personal CloudTM solution is designed to create an engaging and trusted customer experience through ongoing content management and engagement. The Synchronoss Personal CloudTM platform is a secure and highly scalable, white label platform that allows our customers’ subscribers to backup and protect, engage with, and manage their personal content and gives our operator customers the ability to increase average revenue per user (“ARPU”) and reduce churn. Our Synchronoss Personal CloudTM platform is specifically designed to support smartphones, tablets, desktops computers, laptops, wearables for health and wellness, cameras, TVs, security cameras, routers, as well as connected automobiles and homes.</w:t>
      </w:r>
    </w:p>
    <w:p>
      <w:pPr>
        <w:spacing w:after="0" w:line="189"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Synchronoss’ Messaging platform powers mobile messaging and mailboxes for hundreds of millions of telecommunication subscribers. Our Advanced Messaging platform is a powerful, secure, intelligent, white label messaging platform that expands capabilities for communications service provider and multi-service providers to offer P2P messaging via Rich Communications Services (“RCS”). Our Mobile Messaging Platform (“MMP”) is poised to provide a single standard ecosystem for onboarding and management to brands, advertisers and message wholesalers.</w:t>
      </w:r>
    </w:p>
    <w:p>
      <w:pPr>
        <w:spacing w:after="0" w:line="203"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Synchronoss NetworkX (formerly Digital) products provide operators with the tools and software to design their physical network, streamline their infrastructure purchases, and manage and optimize comprehensive network expenses for leading top tier carriers around the globe.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Basis of Presentation and Consolidation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244"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2022. The results of operations for the three and six months ended June 30, 2023 are not necessarily indicative of the results to be expected for the year ending December 31, 2023.</w:t>
      </w:r>
    </w:p>
    <w:p>
      <w:pPr>
        <w:spacing w:after="0" w:line="207"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w:t>
      </w:r>
    </w:p>
    <w:p>
      <w:pPr>
        <w:spacing w:after="0" w:line="189" w:lineRule="exact"/>
        <w:rPr>
          <w:sz w:val="20"/>
          <w:szCs w:val="20"/>
          <w:color w:val="auto"/>
        </w:rPr>
      </w:pPr>
    </w:p>
    <w:p>
      <w:pPr>
        <w:jc w:val="both"/>
        <w:ind w:firstLine="310"/>
        <w:spacing w:after="0" w:line="315" w:lineRule="auto"/>
        <w:rPr>
          <w:sz w:val="20"/>
          <w:szCs w:val="20"/>
          <w:color w:val="auto"/>
        </w:rPr>
      </w:pPr>
      <w:r>
        <w:rPr>
          <w:rFonts w:ascii="Arial" w:cs="Arial" w:eastAsia="Arial" w:hAnsi="Arial"/>
          <w:sz w:val="16"/>
          <w:szCs w:val="16"/>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Recent accounting pronouncements adopted</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1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Standard</w:t>
            </w:r>
          </w:p>
        </w:tc>
        <w:tc>
          <w:tcPr>
            <w:tcW w:w="6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color w:val="auto"/>
              </w:rPr>
              <w:t>Description</w:t>
            </w:r>
          </w:p>
        </w:tc>
        <w:tc>
          <w:tcPr>
            <w:tcW w:w="27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color w:val="auto"/>
              </w:rPr>
              <w:t>Effect on the financial statements</w:t>
            </w:r>
          </w:p>
        </w:tc>
      </w:tr>
      <w:tr>
        <w:trPr>
          <w:trHeight w:val="153"/>
        </w:trPr>
        <w:tc>
          <w:tcPr>
            <w:tcW w:w="1980" w:type="dxa"/>
            <w:vAlign w:val="bottom"/>
          </w:tcPr>
          <w:p>
            <w:pPr>
              <w:ind w:left="20"/>
              <w:spacing w:after="0" w:line="153" w:lineRule="exact"/>
              <w:rPr>
                <w:sz w:val="20"/>
                <w:szCs w:val="20"/>
                <w:color w:val="auto"/>
              </w:rPr>
            </w:pPr>
            <w:r>
              <w:rPr>
                <w:rFonts w:ascii="Arial" w:cs="Arial" w:eastAsia="Arial" w:hAnsi="Arial"/>
                <w:sz w:val="16"/>
                <w:szCs w:val="16"/>
                <w:color w:val="auto"/>
                <w:w w:val="99"/>
              </w:rPr>
              <w:t>Update 2022-04 - Liabilities</w:t>
            </w:r>
          </w:p>
        </w:tc>
        <w:tc>
          <w:tcPr>
            <w:tcW w:w="6260" w:type="dxa"/>
            <w:vAlign w:val="bottom"/>
          </w:tcPr>
          <w:p>
            <w:pPr>
              <w:ind w:left="80"/>
              <w:spacing w:after="0" w:line="153" w:lineRule="exact"/>
              <w:rPr>
                <w:sz w:val="20"/>
                <w:szCs w:val="20"/>
                <w:color w:val="auto"/>
              </w:rPr>
            </w:pPr>
            <w:r>
              <w:rPr>
                <w:rFonts w:ascii="Arial" w:cs="Arial" w:eastAsia="Arial" w:hAnsi="Arial"/>
                <w:sz w:val="16"/>
                <w:szCs w:val="16"/>
                <w:color w:val="auto"/>
                <w:w w:val="97"/>
              </w:rPr>
              <w:t>The amendments in this Update apply to all entities that use supplier finance programs in</w:t>
            </w:r>
          </w:p>
        </w:tc>
        <w:tc>
          <w:tcPr>
            <w:tcW w:w="2780" w:type="dxa"/>
            <w:vAlign w:val="bottom"/>
          </w:tcPr>
          <w:p>
            <w:pPr>
              <w:ind w:left="80"/>
              <w:spacing w:after="0" w:line="153" w:lineRule="exact"/>
              <w:rPr>
                <w:sz w:val="20"/>
                <w:szCs w:val="20"/>
                <w:color w:val="auto"/>
              </w:rPr>
            </w:pPr>
            <w:r>
              <w:rPr>
                <w:rFonts w:ascii="Arial" w:cs="Arial" w:eastAsia="Arial" w:hAnsi="Arial"/>
                <w:sz w:val="16"/>
                <w:szCs w:val="16"/>
                <w:color w:val="auto"/>
                <w:w w:val="90"/>
              </w:rPr>
              <w:t>The Company evaluated these changes a</w:t>
            </w:r>
          </w:p>
        </w:tc>
      </w:tr>
      <w:tr>
        <w:trPr>
          <w:trHeight w:val="155"/>
        </w:trPr>
        <w:tc>
          <w:tcPr>
            <w:tcW w:w="1980" w:type="dxa"/>
            <w:vAlign w:val="bottom"/>
          </w:tcPr>
          <w:p>
            <w:pPr>
              <w:ind w:left="20"/>
              <w:spacing w:after="0" w:line="155" w:lineRule="exact"/>
              <w:rPr>
                <w:sz w:val="20"/>
                <w:szCs w:val="20"/>
                <w:color w:val="auto"/>
              </w:rPr>
            </w:pPr>
            <w:r>
              <w:rPr>
                <w:rFonts w:ascii="Arial" w:cs="Arial" w:eastAsia="Arial" w:hAnsi="Arial"/>
                <w:sz w:val="16"/>
                <w:szCs w:val="16"/>
                <w:color w:val="auto"/>
                <w:w w:val="92"/>
              </w:rPr>
              <w:t>—Supplier Finance Programs</w:t>
            </w:r>
          </w:p>
        </w:tc>
        <w:tc>
          <w:tcPr>
            <w:tcW w:w="6260" w:type="dxa"/>
            <w:vAlign w:val="bottom"/>
          </w:tcPr>
          <w:p>
            <w:pPr>
              <w:ind w:left="80"/>
              <w:spacing w:after="0" w:line="155" w:lineRule="exact"/>
              <w:rPr>
                <w:sz w:val="20"/>
                <w:szCs w:val="20"/>
                <w:color w:val="auto"/>
              </w:rPr>
            </w:pPr>
            <w:r>
              <w:rPr>
                <w:rFonts w:ascii="Arial" w:cs="Arial" w:eastAsia="Arial" w:hAnsi="Arial"/>
                <w:sz w:val="16"/>
                <w:szCs w:val="16"/>
                <w:color w:val="auto"/>
                <w:w w:val="89"/>
              </w:rPr>
              <w:t>connection with the purchase of goods and services (herein described as buyer parties). Supplier</w:t>
            </w:r>
          </w:p>
        </w:tc>
        <w:tc>
          <w:tcPr>
            <w:tcW w:w="2780" w:type="dxa"/>
            <w:vAlign w:val="bottom"/>
          </w:tcPr>
          <w:p>
            <w:pPr>
              <w:ind w:left="80"/>
              <w:spacing w:after="0" w:line="155" w:lineRule="exact"/>
              <w:rPr>
                <w:sz w:val="20"/>
                <w:szCs w:val="20"/>
                <w:color w:val="auto"/>
              </w:rPr>
            </w:pPr>
            <w:r>
              <w:rPr>
                <w:rFonts w:ascii="Arial" w:cs="Arial" w:eastAsia="Arial" w:hAnsi="Arial"/>
                <w:sz w:val="16"/>
                <w:szCs w:val="16"/>
                <w:color w:val="auto"/>
                <w:w w:val="89"/>
              </w:rPr>
              <w:t>determined that they have no material imp</w:t>
            </w:r>
          </w:p>
        </w:tc>
      </w:tr>
      <w:tr>
        <w:trPr>
          <w:trHeight w:val="155"/>
        </w:trPr>
        <w:tc>
          <w:tcPr>
            <w:tcW w:w="1980" w:type="dxa"/>
            <w:vAlign w:val="bottom"/>
          </w:tcPr>
          <w:p>
            <w:pPr>
              <w:ind w:left="20"/>
              <w:spacing w:after="0" w:line="155" w:lineRule="exact"/>
              <w:rPr>
                <w:sz w:val="20"/>
                <w:szCs w:val="20"/>
                <w:color w:val="auto"/>
              </w:rPr>
            </w:pPr>
            <w:r>
              <w:rPr>
                <w:rFonts w:ascii="Arial" w:cs="Arial" w:eastAsia="Arial" w:hAnsi="Arial"/>
                <w:sz w:val="16"/>
                <w:szCs w:val="16"/>
                <w:color w:val="auto"/>
                <w:w w:val="92"/>
              </w:rPr>
              <w:t>(Subtopic 405-50). Disclosure</w:t>
            </w:r>
          </w:p>
        </w:tc>
        <w:tc>
          <w:tcPr>
            <w:tcW w:w="6260" w:type="dxa"/>
            <w:vAlign w:val="bottom"/>
          </w:tcPr>
          <w:p>
            <w:pPr>
              <w:ind w:left="80"/>
              <w:spacing w:after="0" w:line="155" w:lineRule="exact"/>
              <w:rPr>
                <w:sz w:val="20"/>
                <w:szCs w:val="20"/>
                <w:color w:val="auto"/>
              </w:rPr>
            </w:pPr>
            <w:r>
              <w:rPr>
                <w:rFonts w:ascii="Arial" w:cs="Arial" w:eastAsia="Arial" w:hAnsi="Arial"/>
                <w:sz w:val="16"/>
                <w:szCs w:val="16"/>
                <w:color w:val="auto"/>
                <w:w w:val="96"/>
              </w:rPr>
              <w:t>finance programs, which also may be referred to as reverse factoring, payables finance, or</w:t>
            </w:r>
          </w:p>
        </w:tc>
        <w:tc>
          <w:tcPr>
            <w:tcW w:w="2780" w:type="dxa"/>
            <w:vAlign w:val="bottom"/>
          </w:tcPr>
          <w:p>
            <w:pPr>
              <w:ind w:left="80"/>
              <w:spacing w:after="0" w:line="155" w:lineRule="exact"/>
              <w:rPr>
                <w:sz w:val="20"/>
                <w:szCs w:val="20"/>
                <w:color w:val="auto"/>
              </w:rPr>
            </w:pPr>
            <w:r>
              <w:rPr>
                <w:rFonts w:ascii="Arial" w:cs="Arial" w:eastAsia="Arial" w:hAnsi="Arial"/>
                <w:sz w:val="16"/>
                <w:szCs w:val="16"/>
                <w:color w:val="auto"/>
                <w:w w:val="92"/>
              </w:rPr>
              <w:t>on  the  Company’s  consolidated  financ</w:t>
            </w:r>
          </w:p>
        </w:tc>
      </w:tr>
      <w:tr>
        <w:trPr>
          <w:trHeight w:val="155"/>
        </w:trPr>
        <w:tc>
          <w:tcPr>
            <w:tcW w:w="1980" w:type="dxa"/>
            <w:vAlign w:val="bottom"/>
          </w:tcPr>
          <w:p>
            <w:pPr>
              <w:ind w:left="20"/>
              <w:spacing w:after="0" w:line="155" w:lineRule="exact"/>
              <w:rPr>
                <w:sz w:val="20"/>
                <w:szCs w:val="20"/>
                <w:color w:val="auto"/>
              </w:rPr>
            </w:pPr>
            <w:r>
              <w:rPr>
                <w:rFonts w:ascii="Arial" w:cs="Arial" w:eastAsia="Arial" w:hAnsi="Arial"/>
                <w:sz w:val="16"/>
                <w:szCs w:val="16"/>
                <w:color w:val="auto"/>
                <w:w w:val="95"/>
              </w:rPr>
              <w:t>of Supplier Finance Program</w:t>
            </w:r>
          </w:p>
        </w:tc>
        <w:tc>
          <w:tcPr>
            <w:tcW w:w="6260" w:type="dxa"/>
            <w:vAlign w:val="bottom"/>
          </w:tcPr>
          <w:p>
            <w:pPr>
              <w:ind w:left="80"/>
              <w:spacing w:after="0" w:line="155" w:lineRule="exact"/>
              <w:rPr>
                <w:sz w:val="20"/>
                <w:szCs w:val="20"/>
                <w:color w:val="auto"/>
              </w:rPr>
            </w:pPr>
            <w:r>
              <w:rPr>
                <w:rFonts w:ascii="Arial" w:cs="Arial" w:eastAsia="Arial" w:hAnsi="Arial"/>
                <w:sz w:val="16"/>
                <w:szCs w:val="16"/>
                <w:color w:val="auto"/>
                <w:w w:val="93"/>
              </w:rPr>
              <w:t>structured payables arrangements, allow a buyer to offer its suppliers the option for access to</w:t>
            </w:r>
          </w:p>
        </w:tc>
        <w:tc>
          <w:tcPr>
            <w:tcW w:w="2780" w:type="dxa"/>
            <w:vAlign w:val="bottom"/>
          </w:tcPr>
          <w:p>
            <w:pPr>
              <w:ind w:left="80"/>
              <w:spacing w:after="0" w:line="155" w:lineRule="exact"/>
              <w:rPr>
                <w:sz w:val="20"/>
                <w:szCs w:val="20"/>
                <w:color w:val="auto"/>
              </w:rPr>
            </w:pPr>
            <w:r>
              <w:rPr>
                <w:rFonts w:ascii="Arial" w:cs="Arial" w:eastAsia="Arial" w:hAnsi="Arial"/>
                <w:sz w:val="16"/>
                <w:szCs w:val="16"/>
                <w:color w:val="auto"/>
              </w:rPr>
              <w:t>position  or  results  of  operations  up</w:t>
            </w:r>
          </w:p>
        </w:tc>
      </w:tr>
      <w:tr>
        <w:trPr>
          <w:trHeight w:val="155"/>
        </w:trPr>
        <w:tc>
          <w:tcPr>
            <w:tcW w:w="1980" w:type="dxa"/>
            <w:vAlign w:val="bottom"/>
          </w:tcPr>
          <w:p>
            <w:pPr>
              <w:ind w:left="20"/>
              <w:spacing w:after="0" w:line="155" w:lineRule="exact"/>
              <w:rPr>
                <w:sz w:val="20"/>
                <w:szCs w:val="20"/>
                <w:color w:val="auto"/>
              </w:rPr>
            </w:pPr>
            <w:r>
              <w:rPr>
                <w:rFonts w:ascii="Arial" w:cs="Arial" w:eastAsia="Arial" w:hAnsi="Arial"/>
                <w:sz w:val="16"/>
                <w:szCs w:val="16"/>
                <w:color w:val="auto"/>
              </w:rPr>
              <w:t>Obligations</w:t>
            </w:r>
          </w:p>
        </w:tc>
        <w:tc>
          <w:tcPr>
            <w:tcW w:w="6260" w:type="dxa"/>
            <w:vAlign w:val="bottom"/>
          </w:tcPr>
          <w:p>
            <w:pPr>
              <w:ind w:left="80"/>
              <w:spacing w:after="0" w:line="155" w:lineRule="exact"/>
              <w:rPr>
                <w:sz w:val="20"/>
                <w:szCs w:val="20"/>
                <w:color w:val="auto"/>
              </w:rPr>
            </w:pPr>
            <w:r>
              <w:rPr>
                <w:rFonts w:ascii="Arial" w:cs="Arial" w:eastAsia="Arial" w:hAnsi="Arial"/>
                <w:sz w:val="16"/>
                <w:szCs w:val="16"/>
                <w:color w:val="auto"/>
                <w:w w:val="94"/>
              </w:rPr>
              <w:t>payment in advance of an invoice due date, which is paid by a third-party finance provider or</w:t>
            </w:r>
          </w:p>
        </w:tc>
        <w:tc>
          <w:tcPr>
            <w:tcW w:w="2780" w:type="dxa"/>
            <w:vAlign w:val="bottom"/>
          </w:tcPr>
          <w:p>
            <w:pPr>
              <w:ind w:left="80"/>
              <w:spacing w:after="0" w:line="155" w:lineRule="exact"/>
              <w:rPr>
                <w:sz w:val="20"/>
                <w:szCs w:val="20"/>
                <w:color w:val="auto"/>
              </w:rPr>
            </w:pPr>
            <w:r>
              <w:rPr>
                <w:rFonts w:ascii="Arial" w:cs="Arial" w:eastAsia="Arial" w:hAnsi="Arial"/>
                <w:sz w:val="16"/>
                <w:szCs w:val="16"/>
                <w:color w:val="auto"/>
              </w:rPr>
              <w:t>adoption.</w:t>
            </w:r>
          </w:p>
        </w:tc>
      </w:tr>
      <w:tr>
        <w:trPr>
          <w:trHeight w:val="155"/>
        </w:trPr>
        <w:tc>
          <w:tcPr>
            <w:tcW w:w="1980" w:type="dxa"/>
            <w:vAlign w:val="bottom"/>
          </w:tcPr>
          <w:p>
            <w:pPr>
              <w:spacing w:after="0"/>
              <w:rPr>
                <w:sz w:val="13"/>
                <w:szCs w:val="13"/>
                <w:color w:val="auto"/>
              </w:rPr>
            </w:pPr>
          </w:p>
        </w:tc>
        <w:tc>
          <w:tcPr>
            <w:tcW w:w="6260" w:type="dxa"/>
            <w:vAlign w:val="bottom"/>
          </w:tcPr>
          <w:p>
            <w:pPr>
              <w:ind w:left="80"/>
              <w:spacing w:after="0" w:line="155" w:lineRule="exact"/>
              <w:rPr>
                <w:sz w:val="20"/>
                <w:szCs w:val="20"/>
                <w:color w:val="auto"/>
              </w:rPr>
            </w:pPr>
            <w:r>
              <w:rPr>
                <w:rFonts w:ascii="Arial" w:cs="Arial" w:eastAsia="Arial" w:hAnsi="Arial"/>
                <w:sz w:val="16"/>
                <w:szCs w:val="16"/>
                <w:color w:val="auto"/>
              </w:rPr>
              <w:t>intermediary on the basis of invoices that the buyer has confirmed as valid.</w:t>
            </w:r>
          </w:p>
        </w:tc>
        <w:tc>
          <w:tcPr>
            <w:tcW w:w="2780" w:type="dxa"/>
            <w:vAlign w:val="bottom"/>
          </w:tcPr>
          <w:p>
            <w:pPr>
              <w:spacing w:after="0"/>
              <w:rPr>
                <w:sz w:val="13"/>
                <w:szCs w:val="13"/>
                <w:color w:val="auto"/>
              </w:rPr>
            </w:pPr>
          </w:p>
        </w:tc>
      </w:tr>
      <w:tr>
        <w:trPr>
          <w:trHeight w:val="155"/>
        </w:trPr>
        <w:tc>
          <w:tcPr>
            <w:tcW w:w="1980" w:type="dxa"/>
            <w:vAlign w:val="bottom"/>
          </w:tcPr>
          <w:p>
            <w:pPr>
              <w:spacing w:after="0"/>
              <w:rPr>
                <w:sz w:val="13"/>
                <w:szCs w:val="13"/>
                <w:color w:val="auto"/>
              </w:rPr>
            </w:pPr>
          </w:p>
        </w:tc>
        <w:tc>
          <w:tcPr>
            <w:tcW w:w="6260" w:type="dxa"/>
            <w:vAlign w:val="bottom"/>
          </w:tcPr>
          <w:p>
            <w:pPr>
              <w:ind w:left="80"/>
              <w:spacing w:after="0" w:line="155" w:lineRule="exact"/>
              <w:rPr>
                <w:sz w:val="20"/>
                <w:szCs w:val="20"/>
                <w:color w:val="auto"/>
              </w:rPr>
            </w:pPr>
            <w:r>
              <w:rPr>
                <w:rFonts w:ascii="Arial" w:cs="Arial" w:eastAsia="Arial" w:hAnsi="Arial"/>
                <w:sz w:val="16"/>
                <w:szCs w:val="16"/>
                <w:color w:val="auto"/>
                <w:w w:val="95"/>
              </w:rPr>
              <w:t>The amendments in this Update require that a buyer in a supplier finance program disclose</w:t>
            </w:r>
          </w:p>
        </w:tc>
        <w:tc>
          <w:tcPr>
            <w:tcW w:w="2780" w:type="dxa"/>
            <w:vAlign w:val="bottom"/>
          </w:tcPr>
          <w:p>
            <w:pPr>
              <w:spacing w:after="0"/>
              <w:rPr>
                <w:sz w:val="13"/>
                <w:szCs w:val="13"/>
                <w:color w:val="auto"/>
              </w:rPr>
            </w:pPr>
          </w:p>
        </w:tc>
      </w:tr>
      <w:tr>
        <w:trPr>
          <w:trHeight w:val="155"/>
        </w:trPr>
        <w:tc>
          <w:tcPr>
            <w:tcW w:w="1980" w:type="dxa"/>
            <w:vAlign w:val="bottom"/>
          </w:tcPr>
          <w:p>
            <w:pPr>
              <w:spacing w:after="0"/>
              <w:rPr>
                <w:sz w:val="13"/>
                <w:szCs w:val="13"/>
                <w:color w:val="auto"/>
              </w:rPr>
            </w:pPr>
          </w:p>
        </w:tc>
        <w:tc>
          <w:tcPr>
            <w:tcW w:w="6260" w:type="dxa"/>
            <w:vAlign w:val="bottom"/>
          </w:tcPr>
          <w:p>
            <w:pPr>
              <w:ind w:left="80"/>
              <w:spacing w:after="0" w:line="155" w:lineRule="exact"/>
              <w:rPr>
                <w:sz w:val="20"/>
                <w:szCs w:val="20"/>
                <w:color w:val="auto"/>
              </w:rPr>
            </w:pPr>
            <w:r>
              <w:rPr>
                <w:rFonts w:ascii="Arial" w:cs="Arial" w:eastAsia="Arial" w:hAnsi="Arial"/>
                <w:sz w:val="16"/>
                <w:szCs w:val="16"/>
                <w:color w:val="auto"/>
                <w:w w:val="90"/>
              </w:rPr>
              <w:t>sufficient information about the program to allow a user of financial statements to understand the</w:t>
            </w:r>
          </w:p>
        </w:tc>
        <w:tc>
          <w:tcPr>
            <w:tcW w:w="2780" w:type="dxa"/>
            <w:vAlign w:val="bottom"/>
          </w:tcPr>
          <w:p>
            <w:pPr>
              <w:spacing w:after="0"/>
              <w:rPr>
                <w:sz w:val="13"/>
                <w:szCs w:val="13"/>
                <w:color w:val="auto"/>
              </w:rPr>
            </w:pPr>
          </w:p>
        </w:tc>
      </w:tr>
      <w:tr>
        <w:trPr>
          <w:trHeight w:val="155"/>
        </w:trPr>
        <w:tc>
          <w:tcPr>
            <w:tcW w:w="1980" w:type="dxa"/>
            <w:vAlign w:val="bottom"/>
          </w:tcPr>
          <w:p>
            <w:pPr>
              <w:spacing w:after="0"/>
              <w:rPr>
                <w:sz w:val="13"/>
                <w:szCs w:val="13"/>
                <w:color w:val="auto"/>
              </w:rPr>
            </w:pPr>
          </w:p>
        </w:tc>
        <w:tc>
          <w:tcPr>
            <w:tcW w:w="6260" w:type="dxa"/>
            <w:vAlign w:val="bottom"/>
          </w:tcPr>
          <w:p>
            <w:pPr>
              <w:ind w:left="80"/>
              <w:spacing w:after="0" w:line="155" w:lineRule="exact"/>
              <w:rPr>
                <w:sz w:val="20"/>
                <w:szCs w:val="20"/>
                <w:color w:val="auto"/>
              </w:rPr>
            </w:pPr>
            <w:r>
              <w:rPr>
                <w:rFonts w:ascii="Arial" w:cs="Arial" w:eastAsia="Arial" w:hAnsi="Arial"/>
                <w:sz w:val="16"/>
                <w:szCs w:val="16"/>
                <w:color w:val="auto"/>
                <w:w w:val="98"/>
              </w:rPr>
              <w:t>program’s nature, activity during the period, changes from period to period, and potential</w:t>
            </w:r>
          </w:p>
        </w:tc>
        <w:tc>
          <w:tcPr>
            <w:tcW w:w="2780" w:type="dxa"/>
            <w:vAlign w:val="bottom"/>
          </w:tcPr>
          <w:p>
            <w:pPr>
              <w:spacing w:after="0"/>
              <w:rPr>
                <w:sz w:val="13"/>
                <w:szCs w:val="13"/>
                <w:color w:val="auto"/>
              </w:rPr>
            </w:pPr>
          </w:p>
        </w:tc>
      </w:tr>
      <w:tr>
        <w:trPr>
          <w:trHeight w:val="155"/>
        </w:trPr>
        <w:tc>
          <w:tcPr>
            <w:tcW w:w="1980" w:type="dxa"/>
            <w:vAlign w:val="bottom"/>
          </w:tcPr>
          <w:p>
            <w:pPr>
              <w:spacing w:after="0"/>
              <w:rPr>
                <w:sz w:val="13"/>
                <w:szCs w:val="13"/>
                <w:color w:val="auto"/>
              </w:rPr>
            </w:pPr>
          </w:p>
        </w:tc>
        <w:tc>
          <w:tcPr>
            <w:tcW w:w="6260" w:type="dxa"/>
            <w:vAlign w:val="bottom"/>
          </w:tcPr>
          <w:p>
            <w:pPr>
              <w:ind w:left="80"/>
              <w:spacing w:after="0" w:line="155" w:lineRule="exact"/>
              <w:rPr>
                <w:sz w:val="20"/>
                <w:szCs w:val="20"/>
                <w:color w:val="auto"/>
              </w:rPr>
            </w:pPr>
            <w:r>
              <w:rPr>
                <w:rFonts w:ascii="Arial" w:cs="Arial" w:eastAsia="Arial" w:hAnsi="Arial"/>
                <w:sz w:val="16"/>
                <w:szCs w:val="16"/>
                <w:color w:val="auto"/>
                <w:w w:val="95"/>
              </w:rPr>
              <w:t>magnitude. To achieve that objective, the buyer should disclose qualitative and quantitative</w:t>
            </w:r>
          </w:p>
        </w:tc>
        <w:tc>
          <w:tcPr>
            <w:tcW w:w="2780" w:type="dxa"/>
            <w:vAlign w:val="bottom"/>
          </w:tcPr>
          <w:p>
            <w:pPr>
              <w:spacing w:after="0"/>
              <w:rPr>
                <w:sz w:val="13"/>
                <w:szCs w:val="13"/>
                <w:color w:val="auto"/>
              </w:rPr>
            </w:pPr>
          </w:p>
        </w:tc>
      </w:tr>
      <w:tr>
        <w:trPr>
          <w:trHeight w:val="196"/>
        </w:trPr>
        <w:tc>
          <w:tcPr>
            <w:tcW w:w="198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Arial" w:cs="Arial" w:eastAsia="Arial" w:hAnsi="Arial"/>
                <w:sz w:val="16"/>
                <w:szCs w:val="16"/>
                <w:color w:val="auto"/>
              </w:rPr>
              <w:t>information about its supplier finance programs.</w:t>
            </w:r>
          </w:p>
        </w:tc>
        <w:tc>
          <w:tcPr>
            <w:tcW w:w="2780" w:type="dxa"/>
            <w:vAlign w:val="bottom"/>
          </w:tcPr>
          <w:p>
            <w:pPr>
              <w:spacing w:after="0"/>
              <w:rPr>
                <w:sz w:val="17"/>
                <w:szCs w:val="17"/>
                <w:color w:val="auto"/>
              </w:rPr>
            </w:pPr>
          </w:p>
        </w:tc>
      </w:tr>
      <w:tr>
        <w:trPr>
          <w:trHeight w:val="166"/>
        </w:trPr>
        <w:tc>
          <w:tcPr>
            <w:tcW w:w="1980" w:type="dxa"/>
            <w:vAlign w:val="bottom"/>
          </w:tcPr>
          <w:p>
            <w:pPr>
              <w:ind w:left="20"/>
              <w:spacing w:after="0" w:line="166" w:lineRule="exact"/>
              <w:rPr>
                <w:sz w:val="20"/>
                <w:szCs w:val="20"/>
                <w:color w:val="auto"/>
              </w:rPr>
            </w:pPr>
            <w:r>
              <w:rPr>
                <w:rFonts w:ascii="Arial" w:cs="Arial" w:eastAsia="Arial" w:hAnsi="Arial"/>
                <w:sz w:val="16"/>
                <w:szCs w:val="16"/>
                <w:color w:val="auto"/>
                <w:w w:val="96"/>
              </w:rPr>
              <w:t>Date of adoption: January 1,</w:t>
            </w:r>
          </w:p>
        </w:tc>
        <w:tc>
          <w:tcPr>
            <w:tcW w:w="626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199"/>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2023</w:t>
            </w:r>
          </w:p>
        </w:tc>
        <w:tc>
          <w:tcPr>
            <w:tcW w:w="62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Digital Experience Platform and Activation Solutions Sale</w:t>
      </w:r>
    </w:p>
    <w:p>
      <w:pPr>
        <w:spacing w:after="0" w:line="231" w:lineRule="exact"/>
        <w:rPr>
          <w:sz w:val="20"/>
          <w:szCs w:val="20"/>
          <w:color w:val="auto"/>
        </w:rPr>
      </w:pPr>
    </w:p>
    <w:p>
      <w:pPr>
        <w:jc w:val="both"/>
        <w:ind w:right="100" w:firstLine="310"/>
        <w:spacing w:after="0" w:line="273" w:lineRule="auto"/>
        <w:rPr>
          <w:sz w:val="20"/>
          <w:szCs w:val="20"/>
          <w:color w:val="auto"/>
        </w:rPr>
      </w:pPr>
      <w:r>
        <w:rPr>
          <w:rFonts w:ascii="Arial" w:cs="Arial" w:eastAsia="Arial" w:hAnsi="Arial"/>
          <w:sz w:val="16"/>
          <w:szCs w:val="16"/>
          <w:color w:val="auto"/>
        </w:rPr>
        <w:t>On March 7, 2022, Synchronoss Technologies, Inc. and iQmetrix Global Ltd. (“iQmetrix ”), entered into an Asset Purchase Agreement, pursuant to which Synchronoss has agreed to sell its Digital Experience Platform and activation solutions (the “DXP Business”) to iQmetrix for up to a total purchase price of $14 million. The purchase price is payable as follows: (i) $7.5 million on the closing date of the Transaction, (ii) $0.5 million deposited into an escrow account on the Closing Date, (iii) $1 million paid twelve (12) months from the Closing Date, and (iv) $5 million that may be payable as an earn-out.</w:t>
      </w:r>
    </w:p>
    <w:p>
      <w:pPr>
        <w:spacing w:after="0" w:line="197" w:lineRule="exact"/>
        <w:rPr>
          <w:sz w:val="20"/>
          <w:szCs w:val="20"/>
          <w:color w:val="auto"/>
        </w:rPr>
      </w:pPr>
    </w:p>
    <w:p>
      <w:pPr>
        <w:jc w:val="both"/>
        <w:ind w:right="100" w:firstLine="310"/>
        <w:spacing w:after="0" w:line="252" w:lineRule="auto"/>
        <w:rPr>
          <w:sz w:val="20"/>
          <w:szCs w:val="20"/>
          <w:color w:val="auto"/>
        </w:rPr>
      </w:pPr>
      <w:r>
        <w:rPr>
          <w:rFonts w:ascii="Arial" w:cs="Arial" w:eastAsia="Arial" w:hAnsi="Arial"/>
          <w:sz w:val="17"/>
          <w:szCs w:val="17"/>
          <w:color w:val="auto"/>
        </w:rPr>
        <w:t>This transaction closed on May 11, 2022. The Company received the $7.5 million cash payment on the transaction close date. The Company received the $0.5 million payment in escrow during the third quarter of 2022 in accordance with the terms of the Asset Purchase Agreement. The remaining $1 million escrow payment is reflected net in other current assets. This consideration is not contingent on any further actions.</w:t>
      </w:r>
    </w:p>
    <w:p>
      <w:pPr>
        <w:spacing w:after="0" w:line="211" w:lineRule="exact"/>
        <w:rPr>
          <w:sz w:val="20"/>
          <w:szCs w:val="20"/>
          <w:color w:val="auto"/>
        </w:rPr>
      </w:pPr>
    </w:p>
    <w:p>
      <w:pPr>
        <w:jc w:val="both"/>
        <w:ind w:right="100" w:firstLine="310"/>
        <w:spacing w:after="0" w:line="253" w:lineRule="auto"/>
        <w:rPr>
          <w:sz w:val="20"/>
          <w:szCs w:val="20"/>
          <w:color w:val="auto"/>
        </w:rPr>
      </w:pPr>
      <w:r>
        <w:rPr>
          <w:rFonts w:ascii="Arial" w:cs="Arial" w:eastAsia="Arial" w:hAnsi="Arial"/>
          <w:sz w:val="17"/>
          <w:szCs w:val="17"/>
          <w:color w:val="auto"/>
        </w:rPr>
        <w:t>The Company determined the fair value of the earn-out provision was $3.6 million of which $3.0 million was recorded as an other current asset and the remaining portion was recorded as non-current other asset. In the fourth quarter of fiscal 2022, iQmetrix and the Company agreed that the required performance conditions were not met. This resulted in a write-off of the asset recorded within the Selling, general and administrative expenses line item on the income statement.</w:t>
      </w:r>
    </w:p>
    <w:p>
      <w:pPr>
        <w:spacing w:after="0" w:line="197" w:lineRule="exact"/>
        <w:rPr>
          <w:sz w:val="20"/>
          <w:szCs w:val="20"/>
          <w:color w:val="auto"/>
        </w:rPr>
      </w:pPr>
    </w:p>
    <w:p>
      <w:pPr>
        <w:jc w:val="both"/>
        <w:ind w:right="100" w:firstLine="310"/>
        <w:spacing w:after="0" w:line="249" w:lineRule="auto"/>
        <w:rPr>
          <w:sz w:val="20"/>
          <w:szCs w:val="20"/>
          <w:color w:val="auto"/>
        </w:rPr>
      </w:pPr>
      <w:r>
        <w:rPr>
          <w:rFonts w:ascii="Arial" w:cs="Arial" w:eastAsia="Arial" w:hAnsi="Arial"/>
          <w:sz w:val="17"/>
          <w:szCs w:val="17"/>
          <w:color w:val="auto"/>
        </w:rPr>
        <w:t>The book value of the divested intangible assets associated with the DXP Business was $2.3 million. For the goodwill allocation, the fair value of the core reporting unit was estimated using a combination of the income approach, which incorporates the use of the discounted cash flow method, and the market approach, which incorporates the use of earnings and revenue multiples based on market data. Based on the fair value of the core reporting unit and the aggregate consideration received in the transaction, the Company determined the attributable fair value of goodwill to the DXP Business was $7.6 million. The transaction resulted in a $2.5 million gain for the year ended December 31, 2022.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Securitization Facility</w:t>
      </w:r>
    </w:p>
    <w:p>
      <w:pPr>
        <w:spacing w:after="0" w:line="231" w:lineRule="exact"/>
        <w:rPr>
          <w:sz w:val="20"/>
          <w:szCs w:val="20"/>
          <w:color w:val="auto"/>
        </w:rPr>
      </w:pPr>
    </w:p>
    <w:p>
      <w:pPr>
        <w:jc w:val="both"/>
        <w:ind w:right="100" w:firstLine="310"/>
        <w:spacing w:after="0" w:line="283" w:lineRule="auto"/>
        <w:rPr>
          <w:sz w:val="20"/>
          <w:szCs w:val="20"/>
          <w:color w:val="auto"/>
        </w:rPr>
      </w:pPr>
      <w:r>
        <w:rPr>
          <w:rFonts w:ascii="Arial" w:cs="Arial" w:eastAsia="Arial" w:hAnsi="Arial"/>
          <w:sz w:val="17"/>
          <w:szCs w:val="17"/>
          <w:color w:val="auto"/>
        </w:rPr>
        <w:t>On June 23, 2022 (the “Closing Date”), the Company and certain of its subsidiaries (together with the Company, the “Company Group”) entered into a $15 million accounts receivable securitization facility (the “A/R Facility”) with Norddeutsche Landesbank Girozentrale.</w:t>
      </w:r>
    </w:p>
    <w:p>
      <w:pPr>
        <w:spacing w:after="0" w:line="185" w:lineRule="exact"/>
        <w:rPr>
          <w:sz w:val="20"/>
          <w:szCs w:val="20"/>
          <w:color w:val="auto"/>
        </w:rPr>
      </w:pPr>
    </w:p>
    <w:p>
      <w:pPr>
        <w:jc w:val="both"/>
        <w:ind w:right="100" w:firstLine="310"/>
        <w:spacing w:after="0" w:line="268" w:lineRule="auto"/>
        <w:rPr>
          <w:sz w:val="20"/>
          <w:szCs w:val="20"/>
          <w:color w:val="auto"/>
        </w:rPr>
      </w:pPr>
      <w:r>
        <w:rPr>
          <w:rFonts w:ascii="Arial" w:cs="Arial" w:eastAsia="Arial" w:hAnsi="Arial"/>
          <w:sz w:val="17"/>
          <w:szCs w:val="17"/>
          <w:color w:val="auto"/>
        </w:rPr>
        <w:t>The A/R Facility transaction includes (i) Receivables Purchase Agreements (the “Receivables Purchase Agreements”) dated as of the Closing Date, among the Company, as initial servicer, SN Technologies, LLC, a wholly owned special purpose subsidiary of the Company (“SN Technologies”), as seller, Norddeutsche Landesbank Girozentrale, as administrative agent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“Administrative Agent”), and the purchasers party thereto, the group agents party thereto and the originators party thereto; (ii) Purchase and Sale Agreements (the “Purchase and Sale Agreements”) dated as of the Closing Date, between the Company Group, as originators (the “Originators”), and SN Technologies, as purchaser; (iii) the Administration Agreement (the “Administration Agreement”) dated as of the Closing Date, between the Company, as servicer, and Finacity Corporation, as administrator; and (iv) the Performance Guaranty (the “Performance Guaranty”) dated as of the Closing Date made by the Company in favor of the Administrative Agent.</w:t>
      </w:r>
    </w:p>
    <w:p>
      <w:pPr>
        <w:spacing w:after="0" w:line="203"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Pursuant to the Purchase and Sale Agreements, the Originators will sell existing and future accounts receivable [and related assets] (the “Receivables”) to SN Technologies in exchange for cash and/or subordinated notes. The Originators and SN Technologies intend the transactions contemplated by the Purchase and Sale Agreements to be true sales to SN Technologies by the respective Originators. Pursuant to the Receivables Purchase Agreement, SN Technologies will in turn grant an undivided security interest to the Administrative Agent in the Receivables in exchange for a credit facility permitting borrowings of up to $15 million outstanding from time to time. Yield is payable to the Administrative Agent under the Receivables Purchase Agreements at a variable rate based on the Norddeutsche Landesbank Girozentrale’s Hanover funding rate plus a 2.35% margin. The Company pays a commitment fee that shall equal 0.85% per annum on the average daily unused outstanding capital. Pursuant to the Performance Guaranty, the Company guarantees the performance of the Originators of their obligations under the Purchase and Sale Agreements.</w:t>
      </w:r>
    </w:p>
    <w:p>
      <w:pPr>
        <w:spacing w:after="0" w:line="205"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The Company has not agreed to guarantee any obligations of SN Technologies or the collection of any of the receivables and will not be responsible for any obligations to the extent the failure to perform such obligations by the Company or any Originators results from receivables being uncollectible on account of the insolvency, bankruptcy or lack of creditworthiness or other financial inability to pay of the related obligor.</w:t>
      </w:r>
    </w:p>
    <w:p>
      <w:pPr>
        <w:spacing w:after="0" w:line="19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Unless earlier terminated or subsequently extended pursuant to the terms of the Receivables Purchase Agreement, the A/R Facility will expire on June 23, 2025.</w:t>
      </w:r>
    </w:p>
    <w:p>
      <w:pPr>
        <w:spacing w:after="0" w:line="185"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The foregoing description of the A/R Facility and the respective transactions contemplated thereby does not purport to be complete and is qualified in its entirety by reference to the full text of the Receivables Purchase Agreements, Purchase and Sale Agreements, Administration Agreement and Performance Guaranty, copies of which are filed as Exhibits 10.1, 10.2, 10.3 and 10.4, respectively, on Form 8-K filed with Securities and Exchange Commission on June 23, 2022.</w:t>
      </w:r>
    </w:p>
    <w:p>
      <w:pPr>
        <w:spacing w:after="0" w:line="203" w:lineRule="exact"/>
        <w:rPr>
          <w:sz w:val="20"/>
          <w:szCs w:val="20"/>
          <w:color w:val="auto"/>
        </w:rPr>
      </w:pPr>
    </w:p>
    <w:p>
      <w:pPr>
        <w:jc w:val="both"/>
        <w:ind w:firstLine="310"/>
        <w:spacing w:after="0" w:line="292" w:lineRule="auto"/>
        <w:rPr>
          <w:sz w:val="20"/>
          <w:szCs w:val="20"/>
          <w:color w:val="auto"/>
        </w:rPr>
      </w:pPr>
      <w:r>
        <w:rPr>
          <w:rFonts w:ascii="Arial" w:cs="Arial" w:eastAsia="Arial" w:hAnsi="Arial"/>
          <w:sz w:val="16"/>
          <w:szCs w:val="16"/>
          <w:color w:val="auto"/>
        </w:rPr>
        <w:t>The Company drew $3.5 million on the A/R Facility in April of 2023, and had repaid the balance in full in May of 2023. The interest associated with the draw and repayment was not material for the period. The draw down and subsequent repayment of the A/R Facility represent financing activity, as reported in the Statement of Cash Flows. As of June 30, 2023 approximately $12 million of the Company’s receivables are held by SN Technologies.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drew $2.5 million on the A/R Facility in July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3. Revenue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44"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TMT sector.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7"/>
                <w:szCs w:val="17"/>
                <w:b w:val="1"/>
                <w:bCs w:val="1"/>
                <w:color w:val="auto"/>
                <w:w w:val="95"/>
              </w:rPr>
              <w:t>Three Months Ended June 30, 2023</w:t>
            </w: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12"/>
          </w:tcPr>
          <w:p>
            <w:pPr>
              <w:jc w:val="right"/>
              <w:ind w:right="80"/>
              <w:spacing w:after="0"/>
              <w:rPr>
                <w:sz w:val="20"/>
                <w:szCs w:val="20"/>
                <w:color w:val="auto"/>
              </w:rPr>
            </w:pPr>
            <w:r>
              <w:rPr>
                <w:rFonts w:ascii="Arial" w:cs="Arial" w:eastAsia="Arial" w:hAnsi="Arial"/>
                <w:sz w:val="17"/>
                <w:szCs w:val="17"/>
                <w:b w:val="1"/>
                <w:bCs w:val="1"/>
                <w:color w:val="auto"/>
                <w:w w:val="95"/>
              </w:rPr>
              <w:t>Three Months Ended June 30, 2022</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161"/>
        </w:trPr>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jc w:val="right"/>
              <w:ind w:right="214"/>
              <w:spacing w:after="0" w:line="161" w:lineRule="exact"/>
              <w:rPr>
                <w:sz w:val="20"/>
                <w:szCs w:val="20"/>
                <w:color w:val="auto"/>
              </w:rPr>
            </w:pPr>
            <w:r>
              <w:rPr>
                <w:rFonts w:ascii="Arial" w:cs="Arial" w:eastAsia="Arial" w:hAnsi="Arial"/>
                <w:sz w:val="16"/>
                <w:szCs w:val="16"/>
                <w:b w:val="1"/>
                <w:bCs w:val="1"/>
                <w:color w:val="auto"/>
              </w:rPr>
              <w:t>Cloud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60"/>
              <w:spacing w:after="0" w:line="161" w:lineRule="exact"/>
              <w:rPr>
                <w:sz w:val="20"/>
                <w:szCs w:val="20"/>
                <w:color w:val="auto"/>
              </w:rPr>
            </w:pPr>
            <w:r>
              <w:rPr>
                <w:rFonts w:ascii="Arial" w:cs="Arial" w:eastAsia="Arial" w:hAnsi="Arial"/>
                <w:sz w:val="16"/>
                <w:szCs w:val="16"/>
                <w:b w:val="1"/>
                <w:bCs w:val="1"/>
                <w:color w:val="auto"/>
                <w:w w:val="92"/>
              </w:rPr>
              <w:t>NetworkX</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40"/>
              <w:spacing w:after="0" w:line="161" w:lineRule="exact"/>
              <w:rPr>
                <w:sz w:val="20"/>
                <w:szCs w:val="20"/>
                <w:color w:val="auto"/>
              </w:rPr>
            </w:pPr>
            <w:r>
              <w:rPr>
                <w:rFonts w:ascii="Arial" w:cs="Arial" w:eastAsia="Arial" w:hAnsi="Arial"/>
                <w:sz w:val="16"/>
                <w:szCs w:val="16"/>
                <w:b w:val="1"/>
                <w:bCs w:val="1"/>
                <w:color w:val="auto"/>
                <w:w w:val="82"/>
              </w:rPr>
              <w:t>Messaging</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2"/>
          </w:tcPr>
          <w:p>
            <w:pPr>
              <w:jc w:val="right"/>
              <w:ind w:right="320"/>
              <w:spacing w:after="0" w:line="161" w:lineRule="exact"/>
              <w:rPr>
                <w:sz w:val="20"/>
                <w:szCs w:val="20"/>
                <w:color w:val="auto"/>
              </w:rPr>
            </w:pPr>
            <w:r>
              <w:rPr>
                <w:rFonts w:ascii="Arial" w:cs="Arial" w:eastAsia="Arial" w:hAnsi="Arial"/>
                <w:sz w:val="16"/>
                <w:szCs w:val="16"/>
                <w:b w:val="1"/>
                <w:bCs w:val="1"/>
                <w:color w:val="auto"/>
                <w:w w:val="83"/>
              </w:rPr>
              <w:t>Total</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jc w:val="right"/>
              <w:ind w:right="194"/>
              <w:spacing w:after="0" w:line="161" w:lineRule="exact"/>
              <w:rPr>
                <w:sz w:val="20"/>
                <w:szCs w:val="20"/>
                <w:color w:val="auto"/>
              </w:rPr>
            </w:pPr>
            <w:r>
              <w:rPr>
                <w:rFonts w:ascii="Arial" w:cs="Arial" w:eastAsia="Arial" w:hAnsi="Arial"/>
                <w:sz w:val="16"/>
                <w:szCs w:val="16"/>
                <w:b w:val="1"/>
                <w:bCs w:val="1"/>
                <w:color w:val="auto"/>
                <w:w w:val="88"/>
              </w:rPr>
              <w:t>Cloud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right"/>
              <w:ind w:right="160"/>
              <w:spacing w:after="0" w:line="161" w:lineRule="exact"/>
              <w:rPr>
                <w:sz w:val="20"/>
                <w:szCs w:val="20"/>
                <w:color w:val="auto"/>
              </w:rPr>
            </w:pPr>
            <w:r>
              <w:rPr>
                <w:rFonts w:ascii="Arial" w:cs="Arial" w:eastAsia="Arial" w:hAnsi="Arial"/>
                <w:sz w:val="16"/>
                <w:szCs w:val="16"/>
                <w:b w:val="1"/>
                <w:bCs w:val="1"/>
                <w:color w:val="auto"/>
                <w:w w:val="94"/>
              </w:rPr>
              <w:t>NetworkX</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40"/>
              <w:spacing w:after="0" w:line="161" w:lineRule="exact"/>
              <w:rPr>
                <w:sz w:val="20"/>
                <w:szCs w:val="20"/>
                <w:color w:val="auto"/>
              </w:rPr>
            </w:pPr>
            <w:r>
              <w:rPr>
                <w:rFonts w:ascii="Arial" w:cs="Arial" w:eastAsia="Arial" w:hAnsi="Arial"/>
                <w:sz w:val="16"/>
                <w:szCs w:val="16"/>
                <w:b w:val="1"/>
                <w:bCs w:val="1"/>
                <w:color w:val="auto"/>
                <w:w w:val="82"/>
              </w:rPr>
              <w:t>Messaging</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3"/>
          </w:tcPr>
          <w:p>
            <w:pPr>
              <w:jc w:val="right"/>
              <w:ind w:right="320"/>
              <w:spacing w:after="0" w:line="161" w:lineRule="exact"/>
              <w:rPr>
                <w:sz w:val="20"/>
                <w:szCs w:val="20"/>
                <w:color w:val="auto"/>
              </w:rPr>
            </w:pPr>
            <w:r>
              <w:rPr>
                <w:rFonts w:ascii="Arial" w:cs="Arial" w:eastAsia="Arial" w:hAnsi="Arial"/>
                <w:sz w:val="16"/>
                <w:szCs w:val="16"/>
                <w:b w:val="1"/>
                <w:bCs w:val="1"/>
                <w:color w:val="auto"/>
              </w:rPr>
              <w:t>Total</w:t>
            </w:r>
          </w:p>
        </w:tc>
      </w:tr>
      <w:tr>
        <w:trPr>
          <w:trHeight w:val="20"/>
        </w:trPr>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11"/>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Geography: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20"/>
        </w:trPr>
        <w:tc>
          <w:tcPr>
            <w:tcW w:w="2660" w:type="dxa"/>
            <w:vAlign w:val="bottom"/>
          </w:tcPr>
          <w:p>
            <w:pPr>
              <w:ind w:left="220"/>
              <w:spacing w:after="0"/>
              <w:rPr>
                <w:sz w:val="20"/>
                <w:szCs w:val="20"/>
                <w:color w:val="auto"/>
              </w:rPr>
            </w:pPr>
            <w:r>
              <w:rPr>
                <w:rFonts w:ascii="Arial" w:cs="Arial" w:eastAsia="Arial" w:hAnsi="Arial"/>
                <w:sz w:val="17"/>
                <w:szCs w:val="17"/>
                <w:color w:val="auto"/>
              </w:rPr>
              <w:t>Americas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37,546</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7,056</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1,604</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46,206</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41,843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8,985</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2,309</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7"/>
                <w:szCs w:val="17"/>
                <w:color w:val="auto"/>
              </w:rPr>
              <w:t>53,137</w:t>
            </w:r>
          </w:p>
        </w:tc>
      </w:tr>
      <w:tr>
        <w:trPr>
          <w:trHeight w:val="233"/>
        </w:trPr>
        <w:tc>
          <w:tcPr>
            <w:tcW w:w="2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APAC</w:t>
            </w:r>
          </w:p>
        </w:tc>
        <w:tc>
          <w:tcPr>
            <w:tcW w:w="1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1,147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6,702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907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6,345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7,259</w:t>
            </w:r>
          </w:p>
        </w:tc>
      </w:tr>
      <w:tr>
        <w:trPr>
          <w:trHeight w:val="220"/>
        </w:trPr>
        <w:tc>
          <w:tcPr>
            <w:tcW w:w="2660" w:type="dxa"/>
            <w:vAlign w:val="bottom"/>
          </w:tcPr>
          <w:p>
            <w:pPr>
              <w:ind w:left="220"/>
              <w:spacing w:after="0"/>
              <w:rPr>
                <w:sz w:val="20"/>
                <w:szCs w:val="20"/>
                <w:color w:val="auto"/>
              </w:rPr>
            </w:pPr>
            <w:r>
              <w:rPr>
                <w:rFonts w:ascii="Arial" w:cs="Arial" w:eastAsia="Arial" w:hAnsi="Arial"/>
                <w:sz w:val="17"/>
                <w:szCs w:val="17"/>
                <w:color w:val="auto"/>
              </w:rPr>
              <w:t>EMEA</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1,744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3,136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4,880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1,627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545</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2,668</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4,840</w:t>
            </w:r>
          </w:p>
        </w:tc>
      </w:tr>
      <w:tr>
        <w:trPr>
          <w:trHeight w:val="233"/>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40,437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11,442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59,713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43,477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10,437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11,322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65,236</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3"/>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Service Line:</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r>
      <w:tr>
        <w:trPr>
          <w:trHeight w:val="220"/>
        </w:trPr>
        <w:tc>
          <w:tcPr>
            <w:tcW w:w="2660" w:type="dxa"/>
            <w:vAlign w:val="bottom"/>
          </w:tcPr>
          <w:p>
            <w:pPr>
              <w:ind w:left="220"/>
              <w:spacing w:after="0"/>
              <w:rPr>
                <w:sz w:val="20"/>
                <w:szCs w:val="20"/>
                <w:color w:val="auto"/>
              </w:rPr>
            </w:pPr>
            <w:r>
              <w:rPr>
                <w:rFonts w:ascii="Arial" w:cs="Arial" w:eastAsia="Arial" w:hAnsi="Arial"/>
                <w:sz w:val="17"/>
                <w:szCs w:val="17"/>
                <w:color w:val="auto"/>
              </w:rPr>
              <w:t>Professional Services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4,369</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294</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2,072</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6,735</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3,234</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1,380</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2,642</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7"/>
                <w:szCs w:val="17"/>
                <w:color w:val="auto"/>
              </w:rPr>
              <w:t>7,256</w:t>
            </w:r>
          </w:p>
        </w:tc>
      </w:tr>
      <w:tr>
        <w:trPr>
          <w:trHeight w:val="220"/>
        </w:trPr>
        <w:tc>
          <w:tcPr>
            <w:tcW w:w="2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Transaction Services</w:t>
            </w: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1,964</w:t>
            </w:r>
          </w:p>
        </w:tc>
      </w:tr>
      <w:tr>
        <w:trPr>
          <w:trHeight w:val="226"/>
        </w:trPr>
        <w:tc>
          <w:tcPr>
            <w:tcW w:w="2660" w:type="dxa"/>
            <w:vAlign w:val="bottom"/>
          </w:tcPr>
          <w:p>
            <w:pPr>
              <w:ind w:left="220"/>
              <w:spacing w:after="0"/>
              <w:rPr>
                <w:sz w:val="20"/>
                <w:szCs w:val="20"/>
                <w:color w:val="auto"/>
              </w:rPr>
            </w:pPr>
            <w:r>
              <w:rPr>
                <w:rFonts w:ascii="Arial" w:cs="Arial" w:eastAsia="Arial" w:hAnsi="Arial"/>
                <w:sz w:val="17"/>
                <w:szCs w:val="17"/>
                <w:color w:val="auto"/>
              </w:rPr>
              <w:t>Subscription Services</w:t>
            </w:r>
          </w:p>
        </w:tc>
        <w:tc>
          <w:tcPr>
            <w:tcW w:w="1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36,010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5,395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7,657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49,062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40,033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6,438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8,037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7"/>
                <w:szCs w:val="17"/>
                <w:color w:val="auto"/>
              </w:rPr>
              <w:t>54,508</w:t>
            </w:r>
          </w:p>
        </w:tc>
      </w:tr>
      <w:tr>
        <w:trPr>
          <w:trHeight w:val="226"/>
        </w:trPr>
        <w:tc>
          <w:tcPr>
            <w:tcW w:w="2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License</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1,240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1,713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2,953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898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610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1,508</w:t>
            </w:r>
          </w:p>
        </w:tc>
      </w:tr>
      <w:tr>
        <w:trPr>
          <w:trHeight w:val="213"/>
        </w:trPr>
        <w:tc>
          <w:tcPr>
            <w:tcW w:w="266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40,437</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7,834</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11,442</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59,713</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43,477</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10,437</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11,322</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7"/>
                <w:szCs w:val="17"/>
                <w:color w:val="auto"/>
              </w:rPr>
              <w:t>65,236</w:t>
            </w:r>
          </w:p>
        </w:tc>
      </w:tr>
      <w:tr>
        <w:trPr>
          <w:trHeight w:val="20"/>
        </w:trPr>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13"/>
          </w:tcPr>
          <w:p>
            <w:pPr>
              <w:jc w:val="right"/>
              <w:ind w:right="140"/>
              <w:spacing w:after="0"/>
              <w:rPr>
                <w:sz w:val="20"/>
                <w:szCs w:val="20"/>
                <w:color w:val="auto"/>
              </w:rPr>
            </w:pPr>
            <w:r>
              <w:rPr>
                <w:rFonts w:ascii="Arial" w:cs="Arial" w:eastAsia="Arial" w:hAnsi="Arial"/>
                <w:sz w:val="17"/>
                <w:szCs w:val="17"/>
                <w:b w:val="1"/>
                <w:bCs w:val="1"/>
                <w:color w:val="auto"/>
                <w:w w:val="91"/>
              </w:rPr>
              <w:t>Six Months Ended June 30, 2023</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12"/>
          </w:tcPr>
          <w:p>
            <w:pPr>
              <w:jc w:val="right"/>
              <w:ind w:right="260"/>
              <w:spacing w:after="0"/>
              <w:rPr>
                <w:sz w:val="20"/>
                <w:szCs w:val="20"/>
                <w:color w:val="auto"/>
              </w:rPr>
            </w:pPr>
            <w:r>
              <w:rPr>
                <w:rFonts w:ascii="Arial" w:cs="Arial" w:eastAsia="Arial" w:hAnsi="Arial"/>
                <w:sz w:val="17"/>
                <w:szCs w:val="17"/>
                <w:b w:val="1"/>
                <w:bCs w:val="1"/>
                <w:color w:val="auto"/>
                <w:w w:val="90"/>
              </w:rPr>
              <w:t>Six Months Ended June 30, 2022</w:t>
            </w: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161"/>
        </w:trPr>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3"/>
          </w:tcPr>
          <w:p>
            <w:pPr>
              <w:jc w:val="right"/>
              <w:ind w:right="220"/>
              <w:spacing w:after="0" w:line="161" w:lineRule="exact"/>
              <w:rPr>
                <w:sz w:val="20"/>
                <w:szCs w:val="20"/>
                <w:color w:val="auto"/>
              </w:rPr>
            </w:pPr>
            <w:r>
              <w:rPr>
                <w:rFonts w:ascii="Arial" w:cs="Arial" w:eastAsia="Arial" w:hAnsi="Arial"/>
                <w:sz w:val="16"/>
                <w:szCs w:val="16"/>
                <w:b w:val="1"/>
                <w:bCs w:val="1"/>
                <w:color w:val="auto"/>
              </w:rPr>
              <w:t>Cloud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jc w:val="right"/>
              <w:ind w:right="160"/>
              <w:spacing w:after="0" w:line="161" w:lineRule="exact"/>
              <w:rPr>
                <w:sz w:val="20"/>
                <w:szCs w:val="20"/>
                <w:color w:val="auto"/>
              </w:rPr>
            </w:pPr>
            <w:r>
              <w:rPr>
                <w:rFonts w:ascii="Arial" w:cs="Arial" w:eastAsia="Arial" w:hAnsi="Arial"/>
                <w:sz w:val="16"/>
                <w:szCs w:val="16"/>
                <w:b w:val="1"/>
                <w:bCs w:val="1"/>
                <w:color w:val="auto"/>
                <w:w w:val="92"/>
              </w:rPr>
              <w:t>NetworkX</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160"/>
              <w:spacing w:after="0" w:line="161" w:lineRule="exact"/>
              <w:rPr>
                <w:sz w:val="20"/>
                <w:szCs w:val="20"/>
                <w:color w:val="auto"/>
              </w:rPr>
            </w:pPr>
            <w:r>
              <w:rPr>
                <w:rFonts w:ascii="Arial" w:cs="Arial" w:eastAsia="Arial" w:hAnsi="Arial"/>
                <w:sz w:val="16"/>
                <w:szCs w:val="16"/>
                <w:b w:val="1"/>
                <w:bCs w:val="1"/>
                <w:color w:val="auto"/>
                <w:w w:val="84"/>
              </w:rPr>
              <w:t>Messaging</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3"/>
          </w:tcPr>
          <w:p>
            <w:pPr>
              <w:jc w:val="right"/>
              <w:ind w:right="320"/>
              <w:spacing w:after="0" w:line="161"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154"/>
              <w:spacing w:after="0" w:line="161" w:lineRule="exact"/>
              <w:rPr>
                <w:sz w:val="20"/>
                <w:szCs w:val="20"/>
                <w:color w:val="auto"/>
              </w:rPr>
            </w:pPr>
            <w:r>
              <w:rPr>
                <w:rFonts w:ascii="Arial" w:cs="Arial" w:eastAsia="Arial" w:hAnsi="Arial"/>
                <w:sz w:val="16"/>
                <w:szCs w:val="16"/>
                <w:b w:val="1"/>
                <w:bCs w:val="1"/>
                <w:color w:val="auto"/>
                <w:w w:val="83"/>
              </w:rPr>
              <w:t>Cloud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40"/>
              <w:spacing w:after="0" w:line="161" w:lineRule="exact"/>
              <w:rPr>
                <w:sz w:val="20"/>
                <w:szCs w:val="20"/>
                <w:color w:val="auto"/>
              </w:rPr>
            </w:pPr>
            <w:r>
              <w:rPr>
                <w:rFonts w:ascii="Arial" w:cs="Arial" w:eastAsia="Arial" w:hAnsi="Arial"/>
                <w:sz w:val="16"/>
                <w:szCs w:val="16"/>
                <w:b w:val="1"/>
                <w:bCs w:val="1"/>
                <w:color w:val="auto"/>
                <w:w w:val="92"/>
              </w:rPr>
              <w:t>NetworkX</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right"/>
              <w:ind w:right="160"/>
              <w:spacing w:after="0" w:line="161" w:lineRule="exact"/>
              <w:rPr>
                <w:sz w:val="20"/>
                <w:szCs w:val="20"/>
                <w:color w:val="auto"/>
              </w:rPr>
            </w:pPr>
            <w:r>
              <w:rPr>
                <w:rFonts w:ascii="Arial" w:cs="Arial" w:eastAsia="Arial" w:hAnsi="Arial"/>
                <w:sz w:val="16"/>
                <w:szCs w:val="16"/>
                <w:b w:val="1"/>
                <w:bCs w:val="1"/>
                <w:color w:val="auto"/>
                <w:w w:val="84"/>
              </w:rPr>
              <w:t>Messaging</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tcPr>
          <w:p>
            <w:pPr>
              <w:jc w:val="right"/>
              <w:ind w:right="320"/>
              <w:spacing w:after="0" w:line="161" w:lineRule="exact"/>
              <w:rPr>
                <w:sz w:val="20"/>
                <w:szCs w:val="20"/>
                <w:color w:val="auto"/>
              </w:rPr>
            </w:pPr>
            <w:r>
              <w:rPr>
                <w:rFonts w:ascii="Arial" w:cs="Arial" w:eastAsia="Arial" w:hAnsi="Arial"/>
                <w:sz w:val="16"/>
                <w:szCs w:val="16"/>
                <w:b w:val="1"/>
                <w:bCs w:val="1"/>
                <w:color w:val="auto"/>
                <w:w w:val="83"/>
              </w:rPr>
              <w:t>Total</w:t>
            </w:r>
          </w:p>
        </w:tc>
      </w:tr>
      <w:tr>
        <w:trPr>
          <w:trHeight w:val="20"/>
        </w:trPr>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11"/>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Geography: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26"/>
        </w:trPr>
        <w:tc>
          <w:tcPr>
            <w:tcW w:w="2660" w:type="dxa"/>
            <w:vAlign w:val="bottom"/>
          </w:tcPr>
          <w:p>
            <w:pPr>
              <w:ind w:left="220"/>
              <w:spacing w:after="0"/>
              <w:rPr>
                <w:sz w:val="20"/>
                <w:szCs w:val="20"/>
                <w:color w:val="auto"/>
              </w:rPr>
            </w:pPr>
            <w:r>
              <w:rPr>
                <w:rFonts w:ascii="Arial" w:cs="Arial" w:eastAsia="Arial" w:hAnsi="Arial"/>
                <w:sz w:val="17"/>
                <w:szCs w:val="17"/>
                <w:color w:val="auto"/>
              </w:rPr>
              <w:t>Americas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74,960</w:t>
            </w:r>
          </w:p>
        </w:tc>
        <w:tc>
          <w:tcPr>
            <w:tcW w:w="30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color w:val="auto"/>
              </w:rPr>
              <w:t>13,409</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3,598</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7"/>
                <w:szCs w:val="17"/>
                <w:color w:val="auto"/>
              </w:rPr>
              <w:t>91,967</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81,558</w:t>
            </w:r>
          </w:p>
        </w:tc>
        <w:tc>
          <w:tcPr>
            <w:tcW w:w="30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19,440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5,001</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105,999</w:t>
            </w:r>
          </w:p>
        </w:tc>
      </w:tr>
      <w:tr>
        <w:trPr>
          <w:trHeight w:val="226"/>
        </w:trPr>
        <w:tc>
          <w:tcPr>
            <w:tcW w:w="2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APAC</w:t>
            </w:r>
          </w:p>
        </w:tc>
        <w:tc>
          <w:tcPr>
            <w:tcW w:w="1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2,794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11,617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15,981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13,161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14,890</w:t>
            </w:r>
          </w:p>
        </w:tc>
      </w:tr>
      <w:tr>
        <w:trPr>
          <w:trHeight w:val="220"/>
        </w:trPr>
        <w:tc>
          <w:tcPr>
            <w:tcW w:w="2660" w:type="dxa"/>
            <w:vAlign w:val="bottom"/>
          </w:tcPr>
          <w:p>
            <w:pPr>
              <w:ind w:left="220"/>
              <w:spacing w:after="0"/>
              <w:rPr>
                <w:sz w:val="20"/>
                <w:szCs w:val="20"/>
                <w:color w:val="auto"/>
              </w:rPr>
            </w:pPr>
            <w:r>
              <w:rPr>
                <w:rFonts w:ascii="Arial" w:cs="Arial" w:eastAsia="Arial" w:hAnsi="Arial"/>
                <w:sz w:val="17"/>
                <w:szCs w:val="17"/>
                <w:color w:val="auto"/>
              </w:rPr>
              <w:t>EMEA</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3,761</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5,712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9,473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3,357</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1,495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5,361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10,213</w:t>
            </w:r>
          </w:p>
        </w:tc>
      </w:tr>
      <w:tr>
        <w:trPr>
          <w:trHeight w:val="245"/>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81,515</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14,979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20,927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117,421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84,978</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22,601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23,523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131,102</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20"/>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Service Line:</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20"/>
        </w:trPr>
        <w:tc>
          <w:tcPr>
            <w:tcW w:w="2660" w:type="dxa"/>
            <w:vAlign w:val="bottom"/>
          </w:tcPr>
          <w:p>
            <w:pPr>
              <w:ind w:left="220"/>
              <w:spacing w:after="0"/>
              <w:rPr>
                <w:sz w:val="20"/>
                <w:szCs w:val="20"/>
                <w:color w:val="auto"/>
              </w:rPr>
            </w:pPr>
            <w:r>
              <w:rPr>
                <w:rFonts w:ascii="Arial" w:cs="Arial" w:eastAsia="Arial" w:hAnsi="Arial"/>
                <w:sz w:val="17"/>
                <w:szCs w:val="17"/>
                <w:color w:val="auto"/>
              </w:rPr>
              <w:t>Professional Services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9,030</w:t>
            </w:r>
          </w:p>
        </w:tc>
        <w:tc>
          <w:tcPr>
            <w:tcW w:w="30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color w:val="auto"/>
              </w:rPr>
              <w:t>640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3,763</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7"/>
                <w:szCs w:val="17"/>
                <w:color w:val="auto"/>
              </w:rPr>
              <w:t>13,433</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6,588</w:t>
            </w:r>
          </w:p>
        </w:tc>
        <w:tc>
          <w:tcPr>
            <w:tcW w:w="30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3,016</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5,783</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15,387</w:t>
            </w:r>
          </w:p>
        </w:tc>
      </w:tr>
      <w:tr>
        <w:trPr>
          <w:trHeight w:val="233"/>
        </w:trPr>
        <w:tc>
          <w:tcPr>
            <w:tcW w:w="2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Transaction Services</w:t>
            </w:r>
          </w:p>
        </w:tc>
        <w:tc>
          <w:tcPr>
            <w:tcW w:w="1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1,758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3,351</w:t>
            </w:r>
          </w:p>
        </w:tc>
      </w:tr>
      <w:tr>
        <w:trPr>
          <w:trHeight w:val="220"/>
        </w:trPr>
        <w:tc>
          <w:tcPr>
            <w:tcW w:w="2660" w:type="dxa"/>
            <w:vAlign w:val="bottom"/>
          </w:tcPr>
          <w:p>
            <w:pPr>
              <w:ind w:left="220"/>
              <w:spacing w:after="0"/>
              <w:rPr>
                <w:sz w:val="20"/>
                <w:szCs w:val="20"/>
                <w:color w:val="auto"/>
              </w:rPr>
            </w:pPr>
            <w:r>
              <w:rPr>
                <w:rFonts w:ascii="Arial" w:cs="Arial" w:eastAsia="Arial" w:hAnsi="Arial"/>
                <w:sz w:val="17"/>
                <w:szCs w:val="17"/>
                <w:color w:val="auto"/>
              </w:rPr>
              <w:t>Subscription Services</w:t>
            </w:r>
          </w:p>
        </w:tc>
        <w:tc>
          <w:tcPr>
            <w:tcW w:w="1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71,896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7"/>
                <w:szCs w:val="17"/>
                <w:color w:val="auto"/>
              </w:rPr>
              <w:t>10,745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15,425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7"/>
                <w:szCs w:val="17"/>
                <w:color w:val="auto"/>
              </w:rPr>
              <w:t>98,066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77,844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14,648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16,552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109,044</w:t>
            </w:r>
          </w:p>
        </w:tc>
      </w:tr>
      <w:tr>
        <w:trPr>
          <w:trHeight w:val="220"/>
        </w:trPr>
        <w:tc>
          <w:tcPr>
            <w:tcW w:w="2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License</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1,836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1,739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3,979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1,132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3,320</w:t>
            </w:r>
          </w:p>
        </w:tc>
      </w:tr>
      <w:tr>
        <w:trPr>
          <w:trHeight w:val="225"/>
        </w:trPr>
        <w:tc>
          <w:tcPr>
            <w:tcW w:w="266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81,515</w:t>
            </w:r>
          </w:p>
        </w:tc>
        <w:tc>
          <w:tcPr>
            <w:tcW w:w="30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color w:val="auto"/>
              </w:rPr>
              <w:t>14,979</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20,927</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7"/>
                <w:szCs w:val="17"/>
                <w:color w:val="auto"/>
              </w:rPr>
              <w:t>117,421</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84,978</w:t>
            </w:r>
          </w:p>
        </w:tc>
        <w:tc>
          <w:tcPr>
            <w:tcW w:w="30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22,601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23,523</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131,102</w:t>
            </w:r>
          </w:p>
        </w:tc>
      </w:tr>
      <w:tr>
        <w:trPr>
          <w:trHeight w:val="20"/>
        </w:trPr>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Trade Accounts Receivable and Contract balances</w:t>
      </w:r>
    </w:p>
    <w:p>
      <w:pPr>
        <w:spacing w:after="0" w:line="244" w:lineRule="exact"/>
        <w:rPr>
          <w:sz w:val="20"/>
          <w:szCs w:val="20"/>
          <w:color w:val="auto"/>
        </w:rPr>
      </w:pPr>
    </w:p>
    <w:p>
      <w:pPr>
        <w:jc w:val="both"/>
        <w:ind w:firstLine="310"/>
        <w:spacing w:after="0" w:line="309" w:lineRule="auto"/>
        <w:rPr>
          <w:sz w:val="20"/>
          <w:szCs w:val="20"/>
          <w:color w:val="auto"/>
        </w:rPr>
      </w:pPr>
      <w:r>
        <w:rPr>
          <w:rFonts w:ascii="Arial" w:cs="Arial" w:eastAsia="Arial" w:hAnsi="Arial"/>
          <w:sz w:val="15"/>
          <w:szCs w:val="15"/>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Condensed Consolidated Statements of Financial Position at their net estimated realizable value. The Company maintains an allowance for credit losses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for the estimated amount of receivables that may not be collected. The allowance is based upon an assessment of customer creditworthiness, historical payment experience, the age of outstanding receivables and other economic indicators.</w:t>
      </w:r>
    </w:p>
    <w:p>
      <w:pPr>
        <w:spacing w:after="0" w:line="185"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assets balance at June 30, 2023 is $8.4 million.</w:t>
      </w:r>
    </w:p>
    <w:p>
      <w:pPr>
        <w:spacing w:after="0" w:line="19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Amounts collected in advance of services being provided are accounted for as contract liabilities, which are presented as deferred revenue on the accompanying Condensed Consolidated Balance Sheets and are realized with the associated revenue recognized under the contract. Nearly all of the Company's contract liabilities balance is related to services revenue, primarily subscription services contracts.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00" w:type="dxa"/>
            <w:vAlign w:val="bottom"/>
          </w:tcPr>
          <w:p>
            <w:pPr>
              <w:ind w:left="320"/>
              <w:spacing w:after="0"/>
              <w:rPr>
                <w:sz w:val="20"/>
                <w:szCs w:val="20"/>
                <w:color w:val="auto"/>
              </w:rPr>
            </w:pPr>
            <w:r>
              <w:rPr>
                <w:rFonts w:ascii="Arial" w:cs="Arial" w:eastAsia="Arial" w:hAnsi="Arial"/>
                <w:sz w:val="17"/>
                <w:szCs w:val="17"/>
                <w:color w:val="auto"/>
                <w:w w:val="93"/>
              </w:rPr>
              <w:t>The Company’s contract assets and liabilities are reported in a net position on a customer basis at the end of each reporting period.</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39"/>
        </w:trPr>
        <w:tc>
          <w:tcPr>
            <w:tcW w:w="9600" w:type="dxa"/>
            <w:vAlign w:val="bottom"/>
          </w:tcPr>
          <w:p>
            <w:pPr>
              <w:ind w:left="320"/>
              <w:spacing w:after="0"/>
              <w:rPr>
                <w:sz w:val="20"/>
                <w:szCs w:val="20"/>
                <w:color w:val="auto"/>
              </w:rPr>
            </w:pPr>
            <w:r>
              <w:rPr>
                <w:rFonts w:ascii="Arial" w:cs="Arial" w:eastAsia="Arial" w:hAnsi="Arial"/>
                <w:sz w:val="17"/>
                <w:szCs w:val="17"/>
                <w:color w:val="auto"/>
              </w:rPr>
              <w:t>Significant changes in the contract liabilities balance (current and non-current) during the period are as follows:</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5"/>
        </w:trPr>
        <w:tc>
          <w:tcPr>
            <w:tcW w:w="9600" w:type="dxa"/>
            <w:vAlign w:val="bottom"/>
          </w:tcPr>
          <w:p>
            <w:pPr>
              <w:spacing w:after="0"/>
              <w:rPr>
                <w:sz w:val="21"/>
                <w:szCs w:val="21"/>
                <w:color w:val="auto"/>
              </w:rPr>
            </w:pPr>
          </w:p>
        </w:tc>
        <w:tc>
          <w:tcPr>
            <w:tcW w:w="1640" w:type="dxa"/>
            <w:vAlign w:val="bottom"/>
            <w:tcBorders>
              <w:bottom w:val="single" w:sz="8" w:color="auto"/>
            </w:tcBorders>
            <w:gridSpan w:val="2"/>
          </w:tcPr>
          <w:p>
            <w:pPr>
              <w:jc w:val="right"/>
              <w:spacing w:after="0" w:line="245" w:lineRule="exact"/>
              <w:rPr>
                <w:sz w:val="20"/>
                <w:szCs w:val="20"/>
                <w:color w:val="auto"/>
              </w:rPr>
            </w:pPr>
            <w:r>
              <w:rPr>
                <w:rFonts w:ascii="Arial" w:cs="Arial" w:eastAsia="Arial" w:hAnsi="Arial"/>
                <w:sz w:val="17"/>
                <w:szCs w:val="17"/>
                <w:b w:val="1"/>
                <w:bCs w:val="1"/>
                <w:color w:val="auto"/>
                <w:w w:val="95"/>
              </w:rPr>
              <w:t>Contract Liabilities</w:t>
            </w:r>
            <w:r>
              <w:rPr>
                <w:rFonts w:ascii="Arial" w:cs="Arial" w:eastAsia="Arial" w:hAnsi="Arial"/>
                <w:sz w:val="22"/>
                <w:szCs w:val="22"/>
                <w:b w:val="1"/>
                <w:bCs w:val="1"/>
                <w:color w:val="auto"/>
                <w:w w:val="95"/>
                <w:vertAlign w:val="superscript"/>
              </w:rPr>
              <w:t>1</w:t>
            </w:r>
          </w:p>
        </w:tc>
      </w:tr>
      <w:tr>
        <w:trPr>
          <w:trHeight w:val="225"/>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 January 1, 2023</w:t>
            </w:r>
          </w:p>
        </w:tc>
        <w:tc>
          <w:tcPr>
            <w:tcW w:w="520" w:type="dxa"/>
            <w:vAlign w:val="bottom"/>
            <w:shd w:val="clear" w:color="auto" w:fill="CCEEFF"/>
          </w:tcPr>
          <w:p>
            <w:pPr>
              <w:jc w:val="right"/>
              <w:ind w:right="361"/>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14,183</w:t>
            </w:r>
          </w:p>
        </w:tc>
      </w:tr>
      <w:tr>
        <w:trPr>
          <w:trHeight w:val="220"/>
        </w:trPr>
        <w:tc>
          <w:tcPr>
            <w:tcW w:w="9600" w:type="dxa"/>
            <w:vAlign w:val="bottom"/>
          </w:tcPr>
          <w:p>
            <w:pPr>
              <w:ind w:left="140"/>
              <w:spacing w:after="0"/>
              <w:rPr>
                <w:sz w:val="20"/>
                <w:szCs w:val="20"/>
                <w:color w:val="auto"/>
              </w:rPr>
            </w:pPr>
            <w:r>
              <w:rPr>
                <w:rFonts w:ascii="Arial" w:cs="Arial" w:eastAsia="Arial" w:hAnsi="Arial"/>
                <w:sz w:val="17"/>
                <w:szCs w:val="17"/>
                <w:color w:val="auto"/>
              </w:rPr>
              <w:t>Revenue recognized in the period</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(117,191)</w:t>
            </w:r>
          </w:p>
        </w:tc>
      </w:tr>
      <w:tr>
        <w:trPr>
          <w:trHeight w:val="220"/>
        </w:trPr>
        <w:tc>
          <w:tcPr>
            <w:tcW w:w="9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Amounts billed but not recognized as revenue</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126,654</w:t>
            </w:r>
          </w:p>
        </w:tc>
      </w:tr>
      <w:tr>
        <w:trPr>
          <w:trHeight w:val="213"/>
        </w:trPr>
        <w:tc>
          <w:tcPr>
            <w:tcW w:w="9600" w:type="dxa"/>
            <w:vAlign w:val="bottom"/>
          </w:tcPr>
          <w:p>
            <w:pPr>
              <w:ind w:left="20"/>
              <w:spacing w:after="0"/>
              <w:rPr>
                <w:sz w:val="20"/>
                <w:szCs w:val="20"/>
                <w:color w:val="auto"/>
              </w:rPr>
            </w:pPr>
            <w:r>
              <w:rPr>
                <w:rFonts w:ascii="Arial" w:cs="Arial" w:eastAsia="Arial" w:hAnsi="Arial"/>
                <w:sz w:val="17"/>
                <w:szCs w:val="17"/>
                <w:color w:val="auto"/>
              </w:rPr>
              <w:t>Balance - June 30, 2023</w:t>
            </w:r>
          </w:p>
        </w:tc>
        <w:tc>
          <w:tcPr>
            <w:tcW w:w="520" w:type="dxa"/>
            <w:vAlign w:val="bottom"/>
            <w:tcBorders>
              <w:bottom w:val="single" w:sz="8" w:color="auto"/>
            </w:tcBorders>
          </w:tcPr>
          <w:p>
            <w:pPr>
              <w:jc w:val="right"/>
              <w:ind w:right="361"/>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23,646</w:t>
            </w:r>
          </w:p>
        </w:tc>
      </w:tr>
      <w:tr>
        <w:trPr>
          <w:trHeight w:val="20"/>
        </w:trPr>
        <w:tc>
          <w:tcPr>
            <w:tcW w:w="9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12" w:lineRule="auto"/>
        <w:tabs>
          <w:tab w:leader="none" w:pos="200"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Comprised of Deferred Revenue. $11.5 million of revenue recognized in the period was included in the contract liability balance at the beginning of the period.</w:t>
      </w:r>
    </w:p>
    <w:p>
      <w:pPr>
        <w:spacing w:after="0" w:line="225" w:lineRule="exact"/>
        <w:rPr>
          <w:rFonts w:ascii="Arial" w:cs="Arial" w:eastAsia="Arial" w:hAnsi="Arial"/>
          <w:sz w:val="19"/>
          <w:szCs w:val="19"/>
          <w:color w:val="auto"/>
          <w:vertAlign w:val="superscript"/>
        </w:rPr>
      </w:pPr>
    </w:p>
    <w:p>
      <w:pPr>
        <w:ind w:left="320"/>
        <w:spacing w:after="0"/>
        <w:rPr>
          <w:rFonts w:ascii="Arial" w:cs="Arial" w:eastAsia="Arial" w:hAnsi="Arial"/>
          <w:sz w:val="19"/>
          <w:szCs w:val="19"/>
          <w:color w:val="auto"/>
          <w:vertAlign w:val="superscript"/>
        </w:rPr>
      </w:pPr>
      <w:r>
        <w:rPr>
          <w:rFonts w:ascii="Arial" w:cs="Arial" w:eastAsia="Arial" w:hAnsi="Arial"/>
          <w:sz w:val="17"/>
          <w:szCs w:val="17"/>
          <w:u w:val="single" w:color="auto"/>
          <w:color w:val="auto"/>
        </w:rPr>
        <w:t>Transaction price allocated to the remaining performance obligations</w:t>
      </w:r>
    </w:p>
    <w:p>
      <w:pPr>
        <w:spacing w:after="0" w:line="244" w:lineRule="exact"/>
        <w:rPr>
          <w:sz w:val="20"/>
          <w:szCs w:val="20"/>
          <w:color w:val="auto"/>
        </w:rPr>
      </w:pPr>
    </w:p>
    <w:p>
      <w:pPr>
        <w:ind w:firstLine="310"/>
        <w:spacing w:after="0" w:line="315"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June 30, 2023. The Company has elected not to disclose transaction price allocated to remaining performance obligations for:</w:t>
      </w:r>
    </w:p>
    <w:p>
      <w:pPr>
        <w:spacing w:after="0" w:line="163" w:lineRule="exact"/>
        <w:rPr>
          <w:sz w:val="20"/>
          <w:szCs w:val="20"/>
          <w:color w:val="auto"/>
        </w:rPr>
      </w:pPr>
    </w:p>
    <w:p>
      <w:pPr>
        <w:ind w:left="620" w:hanging="307"/>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35" w:lineRule="exact"/>
        <w:rPr>
          <w:rFonts w:ascii="Arial" w:cs="Arial" w:eastAsia="Arial" w:hAnsi="Arial"/>
          <w:sz w:val="16"/>
          <w:szCs w:val="16"/>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Contracts for which the Company recognizes revenues based on the right to invoice for services performed;</w:t>
      </w:r>
    </w:p>
    <w:p>
      <w:pPr>
        <w:spacing w:after="0" w:line="11" w:lineRule="exact"/>
        <w:rPr>
          <w:rFonts w:ascii="Arial" w:cs="Arial" w:eastAsia="Arial" w:hAnsi="Arial"/>
          <w:sz w:val="17"/>
          <w:szCs w:val="17"/>
          <w:color w:val="auto"/>
        </w:rPr>
      </w:pPr>
    </w:p>
    <w:p>
      <w:pPr>
        <w:jc w:val="both"/>
        <w:ind w:left="620" w:hanging="307"/>
        <w:spacing w:after="0" w:line="258"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Many of the Company’s performance obligations meet one or more of these exemptions. Specifically, the Company has excluded the following from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remaining performance obligations, all of which will be resolved in the period in which amounts are known:</w:t>
      </w:r>
    </w:p>
    <w:p>
      <w:pPr>
        <w:spacing w:after="0" w:line="11" w:lineRule="exact"/>
        <w:rPr>
          <w:sz w:val="20"/>
          <w:szCs w:val="20"/>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consideration for future transactions, above any contractual minimums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consideration for success-based transactions contingent on third party data</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credits for failure to meet future service level requirements</w:t>
      </w:r>
    </w:p>
    <w:p>
      <w:pPr>
        <w:spacing w:after="0" w:line="231" w:lineRule="exact"/>
        <w:rPr>
          <w:sz w:val="20"/>
          <w:szCs w:val="20"/>
          <w:color w:val="auto"/>
        </w:rPr>
      </w:pPr>
    </w:p>
    <w:p>
      <w:pPr>
        <w:ind w:firstLine="310"/>
        <w:spacing w:after="0" w:line="315" w:lineRule="auto"/>
        <w:rPr>
          <w:sz w:val="20"/>
          <w:szCs w:val="20"/>
          <w:color w:val="auto"/>
        </w:rPr>
      </w:pPr>
      <w:r>
        <w:rPr>
          <w:rFonts w:ascii="Arial" w:cs="Arial" w:eastAsia="Arial" w:hAnsi="Arial"/>
          <w:sz w:val="16"/>
          <w:szCs w:val="16"/>
          <w:color w:val="auto"/>
        </w:rPr>
        <w:t>As of June 30, 2023, the aggregate amount of transaction price allocated to remaining performance obligations, other than those meeting the exclusion criteria above, was $79.8 million, of which approximately 96.0 percent is expected to be recognized as revenues within 2 years,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250"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98"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1 - Observable inputs - quoted prices in active markets for identical assets and liabilities;</w:t>
      </w:r>
    </w:p>
    <w:p>
      <w:pPr>
        <w:spacing w:after="0" w:line="23" w:lineRule="exact"/>
        <w:rPr>
          <w:rFonts w:ascii="Arial" w:cs="Arial" w:eastAsia="Arial" w:hAnsi="Arial"/>
          <w:sz w:val="17"/>
          <w:szCs w:val="17"/>
          <w:color w:val="auto"/>
        </w:rPr>
      </w:pPr>
    </w:p>
    <w:p>
      <w:pPr>
        <w:jc w:val="both"/>
        <w:ind w:left="620" w:hanging="307"/>
        <w:spacing w:after="0" w:line="253"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2" w:lineRule="exact"/>
        <w:rPr>
          <w:rFonts w:ascii="Arial" w:cs="Arial" w:eastAsia="Arial" w:hAnsi="Arial"/>
          <w:sz w:val="17"/>
          <w:szCs w:val="17"/>
          <w:color w:val="auto"/>
        </w:rPr>
      </w:pPr>
    </w:p>
    <w:p>
      <w:pPr>
        <w:ind w:left="620" w:hanging="307"/>
        <w:spacing w:after="0" w:line="267"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 Unobservable inputs - includes amounts derived from valuation models where one or more significant inputs are unobservable and require the Company to develop relevant assumptions.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7"/>
                <w:szCs w:val="17"/>
                <w:b w:val="1"/>
                <w:bCs w:val="1"/>
                <w:color w:val="auto"/>
              </w:rPr>
              <w:t>June 30, 2023</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(Level 1)</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(Level 2)</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19,329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19,329</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19,329</w:t>
            </w:r>
          </w:p>
        </w:tc>
        <w:tc>
          <w:tcPr>
            <w:tcW w:w="3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19,329</w:t>
            </w:r>
          </w:p>
        </w:tc>
        <w:tc>
          <w:tcPr>
            <w:tcW w:w="1360" w:type="dxa"/>
            <w:vAlign w:val="bottom"/>
            <w:gridSpan w:val="2"/>
            <w:shd w:val="clear" w:color="auto" w:fill="CCEEFF"/>
          </w:tcPr>
          <w:p>
            <w:pPr>
              <w:jc w:val="right"/>
              <w:ind w:right="107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Temporary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4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20" w:type="dxa"/>
            <w:vAlign w:val="bottom"/>
            <w:tcBorders>
              <w:bottom w:val="single" w:sz="8" w:color="CCEEFF"/>
            </w:tcBorders>
            <w:shd w:val="clear" w:color="auto" w:fill="CCEEFF"/>
          </w:tcPr>
          <w:p>
            <w:pPr>
              <w:ind w:left="220"/>
              <w:spacing w:after="0" w:line="220" w:lineRule="exact"/>
              <w:rPr>
                <w:sz w:val="20"/>
                <w:szCs w:val="20"/>
                <w:color w:val="auto"/>
              </w:rPr>
            </w:pPr>
            <w:r>
              <w:rPr>
                <w:rFonts w:ascii="Arial" w:cs="Arial" w:eastAsia="Arial" w:hAnsi="Arial"/>
                <w:sz w:val="17"/>
                <w:szCs w:val="17"/>
                <w:color w:val="auto"/>
              </w:rPr>
              <w:t>Redeemable noncontrolling interests</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74"/>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25"/>
        </w:trPr>
        <w:tc>
          <w:tcPr>
            <w:tcW w:w="4420" w:type="dxa"/>
            <w:vAlign w:val="bottom"/>
          </w:tcPr>
          <w:p>
            <w:pPr>
              <w:ind w:left="20"/>
              <w:spacing w:after="0"/>
              <w:rPr>
                <w:sz w:val="20"/>
                <w:szCs w:val="20"/>
                <w:color w:val="auto"/>
              </w:rPr>
            </w:pPr>
            <w:r>
              <w:rPr>
                <w:rFonts w:ascii="Arial" w:cs="Arial" w:eastAsia="Arial" w:hAnsi="Arial"/>
                <w:sz w:val="17"/>
                <w:szCs w:val="17"/>
                <w:color w:val="auto"/>
              </w:rPr>
              <w:t>Total temporary equity</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12,500</w:t>
            </w:r>
          </w:p>
        </w:tc>
        <w:tc>
          <w:tcPr>
            <w:tcW w:w="38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074"/>
              <w:spacing w:after="0"/>
              <w:rPr>
                <w:sz w:val="20"/>
                <w:szCs w:val="20"/>
                <w:color w:val="auto"/>
              </w:rPr>
            </w:pPr>
            <w:r>
              <w:rPr>
                <w:rFonts w:ascii="Arial" w:cs="Arial" w:eastAsia="Arial" w:hAnsi="Arial"/>
                <w:sz w:val="17"/>
                <w:szCs w:val="17"/>
                <w:color w:val="auto"/>
              </w:rPr>
              <w:t>$</w:t>
            </w: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7"/>
                <w:szCs w:val="17"/>
                <w:b w:val="1"/>
                <w:bCs w:val="1"/>
                <w:color w:val="auto"/>
              </w:rPr>
              <w:t>December 31, 2022</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Total</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(Level 1)</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(Level 2)</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Cash and cash equivalents</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21,921</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3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Total assets</w:t>
            </w:r>
          </w:p>
        </w:tc>
        <w:tc>
          <w:tcPr>
            <w:tcW w:w="380" w:type="dxa"/>
            <w:vAlign w:val="bottom"/>
            <w:shd w:val="clear" w:color="auto" w:fill="CCEEFF"/>
          </w:tcPr>
          <w:p>
            <w:pPr>
              <w:jc w:val="right"/>
              <w:ind w:right="174"/>
              <w:spacing w:after="0" w:line="187"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21,921</w:t>
            </w:r>
          </w:p>
        </w:tc>
        <w:tc>
          <w:tcPr>
            <w:tcW w:w="380" w:type="dxa"/>
            <w:vAlign w:val="bottom"/>
            <w:gridSpan w:val="2"/>
            <w:shd w:val="clear" w:color="auto" w:fill="CCEEFF"/>
          </w:tcPr>
          <w:p>
            <w:pPr>
              <w:jc w:val="right"/>
              <w:ind w:right="114"/>
              <w:spacing w:after="0" w:line="187"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21,921</w:t>
            </w:r>
          </w:p>
        </w:tc>
        <w:tc>
          <w:tcPr>
            <w:tcW w:w="1360" w:type="dxa"/>
            <w:vAlign w:val="bottom"/>
            <w:gridSpan w:val="2"/>
            <w:shd w:val="clear" w:color="auto" w:fill="CCEEFF"/>
          </w:tcPr>
          <w:p>
            <w:pPr>
              <w:jc w:val="right"/>
              <w:ind w:right="1074"/>
              <w:spacing w:after="0" w:line="187" w:lineRule="exact"/>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ind w:left="120"/>
              <w:spacing w:after="0" w:line="187" w:lineRule="exact"/>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14"/>
              <w:spacing w:after="0" w:line="187"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Temporary Equity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200"/>
              <w:spacing w:after="0" w:line="232" w:lineRule="exact"/>
              <w:rPr>
                <w:sz w:val="20"/>
                <w:szCs w:val="20"/>
                <w:color w:val="auto"/>
              </w:rPr>
            </w:pPr>
            <w:r>
              <w:rPr>
                <w:rFonts w:ascii="Arial" w:cs="Arial" w:eastAsia="Arial" w:hAnsi="Arial"/>
                <w:sz w:val="17"/>
                <w:szCs w:val="17"/>
                <w:color w:val="auto"/>
              </w:rPr>
              <w:t>Redeemable noncontrolling interests</w:t>
            </w:r>
            <w:r>
              <w:rPr>
                <w:rFonts w:ascii="Arial" w:cs="Arial" w:eastAsia="Arial" w:hAnsi="Arial"/>
                <w:sz w:val="22"/>
                <w:szCs w:val="22"/>
                <w:color w:val="auto"/>
                <w:vertAlign w:val="superscript"/>
              </w:rPr>
              <w:t>1</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74"/>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7"/>
                <w:szCs w:val="17"/>
                <w:color w:val="auto"/>
              </w:rPr>
              <w:t>Total temporary equity</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12,500</w:t>
            </w:r>
          </w:p>
        </w:tc>
        <w:tc>
          <w:tcPr>
            <w:tcW w:w="38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074"/>
              <w:spacing w:after="0"/>
              <w:rPr>
                <w:sz w:val="20"/>
                <w:szCs w:val="20"/>
                <w:color w:val="auto"/>
              </w:rPr>
            </w:pPr>
            <w:r>
              <w:rPr>
                <w:rFonts w:ascii="Arial" w:cs="Arial" w:eastAsia="Arial" w:hAnsi="Arial"/>
                <w:sz w:val="17"/>
                <w:szCs w:val="17"/>
                <w:color w:val="auto"/>
              </w:rPr>
              <w:t>$</w:t>
            </w:r>
          </w:p>
        </w:tc>
        <w:tc>
          <w:tcPr>
            <w:tcW w:w="360" w:type="dxa"/>
            <w:vAlign w:val="bottom"/>
          </w:tcPr>
          <w:p>
            <w:pPr>
              <w:ind w:left="12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60" w:hanging="157"/>
        <w:spacing w:after="0" w:line="201" w:lineRule="auto"/>
        <w:tabs>
          <w:tab w:leader="none" w:pos="16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Put arrangements held by the noncontrolling interests in certain of the Company’s joint venture.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244" w:lineRule="exact"/>
        <w:rPr>
          <w:sz w:val="20"/>
          <w:szCs w:val="20"/>
          <w:color w:val="auto"/>
        </w:rPr>
      </w:pPr>
    </w:p>
    <w:p>
      <w:pPr>
        <w:jc w:val="both"/>
        <w:ind w:firstLine="310"/>
        <w:spacing w:after="0" w:line="292"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81"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noncontrolling interests could significantly increase or decrease the fair value estimates recorded in the Condensed Consolidated Balance Sheets.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Leases</w:t>
      </w:r>
    </w:p>
    <w:p>
      <w:pPr>
        <w:spacing w:after="0" w:line="250" w:lineRule="exact"/>
        <w:rPr>
          <w:sz w:val="20"/>
          <w:szCs w:val="20"/>
          <w:color w:val="auto"/>
        </w:rPr>
      </w:pPr>
    </w:p>
    <w:p>
      <w:pPr>
        <w:jc w:val="both"/>
        <w:ind w:firstLine="310"/>
        <w:spacing w:after="0" w:line="309" w:lineRule="auto"/>
        <w:rPr>
          <w:sz w:val="20"/>
          <w:szCs w:val="20"/>
          <w:color w:val="auto"/>
        </w:rPr>
      </w:pPr>
      <w:r>
        <w:rPr>
          <w:rFonts w:ascii="Arial" w:cs="Arial" w:eastAsia="Arial" w:hAnsi="Arial"/>
          <w:sz w:val="15"/>
          <w:szCs w:val="15"/>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171"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Company is party to certain sublease arrangements, primarily related to the Company’s real estate leases, where it acts as the lessee and intermediate lessor.</w:t>
      </w:r>
    </w:p>
    <w:p>
      <w:pPr>
        <w:spacing w:after="0" w:line="185"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Company reflects finance leases as a component of Leases, non-current on the Condensed Consolidated Balance Sheet. The finance leases were not material for the period ended June 30, 2023.</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information about the Company's Right of Use (ROU) assets and lease liabilities: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9"/>
              </w:rPr>
              <w:t>June 30, 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90"/>
              </w:rPr>
              <w:t>December 31, 2022</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ROU 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0"/>
        </w:trPr>
        <w:tc>
          <w:tcPr>
            <w:tcW w:w="7860" w:type="dxa"/>
            <w:vAlign w:val="bottom"/>
          </w:tcPr>
          <w:p>
            <w:pPr>
              <w:ind w:left="140"/>
              <w:spacing w:after="0"/>
              <w:rPr>
                <w:sz w:val="20"/>
                <w:szCs w:val="20"/>
                <w:color w:val="auto"/>
              </w:rPr>
            </w:pPr>
            <w:r>
              <w:rPr>
                <w:rFonts w:ascii="Arial" w:cs="Arial" w:eastAsia="Arial" w:hAnsi="Arial"/>
                <w:sz w:val="17"/>
                <w:szCs w:val="17"/>
                <w:color w:val="auto"/>
              </w:rPr>
              <w:t>Non-current operating lease ROU assets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17,529</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20,863</w:t>
            </w:r>
          </w:p>
        </w:tc>
      </w:tr>
      <w:tr>
        <w:trPr>
          <w:trHeight w:val="258"/>
        </w:trPr>
        <w:tc>
          <w:tcPr>
            <w:tcW w:w="7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26"/>
        </w:trPr>
        <w:tc>
          <w:tcPr>
            <w:tcW w:w="786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6"/>
        </w:trPr>
        <w:tc>
          <w:tcPr>
            <w:tcW w:w="7860" w:type="dxa"/>
            <w:vAlign w:val="bottom"/>
            <w:shd w:val="clear" w:color="auto" w:fill="CCEEFF"/>
          </w:tcPr>
          <w:p>
            <w:pPr>
              <w:ind w:left="140"/>
              <w:spacing w:after="0" w:line="226" w:lineRule="exact"/>
              <w:rPr>
                <w:sz w:val="20"/>
                <w:szCs w:val="20"/>
                <w:color w:val="auto"/>
              </w:rPr>
            </w:pPr>
            <w:r>
              <w:rPr>
                <w:rFonts w:ascii="Arial" w:cs="Arial" w:eastAsia="Arial" w:hAnsi="Arial"/>
                <w:sz w:val="17"/>
                <w:szCs w:val="17"/>
                <w:color w:val="auto"/>
              </w:rPr>
              <w:t>Current operating lease liabilities</w:t>
            </w:r>
            <w:r>
              <w:rPr>
                <w:rFonts w:ascii="Arial" w:cs="Arial" w:eastAsia="Arial" w:hAnsi="Arial"/>
                <w:sz w:val="22"/>
                <w:szCs w:val="22"/>
                <w:color w:val="auto"/>
                <w:vertAlign w:val="superscript"/>
              </w:rPr>
              <w:t>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5,497</w:t>
            </w:r>
          </w:p>
        </w:tc>
      </w:tr>
      <w:tr>
        <w:trPr>
          <w:trHeight w:val="220"/>
        </w:trPr>
        <w:tc>
          <w:tcPr>
            <w:tcW w:w="7860" w:type="dxa"/>
            <w:vAlign w:val="bottom"/>
          </w:tcPr>
          <w:p>
            <w:pPr>
              <w:ind w:left="140"/>
              <w:spacing w:after="0"/>
              <w:rPr>
                <w:sz w:val="20"/>
                <w:szCs w:val="20"/>
                <w:color w:val="auto"/>
              </w:rPr>
            </w:pPr>
            <w:r>
              <w:rPr>
                <w:rFonts w:ascii="Arial" w:cs="Arial" w:eastAsia="Arial" w:hAnsi="Arial"/>
                <w:sz w:val="17"/>
                <w:szCs w:val="17"/>
                <w:color w:val="auto"/>
              </w:rPr>
              <w:t>Non-current operating lease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26,338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29,222</w:t>
            </w:r>
          </w:p>
        </w:tc>
      </w:tr>
      <w:tr>
        <w:trPr>
          <w:trHeight w:val="245"/>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lease liabilities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32,171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34,719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14" w:lineRule="auto"/>
        <w:tabs>
          <w:tab w:leader="none" w:pos="20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Amounts are included in Accrued Expenses on the Condensed Consolidated Balance Sheet.</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information about lease expense and sublease income: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20" w:type="dxa"/>
            <w:vAlign w:val="bottom"/>
          </w:tcPr>
          <w:p>
            <w:pPr>
              <w:spacing w:after="0"/>
              <w:rPr>
                <w:sz w:val="20"/>
                <w:szCs w:val="20"/>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r>
      <w:tr>
        <w:trPr>
          <w:trHeight w:val="219"/>
        </w:trPr>
        <w:tc>
          <w:tcPr>
            <w:tcW w:w="44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442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Operating lease cost</w:t>
            </w:r>
            <w:r>
              <w:rPr>
                <w:rFonts w:ascii="Arial" w:cs="Arial" w:eastAsia="Arial" w:hAnsi="Arial"/>
                <w:sz w:val="22"/>
                <w:szCs w:val="22"/>
                <w:color w:val="auto"/>
                <w:vertAlign w:val="superscript"/>
              </w:rPr>
              <w:t>1</w:t>
            </w: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1220" w:type="dxa"/>
            <w:vAlign w:val="bottom"/>
            <w:gridSpan w:val="2"/>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1,972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4,014</w:t>
            </w:r>
          </w:p>
        </w:tc>
      </w:tr>
      <w:tr>
        <w:trPr>
          <w:trHeight w:val="226"/>
        </w:trPr>
        <w:tc>
          <w:tcPr>
            <w:tcW w:w="4420" w:type="dxa"/>
            <w:vAlign w:val="bottom"/>
          </w:tcPr>
          <w:p>
            <w:pPr>
              <w:ind w:left="20"/>
              <w:spacing w:after="0"/>
              <w:rPr>
                <w:sz w:val="20"/>
                <w:szCs w:val="20"/>
                <w:color w:val="auto"/>
              </w:rPr>
            </w:pPr>
            <w:r>
              <w:rPr>
                <w:rFonts w:ascii="Arial" w:cs="Arial" w:eastAsia="Arial" w:hAnsi="Arial"/>
                <w:sz w:val="17"/>
                <w:szCs w:val="17"/>
                <w:color w:val="auto"/>
              </w:rPr>
              <w:t>Other lease costs and income:</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4420" w:type="dxa"/>
            <w:vAlign w:val="bottom"/>
            <w:shd w:val="clear" w:color="auto" w:fill="CCEEFF"/>
          </w:tcPr>
          <w:p>
            <w:pPr>
              <w:ind w:left="220"/>
              <w:spacing w:after="0" w:line="226" w:lineRule="exact"/>
              <w:rPr>
                <w:sz w:val="20"/>
                <w:szCs w:val="20"/>
                <w:color w:val="auto"/>
              </w:rPr>
            </w:pPr>
            <w:r>
              <w:rPr>
                <w:rFonts w:ascii="Arial" w:cs="Arial" w:eastAsia="Arial" w:hAnsi="Arial"/>
                <w:sz w:val="17"/>
                <w:szCs w:val="17"/>
                <w:color w:val="auto"/>
              </w:rPr>
              <w:t>Variable lease costs</w:t>
            </w:r>
            <w:r>
              <w:rPr>
                <w:rFonts w:ascii="Arial" w:cs="Arial" w:eastAsia="Arial" w:hAnsi="Arial"/>
                <w:sz w:val="22"/>
                <w:szCs w:val="22"/>
                <w:color w:val="auto"/>
                <w:vertAlign w:val="superscript"/>
              </w:rPr>
              <w:t>1</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w:t>
            </w:r>
          </w:p>
        </w:tc>
      </w:tr>
      <w:tr>
        <w:trPr>
          <w:trHeight w:val="220"/>
        </w:trPr>
        <w:tc>
          <w:tcPr>
            <w:tcW w:w="4420" w:type="dxa"/>
            <w:vAlign w:val="bottom"/>
          </w:tcPr>
          <w:p>
            <w:pPr>
              <w:ind w:left="220"/>
              <w:spacing w:after="0" w:line="220" w:lineRule="exact"/>
              <w:rPr>
                <w:sz w:val="20"/>
                <w:szCs w:val="20"/>
                <w:color w:val="auto"/>
              </w:rPr>
            </w:pPr>
            <w:r>
              <w:rPr>
                <w:rFonts w:ascii="Arial" w:cs="Arial" w:eastAsia="Arial" w:hAnsi="Arial"/>
                <w:sz w:val="17"/>
                <w:szCs w:val="17"/>
                <w:color w:val="auto"/>
              </w:rPr>
              <w:t>Operating lease impairments, net</w:t>
            </w:r>
            <w:r>
              <w:rPr>
                <w:rFonts w:ascii="Arial" w:cs="Arial" w:eastAsia="Arial" w:hAnsi="Arial"/>
                <w:sz w:val="22"/>
                <w:szCs w:val="22"/>
                <w:color w:val="auto"/>
                <w:vertAlign w:val="superscript"/>
              </w:rPr>
              <w:t>1</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2,078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20"/>
        </w:trPr>
        <w:tc>
          <w:tcPr>
            <w:tcW w:w="4420" w:type="dxa"/>
            <w:vAlign w:val="bottom"/>
            <w:tcBorders>
              <w:bottom w:val="single" w:sz="8" w:color="CCEEFF"/>
            </w:tcBorders>
            <w:shd w:val="clear" w:color="auto" w:fill="CCEEFF"/>
          </w:tcPr>
          <w:p>
            <w:pPr>
              <w:ind w:left="220"/>
              <w:spacing w:after="0" w:line="220" w:lineRule="exact"/>
              <w:rPr>
                <w:sz w:val="20"/>
                <w:szCs w:val="20"/>
                <w:color w:val="auto"/>
              </w:rPr>
            </w:pPr>
            <w:r>
              <w:rPr>
                <w:rFonts w:ascii="Arial" w:cs="Arial" w:eastAsia="Arial" w:hAnsi="Arial"/>
                <w:sz w:val="17"/>
                <w:szCs w:val="17"/>
                <w:color w:val="auto"/>
              </w:rPr>
              <w:t>Sublease income</w:t>
            </w:r>
            <w:r>
              <w:rPr>
                <w:rFonts w:ascii="Arial" w:cs="Arial" w:eastAsia="Arial" w:hAnsi="Arial"/>
                <w:sz w:val="22"/>
                <w:szCs w:val="22"/>
                <w:color w:val="auto"/>
                <w:vertAlign w:val="superscript"/>
              </w:rPr>
              <w:t>1</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(1,359)</w:t>
            </w:r>
          </w:p>
        </w:tc>
      </w:tr>
      <w:tr>
        <w:trPr>
          <w:trHeight w:val="213"/>
        </w:trPr>
        <w:tc>
          <w:tcPr>
            <w:tcW w:w="4420" w:type="dxa"/>
            <w:vAlign w:val="bottom"/>
          </w:tcPr>
          <w:p>
            <w:pPr>
              <w:ind w:left="20"/>
              <w:spacing w:after="0"/>
              <w:rPr>
                <w:sz w:val="20"/>
                <w:szCs w:val="20"/>
                <w:color w:val="auto"/>
              </w:rPr>
            </w:pPr>
            <w:r>
              <w:rPr>
                <w:rFonts w:ascii="Arial" w:cs="Arial" w:eastAsia="Arial" w:hAnsi="Arial"/>
                <w:sz w:val="17"/>
                <w:szCs w:val="17"/>
                <w:color w:val="auto"/>
              </w:rPr>
              <w:t>Total net lease cost</w:t>
            </w: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3,324</w:t>
            </w:r>
          </w:p>
        </w:tc>
        <w:tc>
          <w:tcPr>
            <w:tcW w:w="1220" w:type="dxa"/>
            <w:vAlign w:val="bottom"/>
            <w:gridSpan w:val="2"/>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1,727</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4,571</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4,001</w:t>
            </w:r>
          </w:p>
        </w:tc>
      </w:tr>
      <w:tr>
        <w:trPr>
          <w:trHeight w:val="20"/>
        </w:trPr>
        <w:tc>
          <w:tcPr>
            <w:tcW w:w="4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24" w:lineRule="exact"/>
        <w:rPr>
          <w:sz w:val="20"/>
          <w:szCs w:val="20"/>
          <w:color w:val="auto"/>
        </w:rPr>
      </w:pPr>
    </w:p>
    <w:p>
      <w:pPr>
        <w:ind w:left="320" w:hanging="317"/>
        <w:spacing w:after="0" w:line="213" w:lineRule="auto"/>
        <w:tabs>
          <w:tab w:leader="none" w:pos="235"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Amounts are included in Cost of revenues, Selling, general and administrative and/or Research and development based on the function that the underlying leased asset supports which are reflected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ind w:firstLine="310"/>
        <w:spacing w:after="0" w:line="293" w:lineRule="auto"/>
        <w:rPr>
          <w:sz w:val="20"/>
          <w:szCs w:val="20"/>
          <w:color w:val="auto"/>
        </w:rPr>
      </w:pPr>
      <w:r>
        <w:rPr>
          <w:rFonts w:ascii="Arial" w:cs="Arial" w:eastAsia="Arial" w:hAnsi="Arial"/>
          <w:sz w:val="16"/>
          <w:szCs w:val="16"/>
          <w:color w:val="auto"/>
        </w:rPr>
        <w:t>The following table provides the undiscounted amount of future cash flows included in our lease liabilities at June 30, 2023 for each of the five years subsequent to December 31, 2022 and thereafter, as well as a reconciliation of such undiscounted cash flows to our lease liabilities at June 30,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Borders>
              <w:bottom w:val="single" w:sz="8" w:color="auto"/>
            </w:tcBorders>
          </w:tcPr>
          <w:p>
            <w:pPr>
              <w:spacing w:after="0"/>
              <w:rPr>
                <w:sz w:val="17"/>
                <w:szCs w:val="17"/>
                <w:color w:val="auto"/>
              </w:rPr>
            </w:pPr>
          </w:p>
        </w:tc>
        <w:tc>
          <w:tcPr>
            <w:tcW w:w="77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Year</w:t>
            </w:r>
          </w:p>
        </w:tc>
        <w:tc>
          <w:tcPr>
            <w:tcW w:w="1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Operating Leases</w:t>
            </w:r>
          </w:p>
        </w:tc>
        <w:tc>
          <w:tcPr>
            <w:tcW w:w="0" w:type="dxa"/>
            <w:vAlign w:val="bottom"/>
          </w:tcPr>
          <w:p>
            <w:pPr>
              <w:spacing w:after="0"/>
              <w:rPr>
                <w:sz w:val="1"/>
                <w:szCs w:val="1"/>
                <w:color w:val="auto"/>
              </w:rPr>
            </w:pPr>
          </w:p>
        </w:tc>
      </w:tr>
      <w:tr>
        <w:trPr>
          <w:trHeight w:val="215"/>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2023</w:t>
            </w: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4,134</w:t>
            </w:r>
          </w:p>
        </w:tc>
        <w:tc>
          <w:tcPr>
            <w:tcW w:w="0" w:type="dxa"/>
            <w:vAlign w:val="bottom"/>
          </w:tcPr>
          <w:p>
            <w:pPr>
              <w:spacing w:after="0"/>
              <w:rPr>
                <w:sz w:val="1"/>
                <w:szCs w:val="1"/>
                <w:color w:val="auto"/>
              </w:rPr>
            </w:pPr>
          </w:p>
        </w:tc>
      </w:tr>
      <w:tr>
        <w:trPr>
          <w:trHeight w:val="226"/>
        </w:trPr>
        <w:tc>
          <w:tcPr>
            <w:tcW w:w="7800" w:type="dxa"/>
            <w:vAlign w:val="bottom"/>
            <w:gridSpan w:val="2"/>
          </w:tcPr>
          <w:p>
            <w:pPr>
              <w:ind w:left="120"/>
              <w:spacing w:after="0"/>
              <w:rPr>
                <w:sz w:val="20"/>
                <w:szCs w:val="20"/>
                <w:color w:val="auto"/>
              </w:rPr>
            </w:pPr>
            <w:r>
              <w:rPr>
                <w:rFonts w:ascii="Arial" w:cs="Arial" w:eastAsia="Arial" w:hAnsi="Arial"/>
                <w:sz w:val="17"/>
                <w:szCs w:val="17"/>
                <w:color w:val="auto"/>
              </w:rPr>
              <w:t>2024</w:t>
            </w: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8,192</w:t>
            </w:r>
          </w:p>
        </w:tc>
        <w:tc>
          <w:tcPr>
            <w:tcW w:w="0" w:type="dxa"/>
            <w:vAlign w:val="bottom"/>
          </w:tcPr>
          <w:p>
            <w:pPr>
              <w:spacing w:after="0"/>
              <w:rPr>
                <w:sz w:val="1"/>
                <w:szCs w:val="1"/>
                <w:color w:val="auto"/>
              </w:rPr>
            </w:pPr>
          </w:p>
        </w:tc>
      </w:tr>
      <w:tr>
        <w:trPr>
          <w:trHeight w:val="226"/>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2025</w:t>
            </w:r>
          </w:p>
        </w:tc>
        <w:tc>
          <w:tcPr>
            <w:tcW w:w="1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7,968</w:t>
            </w:r>
          </w:p>
        </w:tc>
        <w:tc>
          <w:tcPr>
            <w:tcW w:w="0" w:type="dxa"/>
            <w:vAlign w:val="bottom"/>
          </w:tcPr>
          <w:p>
            <w:pPr>
              <w:spacing w:after="0"/>
              <w:rPr>
                <w:sz w:val="1"/>
                <w:szCs w:val="1"/>
                <w:color w:val="auto"/>
              </w:rPr>
            </w:pPr>
          </w:p>
        </w:tc>
      </w:tr>
      <w:tr>
        <w:trPr>
          <w:trHeight w:val="220"/>
        </w:trPr>
        <w:tc>
          <w:tcPr>
            <w:tcW w:w="7800" w:type="dxa"/>
            <w:vAlign w:val="bottom"/>
            <w:gridSpan w:val="2"/>
          </w:tcPr>
          <w:p>
            <w:pPr>
              <w:ind w:left="120"/>
              <w:spacing w:after="0"/>
              <w:rPr>
                <w:sz w:val="20"/>
                <w:szCs w:val="20"/>
                <w:color w:val="auto"/>
              </w:rPr>
            </w:pPr>
            <w:r>
              <w:rPr>
                <w:rFonts w:ascii="Arial" w:cs="Arial" w:eastAsia="Arial" w:hAnsi="Arial"/>
                <w:sz w:val="17"/>
                <w:szCs w:val="17"/>
                <w:color w:val="auto"/>
              </w:rPr>
              <w:t>2026</w:t>
            </w: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7,897</w:t>
            </w:r>
          </w:p>
        </w:tc>
        <w:tc>
          <w:tcPr>
            <w:tcW w:w="0" w:type="dxa"/>
            <w:vAlign w:val="bottom"/>
          </w:tcPr>
          <w:p>
            <w:pPr>
              <w:spacing w:after="0"/>
              <w:rPr>
                <w:sz w:val="1"/>
                <w:szCs w:val="1"/>
                <w:color w:val="auto"/>
              </w:rPr>
            </w:pPr>
          </w:p>
        </w:tc>
      </w:tr>
      <w:tr>
        <w:trPr>
          <w:trHeight w:val="233"/>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2027</w:t>
            </w:r>
          </w:p>
        </w:tc>
        <w:tc>
          <w:tcPr>
            <w:tcW w:w="1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Thereafter</w:t>
            </w:r>
          </w:p>
        </w:tc>
        <w:tc>
          <w:tcPr>
            <w:tcW w:w="16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future lease payments</w:t>
            </w: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38,733</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tcPr>
          <w:p>
            <w:pPr>
              <w:spacing w:after="0"/>
              <w:rPr>
                <w:sz w:val="20"/>
                <w:szCs w:val="20"/>
                <w:color w:val="auto"/>
              </w:rPr>
            </w:pPr>
          </w:p>
        </w:tc>
        <w:tc>
          <w:tcPr>
            <w:tcW w:w="77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Less: amount representing interest</w:t>
            </w:r>
          </w:p>
        </w:tc>
        <w:tc>
          <w:tcPr>
            <w:tcW w:w="16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Present value of future lease payments (lease liability)</w:t>
            </w:r>
          </w:p>
        </w:tc>
        <w:tc>
          <w:tcPr>
            <w:tcW w:w="1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80" w:type="dxa"/>
            <w:vAlign w:val="bottom"/>
            <w:tcBorders>
              <w:top w:val="single" w:sz="8" w:color="CCEEFF"/>
              <w:bottom w:val="single" w:sz="8" w:color="CCEEFF"/>
            </w:tcBorders>
            <w:gridSpan w:val="3"/>
            <w:vMerge w:val="restart"/>
          </w:tcPr>
          <w:p>
            <w:pPr>
              <w:ind w:left="300"/>
              <w:spacing w:after="0"/>
              <w:rPr>
                <w:sz w:val="20"/>
                <w:szCs w:val="20"/>
                <w:color w:val="auto"/>
              </w:rPr>
            </w:pPr>
            <w:r>
              <w:rPr>
                <w:rFonts w:ascii="Arial" w:cs="Arial" w:eastAsia="Arial" w:hAnsi="Arial"/>
                <w:sz w:val="17"/>
                <w:szCs w:val="17"/>
                <w:color w:val="auto"/>
                <w:w w:val="97"/>
              </w:rPr>
              <w:t>The following table provides the weighted-average remaining lease term and weighted-average discount rates for our leases:</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94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700" w:type="dxa"/>
            <w:vAlign w:val="bottom"/>
            <w:gridSpan w:val="2"/>
          </w:tcPr>
          <w:p>
            <w:pPr>
              <w:ind w:left="320"/>
              <w:spacing w:after="0"/>
              <w:rPr>
                <w:sz w:val="20"/>
                <w:szCs w:val="20"/>
                <w:color w:val="auto"/>
              </w:rPr>
            </w:pPr>
            <w:r>
              <w:rPr>
                <w:rFonts w:ascii="Arial" w:cs="Arial" w:eastAsia="Arial" w:hAnsi="Arial"/>
                <w:sz w:val="17"/>
                <w:szCs w:val="17"/>
                <w:b w:val="1"/>
                <w:bCs w:val="1"/>
                <w:color w:val="auto"/>
              </w:rPr>
              <w:t>June 30, 2023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55"/>
              <w:spacing w:after="0"/>
              <w:rPr>
                <w:sz w:val="20"/>
                <w:szCs w:val="20"/>
                <w:color w:val="auto"/>
              </w:rPr>
            </w:pPr>
            <w:r>
              <w:rPr>
                <w:rFonts w:ascii="Arial" w:cs="Arial" w:eastAsia="Arial" w:hAnsi="Arial"/>
                <w:sz w:val="17"/>
                <w:szCs w:val="17"/>
                <w:b w:val="1"/>
                <w:bCs w:val="1"/>
                <w:color w:val="auto"/>
                <w:w w:val="90"/>
              </w:rPr>
              <w:t>December 31, 2022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1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80" w:type="dxa"/>
            <w:vAlign w:val="bottom"/>
          </w:tcPr>
          <w:p>
            <w:pPr>
              <w:ind w:left="140"/>
              <w:spacing w:after="0"/>
              <w:rPr>
                <w:sz w:val="20"/>
                <w:szCs w:val="20"/>
                <w:color w:val="auto"/>
              </w:rPr>
            </w:pPr>
            <w:r>
              <w:rPr>
                <w:rFonts w:ascii="Arial" w:cs="Arial" w:eastAsia="Arial" w:hAnsi="Arial"/>
                <w:sz w:val="17"/>
                <w:szCs w:val="17"/>
                <w:color w:val="auto"/>
              </w:rPr>
              <w:t>Weighted-average remaining lease term (years), weighted based on lease liability balances</w:t>
            </w:r>
          </w:p>
        </w:tc>
        <w:tc>
          <w:tcPr>
            <w:tcW w:w="1640" w:type="dxa"/>
            <w:vAlign w:val="bottom"/>
          </w:tcPr>
          <w:p>
            <w:pPr>
              <w:jc w:val="right"/>
              <w:ind w:right="34"/>
              <w:spacing w:after="0"/>
              <w:rPr>
                <w:sz w:val="20"/>
                <w:szCs w:val="20"/>
                <w:color w:val="auto"/>
              </w:rPr>
            </w:pPr>
            <w:r>
              <w:rPr>
                <w:rFonts w:ascii="Arial" w:cs="Arial" w:eastAsia="Arial" w:hAnsi="Arial"/>
                <w:sz w:val="17"/>
                <w:szCs w:val="17"/>
                <w:color w:val="auto"/>
              </w:rPr>
              <w:t>4.67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3"/>
              </w:rPr>
              <w:t>Weighted-average discount rate (percentages), weighted based on the remaining balance of lease payments</w:t>
            </w:r>
          </w:p>
        </w:tc>
        <w:tc>
          <w:tcPr>
            <w:tcW w:w="16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certain cash flow and supplemental noncash information related to our lease liabilities: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4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22"/>
        </w:trPr>
        <w:tc>
          <w:tcPr>
            <w:tcW w:w="4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120"/>
              <w:spacing w:after="0" w:line="168" w:lineRule="exact"/>
              <w:rPr>
                <w:sz w:val="20"/>
                <w:szCs w:val="20"/>
                <w:color w:val="auto"/>
              </w:rPr>
            </w:pPr>
            <w:r>
              <w:rPr>
                <w:rFonts w:ascii="Arial" w:cs="Arial" w:eastAsia="Arial" w:hAnsi="Arial"/>
                <w:sz w:val="17"/>
                <w:szCs w:val="17"/>
                <w:color w:val="auto"/>
                <w:w w:val="92"/>
              </w:rPr>
              <w:t>Cash paid for amounts included in the measurement of lease</w:t>
            </w:r>
          </w:p>
        </w:tc>
        <w:tc>
          <w:tcPr>
            <w:tcW w:w="340" w:type="dxa"/>
            <w:vAlign w:val="bottom"/>
            <w:vMerge w:val="restart"/>
          </w:tcPr>
          <w:p>
            <w:pPr>
              <w:jc w:val="right"/>
              <w:ind w:right="134"/>
              <w:spacing w:after="0"/>
              <w:rPr>
                <w:sz w:val="20"/>
                <w:szCs w:val="20"/>
                <w:color w:val="auto"/>
              </w:rPr>
            </w:pPr>
            <w:r>
              <w:rPr>
                <w:rFonts w:ascii="Arial" w:cs="Arial" w:eastAsia="Arial" w:hAnsi="Arial"/>
                <w:sz w:val="17"/>
                <w:szCs w:val="17"/>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2,009</w:t>
            </w:r>
          </w:p>
        </w:tc>
        <w:tc>
          <w:tcPr>
            <w:tcW w:w="46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2,436</w:t>
            </w: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4,006</w:t>
            </w:r>
          </w:p>
        </w:tc>
        <w:tc>
          <w:tcPr>
            <w:tcW w:w="48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5,039</w:t>
            </w:r>
          </w:p>
        </w:tc>
        <w:tc>
          <w:tcPr>
            <w:tcW w:w="0" w:type="dxa"/>
            <w:vAlign w:val="bottom"/>
          </w:tcPr>
          <w:p>
            <w:pPr>
              <w:spacing w:after="0"/>
              <w:rPr>
                <w:sz w:val="1"/>
                <w:szCs w:val="1"/>
                <w:color w:val="auto"/>
              </w:rPr>
            </w:pPr>
          </w:p>
        </w:tc>
      </w:tr>
      <w:tr>
        <w:trPr>
          <w:trHeight w:val="219"/>
        </w:trPr>
        <w:tc>
          <w:tcPr>
            <w:tcW w:w="4380" w:type="dxa"/>
            <w:vAlign w:val="bottom"/>
          </w:tcPr>
          <w:p>
            <w:pPr>
              <w:ind w:left="120"/>
              <w:spacing w:after="0"/>
              <w:rPr>
                <w:sz w:val="20"/>
                <w:szCs w:val="20"/>
                <w:color w:val="auto"/>
              </w:rPr>
            </w:pPr>
            <w:r>
              <w:rPr>
                <w:rFonts w:ascii="Arial" w:cs="Arial" w:eastAsia="Arial" w:hAnsi="Arial"/>
                <w:sz w:val="17"/>
                <w:szCs w:val="17"/>
                <w:color w:val="auto"/>
              </w:rPr>
              <w:t>liabilities</w:t>
            </w:r>
          </w:p>
        </w:tc>
        <w:tc>
          <w:tcPr>
            <w:tcW w:w="34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Loan Receivable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Sequential Technology International, LLC</w:t>
      </w:r>
    </w:p>
    <w:p>
      <w:pPr>
        <w:spacing w:after="0" w:line="244"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During the second quarter of 2020, the Company entered into an agreement with Sequential Technology International, LLC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the maturity date is April 27, 2025. As of June 30, 2023 and December 31, 2022, the carrying value of the Note after the consideration of the allowance for credit loss was approximately $4.8 million. The Company determined the allowance on the Note using a discounted cash flow analysis, which discounts the expected future cash flows of the asset to determine the collectible amount.</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accordance with the terms of the agreement, STIN has made the required payments to the Company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Offering of Senior Notes</w:t>
      </w:r>
    </w:p>
    <w:p>
      <w:pPr>
        <w:spacing w:after="0" w:line="244"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189"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spacing w:after="0" w:line="19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spacing w:after="0" w:line="198"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207"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has not redeemed any of the Senior Notes as of June 30, 2023.</w:t>
      </w:r>
    </w:p>
    <w:p>
      <w:pPr>
        <w:spacing w:after="0" w:line="244"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189"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During the fourth quarter of 2021, the Company sold an additional $16.1 million aggregate principal amount of Senior Notes pursuant to the Sales Agreement. The additional Senior Notes sold have terms identical to the initial Senior Notes and are fungible and vote together with, the initial Senior Notes. The Senior Notes are listed and trade on The Nasdaq Global Market under the symbol “SNCRL.”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60" w:type="dxa"/>
            <w:vAlign w:val="bottom"/>
          </w:tcPr>
          <w:p>
            <w:pPr>
              <w:ind w:left="320"/>
              <w:spacing w:after="0"/>
              <w:rPr>
                <w:sz w:val="20"/>
                <w:szCs w:val="20"/>
                <w:color w:val="auto"/>
              </w:rPr>
            </w:pPr>
            <w:r>
              <w:rPr>
                <w:rFonts w:ascii="Arial" w:cs="Arial" w:eastAsia="Arial" w:hAnsi="Arial"/>
                <w:sz w:val="17"/>
                <w:szCs w:val="17"/>
                <w:color w:val="auto"/>
              </w:rPr>
              <w:t>The carrying amounts of the Company’s borrowings were as follows: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5"/>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Senior Notes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9"/>
              </w:rPr>
              <w:t>June 30, 2023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90"/>
              </w:rPr>
              <w:t>December 31, 2022</w:t>
            </w: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8.375% Senior Notes due 2026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141,077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141,077</w:t>
            </w:r>
          </w:p>
        </w:tc>
      </w:tr>
      <w:tr>
        <w:trPr>
          <w:trHeight w:val="220"/>
        </w:trPr>
        <w:tc>
          <w:tcPr>
            <w:tcW w:w="7760" w:type="dxa"/>
            <w:vAlign w:val="bottom"/>
            <w:tcBorders>
              <w:bottom w:val="single" w:sz="8" w:color="CCEEFF"/>
            </w:tcBorders>
          </w:tcPr>
          <w:p>
            <w:pPr>
              <w:ind w:left="220"/>
              <w:spacing w:after="0" w:line="220" w:lineRule="exact"/>
              <w:rPr>
                <w:sz w:val="20"/>
                <w:szCs w:val="20"/>
                <w:color w:val="auto"/>
              </w:rPr>
            </w:pPr>
            <w:r>
              <w:rPr>
                <w:rFonts w:ascii="Arial" w:cs="Arial" w:eastAsia="Arial" w:hAnsi="Arial"/>
                <w:sz w:val="17"/>
                <w:szCs w:val="17"/>
                <w:color w:val="auto"/>
              </w:rPr>
              <w:t>Unamortized discount and debt issuance cost</w:t>
            </w:r>
            <w:r>
              <w:rPr>
                <w:rFonts w:ascii="Arial" w:cs="Arial" w:eastAsia="Arial" w:hAnsi="Arial"/>
                <w:sz w:val="22"/>
                <w:szCs w:val="22"/>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(5,698)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(6,493)</w:t>
            </w: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Carrying value of Senior Notes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134,584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60" w:hanging="157"/>
        <w:spacing w:after="0" w:line="201" w:lineRule="auto"/>
        <w:tabs>
          <w:tab w:leader="none" w:pos="16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Debt issuance costs are deferred and amortized into interest expense using the effective interest method.</w:t>
      </w:r>
    </w:p>
    <w:p>
      <w:pPr>
        <w:spacing w:after="0" w:line="226"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The total fair value of the outstanding Senior Notes was $104.4 million as of June 30, 2023. The Company is in compliance with its debt covenants as of June 30, 2023.</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Company’s interest expense: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4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6"/>
                <w:szCs w:val="16"/>
                <w:b w:val="1"/>
                <w:bCs w:val="1"/>
                <w:color w:val="auto"/>
              </w:rPr>
              <w:t>Six Months Ended June 30,</w:t>
            </w:r>
          </w:p>
        </w:tc>
      </w:tr>
      <w:tr>
        <w:trPr>
          <w:trHeight w:val="215"/>
        </w:trPr>
        <w:tc>
          <w:tcPr>
            <w:tcW w:w="4440" w:type="dxa"/>
            <w:vAlign w:val="bottom"/>
          </w:tcPr>
          <w:p>
            <w:pPr>
              <w:spacing w:after="0"/>
              <w:rPr>
                <w:sz w:val="18"/>
                <w:szCs w:val="18"/>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b w:val="1"/>
                <w:bCs w:val="1"/>
                <w:color w:val="auto"/>
              </w:rPr>
              <w:t>2023</w:t>
            </w:r>
          </w:p>
        </w:tc>
        <w:tc>
          <w:tcPr>
            <w:tcW w:w="5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2022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5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Non-Convertible Senior Notes due 2026:</w:t>
            </w:r>
          </w:p>
        </w:tc>
        <w:tc>
          <w:tcPr>
            <w:tcW w:w="10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0"/>
        </w:trPr>
        <w:tc>
          <w:tcPr>
            <w:tcW w:w="444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1080" w:type="dxa"/>
            <w:vAlign w:val="bottom"/>
          </w:tcPr>
          <w:p>
            <w:pPr>
              <w:jc w:val="right"/>
              <w:ind w:right="896"/>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378</w:t>
            </w:r>
          </w:p>
        </w:tc>
        <w:tc>
          <w:tcPr>
            <w:tcW w:w="1180" w:type="dxa"/>
            <w:vAlign w:val="bottom"/>
            <w:gridSpan w:val="2"/>
          </w:tcPr>
          <w:p>
            <w:pPr>
              <w:jc w:val="right"/>
              <w:ind w:right="98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343</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748</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678</w:t>
            </w:r>
          </w:p>
        </w:tc>
      </w:tr>
      <w:tr>
        <w:trPr>
          <w:trHeight w:val="233"/>
        </w:trPr>
        <w:tc>
          <w:tcPr>
            <w:tcW w:w="4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on borrowings</w:t>
            </w:r>
          </w:p>
        </w:tc>
        <w:tc>
          <w:tcPr>
            <w:tcW w:w="10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5,908</w:t>
            </w:r>
          </w:p>
        </w:tc>
      </w:tr>
      <w:tr>
        <w:trPr>
          <w:trHeight w:val="220"/>
        </w:trPr>
        <w:tc>
          <w:tcPr>
            <w:tcW w:w="4440" w:type="dxa"/>
            <w:vAlign w:val="bottom"/>
          </w:tcPr>
          <w:p>
            <w:pPr>
              <w:ind w:left="220"/>
              <w:spacing w:after="0"/>
              <w:rPr>
                <w:sz w:val="20"/>
                <w:szCs w:val="20"/>
                <w:color w:val="auto"/>
              </w:rPr>
            </w:pPr>
            <w:r>
              <w:rPr>
                <w:rFonts w:ascii="Arial" w:cs="Arial" w:eastAsia="Arial" w:hAnsi="Arial"/>
                <w:sz w:val="17"/>
                <w:szCs w:val="17"/>
                <w:color w:val="auto"/>
              </w:rPr>
              <w:t>Amortization of debt discount</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20"/>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 ASC 740/FIN 48 Interest</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r>
      <w:tr>
        <w:trPr>
          <w:trHeight w:val="233"/>
        </w:trPr>
        <w:tc>
          <w:tcPr>
            <w:tcW w:w="4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3,461</w:t>
            </w:r>
          </w:p>
        </w:tc>
        <w:tc>
          <w:tcPr>
            <w:tcW w:w="1180" w:type="dxa"/>
            <w:vAlign w:val="bottom"/>
            <w:gridSpan w:val="2"/>
            <w:shd w:val="clear" w:color="auto" w:fill="CCEEFF"/>
          </w:tcPr>
          <w:p>
            <w:pPr>
              <w:jc w:val="right"/>
              <w:ind w:right="9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6,668</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Accumulated Other Comprehensive (Loss) / Income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changes in accumulated other comprehensive (loss) income during the six months ended June 30, 2023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37"/>
              <w:spacing w:after="0"/>
              <w:rPr>
                <w:sz w:val="20"/>
                <w:szCs w:val="20"/>
                <w:color w:val="auto"/>
              </w:rPr>
            </w:pPr>
            <w:r>
              <w:rPr>
                <w:rFonts w:ascii="Arial" w:cs="Arial" w:eastAsia="Arial" w:hAnsi="Arial"/>
                <w:sz w:val="16"/>
                <w:szCs w:val="16"/>
                <w:b w:val="1"/>
                <w:bCs w:val="1"/>
                <w:color w:val="auto"/>
                <w:w w:val="86"/>
              </w:rPr>
              <w:t>Balance at December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57"/>
              <w:spacing w:after="0"/>
              <w:rPr>
                <w:sz w:val="20"/>
                <w:szCs w:val="20"/>
                <w:color w:val="auto"/>
              </w:rPr>
            </w:pPr>
            <w:r>
              <w:rPr>
                <w:rFonts w:ascii="Arial" w:cs="Arial" w:eastAsia="Arial" w:hAnsi="Arial"/>
                <w:sz w:val="16"/>
                <w:szCs w:val="16"/>
                <w:b w:val="1"/>
                <w:bCs w:val="1"/>
                <w:color w:val="auto"/>
                <w:w w:val="85"/>
              </w:rPr>
              <w:t>Other comprehensive</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Tax effect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397"/>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204"/>
        </w:trPr>
        <w:tc>
          <w:tcPr>
            <w:tcW w:w="43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31, 2022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income</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77"/>
              <w:spacing w:after="0"/>
              <w:rPr>
                <w:sz w:val="20"/>
                <w:szCs w:val="20"/>
                <w:color w:val="auto"/>
              </w:rPr>
            </w:pPr>
            <w:r>
              <w:rPr>
                <w:rFonts w:ascii="Arial" w:cs="Arial" w:eastAsia="Arial" w:hAnsi="Arial"/>
                <w:sz w:val="16"/>
                <w:szCs w:val="16"/>
                <w:b w:val="1"/>
                <w:bCs w:val="1"/>
                <w:color w:val="auto"/>
                <w:w w:val="97"/>
              </w:rPr>
              <w:t>June 30, 2023</w:t>
            </w:r>
          </w:p>
        </w:tc>
        <w:tc>
          <w:tcPr>
            <w:tcW w:w="0" w:type="dxa"/>
            <w:vAlign w:val="bottom"/>
          </w:tcPr>
          <w:p>
            <w:pPr>
              <w:spacing w:after="0"/>
              <w:rPr>
                <w:sz w:val="1"/>
                <w:szCs w:val="1"/>
                <w:color w:val="auto"/>
              </w:rPr>
            </w:pPr>
          </w:p>
        </w:tc>
      </w:tr>
      <w:tr>
        <w:trPr>
          <w:trHeight w:val="215"/>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(40,611)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(35,870)</w:t>
            </w:r>
          </w:p>
        </w:tc>
        <w:tc>
          <w:tcPr>
            <w:tcW w:w="0" w:type="dxa"/>
            <w:vAlign w:val="bottom"/>
          </w:tcPr>
          <w:p>
            <w:pPr>
              <w:spacing w:after="0"/>
              <w:rPr>
                <w:sz w:val="1"/>
                <w:szCs w:val="1"/>
                <w:color w:val="auto"/>
              </w:rPr>
            </w:pPr>
          </w:p>
        </w:tc>
      </w:tr>
      <w:tr>
        <w:trPr>
          <w:trHeight w:val="168"/>
        </w:trPr>
        <w:tc>
          <w:tcPr>
            <w:tcW w:w="4340" w:type="dxa"/>
            <w:vAlign w:val="bottom"/>
          </w:tcPr>
          <w:p>
            <w:pPr>
              <w:ind w:left="20"/>
              <w:spacing w:after="0" w:line="168" w:lineRule="exact"/>
              <w:rPr>
                <w:sz w:val="20"/>
                <w:szCs w:val="20"/>
                <w:color w:val="auto"/>
              </w:rPr>
            </w:pPr>
            <w:r>
              <w:rPr>
                <w:rFonts w:ascii="Arial" w:cs="Arial" w:eastAsia="Arial" w:hAnsi="Arial"/>
                <w:sz w:val="17"/>
                <w:szCs w:val="17"/>
                <w:color w:val="auto"/>
              </w:rPr>
              <w:t>Unrealized loss on intercompany foreign currency</w:t>
            </w:r>
          </w:p>
        </w:tc>
        <w:tc>
          <w:tcPr>
            <w:tcW w:w="1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(3,520)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vMerge w:val="restart"/>
          </w:tcPr>
          <w:p>
            <w:pPr>
              <w:ind w:left="10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(3,520)</w:t>
            </w: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Arial" w:cs="Arial" w:eastAsia="Arial" w:hAnsi="Arial"/>
                <w:sz w:val="17"/>
                <w:szCs w:val="17"/>
                <w:color w:val="auto"/>
              </w:rPr>
              <w:t>transactions</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(44,131)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(39,390)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Capital Structure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44"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4" w:lineRule="exact"/>
        <w:rPr>
          <w:sz w:val="20"/>
          <w:szCs w:val="20"/>
          <w:color w:val="auto"/>
        </w:rPr>
      </w:pPr>
    </w:p>
    <w:p>
      <w:pPr>
        <w:jc w:val="both"/>
        <w:ind w:firstLine="310"/>
        <w:spacing w:after="0" w:line="315" w:lineRule="auto"/>
        <w:rPr>
          <w:sz w:val="20"/>
          <w:szCs w:val="20"/>
          <w:color w:val="auto"/>
        </w:rPr>
      </w:pPr>
      <w:r>
        <w:rPr>
          <w:rFonts w:ascii="Arial" w:cs="Arial" w:eastAsia="Arial" w:hAnsi="Arial"/>
          <w:sz w:val="16"/>
          <w:szCs w:val="16"/>
          <w:color w:val="auto"/>
        </w:rPr>
        <w:t>The Company’s Board of Directors (the “Board”)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Non-Convertible Preferred Stock</w:t>
      </w:r>
    </w:p>
    <w:p>
      <w:pPr>
        <w:spacing w:after="0" w:line="244"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$72.5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3"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Certificate of Designation of the Series B Preferred Stock</w:t>
      </w:r>
    </w:p>
    <w:p>
      <w:pPr>
        <w:spacing w:after="0" w:line="244" w:lineRule="exact"/>
        <w:rPr>
          <w:sz w:val="20"/>
          <w:szCs w:val="20"/>
          <w:color w:val="auto"/>
        </w:rPr>
      </w:pPr>
    </w:p>
    <w:p>
      <w:pPr>
        <w:jc w:val="both"/>
        <w:ind w:firstLine="310"/>
        <w:spacing w:after="0" w:line="274" w:lineRule="auto"/>
        <w:rPr>
          <w:sz w:val="20"/>
          <w:szCs w:val="20"/>
          <w:color w:val="auto"/>
        </w:rPr>
      </w:pPr>
      <w:r>
        <w:rPr>
          <w:rFonts w:ascii="Arial" w:cs="Arial" w:eastAsia="Arial" w:hAnsi="Arial"/>
          <w:sz w:val="16"/>
          <w:szCs w:val="16"/>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June 30, 2023, the Liquidation Value and Redemption Value of the Series B Preferred Shares was $73.2 million.</w:t>
      </w:r>
    </w:p>
    <w:p>
      <w:pPr>
        <w:spacing w:after="0" w:line="199" w:lineRule="exact"/>
        <w:rPr>
          <w:sz w:val="20"/>
          <w:szCs w:val="20"/>
          <w:color w:val="auto"/>
        </w:rPr>
      </w:pPr>
    </w:p>
    <w:p>
      <w:pPr>
        <w:jc w:val="both"/>
        <w:ind w:firstLine="310"/>
        <w:spacing w:after="0" w:line="275" w:lineRule="auto"/>
        <w:rPr>
          <w:sz w:val="20"/>
          <w:szCs w:val="20"/>
          <w:color w:val="auto"/>
        </w:rPr>
      </w:pPr>
      <w:r>
        <w:rPr>
          <w:rFonts w:ascii="Arial" w:cs="Arial" w:eastAsia="Arial" w:hAnsi="Arial"/>
          <w:sz w:val="16"/>
          <w:szCs w:val="16"/>
          <w:color w:val="auto"/>
        </w:rPr>
        <w:t>On and after the fifth anniversary of the date of issuance, holders of shares of Series B Preferred Stock will have the right to cause the Company to redeem each share of Series B Preferred Stock for cash in an amount equal to the sum of the current liquidation preference and any accrued dividends. Each share of Series B Preferred Stock will also be redeemable at the option of the holder upon the occurrence of a “Fundamental Change”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the Company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the Company may be used by the Company to buy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back shares of Common Stock and to the extent, not used for such purpose by the Company, to redeem, for cash, shares of the Series B Preferred Stock, on a pro rata basis among each holder of the Series B Preferred Stock.</w:t>
      </w:r>
    </w:p>
    <w:p>
      <w:pPr>
        <w:spacing w:after="0" w:line="185"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The Company shall be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 preferences, privileges or voting powers of the Series B Preferred Stock; and (iii) issuances of stock ranking senior or equivalent to shares of 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Investor Rights Agreement</w:t>
      </w:r>
    </w:p>
    <w:p>
      <w:pPr>
        <w:spacing w:after="0" w:line="244"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spacing w:after="0" w:line="209" w:lineRule="exact"/>
        <w:rPr>
          <w:sz w:val="20"/>
          <w:szCs w:val="20"/>
          <w:color w:val="auto"/>
        </w:rPr>
      </w:pPr>
    </w:p>
    <w:p>
      <w:pPr>
        <w:jc w:val="both"/>
        <w:ind w:firstLine="233"/>
        <w:spacing w:after="0" w:line="273" w:lineRule="auto"/>
        <w:rPr>
          <w:sz w:val="20"/>
          <w:szCs w:val="20"/>
          <w:color w:val="auto"/>
        </w:rPr>
      </w:pPr>
      <w:r>
        <w:rPr>
          <w:rFonts w:ascii="Arial" w:cs="Arial" w:eastAsia="Arial" w:hAnsi="Arial"/>
          <w:sz w:val="17"/>
          <w:szCs w:val="17"/>
          <w:color w:val="auto"/>
        </w:rPr>
        <w:t>A summary of the Company’s Series B Perpetual Non-Convertible Preferred Stock balance at June 30, 2023 and changes during the six months ended June 30, 2023, are presented below:</w:t>
      </w:r>
    </w:p>
    <w:p>
      <w:pPr>
        <w:spacing w:after="0" w:line="2" w:lineRule="exact"/>
        <w:rPr>
          <w:sz w:val="20"/>
          <w:szCs w:val="20"/>
          <w:color w:val="auto"/>
        </w:rPr>
      </w:pPr>
    </w:p>
    <w:p>
      <w:pPr>
        <w:ind w:left="8640"/>
        <w:spacing w:after="0"/>
        <w:rPr>
          <w:sz w:val="20"/>
          <w:szCs w:val="20"/>
          <w:color w:val="auto"/>
        </w:rPr>
      </w:pPr>
      <w:r>
        <w:rPr>
          <w:rFonts w:ascii="Arial" w:cs="Arial" w:eastAsia="Arial" w:hAnsi="Arial"/>
          <w:sz w:val="17"/>
          <w:szCs w:val="17"/>
          <w:b w:val="1"/>
          <w:bCs w:val="1"/>
          <w:color w:val="auto"/>
        </w:rPr>
        <w:t>Series B Preferred Stock</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7"/>
                <w:szCs w:val="17"/>
                <w:b w:val="1"/>
                <w:bCs w:val="1"/>
                <w:color w:val="auto"/>
              </w:rPr>
              <w:t>Shares</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Amount</w:t>
            </w:r>
          </w:p>
        </w:tc>
        <w:tc>
          <w:tcPr>
            <w:tcW w:w="0" w:type="dxa"/>
            <w:vAlign w:val="bottom"/>
          </w:tcPr>
          <w:p>
            <w:pPr>
              <w:spacing w:after="0"/>
              <w:rPr>
                <w:sz w:val="1"/>
                <w:szCs w:val="1"/>
                <w:color w:val="auto"/>
              </w:rPr>
            </w:pPr>
          </w:p>
        </w:tc>
      </w:tr>
      <w:tr>
        <w:trPr>
          <w:trHeight w:val="213"/>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68,348</w:t>
            </w:r>
          </w:p>
        </w:tc>
        <w:tc>
          <w:tcPr>
            <w:tcW w:w="0" w:type="dxa"/>
            <w:vAlign w:val="bottom"/>
          </w:tcPr>
          <w:p>
            <w:pPr>
              <w:spacing w:after="0"/>
              <w:rPr>
                <w:sz w:val="1"/>
                <w:szCs w:val="1"/>
                <w:color w:val="auto"/>
              </w:rPr>
            </w:pPr>
          </w:p>
        </w:tc>
      </w:tr>
      <w:tr>
        <w:trPr>
          <w:trHeight w:val="220"/>
        </w:trPr>
        <w:tc>
          <w:tcPr>
            <w:tcW w:w="9080" w:type="dxa"/>
            <w:vAlign w:val="bottom"/>
            <w:gridSpan w:val="2"/>
          </w:tcPr>
          <w:p>
            <w:pPr>
              <w:ind w:left="140"/>
              <w:spacing w:after="0"/>
              <w:rPr>
                <w:sz w:val="20"/>
                <w:szCs w:val="20"/>
                <w:color w:val="auto"/>
              </w:rPr>
            </w:pPr>
            <w:r>
              <w:rPr>
                <w:rFonts w:ascii="Arial" w:cs="Arial" w:eastAsia="Arial" w:hAnsi="Arial"/>
                <w:sz w:val="17"/>
                <w:szCs w:val="17"/>
                <w:color w:val="auto"/>
              </w:rPr>
              <w:t>Amortization of preferred stock issuance costs</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90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Issuance of preferred PIK dividend</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8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Redemption of Series B preferred shares</w:t>
            </w: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908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Balance at June 30, 2023</w:t>
            </w:r>
            <w:r>
              <w:rPr>
                <w:rFonts w:ascii="Arial" w:cs="Arial" w:eastAsia="Arial" w:hAnsi="Arial"/>
                <w:sz w:val="22"/>
                <w:szCs w:val="22"/>
                <w:color w:val="auto"/>
                <w:vertAlign w:val="superscript"/>
              </w:rPr>
              <w:t>1</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68,348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840" w:type="dxa"/>
            <w:vAlign w:val="bottom"/>
            <w:vMerge w:val="continue"/>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160" w:hanging="157"/>
        <w:spacing w:after="0" w:line="205" w:lineRule="auto"/>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Series B preferred stock net principal balance of $68.3 million is presented as gross principal balance of $70.7 million net of $2.4 million unamortized issuance costs.</w:t>
      </w:r>
    </w:p>
    <w:p>
      <w:pPr>
        <w:spacing w:after="0" w:line="227"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On April 3, 2023 the Company paid the accrued Series B Perpetual Non-Convertible Preferred Stock dividend of $2.5 million in cash. On July 3, 2023 the Company paid the accrued Series B Perpetual Non-Convertible Preferred Stock dividend of $2.5 million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Plans</w:t>
      </w:r>
    </w:p>
    <w:p>
      <w:pPr>
        <w:spacing w:after="0" w:line="244"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At the annual meeting of stockholders the Company held on June 16, 2022, the stockholders of the Company approved and adopted the Certificate of Amendment of the Company’s restated certificate of incorporation to increase the total number of shares of authorized common stock from 100 million shares to 150 million shares.</w:t>
      </w:r>
    </w:p>
    <w:p>
      <w:pPr>
        <w:spacing w:after="0" w:line="19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As of June 30, 2023, there were 4.0 million shares available for the grant or award under the Company’s 2015 Equity Incentive Plan and 1.1 million shares available for the grant or award under the Company’s 2017 New Hire Equity Incentive Plan.</w:t>
      </w:r>
    </w:p>
    <w:p>
      <w:pPr>
        <w:spacing w:after="0" w:line="185"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The Company’s performance based cash unit (“PBCU”) awards granted to executives under the Long Term Incentive (“LTI”) Plans have been accounted for as liability awards, due to the Company’s intent and the ability to settle such awards in cash upon vesting and the Company has reflected such awards in accrued expenses. As of June 30, 2023, the liability for such awards is approximately $0.9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4" w:lineRule="exact"/>
        <w:rPr>
          <w:sz w:val="20"/>
          <w:szCs w:val="20"/>
          <w:color w:val="auto"/>
        </w:rPr>
      </w:pPr>
    </w:p>
    <w:p>
      <w:pPr>
        <w:jc w:val="both"/>
        <w:ind w:firstLine="310"/>
        <w:spacing w:after="0" w:line="276" w:lineRule="auto"/>
        <w:rPr>
          <w:sz w:val="20"/>
          <w:szCs w:val="20"/>
          <w:color w:val="auto"/>
        </w:rPr>
      </w:pPr>
      <w:r>
        <w:rPr>
          <w:rFonts w:ascii="Arial" w:cs="Arial" w:eastAsia="Arial" w:hAnsi="Arial"/>
          <w:sz w:val="17"/>
          <w:szCs w:val="17"/>
          <w:color w:val="auto"/>
        </w:rPr>
        <w:t>The following table summarizes stock-based compensation expense related to all of the Company’s stock awards included by operating expense categories,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2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6"/>
                <w:szCs w:val="16"/>
                <w:b w:val="1"/>
                <w:bCs w:val="1"/>
                <w:color w:val="auto"/>
              </w:rPr>
              <w:t>Six Months Ended June 30,</w:t>
            </w:r>
          </w:p>
        </w:tc>
      </w:tr>
      <w:tr>
        <w:trPr>
          <w:trHeight w:val="215"/>
        </w:trPr>
        <w:tc>
          <w:tcPr>
            <w:tcW w:w="44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25"/>
        </w:trPr>
        <w:tc>
          <w:tcPr>
            <w:tcW w:w="4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Cost of revenues</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240" w:type="dxa"/>
            <w:vAlign w:val="bottom"/>
            <w:gridSpan w:val="2"/>
            <w:shd w:val="clear" w:color="auto" w:fill="CCEEFF"/>
          </w:tcPr>
          <w:p>
            <w:pPr>
              <w:jc w:val="right"/>
              <w:ind w:right="95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r>
      <w:tr>
        <w:trPr>
          <w:trHeight w:val="220"/>
        </w:trPr>
        <w:tc>
          <w:tcPr>
            <w:tcW w:w="4420" w:type="dxa"/>
            <w:vAlign w:val="bottom"/>
          </w:tcPr>
          <w:p>
            <w:pPr>
              <w:ind w:left="40"/>
              <w:spacing w:after="0"/>
              <w:rPr>
                <w:sz w:val="20"/>
                <w:szCs w:val="20"/>
                <w:color w:val="auto"/>
              </w:rPr>
            </w:pPr>
            <w:r>
              <w:rPr>
                <w:rFonts w:ascii="Arial" w:cs="Arial" w:eastAsia="Arial" w:hAnsi="Arial"/>
                <w:sz w:val="17"/>
                <w:szCs w:val="17"/>
                <w:color w:val="auto"/>
              </w:rPr>
              <w:t>Research and development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447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872</w:t>
            </w:r>
          </w:p>
        </w:tc>
      </w:tr>
      <w:tr>
        <w:trPr>
          <w:trHeight w:val="22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989</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1,659</w:t>
            </w:r>
          </w:p>
        </w:tc>
      </w:tr>
      <w:tr>
        <w:trPr>
          <w:trHeight w:val="225"/>
        </w:trPr>
        <w:tc>
          <w:tcPr>
            <w:tcW w:w="4420" w:type="dxa"/>
            <w:vAlign w:val="bottom"/>
          </w:tcPr>
          <w:p>
            <w:pPr>
              <w:ind w:left="220"/>
              <w:spacing w:after="0"/>
              <w:rPr>
                <w:sz w:val="20"/>
                <w:szCs w:val="20"/>
                <w:color w:val="auto"/>
              </w:rPr>
            </w:pPr>
            <w:r>
              <w:rPr>
                <w:rFonts w:ascii="Arial" w:cs="Arial" w:eastAsia="Arial" w:hAnsi="Arial"/>
                <w:sz w:val="17"/>
                <w:szCs w:val="17"/>
                <w:color w:val="auto"/>
              </w:rPr>
              <w:t>Total stock-based compensation expense</w:t>
            </w:r>
          </w:p>
        </w:tc>
        <w:tc>
          <w:tcPr>
            <w:tcW w:w="1080" w:type="dxa"/>
            <w:vAlign w:val="bottom"/>
          </w:tcPr>
          <w:p>
            <w:pPr>
              <w:jc w:val="right"/>
              <w:ind w:right="896"/>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1,625</w:t>
            </w:r>
          </w:p>
        </w:tc>
        <w:tc>
          <w:tcPr>
            <w:tcW w:w="1240" w:type="dxa"/>
            <w:vAlign w:val="bottom"/>
            <w:gridSpan w:val="2"/>
          </w:tcPr>
          <w:p>
            <w:pPr>
              <w:jc w:val="right"/>
              <w:ind w:right="954"/>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964</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3,364</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2,891</w:t>
            </w:r>
          </w:p>
        </w:tc>
      </w:tr>
      <w:tr>
        <w:trPr>
          <w:trHeight w:val="20"/>
        </w:trPr>
        <w:tc>
          <w:tcPr>
            <w:tcW w:w="4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2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6"/>
                <w:szCs w:val="16"/>
                <w:b w:val="1"/>
                <w:bCs w:val="1"/>
                <w:color w:val="auto"/>
              </w:rPr>
              <w:t>Six Months Ended June 30,</w:t>
            </w:r>
          </w:p>
        </w:tc>
        <w:tc>
          <w:tcPr>
            <w:tcW w:w="540" w:type="dxa"/>
            <w:vAlign w:val="bottom"/>
            <w:tcBorders>
              <w:bottom w:val="single" w:sz="8" w:color="auto"/>
            </w:tcBorders>
          </w:tcPr>
          <w:p>
            <w:pPr>
              <w:spacing w:after="0"/>
              <w:rPr>
                <w:sz w:val="17"/>
                <w:szCs w:val="17"/>
                <w:color w:val="auto"/>
              </w:rPr>
            </w:pPr>
          </w:p>
        </w:tc>
      </w:tr>
      <w:tr>
        <w:trPr>
          <w:trHeight w:val="225"/>
        </w:trPr>
        <w:tc>
          <w:tcPr>
            <w:tcW w:w="44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9"/>
                <w:szCs w:val="19"/>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240" w:type="dxa"/>
            <w:vAlign w:val="bottom"/>
            <w:gridSpan w:val="2"/>
            <w:shd w:val="clear" w:color="auto" w:fill="CCEEFF"/>
          </w:tcPr>
          <w:p>
            <w:pPr>
              <w:jc w:val="right"/>
              <w:ind w:right="95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180" w:type="dxa"/>
            <w:vAlign w:val="bottom"/>
            <w:gridSpan w:val="2"/>
            <w:shd w:val="clear" w:color="auto" w:fill="CCEEFF"/>
          </w:tcPr>
          <w:p>
            <w:pPr>
              <w:jc w:val="right"/>
              <w:ind w:right="898"/>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1180" w:type="dxa"/>
            <w:vAlign w:val="bottom"/>
            <w:gridSpan w:val="2"/>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w:t>
            </w:r>
          </w:p>
        </w:tc>
      </w:tr>
      <w:tr>
        <w:trPr>
          <w:trHeight w:val="220"/>
        </w:trPr>
        <w:tc>
          <w:tcPr>
            <w:tcW w:w="4420" w:type="dxa"/>
            <w:vAlign w:val="bottom"/>
          </w:tcPr>
          <w:p>
            <w:pPr>
              <w:ind w:left="20"/>
              <w:spacing w:after="0"/>
              <w:rPr>
                <w:sz w:val="20"/>
                <w:szCs w:val="20"/>
                <w:color w:val="auto"/>
              </w:rPr>
            </w:pPr>
            <w:r>
              <w:rPr>
                <w:rFonts w:ascii="Arial" w:cs="Arial" w:eastAsia="Arial" w:hAnsi="Arial"/>
                <w:sz w:val="17"/>
                <w:szCs w:val="17"/>
                <w:color w:val="auto"/>
              </w:rPr>
              <w:t>Restricted stock awards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1,080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509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1,865</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1,387</w:t>
            </w:r>
          </w:p>
        </w:tc>
      </w:tr>
      <w:tr>
        <w:trPr>
          <w:trHeight w:val="22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Performance based cash units</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w:t>
            </w:r>
          </w:p>
        </w:tc>
      </w:tr>
      <w:tr>
        <w:trPr>
          <w:trHeight w:val="213"/>
        </w:trPr>
        <w:tc>
          <w:tcPr>
            <w:tcW w:w="4420" w:type="dxa"/>
            <w:vAlign w:val="bottom"/>
          </w:tcPr>
          <w:p>
            <w:pPr>
              <w:ind w:left="220"/>
              <w:spacing w:after="0"/>
              <w:rPr>
                <w:sz w:val="20"/>
                <w:szCs w:val="20"/>
                <w:color w:val="auto"/>
              </w:rPr>
            </w:pPr>
            <w:r>
              <w:rPr>
                <w:rFonts w:ascii="Arial" w:cs="Arial" w:eastAsia="Arial" w:hAnsi="Arial"/>
                <w:sz w:val="17"/>
                <w:szCs w:val="17"/>
                <w:color w:val="auto"/>
              </w:rPr>
              <w:t>Total stock-based compensation before taxes</w:t>
            </w:r>
          </w:p>
        </w:tc>
        <w:tc>
          <w:tcPr>
            <w:tcW w:w="1080" w:type="dxa"/>
            <w:vAlign w:val="bottom"/>
          </w:tcPr>
          <w:p>
            <w:pPr>
              <w:jc w:val="right"/>
              <w:ind w:right="896"/>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1,625</w:t>
            </w:r>
          </w:p>
        </w:tc>
        <w:tc>
          <w:tcPr>
            <w:tcW w:w="1240" w:type="dxa"/>
            <w:vAlign w:val="bottom"/>
            <w:gridSpan w:val="2"/>
          </w:tcPr>
          <w:p>
            <w:pPr>
              <w:jc w:val="right"/>
              <w:ind w:right="954"/>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964</w:t>
            </w:r>
          </w:p>
        </w:tc>
        <w:tc>
          <w:tcPr>
            <w:tcW w:w="1180" w:type="dxa"/>
            <w:vAlign w:val="bottom"/>
            <w:gridSpan w:val="2"/>
          </w:tcPr>
          <w:p>
            <w:pPr>
              <w:jc w:val="right"/>
              <w:ind w:right="898"/>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3,364</w:t>
            </w:r>
          </w:p>
        </w:tc>
        <w:tc>
          <w:tcPr>
            <w:tcW w:w="1180" w:type="dxa"/>
            <w:vAlign w:val="bottom"/>
            <w:gridSpan w:val="2"/>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2,891</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benefit</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240" w:type="dxa"/>
            <w:vAlign w:val="bottom"/>
            <w:gridSpan w:val="2"/>
            <w:shd w:val="clear" w:color="auto" w:fill="CCEEFF"/>
          </w:tcPr>
          <w:p>
            <w:pPr>
              <w:jc w:val="right"/>
              <w:ind w:right="95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180" w:type="dxa"/>
            <w:vAlign w:val="bottom"/>
            <w:gridSpan w:val="2"/>
            <w:shd w:val="clear" w:color="auto" w:fill="CCEEFF"/>
          </w:tcPr>
          <w:p>
            <w:pPr>
              <w:jc w:val="right"/>
              <w:ind w:right="898"/>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180" w:type="dxa"/>
            <w:vAlign w:val="bottom"/>
            <w:gridSpan w:val="2"/>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r>
    </w:tbl>
    <w:p>
      <w:pPr>
        <w:spacing w:after="0" w:line="29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total stock-based compensation cost related to unvested equity awards as of June 30, 2023 was approximately $7.8 million. The expense is expected to be recognized over a weighted-average period of approximately 1.9 years.</w:t>
      </w:r>
    </w:p>
    <w:p>
      <w:pPr>
        <w:spacing w:after="0" w:line="185"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total stock-based compensation cost related to unvested performance based cash units as of June 30, 2023 was approximately $0.9 million. The expense is expected to be recognized over a weighted-average period of approximately 1.7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44"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The Company uses the Black-Scholes option pricing model for determining the estimated fair value for stock options. The weighted-average assumptions used in the Black-Scholes option pricing model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8"/>
          </w:tcPr>
          <w:p>
            <w:pPr>
              <w:jc w:val="right"/>
              <w:ind w:right="780"/>
              <w:spacing w:after="0"/>
              <w:rPr>
                <w:sz w:val="20"/>
                <w:szCs w:val="20"/>
                <w:color w:val="auto"/>
              </w:rPr>
            </w:pPr>
            <w:r>
              <w:rPr>
                <w:rFonts w:ascii="Arial" w:cs="Arial" w:eastAsia="Arial" w:hAnsi="Arial"/>
                <w:sz w:val="16"/>
                <w:szCs w:val="16"/>
                <w:b w:val="1"/>
                <w:bCs w:val="1"/>
                <w:color w:val="auto"/>
              </w:rPr>
              <w:t>Three Months Ended June 30,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6"/>
          </w:tcPr>
          <w:p>
            <w:pPr>
              <w:jc w:val="right"/>
              <w:ind w:right="756"/>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578"/>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77"/>
              <w:spacing w:after="0"/>
              <w:rPr>
                <w:sz w:val="20"/>
                <w:szCs w:val="20"/>
                <w:color w:val="auto"/>
              </w:rPr>
            </w:pPr>
            <w:r>
              <w:rPr>
                <w:rFonts w:ascii="Arial" w:cs="Arial" w:eastAsia="Arial" w:hAnsi="Arial"/>
                <w:sz w:val="17"/>
                <w:szCs w:val="17"/>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Expected stock price volatility</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3.7 %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4.2 %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Expected life of options (in years)</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0.0 %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0.0 %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fair value of the options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0.55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0.73</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0.59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0.73</w:t>
            </w: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7740" w:type="dxa"/>
            <w:vAlign w:val="bottom"/>
            <w:gridSpan w:val="11"/>
          </w:tcPr>
          <w:p>
            <w:pPr>
              <w:ind w:left="300"/>
              <w:spacing w:after="0"/>
              <w:rPr>
                <w:sz w:val="20"/>
                <w:szCs w:val="20"/>
                <w:color w:val="auto"/>
              </w:rPr>
            </w:pPr>
            <w:r>
              <w:rPr>
                <w:rFonts w:ascii="Arial" w:cs="Arial" w:eastAsia="Arial" w:hAnsi="Arial"/>
                <w:sz w:val="17"/>
                <w:szCs w:val="17"/>
                <w:color w:val="auto"/>
              </w:rPr>
              <w:t>The following table summarizes information about stock options outstanding as of June 30, 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jc w:val="center"/>
              <w:ind w:right="40"/>
              <w:spacing w:after="0" w:line="181" w:lineRule="exact"/>
              <w:rPr>
                <w:sz w:val="20"/>
                <w:szCs w:val="20"/>
                <w:color w:val="auto"/>
              </w:rPr>
            </w:pPr>
            <w:r>
              <w:rPr>
                <w:rFonts w:ascii="Arial" w:cs="Arial" w:eastAsia="Arial" w:hAnsi="Arial"/>
                <w:sz w:val="16"/>
                <w:szCs w:val="16"/>
                <w:b w:val="1"/>
                <w:bCs w:val="1"/>
                <w:color w:val="auto"/>
                <w:w w:val="86"/>
              </w:rPr>
              <w:t>Weighted-Average</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vMerge w:val="restart"/>
          </w:tcPr>
          <w:p>
            <w:pPr>
              <w:jc w:val="center"/>
              <w:ind w:right="216"/>
              <w:spacing w:after="0"/>
              <w:rPr>
                <w:sz w:val="20"/>
                <w:szCs w:val="20"/>
                <w:color w:val="auto"/>
              </w:rPr>
            </w:pPr>
            <w:r>
              <w:rPr>
                <w:rFonts w:ascii="Arial" w:cs="Arial" w:eastAsia="Arial" w:hAnsi="Arial"/>
                <w:sz w:val="16"/>
                <w:szCs w:val="16"/>
                <w:b w:val="1"/>
                <w:bCs w:val="1"/>
                <w:color w:val="auto"/>
                <w:w w:val="85"/>
              </w:rPr>
              <w:t>Aggregate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89"/>
              </w:rPr>
              <w:t>Weighted-Average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ind w:right="40"/>
              <w:spacing w:after="0" w:line="155" w:lineRule="exact"/>
              <w:rPr>
                <w:sz w:val="20"/>
                <w:szCs w:val="20"/>
                <w:color w:val="auto"/>
              </w:rPr>
            </w:pPr>
            <w:r>
              <w:rPr>
                <w:rFonts w:ascii="Arial" w:cs="Arial" w:eastAsia="Arial" w:hAnsi="Arial"/>
                <w:sz w:val="16"/>
                <w:szCs w:val="16"/>
                <w:b w:val="1"/>
                <w:bCs w:val="1"/>
                <w:color w:val="auto"/>
                <w:w w:val="90"/>
              </w:rPr>
              <w:t>Remaining</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60" w:type="dxa"/>
            <w:vAlign w:val="bottom"/>
            <w:vMerge w:val="restart"/>
          </w:tcPr>
          <w:p>
            <w:pPr>
              <w:spacing w:after="0"/>
              <w:rPr>
                <w:sz w:val="20"/>
                <w:szCs w:val="20"/>
                <w:color w:val="auto"/>
              </w:rPr>
            </w:pPr>
            <w:r>
              <w:rPr>
                <w:rFonts w:ascii="Arial" w:cs="Arial" w:eastAsia="Arial" w:hAnsi="Arial"/>
                <w:sz w:val="17"/>
                <w:szCs w:val="17"/>
                <w:b w:val="1"/>
                <w:bCs w:val="1"/>
                <w:color w:val="auto"/>
              </w:rPr>
              <w:t>Options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ind w:right="60"/>
              <w:spacing w:after="0" w:line="155" w:lineRule="exact"/>
              <w:rPr>
                <w:sz w:val="20"/>
                <w:szCs w:val="20"/>
                <w:color w:val="auto"/>
              </w:rPr>
            </w:pPr>
            <w:r>
              <w:rPr>
                <w:rFonts w:ascii="Arial" w:cs="Arial" w:eastAsia="Arial" w:hAnsi="Arial"/>
                <w:sz w:val="16"/>
                <w:szCs w:val="16"/>
                <w:b w:val="1"/>
                <w:bCs w:val="1"/>
                <w:color w:val="auto"/>
                <w:w w:val="89"/>
              </w:rPr>
              <w:t>Contractual</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center"/>
              <w:ind w:right="216"/>
              <w:spacing w:after="0" w:line="155" w:lineRule="exact"/>
              <w:rPr>
                <w:sz w:val="20"/>
                <w:szCs w:val="20"/>
                <w:color w:val="auto"/>
              </w:rPr>
            </w:pPr>
            <w:r>
              <w:rPr>
                <w:rFonts w:ascii="Arial" w:cs="Arial" w:eastAsia="Arial" w:hAnsi="Arial"/>
                <w:sz w:val="16"/>
                <w:szCs w:val="16"/>
                <w:b w:val="1"/>
                <w:bCs w:val="1"/>
                <w:color w:val="auto"/>
                <w:w w:val="89"/>
              </w:rPr>
              <w:t>Intrinsic</w:t>
            </w:r>
          </w:p>
        </w:tc>
        <w:tc>
          <w:tcPr>
            <w:tcW w:w="0" w:type="dxa"/>
            <w:vAlign w:val="bottom"/>
          </w:tcPr>
          <w:p>
            <w:pPr>
              <w:spacing w:after="0"/>
              <w:rPr>
                <w:sz w:val="1"/>
                <w:szCs w:val="1"/>
                <w:color w:val="auto"/>
              </w:rPr>
            </w:pPr>
          </w:p>
        </w:tc>
      </w:tr>
      <w:tr>
        <w:trPr>
          <w:trHeight w:val="204"/>
        </w:trPr>
        <w:tc>
          <w:tcPr>
            <w:tcW w:w="2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Exercise Price</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Term (Years)</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16"/>
              <w:spacing w:after="0"/>
              <w:rPr>
                <w:sz w:val="20"/>
                <w:szCs w:val="20"/>
                <w:color w:val="auto"/>
              </w:rPr>
            </w:pPr>
            <w:r>
              <w:rPr>
                <w:rFonts w:ascii="Arial" w:cs="Arial" w:eastAsia="Arial" w:hAnsi="Arial"/>
                <w:sz w:val="16"/>
                <w:szCs w:val="16"/>
                <w:b w:val="1"/>
                <w:bCs w:val="1"/>
                <w:color w:val="auto"/>
                <w:w w:val="84"/>
              </w:rPr>
              <w:t>Value</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2022</w:t>
            </w:r>
          </w:p>
        </w:tc>
        <w:tc>
          <w:tcPr>
            <w:tcW w:w="1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6,641</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60" w:type="dxa"/>
            <w:vAlign w:val="bottom"/>
          </w:tcPr>
          <w:p>
            <w:pPr>
              <w:ind w:left="220"/>
              <w:spacing w:after="0"/>
              <w:rPr>
                <w:sz w:val="20"/>
                <w:szCs w:val="20"/>
                <w:color w:val="auto"/>
              </w:rPr>
            </w:pPr>
            <w:r>
              <w:rPr>
                <w:rFonts w:ascii="Arial" w:cs="Arial" w:eastAsia="Arial" w:hAnsi="Arial"/>
                <w:sz w:val="17"/>
                <w:szCs w:val="17"/>
                <w:color w:val="auto"/>
              </w:rPr>
              <w:t>Options Granted</w:t>
            </w:r>
          </w:p>
        </w:tc>
        <w:tc>
          <w:tcPr>
            <w:tcW w:w="120" w:type="dxa"/>
            <w:vAlign w:val="bottom"/>
          </w:tcPr>
          <w:p>
            <w:pPr>
              <w:spacing w:after="0"/>
              <w:rPr>
                <w:sz w:val="19"/>
                <w:szCs w:val="19"/>
                <w:color w:val="auto"/>
              </w:rPr>
            </w:pPr>
          </w:p>
        </w:tc>
        <w:tc>
          <w:tcPr>
            <w:tcW w:w="1680" w:type="dxa"/>
            <w:vAlign w:val="bottom"/>
            <w:gridSpan w:val="3"/>
          </w:tcPr>
          <w:p>
            <w:pPr>
              <w:jc w:val="right"/>
              <w:ind w:right="20"/>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Options Exercised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Options Cancelled</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(282)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15.82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June 30, 2023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6,381</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spacing w:after="0"/>
              <w:rPr>
                <w:sz w:val="20"/>
                <w:szCs w:val="20"/>
                <w:color w:val="auto"/>
              </w:rPr>
            </w:pPr>
            <w:r>
              <w:rPr>
                <w:rFonts w:ascii="Arial" w:cs="Arial" w:eastAsia="Arial" w:hAnsi="Arial"/>
                <w:sz w:val="17"/>
                <w:szCs w:val="17"/>
                <w:color w:val="auto"/>
              </w:rPr>
              <w:t>Vested and exercisable at June 30, 2023</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tcPr>
          <w:p>
            <w:pPr>
              <w:jc w:val="right"/>
              <w:ind w:right="20"/>
              <w:spacing w:after="0"/>
              <w:rPr>
                <w:sz w:val="20"/>
                <w:szCs w:val="20"/>
                <w:color w:val="auto"/>
              </w:rPr>
            </w:pPr>
            <w:r>
              <w:rPr>
                <w:rFonts w:ascii="Arial" w:cs="Arial" w:eastAsia="Arial" w:hAnsi="Arial"/>
                <w:sz w:val="17"/>
                <w:szCs w:val="17"/>
                <w:color w:val="auto"/>
              </w:rPr>
              <w:t>3,269</w:t>
            </w:r>
          </w:p>
        </w:tc>
        <w:tc>
          <w:tcPr>
            <w:tcW w:w="2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rPr>
              <w:t>4.90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7"/>
                <w:szCs w:val="17"/>
                <w:color w:val="auto"/>
              </w:rPr>
              <w:t>4.02</w:t>
            </w:r>
          </w:p>
        </w:tc>
        <w:tc>
          <w:tcPr>
            <w:tcW w:w="40" w:type="dxa"/>
            <w:vAlign w:val="bottom"/>
          </w:tcPr>
          <w:p>
            <w:pPr>
              <w:spacing w:after="0"/>
              <w:rPr>
                <w:sz w:val="17"/>
                <w:szCs w:val="17"/>
                <w:color w:val="auto"/>
              </w:rPr>
            </w:pPr>
          </w:p>
        </w:tc>
        <w:tc>
          <w:tcPr>
            <w:tcW w:w="36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total intrinsic value of stock options exercisable was nil at June 30, 2023 and 2022, respectively. The total intrinsic value of stock options exercised was nil and nil during the six months ended June 30, 2023 and 2022,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Awards of Restricted Stock and Performance Stock</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 summary of the Company’s unvested restricted stock at June 30, 2023, and changes during the six months ended June 30, 2023, is presented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ind w:right="34"/>
              <w:spacing w:after="0"/>
              <w:rPr>
                <w:sz w:val="20"/>
                <w:szCs w:val="20"/>
                <w:color w:val="auto"/>
              </w:rPr>
            </w:pPr>
            <w:r>
              <w:rPr>
                <w:rFonts w:ascii="Arial" w:cs="Arial" w:eastAsia="Arial" w:hAnsi="Arial"/>
                <w:sz w:val="17"/>
                <w:szCs w:val="17"/>
                <w:b w:val="1"/>
                <w:bCs w:val="1"/>
                <w:color w:val="auto"/>
                <w:w w:val="89"/>
              </w:rPr>
              <w:t>Weighted- Average</w:t>
            </w:r>
          </w:p>
        </w:tc>
        <w:tc>
          <w:tcPr>
            <w:tcW w:w="0" w:type="dxa"/>
            <w:vAlign w:val="bottom"/>
          </w:tcPr>
          <w:p>
            <w:pPr>
              <w:spacing w:after="0"/>
              <w:rPr>
                <w:sz w:val="1"/>
                <w:szCs w:val="1"/>
                <w:color w:val="auto"/>
              </w:rPr>
            </w:pPr>
          </w:p>
        </w:tc>
      </w:tr>
      <w:tr>
        <w:trPr>
          <w:trHeight w:val="173"/>
        </w:trPr>
        <w:tc>
          <w:tcPr>
            <w:tcW w:w="77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Unvested restricted stock</w:t>
            </w:r>
          </w:p>
        </w:tc>
        <w:tc>
          <w:tcPr>
            <w:tcW w:w="100" w:type="dxa"/>
            <w:vAlign w:val="bottom"/>
          </w:tcPr>
          <w:p>
            <w:pPr>
              <w:spacing w:after="0"/>
              <w:rPr>
                <w:sz w:val="15"/>
                <w:szCs w:val="15"/>
                <w:color w:val="auto"/>
              </w:rPr>
            </w:pPr>
          </w:p>
        </w:tc>
        <w:tc>
          <w:tcPr>
            <w:tcW w:w="1640" w:type="dxa"/>
            <w:vAlign w:val="bottom"/>
          </w:tcPr>
          <w:p>
            <w:pPr>
              <w:jc w:val="right"/>
              <w:ind w:right="334"/>
              <w:spacing w:after="0" w:line="173" w:lineRule="exact"/>
              <w:rPr>
                <w:sz w:val="20"/>
                <w:szCs w:val="20"/>
                <w:color w:val="auto"/>
              </w:rPr>
            </w:pPr>
            <w:r>
              <w:rPr>
                <w:rFonts w:ascii="Arial" w:cs="Arial" w:eastAsia="Arial" w:hAnsi="Arial"/>
                <w:sz w:val="17"/>
                <w:szCs w:val="17"/>
                <w:b w:val="1"/>
                <w:bCs w:val="1"/>
                <w:color w:val="auto"/>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14"/>
              <w:spacing w:after="0" w:line="173" w:lineRule="exact"/>
              <w:rPr>
                <w:sz w:val="20"/>
                <w:szCs w:val="20"/>
                <w:color w:val="auto"/>
              </w:rPr>
            </w:pPr>
            <w:r>
              <w:rPr>
                <w:rFonts w:ascii="Arial" w:cs="Arial" w:eastAsia="Arial" w:hAnsi="Arial"/>
                <w:sz w:val="17"/>
                <w:szCs w:val="17"/>
                <w:b w:val="1"/>
                <w:bCs w:val="1"/>
                <w:color w:val="auto"/>
                <w:w w:val="96"/>
              </w:rPr>
              <w:t>Grant Date</w:t>
            </w:r>
          </w:p>
        </w:tc>
        <w:tc>
          <w:tcPr>
            <w:tcW w:w="0" w:type="dxa"/>
            <w:vAlign w:val="bottom"/>
          </w:tcPr>
          <w:p>
            <w:pPr>
              <w:spacing w:after="0"/>
              <w:rPr>
                <w:sz w:val="1"/>
                <w:szCs w:val="1"/>
                <w:color w:val="auto"/>
              </w:rPr>
            </w:pPr>
          </w:p>
        </w:tc>
      </w:tr>
      <w:tr>
        <w:trPr>
          <w:trHeight w:val="220"/>
        </w:trPr>
        <w:tc>
          <w:tcPr>
            <w:tcW w:w="77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Awards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3"/>
              </w:rPr>
              <w:t>Fair Value</w:t>
            </w: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December 31, 2022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20"/>
        </w:trPr>
        <w:tc>
          <w:tcPr>
            <w:tcW w:w="7740" w:type="dxa"/>
            <w:vAlign w:val="bottom"/>
          </w:tcPr>
          <w:p>
            <w:pPr>
              <w:ind w:left="220"/>
              <w:spacing w:after="0"/>
              <w:rPr>
                <w:sz w:val="20"/>
                <w:szCs w:val="20"/>
                <w:color w:val="auto"/>
              </w:rPr>
            </w:pPr>
            <w:r>
              <w:rPr>
                <w:rFonts w:ascii="Arial" w:cs="Arial" w:eastAsia="Arial" w:hAnsi="Arial"/>
                <w:sz w:val="17"/>
                <w:szCs w:val="17"/>
                <w:color w:val="auto"/>
              </w:rPr>
              <w:t>Granted</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3,284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0.95</w:t>
            </w: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Granted adjustment</w:t>
            </w:r>
            <w:r>
              <w:rPr>
                <w:rFonts w:ascii="Arial" w:cs="Arial" w:eastAsia="Arial" w:hAnsi="Arial"/>
                <w:sz w:val="22"/>
                <w:szCs w:val="22"/>
                <w:color w:val="auto"/>
                <w:vertAlign w:val="superscript"/>
              </w:rPr>
              <w:t>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26"/>
        </w:trPr>
        <w:tc>
          <w:tcPr>
            <w:tcW w:w="7740" w:type="dxa"/>
            <w:vAlign w:val="bottom"/>
          </w:tcPr>
          <w:p>
            <w:pPr>
              <w:ind w:left="220"/>
              <w:spacing w:after="0"/>
              <w:rPr>
                <w:sz w:val="20"/>
                <w:szCs w:val="20"/>
                <w:color w:val="auto"/>
              </w:rPr>
            </w:pPr>
            <w:r>
              <w:rPr>
                <w:rFonts w:ascii="Arial" w:cs="Arial" w:eastAsia="Arial" w:hAnsi="Arial"/>
                <w:sz w:val="17"/>
                <w:szCs w:val="17"/>
                <w:color w:val="auto"/>
              </w:rPr>
              <w:t>Vested</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Forfeited</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7"/>
                <w:szCs w:val="17"/>
                <w:color w:val="auto"/>
              </w:rPr>
              <w:t>Unvested at June 30, 2023</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6,560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6" w:lineRule="exact"/>
        <w:rPr>
          <w:sz w:val="20"/>
          <w:szCs w:val="20"/>
          <w:color w:val="auto"/>
        </w:rPr>
      </w:pPr>
    </w:p>
    <w:p>
      <w:pPr>
        <w:ind w:left="320" w:hanging="317"/>
        <w:spacing w:after="0" w:line="221" w:lineRule="auto"/>
        <w:tabs>
          <w:tab w:leader="none" w:pos="182"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Represents performance based cash units grants that vested and were paid out in form of shares of stock during the period and changes in unvested performance based restricted stock awards due to performance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Restricted stock awards are granted subject to service conditions or service and performance conditions. Restricted stock awards (“RSA”) and performance based restricted stock awards (“PRSA”) are measured at the closing stock price at the date of grant and the expense is recognized straight line over the requisite service period.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Based Cash Units</w:t>
      </w:r>
    </w:p>
    <w:p>
      <w:pPr>
        <w:spacing w:after="0" w:line="244"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Performance based cash units generally vest at the end of a three-year period based on service and achievement of certain performance objectives determined by the Company’s Board of Directors.</w:t>
      </w:r>
    </w:p>
    <w:p>
      <w:pPr>
        <w:spacing w:after="0" w:line="185" w:lineRule="exact"/>
        <w:rPr>
          <w:sz w:val="20"/>
          <w:szCs w:val="20"/>
          <w:color w:val="auto"/>
        </w:rPr>
      </w:pPr>
    </w:p>
    <w:p>
      <w:pPr>
        <w:jc w:val="both"/>
        <w:ind w:firstLine="310"/>
        <w:spacing w:after="0" w:line="273" w:lineRule="auto"/>
        <w:rPr>
          <w:sz w:val="20"/>
          <w:szCs w:val="20"/>
          <w:color w:val="auto"/>
        </w:rPr>
      </w:pPr>
      <w:r>
        <w:rPr>
          <w:rFonts w:ascii="Arial" w:cs="Arial" w:eastAsia="Arial" w:hAnsi="Arial"/>
          <w:sz w:val="17"/>
          <w:szCs w:val="17"/>
          <w:color w:val="auto"/>
        </w:rPr>
        <w:t>A summary of the Company’s outstanding performance based cash units at June 30, 2023 and changes during the six months ended June 30, 2023, is presented below:</w:t>
      </w:r>
    </w:p>
    <w:tbl>
      <w:tblPr>
        <w:tblLayout w:type="fixed"/>
        <w:tblInd w:w="0" w:type="dxa"/>
        <w:tblCellMar>
          <w:top w:w="0" w:type="dxa"/>
          <w:left w:w="0" w:type="dxa"/>
          <w:bottom w:w="0" w:type="dxa"/>
          <w:right w:w="0" w:type="dxa"/>
        </w:tblCellMar>
      </w:tblPr>
      <w:tr>
        <w:trPr>
          <w:trHeight w:val="175"/>
        </w:trPr>
        <w:tc>
          <w:tcPr>
            <w:tcW w:w="77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Outstanding performance based cash units</w:t>
            </w:r>
          </w:p>
        </w:tc>
        <w:tc>
          <w:tcPr>
            <w:tcW w:w="100" w:type="dxa"/>
            <w:vAlign w:val="bottom"/>
          </w:tcPr>
          <w:p>
            <w:pPr>
              <w:spacing w:after="0"/>
              <w:rPr>
                <w:sz w:val="15"/>
                <w:szCs w:val="15"/>
                <w:color w:val="auto"/>
              </w:rPr>
            </w:pPr>
          </w:p>
        </w:tc>
        <w:tc>
          <w:tcPr>
            <w:tcW w:w="1640" w:type="dxa"/>
            <w:vAlign w:val="bottom"/>
          </w:tcPr>
          <w:p>
            <w:pPr>
              <w:jc w:val="right"/>
              <w:ind w:right="334"/>
              <w:spacing w:after="0" w:line="175" w:lineRule="exact"/>
              <w:rPr>
                <w:sz w:val="20"/>
                <w:szCs w:val="20"/>
                <w:color w:val="auto"/>
              </w:rPr>
            </w:pPr>
            <w:r>
              <w:rPr>
                <w:rFonts w:ascii="Arial" w:cs="Arial" w:eastAsia="Arial" w:hAnsi="Arial"/>
                <w:sz w:val="17"/>
                <w:szCs w:val="17"/>
                <w:b w:val="1"/>
                <w:bCs w:val="1"/>
                <w:color w:val="auto"/>
              </w:rPr>
              <w:t>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ind w:right="134"/>
              <w:spacing w:after="0" w:line="175" w:lineRule="exact"/>
              <w:rPr>
                <w:sz w:val="20"/>
                <w:szCs w:val="20"/>
                <w:color w:val="auto"/>
              </w:rPr>
            </w:pPr>
            <w:r>
              <w:rPr>
                <w:rFonts w:ascii="Arial" w:cs="Arial" w:eastAsia="Arial" w:hAnsi="Arial"/>
                <w:sz w:val="17"/>
                <w:szCs w:val="17"/>
                <w:b w:val="1"/>
                <w:bCs w:val="1"/>
                <w:color w:val="auto"/>
                <w:w w:val="98"/>
              </w:rPr>
              <w:t>Period End Fair</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Units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5,872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r>
        <w:trPr>
          <w:trHeight w:val="220"/>
        </w:trPr>
        <w:tc>
          <w:tcPr>
            <w:tcW w:w="7760" w:type="dxa"/>
            <w:vAlign w:val="bottom"/>
          </w:tcPr>
          <w:p>
            <w:pPr>
              <w:ind w:left="220"/>
              <w:spacing w:after="0"/>
              <w:rPr>
                <w:sz w:val="20"/>
                <w:szCs w:val="20"/>
                <w:color w:val="auto"/>
              </w:rPr>
            </w:pPr>
            <w:r>
              <w:rPr>
                <w:rFonts w:ascii="Arial" w:cs="Arial" w:eastAsia="Arial" w:hAnsi="Arial"/>
                <w:sz w:val="17"/>
                <w:szCs w:val="17"/>
                <w:color w:val="auto"/>
              </w:rPr>
              <w:t>Granted</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1,206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7760" w:type="dxa"/>
            <w:vAlign w:val="bottom"/>
            <w:shd w:val="clear" w:color="auto" w:fill="CCEEFF"/>
          </w:tcPr>
          <w:p>
            <w:pPr>
              <w:ind w:left="220"/>
              <w:spacing w:after="0" w:line="232" w:lineRule="exact"/>
              <w:rPr>
                <w:sz w:val="20"/>
                <w:szCs w:val="20"/>
                <w:color w:val="auto"/>
              </w:rPr>
            </w:pPr>
            <w:r>
              <w:rPr>
                <w:rFonts w:ascii="Arial" w:cs="Arial" w:eastAsia="Arial" w:hAnsi="Arial"/>
                <w:sz w:val="17"/>
                <w:szCs w:val="17"/>
                <w:color w:val="auto"/>
              </w:rPr>
              <w:t>Granted adjustment</w:t>
            </w:r>
            <w:r>
              <w:rPr>
                <w:rFonts w:ascii="Arial" w:cs="Arial" w:eastAsia="Arial" w:hAnsi="Arial"/>
                <w:sz w:val="22"/>
                <w:szCs w:val="22"/>
                <w:color w:val="auto"/>
                <w:vertAlign w:val="superscript"/>
              </w:rPr>
              <w:t>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760" w:type="dxa"/>
            <w:vAlign w:val="bottom"/>
          </w:tcPr>
          <w:p>
            <w:pPr>
              <w:ind w:left="220"/>
              <w:spacing w:after="0" w:line="220" w:lineRule="exact"/>
              <w:rPr>
                <w:sz w:val="20"/>
                <w:szCs w:val="20"/>
                <w:color w:val="auto"/>
              </w:rPr>
            </w:pPr>
            <w:r>
              <w:rPr>
                <w:rFonts w:ascii="Arial" w:cs="Arial" w:eastAsia="Arial" w:hAnsi="Arial"/>
                <w:sz w:val="17"/>
                <w:szCs w:val="17"/>
                <w:color w:val="auto"/>
              </w:rPr>
              <w:t>Vested and distributed</w:t>
            </w:r>
            <w:r>
              <w:rPr>
                <w:rFonts w:ascii="Arial" w:cs="Arial" w:eastAsia="Arial" w:hAnsi="Arial"/>
                <w:sz w:val="22"/>
                <w:szCs w:val="22"/>
                <w:color w:val="auto"/>
                <w:vertAlign w:val="superscript"/>
              </w:rPr>
              <w:t>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Forfeited</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7760" w:type="dxa"/>
            <w:vAlign w:val="bottom"/>
          </w:tcPr>
          <w:p>
            <w:pPr>
              <w:ind w:left="20"/>
              <w:spacing w:after="0"/>
              <w:rPr>
                <w:sz w:val="20"/>
                <w:szCs w:val="20"/>
                <w:color w:val="auto"/>
              </w:rPr>
            </w:pPr>
            <w:r>
              <w:rPr>
                <w:rFonts w:ascii="Arial" w:cs="Arial" w:eastAsia="Arial" w:hAnsi="Arial"/>
                <w:sz w:val="17"/>
                <w:szCs w:val="17"/>
                <w:color w:val="auto"/>
              </w:rPr>
              <w:t>Outstanding at June 30, 2023</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6,971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0.93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ind w:left="160" w:hanging="157"/>
        <w:spacing w:after="0" w:line="211" w:lineRule="auto"/>
        <w:tabs>
          <w:tab w:leader="none" w:pos="160"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Includes changes in the outstanding performance based cash units due to performance adjustments.</w:t>
      </w:r>
    </w:p>
    <w:p>
      <w:pPr>
        <w:spacing w:after="0"/>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Includes earned PBCU that vested and were distributed to participants during the period.</w:t>
      </w:r>
    </w:p>
    <w:p>
      <w:pPr>
        <w:spacing w:after="0" w:line="167" w:lineRule="exact"/>
        <w:rPr>
          <w:sz w:val="20"/>
          <w:szCs w:val="20"/>
          <w:color w:val="auto"/>
        </w:rPr>
      </w:pPr>
    </w:p>
    <w:p>
      <w:pPr>
        <w:jc w:val="both"/>
        <w:ind w:firstLine="310"/>
        <w:spacing w:after="0" w:line="253" w:lineRule="auto"/>
        <w:rPr>
          <w:sz w:val="20"/>
          <w:szCs w:val="20"/>
          <w:color w:val="auto"/>
        </w:rPr>
      </w:pPr>
      <w:r>
        <w:rPr>
          <w:rFonts w:ascii="Arial" w:cs="Arial" w:eastAsia="Arial" w:hAnsi="Arial"/>
          <w:sz w:val="17"/>
          <w:szCs w:val="17"/>
          <w:color w:val="auto"/>
        </w:rPr>
        <w:t>Performance based cash units are measured at the closing stock price at the reporting period end date and the expense is recognized straight line over the requisite service period. The expense for the period will increase or decrease based on updated fair values of these units at each reporting date. Unvested units’ fluctuations are shown as adjustments to units granted in the table above. These fluctuations are based on the percentage achievement of the performance metrics at the end of each reporting period.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237" w:lineRule="exact"/>
        <w:rPr>
          <w:sz w:val="20"/>
          <w:szCs w:val="20"/>
          <w:color w:val="auto"/>
        </w:rPr>
      </w:pPr>
    </w:p>
    <w:p>
      <w:pPr>
        <w:jc w:val="both"/>
        <w:ind w:firstLine="310"/>
        <w:spacing w:after="0" w:line="274" w:lineRule="auto"/>
        <w:rPr>
          <w:sz w:val="20"/>
          <w:szCs w:val="20"/>
          <w:color w:val="auto"/>
        </w:rPr>
      </w:pPr>
      <w:r>
        <w:rPr>
          <w:rFonts w:ascii="Arial" w:cs="Arial" w:eastAsia="Arial" w:hAnsi="Arial"/>
          <w:sz w:val="15"/>
          <w:szCs w:val="15"/>
          <w:color w:val="auto"/>
        </w:rPr>
        <w:t>The Company recognized an income tax expense of approximately $1.8 million and $0.6 million during the six months ended June 30, 2023 and 2022, respectively. The effective tax rate was approximately (10.5)% for the six months ended June 30, 2023, which was lower than the U.S. federal statutory rate primarily due to pre-tax losses in jurisdictions where full valuation allowances have been recorded and certain jurisdictions projecting current income tax expense. The Company’s income tax expense for the period is primarily driven by the enacted Internal Revenue Code Section 174 rules that require the Company to amortize qualifying research and development expenses over five years or fifteen years depending on the jurisdiction where such activities are performed. The Company’s effective tax rate was approximately 10.3% for the six months ended June 30, 2022, which was lower than the U.S. federal statutory rate primarily due to pre-tax losses in jurisdictions where full valuation allowances have been recorded. Additionally, the Company recognized a discrete income tax benefit in the period associated with the release of certain reserves for uncertain tax benefits.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six months ended June 30, 2023.</w:t>
      </w:r>
    </w:p>
    <w:p>
      <w:pPr>
        <w:spacing w:after="0" w:line="189" w:lineRule="exact"/>
        <w:rPr>
          <w:sz w:val="20"/>
          <w:szCs w:val="20"/>
          <w:color w:val="auto"/>
        </w:rPr>
      </w:pPr>
    </w:p>
    <w:p>
      <w:pPr>
        <w:jc w:val="both"/>
        <w:ind w:firstLine="310"/>
        <w:spacing w:after="0" w:line="247" w:lineRule="auto"/>
        <w:rPr>
          <w:sz w:val="20"/>
          <w:szCs w:val="20"/>
          <w:color w:val="auto"/>
        </w:rPr>
      </w:pPr>
      <w:r>
        <w:rPr>
          <w:rFonts w:ascii="Arial" w:cs="Arial" w:eastAsia="Arial" w:hAnsi="Arial"/>
          <w:sz w:val="17"/>
          <w:szCs w:val="17"/>
          <w:color w:val="auto"/>
        </w:rPr>
        <w:t>On August 16, 2022, the Inflation Reduction Act of 2022 ("IRA") was signed into law. This legislation includes significant changes relating to tax, climate change, energy and health care. Among other provisions, the IRA introduces a corporate alternative minimum tax assessed on financial statement income of certain large corporations and an excise tax on share repurchases. The IRA does not have a material impact on the Company’s financial statements in the period ended June 30, 2023.</w:t>
      </w:r>
    </w:p>
    <w:p>
      <w:pPr>
        <w:spacing w:after="0" w:line="203" w:lineRule="exact"/>
        <w:rPr>
          <w:sz w:val="20"/>
          <w:szCs w:val="20"/>
          <w:color w:val="auto"/>
        </w:rPr>
      </w:pPr>
    </w:p>
    <w:p>
      <w:pPr>
        <w:jc w:val="both"/>
        <w:ind w:firstLine="310"/>
        <w:spacing w:after="0" w:line="267" w:lineRule="auto"/>
        <w:rPr>
          <w:sz w:val="20"/>
          <w:szCs w:val="20"/>
          <w:color w:val="auto"/>
        </w:rPr>
      </w:pPr>
      <w:r>
        <w:rPr>
          <w:rFonts w:ascii="Arial" w:cs="Arial" w:eastAsia="Arial" w:hAnsi="Arial"/>
          <w:sz w:val="17"/>
          <w:szCs w:val="17"/>
          <w:color w:val="auto"/>
        </w:rPr>
        <w:t>During 2021 the Internal Revenue Service commenced an audit of certain of the Company’s prior year U.S. federal income tax filings, including the 2013 through 2020 tax years. The audit is currently ongoing and while the receipt of the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39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refunds would materially improve its financial position, the Company does not believe that the results of this audit will have a material effect on its results of operations.</w:t>
      </w:r>
    </w:p>
    <w:p>
      <w:pPr>
        <w:spacing w:after="0" w:line="185" w:lineRule="exact"/>
        <w:rPr>
          <w:sz w:val="20"/>
          <w:szCs w:val="20"/>
          <w:color w:val="auto"/>
        </w:rPr>
      </w:pPr>
    </w:p>
    <w:p>
      <w:pPr>
        <w:jc w:val="both"/>
        <w:ind w:firstLine="310"/>
        <w:spacing w:after="0" w:line="267" w:lineRule="auto"/>
        <w:rPr>
          <w:sz w:val="20"/>
          <w:szCs w:val="20"/>
          <w:color w:val="auto"/>
        </w:rPr>
      </w:pPr>
      <w:r>
        <w:rPr>
          <w:rFonts w:ascii="Arial" w:cs="Arial" w:eastAsia="Arial" w:hAnsi="Arial"/>
          <w:sz w:val="17"/>
          <w:szCs w:val="17"/>
          <w:color w:val="auto"/>
        </w:rPr>
        <w:t>The Company received $4.3 million in federal tax refunds in the second quarter of 2022. There is no change to the Company’s position on the remaining tax refunds.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Restructuring</w:t>
      </w:r>
    </w:p>
    <w:p>
      <w:pPr>
        <w:spacing w:after="0" w:line="250" w:lineRule="exact"/>
        <w:rPr>
          <w:sz w:val="20"/>
          <w:szCs w:val="20"/>
          <w:color w:val="auto"/>
        </w:rPr>
      </w:pPr>
    </w:p>
    <w:p>
      <w:pPr>
        <w:jc w:val="both"/>
        <w:ind w:firstLine="310"/>
        <w:spacing w:after="0" w:line="267" w:lineRule="auto"/>
        <w:rPr>
          <w:sz w:val="20"/>
          <w:szCs w:val="20"/>
          <w:color w:val="auto"/>
        </w:rPr>
      </w:pPr>
      <w:r>
        <w:rPr>
          <w:rFonts w:ascii="Arial" w:cs="Arial" w:eastAsia="Arial" w:hAnsi="Arial"/>
          <w:sz w:val="17"/>
          <w:szCs w:val="17"/>
          <w:color w:val="auto"/>
        </w:rPr>
        <w:t>The Company continues to execute certain restructurings to identify workforce optimization opportunities to better align the Company’s resources with its key strategic priorities. A summary of the Company’s restructuring accrual at June 30, 2023 and changes during the six months ended June 30, 2023, are presented below:</w:t>
      </w: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234"/>
              <w:spacing w:after="0" w:line="174" w:lineRule="exact"/>
              <w:rPr>
                <w:sz w:val="20"/>
                <w:szCs w:val="20"/>
                <w:color w:val="auto"/>
              </w:rPr>
            </w:pPr>
            <w:r>
              <w:rPr>
                <w:rFonts w:ascii="Arial" w:cs="Arial" w:eastAsia="Arial" w:hAnsi="Arial"/>
                <w:sz w:val="17"/>
                <w:szCs w:val="17"/>
                <w:b w:val="1"/>
                <w:bCs w:val="1"/>
                <w:color w:val="auto"/>
              </w:rPr>
              <w:t>Balance at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Charges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ind w:right="274"/>
              <w:spacing w:after="0"/>
              <w:rPr>
                <w:sz w:val="20"/>
                <w:szCs w:val="20"/>
                <w:color w:val="auto"/>
              </w:rPr>
            </w:pPr>
            <w:r>
              <w:rPr>
                <w:rFonts w:ascii="Arial" w:cs="Arial" w:eastAsia="Arial" w:hAnsi="Arial"/>
                <w:sz w:val="17"/>
                <w:szCs w:val="17"/>
                <w:b w:val="1"/>
                <w:bCs w:val="1"/>
                <w:color w:val="auto"/>
              </w:rPr>
              <w:t>Payments</w:t>
            </w:r>
          </w:p>
        </w:tc>
        <w:tc>
          <w:tcPr>
            <w:tcW w:w="100" w:type="dxa"/>
            <w:vAlign w:val="bottom"/>
          </w:tcPr>
          <w:p>
            <w:pPr>
              <w:spacing w:after="0"/>
              <w:rPr>
                <w:sz w:val="15"/>
                <w:szCs w:val="15"/>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w w:val="91"/>
              </w:rPr>
              <w:t>Other Adjustments</w:t>
            </w:r>
          </w:p>
        </w:tc>
        <w:tc>
          <w:tcPr>
            <w:tcW w:w="12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1300" w:type="dxa"/>
            <w:vAlign w:val="bottom"/>
          </w:tcPr>
          <w:p>
            <w:pPr>
              <w:jc w:val="center"/>
              <w:ind w:right="34"/>
              <w:spacing w:after="0" w:line="174" w:lineRule="exact"/>
              <w:rPr>
                <w:sz w:val="20"/>
                <w:szCs w:val="20"/>
                <w:color w:val="auto"/>
              </w:rPr>
            </w:pPr>
            <w:r>
              <w:rPr>
                <w:rFonts w:ascii="Arial" w:cs="Arial" w:eastAsia="Arial" w:hAnsi="Arial"/>
                <w:sz w:val="17"/>
                <w:szCs w:val="17"/>
                <w:b w:val="1"/>
                <w:bCs w:val="1"/>
                <w:color w:val="auto"/>
                <w:w w:val="91"/>
              </w:rPr>
              <w:t>Balance at June</w:t>
            </w:r>
          </w:p>
        </w:tc>
        <w:tc>
          <w:tcPr>
            <w:tcW w:w="0" w:type="dxa"/>
            <w:vAlign w:val="bottom"/>
          </w:tcPr>
          <w:p>
            <w:pPr>
              <w:spacing w:after="0"/>
              <w:rPr>
                <w:sz w:val="1"/>
                <w:szCs w:val="1"/>
                <w:color w:val="auto"/>
              </w:rPr>
            </w:pPr>
          </w:p>
        </w:tc>
      </w:tr>
      <w:tr>
        <w:trPr>
          <w:trHeight w:val="220"/>
        </w:trPr>
        <w:tc>
          <w:tcPr>
            <w:tcW w:w="3640" w:type="dxa"/>
            <w:vAlign w:val="bottom"/>
          </w:tcPr>
          <w:p>
            <w:pPr>
              <w:spacing w:after="0"/>
              <w:rPr>
                <w:sz w:val="19"/>
                <w:szCs w:val="19"/>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w w:val="90"/>
              </w:rPr>
              <w:t>December 31, 2022</w:t>
            </w:r>
          </w:p>
        </w:tc>
        <w:tc>
          <w:tcPr>
            <w:tcW w:w="12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30, 2023</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Employment termination costs</w:t>
            </w:r>
          </w:p>
        </w:tc>
        <w:tc>
          <w:tcPr>
            <w:tcW w:w="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1160" w:type="dxa"/>
            <w:vAlign w:val="bottom"/>
            <w:gridSpan w:val="2"/>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366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Earnings per Common Share (“EPS”)</w:t>
      </w:r>
    </w:p>
    <w:p>
      <w:pPr>
        <w:spacing w:after="0" w:line="250"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The following table provides a reconciliation of the numerator and denominator used in computing basic and diluted net income attributable to common stockholders per common share from operations.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22"/>
        </w:trPr>
        <w:tc>
          <w:tcPr>
            <w:tcW w:w="4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 - Basic:</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340" w:type="dxa"/>
            <w:vAlign w:val="bottom"/>
          </w:tcPr>
          <w:p>
            <w:pPr>
              <w:ind w:left="240"/>
              <w:spacing w:after="0"/>
              <w:rPr>
                <w:sz w:val="20"/>
                <w:szCs w:val="20"/>
                <w:color w:val="auto"/>
              </w:rPr>
            </w:pPr>
            <w:r>
              <w:rPr>
                <w:rFonts w:ascii="Arial" w:cs="Arial" w:eastAsia="Arial" w:hAnsi="Arial"/>
                <w:sz w:val="17"/>
                <w:szCs w:val="17"/>
                <w:color w:val="auto"/>
              </w:rPr>
              <w:t>Net (loss) income from operations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(8,518)</w:t>
            </w:r>
          </w:p>
        </w:tc>
        <w:tc>
          <w:tcPr>
            <w:tcW w:w="46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7,921</w:t>
            </w:r>
          </w:p>
        </w:tc>
        <w:tc>
          <w:tcPr>
            <w:tcW w:w="480" w:type="dxa"/>
            <w:vAlign w:val="bottom"/>
            <w:gridSpan w:val="2"/>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(19,449)</w:t>
            </w:r>
          </w:p>
        </w:tc>
        <w:tc>
          <w:tcPr>
            <w:tcW w:w="46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4,884</w:t>
            </w:r>
          </w:p>
        </w:tc>
        <w:tc>
          <w:tcPr>
            <w:tcW w:w="0" w:type="dxa"/>
            <w:vAlign w:val="bottom"/>
          </w:tcPr>
          <w:p>
            <w:pPr>
              <w:spacing w:after="0"/>
              <w:rPr>
                <w:sz w:val="1"/>
                <w:szCs w:val="1"/>
                <w:color w:val="auto"/>
              </w:rPr>
            </w:pPr>
          </w:p>
        </w:tc>
      </w:tr>
      <w:tr>
        <w:trPr>
          <w:trHeight w:val="175"/>
        </w:trPr>
        <w:tc>
          <w:tcPr>
            <w:tcW w:w="4340" w:type="dxa"/>
            <w:vAlign w:val="bottom"/>
            <w:shd w:val="clear" w:color="auto" w:fill="CCEEFF"/>
          </w:tcPr>
          <w:p>
            <w:pPr>
              <w:ind w:left="240"/>
              <w:spacing w:after="0" w:line="175" w:lineRule="exact"/>
              <w:rPr>
                <w:sz w:val="20"/>
                <w:szCs w:val="20"/>
                <w:color w:val="auto"/>
              </w:rPr>
            </w:pPr>
            <w:r>
              <w:rPr>
                <w:rFonts w:ascii="Arial" w:cs="Arial" w:eastAsia="Arial" w:hAnsi="Arial"/>
                <w:sz w:val="17"/>
                <w:szCs w:val="17"/>
                <w:color w:val="auto"/>
              </w:rPr>
              <w:t>Net income (loss) attributable to redeemable</w:t>
            </w:r>
          </w:p>
        </w:tc>
        <w:tc>
          <w:tcPr>
            <w:tcW w:w="3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129"/>
        </w:trPr>
        <w:tc>
          <w:tcPr>
            <w:tcW w:w="4340" w:type="dxa"/>
            <w:vAlign w:val="bottom"/>
            <w:vMerge w:val="restart"/>
            <w:shd w:val="clear" w:color="auto" w:fill="CCEEFF"/>
          </w:tcPr>
          <w:p>
            <w:pPr>
              <w:ind w:left="240"/>
              <w:spacing w:after="0"/>
              <w:rPr>
                <w:sz w:val="20"/>
                <w:szCs w:val="20"/>
                <w:color w:val="auto"/>
              </w:rPr>
            </w:pPr>
            <w:r>
              <w:rPr>
                <w:rFonts w:ascii="Arial" w:cs="Arial" w:eastAsia="Arial" w:hAnsi="Arial"/>
                <w:sz w:val="17"/>
                <w:szCs w:val="17"/>
                <w:color w:val="auto"/>
              </w:rPr>
              <w:t>noncontrolling interests</w:t>
            </w:r>
          </w:p>
        </w:tc>
        <w:tc>
          <w:tcPr>
            <w:tcW w:w="360" w:type="dxa"/>
            <w:vAlign w:val="bottom"/>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34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40"/>
              <w:spacing w:after="0"/>
              <w:rPr>
                <w:sz w:val="20"/>
                <w:szCs w:val="20"/>
                <w:color w:val="auto"/>
              </w:rPr>
            </w:pPr>
            <w:r>
              <w:rPr>
                <w:rFonts w:ascii="Arial" w:cs="Arial" w:eastAsia="Arial" w:hAnsi="Arial"/>
                <w:sz w:val="17"/>
                <w:szCs w:val="17"/>
                <w:color w:val="auto"/>
              </w:rPr>
              <w:t>Preferred stock dividend</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(4,949)</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(4,957)</w:t>
            </w:r>
          </w:p>
        </w:tc>
        <w:tc>
          <w:tcPr>
            <w:tcW w:w="0" w:type="dxa"/>
            <w:vAlign w:val="bottom"/>
          </w:tcPr>
          <w:p>
            <w:pPr>
              <w:spacing w:after="0"/>
              <w:rPr>
                <w:sz w:val="1"/>
                <w:szCs w:val="1"/>
                <w:color w:val="auto"/>
              </w:rPr>
            </w:pPr>
          </w:p>
        </w:tc>
      </w:tr>
      <w:tr>
        <w:trPr>
          <w:trHeight w:val="239"/>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 attributable to Synchronoss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(10,979)</w:t>
            </w:r>
          </w:p>
        </w:tc>
        <w:tc>
          <w:tcPr>
            <w:tcW w:w="4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5,327</w:t>
            </w:r>
          </w:p>
        </w:tc>
        <w:tc>
          <w:tcPr>
            <w:tcW w:w="4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(24,370)</w:t>
            </w:r>
          </w:p>
        </w:tc>
        <w:tc>
          <w:tcPr>
            <w:tcW w:w="4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 - Diluted: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Net (loss) income attributable to Synchronoss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(24,370)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33"/>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 attributable to Synchronoss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(10,979)</w:t>
            </w:r>
          </w:p>
        </w:tc>
        <w:tc>
          <w:tcPr>
            <w:tcW w:w="4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5,327</w:t>
            </w:r>
          </w:p>
        </w:tc>
        <w:tc>
          <w:tcPr>
            <w:tcW w:w="4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(24,370)</w:t>
            </w:r>
          </w:p>
        </w:tc>
        <w:tc>
          <w:tcPr>
            <w:tcW w:w="4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 — basic</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86,785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87,124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86,644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86,031</w:t>
            </w:r>
          </w:p>
        </w:tc>
        <w:tc>
          <w:tcPr>
            <w:tcW w:w="0" w:type="dxa"/>
            <w:vAlign w:val="bottom"/>
          </w:tcPr>
          <w:p>
            <w:pPr>
              <w:spacing w:after="0"/>
              <w:rPr>
                <w:sz w:val="1"/>
                <w:szCs w:val="1"/>
                <w:color w:val="auto"/>
              </w:rPr>
            </w:pPr>
          </w:p>
        </w:tc>
      </w:tr>
      <w:tr>
        <w:trPr>
          <w:trHeight w:val="233"/>
        </w:trPr>
        <w:tc>
          <w:tcPr>
            <w:tcW w:w="4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Dilutive effect of:</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20"/>
              <w:spacing w:after="0"/>
              <w:rPr>
                <w:sz w:val="20"/>
                <w:szCs w:val="20"/>
                <w:color w:val="auto"/>
              </w:rPr>
            </w:pPr>
            <w:r>
              <w:rPr>
                <w:rFonts w:ascii="Arial" w:cs="Arial" w:eastAsia="Arial" w:hAnsi="Arial"/>
                <w:sz w:val="17"/>
                <w:szCs w:val="17"/>
                <w:color w:val="auto"/>
              </w:rPr>
              <w:t>Shares from assumed conversion of PBCU</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Options and unvested restricted shares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Arial" w:cs="Arial" w:eastAsia="Arial" w:hAnsi="Arial"/>
                <w:sz w:val="17"/>
                <w:szCs w:val="17"/>
                <w:color w:val="auto"/>
                <w:w w:val="99"/>
              </w:rPr>
              <w:t>Weighted average common shares outstanding — diluted</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86,785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89,249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86,644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86,031</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340" w:type="dxa"/>
            <w:vAlign w:val="bottom"/>
          </w:tcPr>
          <w:p>
            <w:pPr>
              <w:ind w:left="20"/>
              <w:spacing w:after="0"/>
              <w:rPr>
                <w:sz w:val="20"/>
                <w:szCs w:val="20"/>
                <w:color w:val="auto"/>
              </w:rPr>
            </w:pPr>
            <w:r>
              <w:rPr>
                <w:rFonts w:ascii="Arial" w:cs="Arial" w:eastAsia="Arial" w:hAnsi="Arial"/>
                <w:sz w:val="17"/>
                <w:szCs w:val="17"/>
                <w:color w:val="auto"/>
              </w:rPr>
              <w:t>Earnings (loss) per share: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220"/>
              <w:spacing w:after="0"/>
              <w:rPr>
                <w:sz w:val="20"/>
                <w:szCs w:val="20"/>
                <w:color w:val="auto"/>
              </w:rPr>
            </w:pPr>
            <w:r>
              <w:rPr>
                <w:rFonts w:ascii="Arial" w:cs="Arial" w:eastAsia="Arial" w:hAnsi="Arial"/>
                <w:sz w:val="17"/>
                <w:szCs w:val="17"/>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40" w:type="dxa"/>
            <w:vAlign w:val="bottom"/>
            <w:vMerge w:val="continue"/>
          </w:tcPr>
          <w:p>
            <w:pPr>
              <w:spacing w:after="0"/>
              <w:rPr>
                <w:sz w:val="16"/>
                <w:szCs w:val="16"/>
                <w:color w:val="auto"/>
              </w:rPr>
            </w:pPr>
          </w:p>
        </w:tc>
        <w:tc>
          <w:tcPr>
            <w:tcW w:w="360" w:type="dxa"/>
            <w:vAlign w:val="bottom"/>
          </w:tcPr>
          <w:p>
            <w:pPr>
              <w:jc w:val="right"/>
              <w:ind w:right="174"/>
              <w:spacing w:after="0" w:line="191" w:lineRule="exact"/>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line="191" w:lineRule="exact"/>
              <w:rPr>
                <w:sz w:val="20"/>
                <w:szCs w:val="20"/>
                <w:color w:val="auto"/>
              </w:rPr>
            </w:pPr>
            <w:r>
              <w:rPr>
                <w:rFonts w:ascii="Arial" w:cs="Arial" w:eastAsia="Arial" w:hAnsi="Arial"/>
                <w:sz w:val="17"/>
                <w:szCs w:val="17"/>
                <w:color w:val="auto"/>
              </w:rPr>
              <w:t>(0.13)</w:t>
            </w:r>
          </w:p>
        </w:tc>
        <w:tc>
          <w:tcPr>
            <w:tcW w:w="460" w:type="dxa"/>
            <w:vAlign w:val="bottom"/>
            <w:gridSpan w:val="2"/>
          </w:tcPr>
          <w:p>
            <w:pPr>
              <w:jc w:val="right"/>
              <w:ind w:right="174"/>
              <w:spacing w:after="0" w:line="191" w:lineRule="exact"/>
              <w:rPr>
                <w:sz w:val="20"/>
                <w:szCs w:val="20"/>
                <w:color w:val="auto"/>
              </w:rPr>
            </w:pPr>
            <w:r>
              <w:rPr>
                <w:rFonts w:ascii="Arial" w:cs="Arial" w:eastAsia="Arial" w:hAnsi="Arial"/>
                <w:sz w:val="17"/>
                <w:szCs w:val="17"/>
                <w:color w:val="auto"/>
              </w:rPr>
              <w:t>$</w:t>
            </w:r>
          </w:p>
        </w:tc>
        <w:tc>
          <w:tcPr>
            <w:tcW w:w="1260" w:type="dxa"/>
            <w:vAlign w:val="bottom"/>
          </w:tcPr>
          <w:p>
            <w:pPr>
              <w:jc w:val="right"/>
              <w:spacing w:after="0" w:line="191" w:lineRule="exact"/>
              <w:rPr>
                <w:sz w:val="20"/>
                <w:szCs w:val="20"/>
                <w:color w:val="auto"/>
              </w:rPr>
            </w:pPr>
            <w:r>
              <w:rPr>
                <w:rFonts w:ascii="Arial" w:cs="Arial" w:eastAsia="Arial" w:hAnsi="Arial"/>
                <w:sz w:val="17"/>
                <w:szCs w:val="17"/>
                <w:color w:val="auto"/>
              </w:rPr>
              <w:t>0.06</w:t>
            </w:r>
          </w:p>
        </w:tc>
        <w:tc>
          <w:tcPr>
            <w:tcW w:w="480" w:type="dxa"/>
            <w:vAlign w:val="bottom"/>
            <w:gridSpan w:val="2"/>
          </w:tcPr>
          <w:p>
            <w:pPr>
              <w:jc w:val="right"/>
              <w:ind w:right="194"/>
              <w:spacing w:after="0" w:line="191" w:lineRule="exact"/>
              <w:rPr>
                <w:sz w:val="20"/>
                <w:szCs w:val="20"/>
                <w:color w:val="auto"/>
              </w:rPr>
            </w:pPr>
            <w:r>
              <w:rPr>
                <w:rFonts w:ascii="Arial" w:cs="Arial" w:eastAsia="Arial" w:hAnsi="Arial"/>
                <w:sz w:val="17"/>
                <w:szCs w:val="17"/>
                <w:color w:val="auto"/>
              </w:rPr>
              <w:t>$</w:t>
            </w:r>
          </w:p>
        </w:tc>
        <w:tc>
          <w:tcPr>
            <w:tcW w:w="1260" w:type="dxa"/>
            <w:vAlign w:val="bottom"/>
          </w:tcPr>
          <w:p>
            <w:pPr>
              <w:jc w:val="right"/>
              <w:spacing w:after="0" w:line="191" w:lineRule="exact"/>
              <w:rPr>
                <w:sz w:val="20"/>
                <w:szCs w:val="20"/>
                <w:color w:val="auto"/>
              </w:rPr>
            </w:pPr>
            <w:r>
              <w:rPr>
                <w:rFonts w:ascii="Arial" w:cs="Arial" w:eastAsia="Arial" w:hAnsi="Arial"/>
                <w:sz w:val="17"/>
                <w:szCs w:val="17"/>
                <w:color w:val="auto"/>
              </w:rPr>
              <w:t>(0.28)</w:t>
            </w:r>
          </w:p>
        </w:tc>
        <w:tc>
          <w:tcPr>
            <w:tcW w:w="460" w:type="dxa"/>
            <w:vAlign w:val="bottom"/>
            <w:gridSpan w:val="2"/>
          </w:tcPr>
          <w:p>
            <w:pPr>
              <w:jc w:val="right"/>
              <w:ind w:right="174"/>
              <w:spacing w:after="0" w:line="191" w:lineRule="exact"/>
              <w:rPr>
                <w:sz w:val="20"/>
                <w:szCs w:val="20"/>
                <w:color w:val="auto"/>
              </w:rPr>
            </w:pPr>
            <w:r>
              <w:rPr>
                <w:rFonts w:ascii="Arial" w:cs="Arial" w:eastAsia="Arial" w:hAnsi="Arial"/>
                <w:sz w:val="17"/>
                <w:szCs w:val="17"/>
                <w:color w:val="auto"/>
              </w:rPr>
              <w:t>$</w:t>
            </w:r>
          </w:p>
        </w:tc>
        <w:tc>
          <w:tcPr>
            <w:tcW w:w="1260" w:type="dxa"/>
            <w:vAlign w:val="bottom"/>
          </w:tcPr>
          <w:p>
            <w:pPr>
              <w:jc w:val="right"/>
              <w:spacing w:after="0" w:line="19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0"/>
              <w:spacing w:after="0"/>
              <w:rPr>
                <w:sz w:val="20"/>
                <w:szCs w:val="20"/>
                <w:color w:val="auto"/>
              </w:rPr>
            </w:pPr>
            <w:r>
              <w:rPr>
                <w:rFonts w:ascii="Arial" w:cs="Arial" w:eastAsia="Arial" w:hAnsi="Arial"/>
                <w:sz w:val="17"/>
                <w:szCs w:val="17"/>
                <w:color w:val="auto"/>
              </w:rPr>
              <w:t>Anti-dilutive stock options excluded</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shares of restricted stock awards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Contingencies and Other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Non-cancelable agreements</w:t>
      </w:r>
    </w:p>
    <w:p>
      <w:pPr>
        <w:spacing w:after="0" w:line="244"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Company has various non-cancelable arrangements such as services for hosting, support, and software that expire at various dates, with the latest expiration in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480" w:type="dxa"/>
            <w:vAlign w:val="bottom"/>
          </w:tcPr>
          <w:p>
            <w:pPr>
              <w:ind w:left="320"/>
              <w:spacing w:after="0"/>
              <w:rPr>
                <w:sz w:val="20"/>
                <w:szCs w:val="20"/>
                <w:color w:val="auto"/>
              </w:rPr>
            </w:pPr>
            <w:r>
              <w:rPr>
                <w:rFonts w:ascii="Arial" w:cs="Arial" w:eastAsia="Arial" w:hAnsi="Arial"/>
                <w:sz w:val="17"/>
                <w:szCs w:val="17"/>
                <w:color w:val="auto"/>
              </w:rPr>
              <w:t>Aggregate annual future minimum payments under non-cancelable agreements as of June 30, 2023 are as follows: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7"/>
        </w:trPr>
        <w:tc>
          <w:tcPr>
            <w:tcW w:w="9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174"/>
              <w:spacing w:after="0"/>
              <w:rPr>
                <w:sz w:val="20"/>
                <w:szCs w:val="20"/>
                <w:color w:val="auto"/>
              </w:rPr>
            </w:pPr>
            <w:r>
              <w:rPr>
                <w:rFonts w:ascii="Arial" w:cs="Arial" w:eastAsia="Arial" w:hAnsi="Arial"/>
                <w:sz w:val="17"/>
                <w:szCs w:val="17"/>
                <w:b w:val="1"/>
                <w:bCs w:val="1"/>
                <w:color w:val="auto"/>
                <w:w w:val="95"/>
              </w:rPr>
              <w:t>Non-cancelable</w:t>
            </w:r>
          </w:p>
        </w:tc>
      </w:tr>
      <w:tr>
        <w:trPr>
          <w:trHeight w:val="225"/>
        </w:trPr>
        <w:tc>
          <w:tcPr>
            <w:tcW w:w="948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Year</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agreements</w:t>
            </w:r>
          </w:p>
        </w:tc>
      </w:tr>
      <w:tr>
        <w:trPr>
          <w:trHeight w:val="213"/>
        </w:trPr>
        <w:tc>
          <w:tcPr>
            <w:tcW w:w="9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The remainder of 2023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8,239</w:t>
            </w:r>
          </w:p>
        </w:tc>
      </w:tr>
      <w:tr>
        <w:trPr>
          <w:trHeight w:val="226"/>
        </w:trPr>
        <w:tc>
          <w:tcPr>
            <w:tcW w:w="9480" w:type="dxa"/>
            <w:vAlign w:val="bottom"/>
          </w:tcPr>
          <w:p>
            <w:pPr>
              <w:ind w:left="12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18,340</w:t>
            </w:r>
          </w:p>
        </w:tc>
      </w:tr>
      <w:tr>
        <w:trPr>
          <w:trHeight w:val="226"/>
        </w:trPr>
        <w:tc>
          <w:tcPr>
            <w:tcW w:w="9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11,127</w:t>
            </w:r>
          </w:p>
        </w:tc>
      </w:tr>
      <w:tr>
        <w:trPr>
          <w:trHeight w:val="220"/>
        </w:trPr>
        <w:tc>
          <w:tcPr>
            <w:tcW w:w="9480" w:type="dxa"/>
            <w:vAlign w:val="bottom"/>
          </w:tcPr>
          <w:p>
            <w:pPr>
              <w:ind w:left="120"/>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447</w:t>
            </w:r>
          </w:p>
        </w:tc>
      </w:tr>
      <w:tr>
        <w:trPr>
          <w:trHeight w:val="233"/>
        </w:trPr>
        <w:tc>
          <w:tcPr>
            <w:tcW w:w="9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13"/>
        </w:trPr>
        <w:tc>
          <w:tcPr>
            <w:tcW w:w="9480" w:type="dxa"/>
            <w:vAlign w:val="bottom"/>
          </w:tcPr>
          <w:p>
            <w:pPr>
              <w:ind w:left="220"/>
              <w:spacing w:after="0"/>
              <w:rPr>
                <w:sz w:val="20"/>
                <w:szCs w:val="20"/>
                <w:color w:val="auto"/>
              </w:rPr>
            </w:pPr>
            <w:r>
              <w:rPr>
                <w:rFonts w:ascii="Arial" w:cs="Arial" w:eastAsia="Arial" w:hAnsi="Arial"/>
                <w:sz w:val="17"/>
                <w:szCs w:val="17"/>
                <w:color w:val="auto"/>
              </w:rPr>
              <w:t>Total</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38,273</w:t>
            </w:r>
          </w:p>
        </w:tc>
      </w:tr>
      <w:tr>
        <w:trPr>
          <w:trHeight w:val="20"/>
        </w:trPr>
        <w:tc>
          <w:tcPr>
            <w:tcW w:w="9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44" w:lineRule="exact"/>
        <w:rPr>
          <w:sz w:val="20"/>
          <w:szCs w:val="20"/>
          <w:color w:val="auto"/>
        </w:rPr>
      </w:pPr>
    </w:p>
    <w:p>
      <w:pPr>
        <w:jc w:val="both"/>
        <w:ind w:firstLine="310"/>
        <w:spacing w:after="0" w:line="296" w:lineRule="auto"/>
        <w:rPr>
          <w:sz w:val="20"/>
          <w:szCs w:val="20"/>
          <w:color w:val="auto"/>
        </w:rPr>
      </w:pPr>
      <w:r>
        <w:rPr>
          <w:rFonts w:ascii="Arial" w:cs="Arial" w:eastAsia="Arial" w:hAnsi="Arial"/>
          <w:sz w:val="15"/>
          <w:szCs w:val="15"/>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85" w:lineRule="exact"/>
        <w:rPr>
          <w:sz w:val="20"/>
          <w:szCs w:val="20"/>
          <w:color w:val="auto"/>
        </w:rPr>
      </w:pPr>
    </w:p>
    <w:p>
      <w:pPr>
        <w:jc w:val="both"/>
        <w:ind w:firstLine="310"/>
        <w:spacing w:after="0" w:line="273" w:lineRule="auto"/>
        <w:rPr>
          <w:sz w:val="20"/>
          <w:szCs w:val="20"/>
          <w:color w:val="auto"/>
        </w:rPr>
      </w:pPr>
      <w:r>
        <w:rPr>
          <w:rFonts w:ascii="Arial" w:cs="Arial" w:eastAsia="Arial" w:hAnsi="Arial"/>
          <w:sz w:val="16"/>
          <w:szCs w:val="16"/>
          <w:color w:val="auto"/>
        </w:rPr>
        <w:t>In the third quarter of 2017, the SEC and Department of Justice (the “DoJ”) initiated investigations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On June 7, 2022 the SEC approved the Offer of Settlement and filed an Order Instituting Cease-And-Desist Proceedings pursuant to Section 21C of the Securities Exchange Act of 1934, Making Findings, and Imposing a Cease-And-Desist Order (the “SEC Order”). Pursuant to the terms of the SEC Order, the Company consented to pay a civil penalty in the amount of $12.5 million in equal quarterly installments over two years and to cease and desist from committing or causing any violations of Sections 10(b), 13(a), 13(b)(2)(A) and 13(b)(2)(B) of the Exchange Act and the associated rules thereunder. In addition, failure to comply with the provisions of the SEC Order could result in further actions by one or both governmental agencies which could have a material adverse effect on the Company’s results of operations. The expense associated with this settlement of the SEC Order has previously been accrued in the Company’s financial statements. Also on June 7, 2022, the SEC filed a civil action against two former members of the Company’s management team, alleging misconduct arising out of the restated transactions that took place in 2015 and 2016 investigated by the SEC as set forth above. The Company may be required to indemnify the former members of management in that action. Due to the inherent uncertainty of litigation, the Company cannot predict the outcome of the litigation and can give no assurance that the asserted claims will not have a material adverse effect on its financial position, prospects, or results of operations.</w:t>
      </w:r>
    </w:p>
    <w:p>
      <w:pPr>
        <w:spacing w:after="0" w:line="199"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Except as set forth above, the Company is not currently subject to any other legal proceedings that could have a material adverse effect on its operations; however, the Company may from time to time become a party to various legal proceedings arising in the ordinary course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Additional Financial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components of Other Income (expense), net included in the Condensed Consolidated Statements of Operations: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40" w:type="dxa"/>
            <w:vAlign w:val="bottom"/>
          </w:tcPr>
          <w:p>
            <w:pPr>
              <w:spacing w:after="0"/>
              <w:rPr>
                <w:sz w:val="17"/>
                <w:szCs w:val="17"/>
                <w:color w:val="auto"/>
              </w:rPr>
            </w:pPr>
          </w:p>
        </w:tc>
        <w:tc>
          <w:tcPr>
            <w:tcW w:w="278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6"/>
                <w:szCs w:val="16"/>
                <w:b w:val="1"/>
                <w:bCs w:val="1"/>
                <w:color w:val="auto"/>
              </w:rPr>
              <w:t>Six Months Ended June 30,</w:t>
            </w:r>
          </w:p>
        </w:tc>
      </w:tr>
      <w:tr>
        <w:trPr>
          <w:trHeight w:val="200"/>
        </w:trPr>
        <w:tc>
          <w:tcPr>
            <w:tcW w:w="4440" w:type="dxa"/>
            <w:vAlign w:val="bottom"/>
          </w:tcPr>
          <w:p>
            <w:pPr>
              <w:spacing w:after="0"/>
              <w:rPr>
                <w:sz w:val="17"/>
                <w:szCs w:val="17"/>
                <w:color w:val="auto"/>
              </w:rPr>
            </w:pP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2022</w:t>
            </w:r>
          </w:p>
        </w:tc>
      </w:tr>
      <w:tr>
        <w:trPr>
          <w:trHeight w:val="215"/>
        </w:trPr>
        <w:tc>
          <w:tcPr>
            <w:tcW w:w="4440" w:type="dxa"/>
            <w:vAlign w:val="bottom"/>
            <w:shd w:val="clear" w:color="auto" w:fill="CCEEFF"/>
          </w:tcPr>
          <w:p>
            <w:pPr>
              <w:ind w:left="20"/>
              <w:spacing w:after="0" w:line="214" w:lineRule="exact"/>
              <w:rPr>
                <w:sz w:val="20"/>
                <w:szCs w:val="20"/>
                <w:color w:val="auto"/>
              </w:rPr>
            </w:pPr>
            <w:r>
              <w:rPr>
                <w:rFonts w:ascii="Arial" w:cs="Arial" w:eastAsia="Arial" w:hAnsi="Arial"/>
                <w:sz w:val="17"/>
                <w:szCs w:val="17"/>
                <w:color w:val="auto"/>
              </w:rPr>
              <w:t>FX (losses) gains</w:t>
            </w:r>
            <w:r>
              <w:rPr>
                <w:rFonts w:ascii="Arial" w:cs="Arial" w:eastAsia="Arial" w:hAnsi="Arial"/>
                <w:sz w:val="22"/>
                <w:szCs w:val="22"/>
                <w:color w:val="auto"/>
                <w:vertAlign w:val="superscript"/>
              </w:rPr>
              <w:t>1</w:t>
            </w: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1160" w:type="dxa"/>
            <w:vAlign w:val="bottom"/>
            <w:gridSpan w:val="2"/>
            <w:shd w:val="clear" w:color="auto" w:fill="CCEEFF"/>
          </w:tcPr>
          <w:p>
            <w:pPr>
              <w:jc w:val="right"/>
              <w:ind w:right="88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5,614</w:t>
            </w:r>
          </w:p>
        </w:tc>
      </w:tr>
      <w:tr>
        <w:trPr>
          <w:trHeight w:val="233"/>
        </w:trPr>
        <w:tc>
          <w:tcPr>
            <w:tcW w:w="4440" w:type="dxa"/>
            <w:vAlign w:val="bottom"/>
            <w:tcBorders>
              <w:bottom w:val="single" w:sz="8" w:color="CCEEFF"/>
            </w:tcBorders>
          </w:tcPr>
          <w:p>
            <w:pPr>
              <w:ind w:left="20"/>
              <w:spacing w:after="0" w:line="232"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2</w:t>
            </w:r>
          </w:p>
        </w:tc>
        <w:tc>
          <w:tcPr>
            <w:tcW w:w="1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r>
      <w:tr>
        <w:trPr>
          <w:trHeight w:val="233"/>
        </w:trPr>
        <w:tc>
          <w:tcPr>
            <w:tcW w:w="4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160" w:type="dxa"/>
            <w:vAlign w:val="bottom"/>
            <w:gridSpan w:val="2"/>
            <w:shd w:val="clear" w:color="auto" w:fill="CCEEFF"/>
          </w:tcPr>
          <w:p>
            <w:pPr>
              <w:jc w:val="right"/>
              <w:ind w:right="88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5,769</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60" w:hanging="157"/>
        <w:spacing w:after="0" w:line="181" w:lineRule="auto"/>
        <w:tabs>
          <w:tab w:leader="none" w:pos="160" w:val="left"/>
        </w:tabs>
        <w:numPr>
          <w:ilvl w:val="0"/>
          <w:numId w:val="15"/>
        </w:numPr>
        <w:rPr>
          <w:rFonts w:ascii="Arial" w:cs="Arial" w:eastAsia="Arial" w:hAnsi="Arial"/>
          <w:sz w:val="20"/>
          <w:szCs w:val="20"/>
          <w:color w:val="auto"/>
          <w:vertAlign w:val="superscript"/>
        </w:rPr>
      </w:pPr>
      <w:r>
        <w:rPr>
          <w:rFonts w:ascii="Arial" w:cs="Arial" w:eastAsia="Arial" w:hAnsi="Arial"/>
          <w:sz w:val="16"/>
          <w:szCs w:val="16"/>
          <w:color w:val="auto"/>
        </w:rPr>
        <w:t>Represents foreign exchange gains and losses.</w:t>
      </w:r>
    </w:p>
    <w:p>
      <w:pPr>
        <w:ind w:left="160" w:hanging="157"/>
        <w:spacing w:after="0" w:line="195" w:lineRule="auto"/>
        <w:tabs>
          <w:tab w:leader="none" w:pos="16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Represents an aggregate of individually immaterial transactions.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w:t>
      </w:r>
    </w:p>
    <w:p>
      <w:pPr>
        <w:spacing w:after="0" w:line="250"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On July 18, 2023, Synchronoss Technologies, Inc. (the “Company”) entered into an agreement (the “Change Request”) with Verizon Sourcing LLC, on behalf of itself and for the benefit of their Affiliates (as defined therein) (individually and collectively, “Verizon”) to amend the terms of Statement of Work No. 1, as amended (“SOW No. 1”) under the existing Application Service Provider Agreement dated April 1, 2013 between the Company and Verizon, as amended (the “Original Agreement”).</w:t>
      </w:r>
    </w:p>
    <w:p>
      <w:pPr>
        <w:spacing w:after="0" w:line="203"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The Change Request, among other things, provides for a seven-year contract until June 30, 2030, which term will automatically renew for two additional two-year periods unless Company or Verizon provides notice of non-renewal, most favored pricing terms for Verizon, and a commitment from the Company for investment in the personal cloud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50"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203" w:lineRule="exact"/>
        <w:rPr>
          <w:sz w:val="20"/>
          <w:szCs w:val="20"/>
          <w:color w:val="auto"/>
        </w:rPr>
      </w:pPr>
    </w:p>
    <w:p>
      <w:pPr>
        <w:jc w:val="both"/>
        <w:ind w:firstLine="310"/>
        <w:spacing w:after="0" w:line="295" w:lineRule="auto"/>
        <w:rPr>
          <w:sz w:val="20"/>
          <w:szCs w:val="20"/>
          <w:color w:val="auto"/>
        </w:rPr>
      </w:pPr>
      <w:r>
        <w:rPr>
          <w:rFonts w:ascii="Arial" w:cs="Arial" w:eastAsia="Arial" w:hAnsi="Arial"/>
          <w:sz w:val="15"/>
          <w:szCs w:val="15"/>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including, but not limited to, risks, uncertainties and assumptions relating to the duration and severity of the COVID-19 pandemic and its impact on 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0"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Synchronoss is a leading provider of white label cloud, messaging, digital and network management solutions that enable our customers to keep subscribers, systems, networks and content in sync. We help our customers to connect, engage and monetize subscribers in more meaningful ways by providing trusted platforms through which end users can sync and store content and connect with one another and the brands they love. Our mission is to help our customers create new revenue streams, reduce the cost of innovation, and captivate their subscribers.</w:t>
      </w:r>
    </w:p>
    <w:p>
      <w:pPr>
        <w:spacing w:after="0" w:line="203"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Our core product sets allow our customers to create a positive experience throughout their subscribers’ lifecycle by engaging, onboarding and managing the network to ensure reliable service.</w:t>
      </w:r>
    </w:p>
    <w:p>
      <w:pPr>
        <w:spacing w:after="0" w:line="202"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21"/>
          <w:szCs w:val="21"/>
          <w:color w:val="auto"/>
        </w:rPr>
      </w:pPr>
      <w:r>
        <w:rPr>
          <w:rFonts w:ascii="Arial" w:cs="Arial" w:eastAsia="Arial" w:hAnsi="Arial"/>
          <w:sz w:val="17"/>
          <w:szCs w:val="17"/>
          <w:color w:val="auto"/>
        </w:rPr>
        <w:t>EngageX:</w:t>
      </w:r>
    </w:p>
    <w:p>
      <w:pPr>
        <w:spacing w:after="0" w:line="10" w:lineRule="exact"/>
        <w:rPr>
          <w:rFonts w:ascii="Arial" w:cs="Arial" w:eastAsia="Arial" w:hAnsi="Arial"/>
          <w:sz w:val="21"/>
          <w:szCs w:val="21"/>
          <w:color w:val="auto"/>
        </w:rPr>
      </w:pPr>
    </w:p>
    <w:p>
      <w:pPr>
        <w:ind w:left="1240" w:hanging="306"/>
        <w:spacing w:after="0" w:line="234" w:lineRule="auto"/>
        <w:tabs>
          <w:tab w:leader="none" w:pos="1240" w:val="left"/>
        </w:tabs>
        <w:numPr>
          <w:ilvl w:val="1"/>
          <w:numId w:val="17"/>
        </w:numPr>
        <w:rPr>
          <w:rFonts w:ascii="Arial" w:cs="Arial" w:eastAsia="Arial" w:hAnsi="Arial"/>
          <w:sz w:val="21"/>
          <w:szCs w:val="21"/>
          <w:color w:val="auto"/>
        </w:rPr>
      </w:pPr>
      <w:r>
        <w:rPr>
          <w:rFonts w:ascii="Arial" w:cs="Arial" w:eastAsia="Arial" w:hAnsi="Arial"/>
          <w:sz w:val="17"/>
          <w:szCs w:val="17"/>
          <w:color w:val="auto"/>
        </w:rPr>
        <w:t>Personal Cloud: Backup, manage and engage with content.</w:t>
      </w:r>
    </w:p>
    <w:p>
      <w:pPr>
        <w:spacing w:after="0" w:line="26" w:lineRule="exact"/>
        <w:rPr>
          <w:rFonts w:ascii="Arial" w:cs="Arial" w:eastAsia="Arial" w:hAnsi="Arial"/>
          <w:sz w:val="21"/>
          <w:szCs w:val="21"/>
          <w:color w:val="auto"/>
        </w:rPr>
      </w:pPr>
    </w:p>
    <w:p>
      <w:pPr>
        <w:ind w:left="1240" w:hanging="306"/>
        <w:spacing w:after="0"/>
        <w:tabs>
          <w:tab w:leader="none" w:pos="1240" w:val="left"/>
        </w:tabs>
        <w:numPr>
          <w:ilvl w:val="1"/>
          <w:numId w:val="17"/>
        </w:numPr>
        <w:rPr>
          <w:rFonts w:ascii="Arial" w:cs="Arial" w:eastAsia="Arial" w:hAnsi="Arial"/>
          <w:sz w:val="18"/>
          <w:szCs w:val="18"/>
          <w:color w:val="auto"/>
        </w:rPr>
      </w:pPr>
      <w:r>
        <w:rPr>
          <w:rFonts w:ascii="Arial" w:cs="Arial" w:eastAsia="Arial" w:hAnsi="Arial"/>
          <w:sz w:val="15"/>
          <w:szCs w:val="15"/>
          <w:color w:val="auto"/>
        </w:rPr>
        <w:t>Advanced Messaging: multi-channel messaging, peer-to-peer (“P2P”) communications and application-to-person (“A2P”) commerce solutions.</w:t>
      </w:r>
    </w:p>
    <w:p>
      <w:pPr>
        <w:spacing w:after="0" w:line="29" w:lineRule="exact"/>
        <w:rPr>
          <w:rFonts w:ascii="Arial" w:cs="Arial" w:eastAsia="Arial" w:hAnsi="Arial"/>
          <w:sz w:val="18"/>
          <w:szCs w:val="18"/>
          <w:color w:val="auto"/>
        </w:rPr>
      </w:pPr>
    </w:p>
    <w:p>
      <w:pPr>
        <w:ind w:left="1240" w:hanging="306"/>
        <w:spacing w:after="0"/>
        <w:tabs>
          <w:tab w:leader="none" w:pos="1240" w:val="left"/>
        </w:tabs>
        <w:numPr>
          <w:ilvl w:val="1"/>
          <w:numId w:val="17"/>
        </w:numPr>
        <w:rPr>
          <w:rFonts w:ascii="Arial" w:cs="Arial" w:eastAsia="Arial" w:hAnsi="Arial"/>
          <w:sz w:val="21"/>
          <w:szCs w:val="21"/>
          <w:color w:val="auto"/>
        </w:rPr>
      </w:pPr>
      <w:r>
        <w:rPr>
          <w:rFonts w:ascii="Arial" w:cs="Arial" w:eastAsia="Arial" w:hAnsi="Arial"/>
          <w:sz w:val="17"/>
          <w:szCs w:val="17"/>
          <w:color w:val="auto"/>
        </w:rPr>
        <w:t>Email Suite: White label consumer email solutions.</w:t>
      </w:r>
    </w:p>
    <w:p>
      <w:pPr>
        <w:spacing w:after="0" w:line="236" w:lineRule="exact"/>
        <w:rPr>
          <w:rFonts w:ascii="Arial" w:cs="Arial" w:eastAsia="Arial" w:hAnsi="Arial"/>
          <w:sz w:val="21"/>
          <w:szCs w:val="21"/>
          <w:color w:val="auto"/>
        </w:rPr>
      </w:pPr>
    </w:p>
    <w:p>
      <w:pPr>
        <w:ind w:left="620" w:hanging="307"/>
        <w:spacing w:after="0"/>
        <w:tabs>
          <w:tab w:leader="none" w:pos="620" w:val="left"/>
        </w:tabs>
        <w:numPr>
          <w:ilvl w:val="0"/>
          <w:numId w:val="17"/>
        </w:numPr>
        <w:rPr>
          <w:rFonts w:ascii="Arial" w:cs="Arial" w:eastAsia="Arial" w:hAnsi="Arial"/>
          <w:sz w:val="21"/>
          <w:szCs w:val="21"/>
          <w:color w:val="auto"/>
        </w:rPr>
      </w:pPr>
      <w:r>
        <w:rPr>
          <w:rFonts w:ascii="Arial" w:cs="Arial" w:eastAsia="Arial" w:hAnsi="Arial"/>
          <w:sz w:val="17"/>
          <w:szCs w:val="17"/>
          <w:color w:val="auto"/>
        </w:rPr>
        <w:t>OnboardingX:</w:t>
      </w:r>
    </w:p>
    <w:p>
      <w:pPr>
        <w:spacing w:after="0" w:line="10" w:lineRule="exact"/>
        <w:rPr>
          <w:rFonts w:ascii="Arial" w:cs="Arial" w:eastAsia="Arial" w:hAnsi="Arial"/>
          <w:sz w:val="21"/>
          <w:szCs w:val="21"/>
          <w:color w:val="auto"/>
        </w:rPr>
      </w:pPr>
    </w:p>
    <w:p>
      <w:pPr>
        <w:ind w:left="1240" w:hanging="306"/>
        <w:spacing w:after="0" w:line="234" w:lineRule="auto"/>
        <w:tabs>
          <w:tab w:leader="none" w:pos="1240" w:val="left"/>
        </w:tabs>
        <w:numPr>
          <w:ilvl w:val="1"/>
          <w:numId w:val="17"/>
        </w:numPr>
        <w:rPr>
          <w:rFonts w:ascii="Arial" w:cs="Arial" w:eastAsia="Arial" w:hAnsi="Arial"/>
          <w:sz w:val="21"/>
          <w:szCs w:val="21"/>
          <w:color w:val="auto"/>
        </w:rPr>
      </w:pPr>
      <w:r>
        <w:rPr>
          <w:rFonts w:ascii="Arial" w:cs="Arial" w:eastAsia="Arial" w:hAnsi="Arial"/>
          <w:sz w:val="17"/>
          <w:szCs w:val="17"/>
          <w:color w:val="auto"/>
        </w:rPr>
        <w:t>Backup and Restore: Backup, view and restore subscriber content across operating systems and devices.</w:t>
      </w:r>
    </w:p>
    <w:p>
      <w:pPr>
        <w:spacing w:after="0" w:line="10" w:lineRule="exact"/>
        <w:rPr>
          <w:rFonts w:ascii="Arial" w:cs="Arial" w:eastAsia="Arial" w:hAnsi="Arial"/>
          <w:sz w:val="21"/>
          <w:szCs w:val="21"/>
          <w:color w:val="auto"/>
        </w:rPr>
      </w:pPr>
    </w:p>
    <w:p>
      <w:pPr>
        <w:ind w:left="1240" w:hanging="306"/>
        <w:spacing w:after="0" w:line="234" w:lineRule="auto"/>
        <w:tabs>
          <w:tab w:leader="none" w:pos="1240" w:val="left"/>
        </w:tabs>
        <w:numPr>
          <w:ilvl w:val="1"/>
          <w:numId w:val="17"/>
        </w:numPr>
        <w:rPr>
          <w:rFonts w:ascii="Arial" w:cs="Arial" w:eastAsia="Arial" w:hAnsi="Arial"/>
          <w:sz w:val="21"/>
          <w:szCs w:val="21"/>
          <w:color w:val="auto"/>
        </w:rPr>
      </w:pPr>
      <w:r>
        <w:rPr>
          <w:rFonts w:ascii="Arial" w:cs="Arial" w:eastAsia="Arial" w:hAnsi="Arial"/>
          <w:sz w:val="17"/>
          <w:szCs w:val="17"/>
          <w:color w:val="auto"/>
        </w:rPr>
        <w:t>Out of Box Experience: Streamline the activation of new services and devices.</w:t>
      </w:r>
    </w:p>
    <w:p>
      <w:pPr>
        <w:spacing w:after="0" w:line="10" w:lineRule="exact"/>
        <w:rPr>
          <w:rFonts w:ascii="Arial" w:cs="Arial" w:eastAsia="Arial" w:hAnsi="Arial"/>
          <w:sz w:val="21"/>
          <w:szCs w:val="21"/>
          <w:color w:val="auto"/>
        </w:rPr>
      </w:pPr>
    </w:p>
    <w:p>
      <w:pPr>
        <w:ind w:left="1240" w:hanging="306"/>
        <w:spacing w:after="0" w:line="234" w:lineRule="auto"/>
        <w:tabs>
          <w:tab w:leader="none" w:pos="1240" w:val="left"/>
        </w:tabs>
        <w:numPr>
          <w:ilvl w:val="1"/>
          <w:numId w:val="17"/>
        </w:numPr>
        <w:rPr>
          <w:rFonts w:ascii="Arial" w:cs="Arial" w:eastAsia="Arial" w:hAnsi="Arial"/>
          <w:sz w:val="21"/>
          <w:szCs w:val="21"/>
          <w:color w:val="auto"/>
        </w:rPr>
      </w:pPr>
      <w:r>
        <w:rPr>
          <w:rFonts w:ascii="Arial" w:cs="Arial" w:eastAsia="Arial" w:hAnsi="Arial"/>
          <w:sz w:val="17"/>
          <w:szCs w:val="17"/>
          <w:color w:val="auto"/>
        </w:rPr>
        <w:t>Content Transfer: Effortlessly move content between mobile devices.</w:t>
      </w:r>
    </w:p>
    <w:p>
      <w:pPr>
        <w:spacing w:after="0" w:line="249" w:lineRule="exact"/>
        <w:rPr>
          <w:rFonts w:ascii="Arial" w:cs="Arial" w:eastAsia="Arial" w:hAnsi="Arial"/>
          <w:sz w:val="21"/>
          <w:szCs w:val="21"/>
          <w:color w:val="auto"/>
        </w:rPr>
      </w:pPr>
    </w:p>
    <w:p>
      <w:pPr>
        <w:ind w:left="620" w:hanging="307"/>
        <w:spacing w:after="0"/>
        <w:tabs>
          <w:tab w:leader="none" w:pos="620" w:val="left"/>
        </w:tabs>
        <w:numPr>
          <w:ilvl w:val="0"/>
          <w:numId w:val="17"/>
        </w:numPr>
        <w:rPr>
          <w:rFonts w:ascii="Arial" w:cs="Arial" w:eastAsia="Arial" w:hAnsi="Arial"/>
          <w:sz w:val="21"/>
          <w:szCs w:val="21"/>
          <w:color w:val="auto"/>
        </w:rPr>
      </w:pPr>
      <w:r>
        <w:rPr>
          <w:rFonts w:ascii="Arial" w:cs="Arial" w:eastAsia="Arial" w:hAnsi="Arial"/>
          <w:sz w:val="17"/>
          <w:szCs w:val="17"/>
          <w:color w:val="auto"/>
        </w:rPr>
        <w:t>NetworkX:</w:t>
      </w:r>
    </w:p>
    <w:p>
      <w:pPr>
        <w:spacing w:after="0" w:line="10" w:lineRule="exact"/>
        <w:rPr>
          <w:rFonts w:ascii="Arial" w:cs="Arial" w:eastAsia="Arial" w:hAnsi="Arial"/>
          <w:sz w:val="21"/>
          <w:szCs w:val="21"/>
          <w:color w:val="auto"/>
        </w:rPr>
      </w:pPr>
    </w:p>
    <w:p>
      <w:pPr>
        <w:ind w:left="1240" w:hanging="306"/>
        <w:spacing w:after="0" w:line="234" w:lineRule="auto"/>
        <w:tabs>
          <w:tab w:leader="none" w:pos="1240" w:val="left"/>
        </w:tabs>
        <w:numPr>
          <w:ilvl w:val="1"/>
          <w:numId w:val="17"/>
        </w:numPr>
        <w:rPr>
          <w:rFonts w:ascii="Arial" w:cs="Arial" w:eastAsia="Arial" w:hAnsi="Arial"/>
          <w:sz w:val="21"/>
          <w:szCs w:val="21"/>
          <w:color w:val="auto"/>
        </w:rPr>
      </w:pPr>
      <w:r>
        <w:rPr>
          <w:rFonts w:ascii="Arial" w:cs="Arial" w:eastAsia="Arial" w:hAnsi="Arial"/>
          <w:sz w:val="17"/>
          <w:szCs w:val="17"/>
          <w:color w:val="auto"/>
        </w:rPr>
        <w:t>NetworkX: integrated application suite that designs, procures, manages and optimizes telecom network infrastructure.</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currently operates in and markets its solutions and services directly through its sales organizations in North America, Europe and Asia-Pacific.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generate most of our revenues on a per transaction or subscription basis, which is derived from contracts that extend up to 60 months from execution.</w:t>
      </w:r>
    </w:p>
    <w:p>
      <w:pPr>
        <w:spacing w:after="0" w:line="255"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The future success of our business depends on the continued growth of Business-to-Business and Business-to-Business-to-Consumer driving customer transactions, and continued expansion of our platforms into the TMT Market globally through Cloud, Messaging and Digital markets. As such, the volume of transactions and our ability to expand our footprint in TMT and globally may result in revenue fluctuations on a quarterly basis.</w:t>
      </w:r>
    </w:p>
    <w:p>
      <w:pPr>
        <w:spacing w:after="0" w:line="19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Most of our revenues are recorded in U.S. dollars but as we continue to expand our footprint with international carriers, we will continue to be subject to currency translation that could affect our future net sales as reported in U.S. dollars.</w:t>
      </w:r>
    </w:p>
    <w:p>
      <w:pPr>
        <w:spacing w:after="0" w:line="185"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Our top five customers accounted for 76.3% and 68.6% of net revenues for the six months ended June 30, 2023 and June 30, 2022, respectively. Contracts with these customers typically run for three to five years. Of these customers, Verizon accounted for more than 10% of our revenues in 2023 and 2022. The loss of Verizon as a customer would have a material negative impact on our company. However, we believe that the costs incurred and subscriber disruption by Verizon to replace Synchronoss’ solutions would be substantial.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Trends Affecting Our Results of Operations</w:t>
      </w:r>
    </w:p>
    <w:p>
      <w:pPr>
        <w:spacing w:after="0" w:line="250" w:lineRule="exact"/>
        <w:rPr>
          <w:sz w:val="20"/>
          <w:szCs w:val="20"/>
          <w:color w:val="auto"/>
        </w:rPr>
      </w:pPr>
    </w:p>
    <w:p>
      <w:pPr>
        <w:jc w:val="both"/>
        <w:ind w:firstLine="310"/>
        <w:spacing w:after="0" w:line="247" w:lineRule="auto"/>
        <w:rPr>
          <w:sz w:val="20"/>
          <w:szCs w:val="20"/>
          <w:color w:val="auto"/>
        </w:rPr>
      </w:pPr>
      <w:r>
        <w:rPr>
          <w:rFonts w:ascii="Arial" w:cs="Arial" w:eastAsia="Arial" w:hAnsi="Arial"/>
          <w:sz w:val="17"/>
          <w:szCs w:val="17"/>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an essential need and subscriber expectation. Such devices include smartphones, connected cars, personal health and wellness devices and connected home devices. The need for the content from these devices to be stored in a common cloud is also expected to drive our business in the longer term.</w:t>
      </w:r>
    </w:p>
    <w:p>
      <w:pPr>
        <w:spacing w:after="0" w:line="2" w:lineRule="exact"/>
        <w:rPr>
          <w:sz w:val="20"/>
          <w:szCs w:val="20"/>
          <w:color w:val="auto"/>
        </w:rPr>
      </w:pPr>
    </w:p>
    <w:p>
      <w:pPr>
        <w:jc w:val="both"/>
        <w:ind w:firstLine="310"/>
        <w:spacing w:after="0" w:line="273" w:lineRule="auto"/>
        <w:rPr>
          <w:sz w:val="20"/>
          <w:szCs w:val="20"/>
          <w:color w:val="auto"/>
        </w:rPr>
      </w:pPr>
      <w:r>
        <w:rPr>
          <w:rFonts w:ascii="Arial" w:cs="Arial" w:eastAsia="Arial" w:hAnsi="Arial"/>
          <w:sz w:val="16"/>
          <w:szCs w:val="16"/>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We believe that advanced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provides a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97"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To support our growth, which we expect to be driven by these favorable industry trends mentioned above, we plan to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203"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continue to expand our platforms into the converging TMT, MNO, and Digital spaces to enable connected devices to do more things across multiple networks, brands and communities. Our initiatives with our customers continue to grow both with regard to our current business as well as our new product offerings. We are also exploring additional opportunities to support our customer, product and geographic diversification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the Condensed Consolidated Statements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June 30, 2023 compared to the three months ended June 30, 2022</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an overview of our results of operations for the three months ended June 30, 2023 and 2022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20" w:type="dxa"/>
            <w:vAlign w:val="bottom"/>
          </w:tcPr>
          <w:p>
            <w:pPr>
              <w:spacing w:after="0"/>
              <w:rPr>
                <w:sz w:val="17"/>
                <w:szCs w:val="17"/>
                <w:color w:val="auto"/>
              </w:rPr>
            </w:pPr>
          </w:p>
        </w:tc>
        <w:tc>
          <w:tcPr>
            <w:tcW w:w="278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 Change</w:t>
            </w:r>
          </w:p>
        </w:tc>
      </w:tr>
      <w:tr>
        <w:trPr>
          <w:trHeight w:val="200"/>
        </w:trPr>
        <w:tc>
          <w:tcPr>
            <w:tcW w:w="61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w w:val="98"/>
              </w:rPr>
              <w:t>2023 vs 2022</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1040" w:type="dxa"/>
            <w:vAlign w:val="bottom"/>
            <w:shd w:val="clear" w:color="auto" w:fill="CCEEFF"/>
          </w:tcPr>
          <w:p>
            <w:pPr>
              <w:jc w:val="right"/>
              <w:ind w:right="858"/>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59,713</w:t>
            </w:r>
          </w:p>
        </w:tc>
        <w:tc>
          <w:tcPr>
            <w:tcW w:w="1140" w:type="dxa"/>
            <w:vAlign w:val="bottom"/>
            <w:gridSpan w:val="2"/>
            <w:shd w:val="clear" w:color="auto" w:fill="CCEEFF"/>
          </w:tcPr>
          <w:p>
            <w:pPr>
              <w:jc w:val="right"/>
              <w:ind w:right="862"/>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65,236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(5,523)</w:t>
            </w:r>
          </w:p>
        </w:tc>
      </w:tr>
      <w:tr>
        <w:trPr>
          <w:trHeight w:val="233"/>
        </w:trPr>
        <w:tc>
          <w:tcPr>
            <w:tcW w:w="6120" w:type="dxa"/>
            <w:vAlign w:val="bottom"/>
          </w:tcPr>
          <w:p>
            <w:pPr>
              <w:ind w:left="220"/>
              <w:spacing w:after="0" w:line="232"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21,782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22,316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(534)</w:t>
            </w:r>
          </w:p>
        </w:tc>
      </w:tr>
      <w:tr>
        <w:trPr>
          <w:trHeight w:val="220"/>
        </w:trPr>
        <w:tc>
          <w:tcPr>
            <w:tcW w:w="61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15,043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13,460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1,583</w:t>
            </w:r>
          </w:p>
        </w:tc>
      </w:tr>
      <w:tr>
        <w:trPr>
          <w:trHeight w:val="220"/>
        </w:trPr>
        <w:tc>
          <w:tcPr>
            <w:tcW w:w="6120" w:type="dxa"/>
            <w:vAlign w:val="bottom"/>
          </w:tcPr>
          <w:p>
            <w:pPr>
              <w:ind w:left="240"/>
              <w:spacing w:after="0"/>
              <w:rPr>
                <w:sz w:val="20"/>
                <w:szCs w:val="20"/>
                <w:color w:val="auto"/>
              </w:rPr>
            </w:pPr>
            <w:r>
              <w:rPr>
                <w:rFonts w:ascii="Arial" w:cs="Arial" w:eastAsia="Arial" w:hAnsi="Arial"/>
                <w:sz w:val="17"/>
                <w:szCs w:val="17"/>
                <w:color w:val="auto"/>
              </w:rPr>
              <w:t>Selling, general and administrative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19,875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15,288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4,587</w:t>
            </w:r>
          </w:p>
        </w:tc>
      </w:tr>
      <w:tr>
        <w:trPr>
          <w:trHeight w:val="233"/>
        </w:trPr>
        <w:tc>
          <w:tcPr>
            <w:tcW w:w="61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Restructuring charges</w:t>
            </w: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w:t>
            </w:r>
          </w:p>
        </w:tc>
      </w:tr>
      <w:tr>
        <w:trPr>
          <w:trHeight w:val="220"/>
        </w:trPr>
        <w:tc>
          <w:tcPr>
            <w:tcW w:w="61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Depreciation and amortization</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(1,320)</w:t>
            </w:r>
          </w:p>
        </w:tc>
      </w:tr>
      <w:tr>
        <w:trPr>
          <w:trHeight w:val="213"/>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costs and expenses</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63,660</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60,342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3,318</w:t>
            </w:r>
          </w:p>
        </w:tc>
      </w:tr>
      <w:tr>
        <w:trPr>
          <w:trHeight w:val="225"/>
        </w:trPr>
        <w:tc>
          <w:tcPr>
            <w:tcW w:w="6120" w:type="dxa"/>
            <w:vAlign w:val="bottom"/>
          </w:tcPr>
          <w:p>
            <w:pPr>
              <w:ind w:left="20"/>
              <w:spacing w:after="0"/>
              <w:rPr>
                <w:sz w:val="20"/>
                <w:szCs w:val="20"/>
                <w:color w:val="auto"/>
              </w:rPr>
            </w:pPr>
            <w:r>
              <w:rPr>
                <w:rFonts w:ascii="Arial" w:cs="Arial" w:eastAsia="Arial" w:hAnsi="Arial"/>
                <w:sz w:val="17"/>
                <w:szCs w:val="17"/>
                <w:color w:val="auto"/>
              </w:rPr>
              <w:t>(Loss) income from operations</w:t>
            </w:r>
          </w:p>
        </w:tc>
        <w:tc>
          <w:tcPr>
            <w:tcW w:w="1040" w:type="dxa"/>
            <w:vAlign w:val="bottom"/>
          </w:tcPr>
          <w:p>
            <w:pPr>
              <w:jc w:val="right"/>
              <w:ind w:right="858"/>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(3,947)</w:t>
            </w:r>
          </w:p>
        </w:tc>
        <w:tc>
          <w:tcPr>
            <w:tcW w:w="1140" w:type="dxa"/>
            <w:vAlign w:val="bottom"/>
            <w:gridSpan w:val="2"/>
          </w:tcPr>
          <w:p>
            <w:pPr>
              <w:jc w:val="right"/>
              <w:ind w:right="862"/>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4,894</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(8,841)</w:t>
            </w:r>
          </w:p>
        </w:tc>
      </w:tr>
      <w:tr>
        <w:trPr>
          <w:trHeight w:val="20"/>
        </w:trPr>
        <w:tc>
          <w:tcPr>
            <w:tcW w:w="6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200" w:hanging="197"/>
        <w:spacing w:after="0" w:line="221" w:lineRule="auto"/>
        <w:tabs>
          <w:tab w:leader="none" w:pos="20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20" w:lineRule="exact"/>
        <w:rPr>
          <w:sz w:val="20"/>
          <w:szCs w:val="20"/>
          <w:color w:val="auto"/>
        </w:rPr>
      </w:pPr>
    </w:p>
    <w:p>
      <w:pPr>
        <w:jc w:val="both"/>
        <w:ind w:firstLine="310"/>
        <w:spacing w:after="0" w:line="272" w:lineRule="auto"/>
        <w:rPr>
          <w:sz w:val="20"/>
          <w:szCs w:val="20"/>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decreased $5.5 million to $59.7 million for the three months ended June 30, 2023, compared to the same period in 2022. The overall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was primarily due to the expected runoff of deferred revenue recognized in the second quarter of 2022 as well as revenue recognized from the DXP and Activation assets prior to the divestiture in the same period in 2022.</w:t>
      </w:r>
    </w:p>
    <w:p>
      <w:pPr>
        <w:spacing w:after="0" w:line="188" w:lineRule="exact"/>
        <w:rPr>
          <w:sz w:val="20"/>
          <w:szCs w:val="20"/>
          <w:color w:val="auto"/>
        </w:rPr>
      </w:pPr>
    </w:p>
    <w:p>
      <w:pPr>
        <w:jc w:val="both"/>
        <w:ind w:firstLine="310"/>
        <w:spacing w:after="0" w:line="256"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$0.5 million to $21.8 million for the three months ended June 30, 2023, compared to the same period in 2022. The 2023 decrease</w:t>
      </w:r>
      <w:r>
        <w:rPr>
          <w:rFonts w:ascii="Arial" w:cs="Arial" w:eastAsia="Arial" w:hAnsi="Arial"/>
          <w:sz w:val="17"/>
          <w:szCs w:val="17"/>
          <w:b w:val="1"/>
          <w:bCs w:val="1"/>
          <w:color w:val="auto"/>
        </w:rPr>
        <w:t xml:space="preserve"> </w:t>
      </w:r>
      <w:r>
        <w:rPr>
          <w:rFonts w:ascii="Arial" w:cs="Arial" w:eastAsia="Arial" w:hAnsi="Arial"/>
          <w:sz w:val="17"/>
          <w:szCs w:val="17"/>
          <w:color w:val="auto"/>
        </w:rPr>
        <w:t>was primarily attributable to changes in revenue mix and continued efforts to streamline our business operations, reduce costs and focus on higher margin products.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 xml:space="preserve">Research and development </w:t>
      </w:r>
      <w:r>
        <w:rPr>
          <w:rFonts w:ascii="Arial" w:cs="Arial" w:eastAsia="Arial" w:hAnsi="Arial"/>
          <w:sz w:val="15"/>
          <w:szCs w:val="15"/>
          <w:color w:val="auto"/>
        </w:rPr>
        <w:t>expense increased $1.6 million to $15.0 million for the three months ended June 30, 2023, compared to the same period in 2022.</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The research and development costs increased year over year mainly as a result of higher employee costs and a lease impairment charge in the current period.</w:t>
      </w:r>
    </w:p>
    <w:p>
      <w:pPr>
        <w:spacing w:after="0" w:line="235" w:lineRule="exact"/>
        <w:rPr>
          <w:sz w:val="20"/>
          <w:szCs w:val="20"/>
          <w:color w:val="auto"/>
        </w:rPr>
      </w:pPr>
    </w:p>
    <w:p>
      <w:pPr>
        <w:jc w:val="both"/>
        <w:ind w:firstLine="310"/>
        <w:spacing w:after="0" w:line="290" w:lineRule="auto"/>
        <w:rPr>
          <w:sz w:val="20"/>
          <w:szCs w:val="20"/>
          <w:color w:val="auto"/>
        </w:rPr>
      </w:pPr>
      <w:r>
        <w:rPr>
          <w:rFonts w:ascii="Arial" w:cs="Arial" w:eastAsia="Arial" w:hAnsi="Arial"/>
          <w:sz w:val="16"/>
          <w:szCs w:val="16"/>
          <w:b w:val="1"/>
          <w:bCs w:val="1"/>
          <w:color w:val="auto"/>
        </w:rPr>
        <w:t xml:space="preserve">Selling, general and administrative </w:t>
      </w:r>
      <w:r>
        <w:rPr>
          <w:rFonts w:ascii="Arial" w:cs="Arial" w:eastAsia="Arial" w:hAnsi="Arial"/>
          <w:sz w:val="16"/>
          <w:szCs w:val="16"/>
          <w:color w:val="auto"/>
        </w:rPr>
        <w:t>expense increased $4.6 million to $19.9 million for the three months ended June 30, 2023, compared to the same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in 2022. The increase in selling, general and administrative expense is mainly related to a lease impairment charge and non-recurring professional fees.</w:t>
      </w:r>
    </w:p>
    <w:p>
      <w:pPr>
        <w:spacing w:after="0" w:line="163" w:lineRule="exact"/>
        <w:rPr>
          <w:sz w:val="20"/>
          <w:szCs w:val="20"/>
          <w:color w:val="auto"/>
        </w:rPr>
      </w:pPr>
    </w:p>
    <w:p>
      <w:pPr>
        <w:jc w:val="both"/>
        <w:ind w:firstLine="310"/>
        <w:spacing w:after="0" w:line="272"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were not material for the three months ended June 30, 2023. Restructuring charges were $1.0 million for the three months ended June</w:t>
      </w:r>
      <w:r>
        <w:rPr>
          <w:rFonts w:ascii="Arial" w:cs="Arial" w:eastAsia="Arial" w:hAnsi="Arial"/>
          <w:sz w:val="17"/>
          <w:szCs w:val="17"/>
          <w:b w:val="1"/>
          <w:bCs w:val="1"/>
          <w:color w:val="auto"/>
        </w:rPr>
        <w:t xml:space="preserve"> </w:t>
      </w:r>
      <w:r>
        <w:rPr>
          <w:rFonts w:ascii="Arial" w:cs="Arial" w:eastAsia="Arial" w:hAnsi="Arial"/>
          <w:sz w:val="17"/>
          <w:szCs w:val="17"/>
          <w:color w:val="auto"/>
        </w:rPr>
        <w:t>30, 2022, which primarily related to employment termination costs as a result of the work-force reductions initiated to reduce operating costs and align our resources with our key strategic priorities.</w:t>
      </w:r>
    </w:p>
    <w:p>
      <w:pPr>
        <w:spacing w:after="0" w:line="188" w:lineRule="exact"/>
        <w:rPr>
          <w:sz w:val="20"/>
          <w:szCs w:val="20"/>
          <w:color w:val="auto"/>
        </w:rPr>
      </w:pPr>
    </w:p>
    <w:p>
      <w:pPr>
        <w:jc w:val="both"/>
        <w:ind w:firstLine="310"/>
        <w:spacing w:after="0" w:line="296"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expense decreased $1.3 million to $6.9 million for the three months ended June 30, 2023, compared to the same period in</w:t>
      </w:r>
      <w:r>
        <w:rPr>
          <w:rFonts w:ascii="Arial" w:cs="Arial" w:eastAsia="Arial" w:hAnsi="Arial"/>
          <w:sz w:val="16"/>
          <w:szCs w:val="16"/>
          <w:b w:val="1"/>
          <w:bCs w:val="1"/>
          <w:color w:val="auto"/>
        </w:rPr>
        <w:t xml:space="preserve"> </w:t>
      </w:r>
      <w:r>
        <w:rPr>
          <w:rFonts w:ascii="Arial" w:cs="Arial" w:eastAsia="Arial" w:hAnsi="Arial"/>
          <w:sz w:val="16"/>
          <w:szCs w:val="16"/>
          <w:color w:val="auto"/>
        </w:rPr>
        <w:t>2022. The 2023 decrease was primarily attributable to the expiration of amortizable acquired assets in combination with reduced capital expenditures mainly as a result of efforts to streamline business operations, partially offset by the increased amortization of capitalized software.</w:t>
      </w:r>
    </w:p>
    <w:p>
      <w:pPr>
        <w:spacing w:after="0" w:line="159" w:lineRule="exact"/>
        <w:rPr>
          <w:sz w:val="20"/>
          <w:szCs w:val="20"/>
          <w:color w:val="auto"/>
        </w:rPr>
      </w:pPr>
    </w:p>
    <w:p>
      <w:pPr>
        <w:jc w:val="both"/>
        <w:ind w:firstLine="310"/>
        <w:spacing w:after="0" w:line="245" w:lineRule="auto"/>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The Company recognized an income tax expense of approximately $0.8 million and approximately $0.4 million during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2023 and 2022, respectively. The effective tax rate was approximately (10.1)% for the three months ended June 30, 2023, which was lower than the U.S. federal statutory rate primarily due to pre-tax losses in jurisdictions where full valuation allowances have been recorded and certain jurisdictions projecting current income tax expense. The Company’s income tax expense for the period is primarily driven by the enacted Internal Revenue Code Section 174 rules that require the Company to amortize qualifying research and development expenses over five years or fifteen years depending on the jurisdiction where such activities are performed. The Company’s effective tax rate was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5.2% for the three months ended June 30, 2022, which was lower than the U.S. federal statutory rate primarily due to pre-tax losses in jurisdictions where full valuation allowances have been recorded. Additionally, the Company recognized a discrete income tax benefit in the period associated with the release of certain reserves for uncertain tax benefits.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the Condensed Consolidated Statements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Six months ended June 30, 2023 compared to the six months ended June 30, 2022</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an overview of our results of operations for the six months ended June 30, 2023 and 2022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2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 Change</w:t>
            </w:r>
          </w:p>
        </w:tc>
      </w:tr>
      <w:tr>
        <w:trPr>
          <w:trHeight w:val="200"/>
        </w:trPr>
        <w:tc>
          <w:tcPr>
            <w:tcW w:w="6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w w:val="98"/>
              </w:rPr>
              <w:t>2023 vs 2022</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117,421</w:t>
            </w:r>
          </w:p>
        </w:tc>
        <w:tc>
          <w:tcPr>
            <w:tcW w:w="1100" w:type="dxa"/>
            <w:vAlign w:val="bottom"/>
            <w:gridSpan w:val="2"/>
            <w:shd w:val="clear" w:color="auto" w:fill="CCEEFF"/>
          </w:tcPr>
          <w:p>
            <w:pPr>
              <w:jc w:val="right"/>
              <w:ind w:right="822"/>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131,102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(13,681)</w:t>
            </w:r>
          </w:p>
        </w:tc>
      </w:tr>
      <w:tr>
        <w:trPr>
          <w:trHeight w:val="220"/>
        </w:trPr>
        <w:tc>
          <w:tcPr>
            <w:tcW w:w="6120" w:type="dxa"/>
            <w:vAlign w:val="bottom"/>
          </w:tcPr>
          <w:p>
            <w:pPr>
              <w:ind w:left="22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42,163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47,155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(4,992)</w:t>
            </w:r>
          </w:p>
        </w:tc>
      </w:tr>
      <w:tr>
        <w:trPr>
          <w:trHeight w:val="233"/>
        </w:trPr>
        <w:tc>
          <w:tcPr>
            <w:tcW w:w="61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29,778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r>
      <w:tr>
        <w:trPr>
          <w:trHeight w:val="220"/>
        </w:trPr>
        <w:tc>
          <w:tcPr>
            <w:tcW w:w="6120" w:type="dxa"/>
            <w:vAlign w:val="bottom"/>
          </w:tcPr>
          <w:p>
            <w:pPr>
              <w:ind w:left="240"/>
              <w:spacing w:after="0"/>
              <w:rPr>
                <w:sz w:val="20"/>
                <w:szCs w:val="20"/>
                <w:color w:val="auto"/>
              </w:rPr>
            </w:pPr>
            <w:r>
              <w:rPr>
                <w:rFonts w:ascii="Arial" w:cs="Arial" w:eastAsia="Arial" w:hAnsi="Arial"/>
                <w:sz w:val="17"/>
                <w:szCs w:val="17"/>
                <w:color w:val="auto"/>
              </w:rPr>
              <w:t>Selling, general and administrative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38,184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33,185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4,999</w:t>
            </w:r>
          </w:p>
        </w:tc>
      </w:tr>
      <w:tr>
        <w:trPr>
          <w:trHeight w:val="220"/>
        </w:trPr>
        <w:tc>
          <w:tcPr>
            <w:tcW w:w="61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Restructuring charges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w:t>
            </w:r>
          </w:p>
        </w:tc>
      </w:tr>
      <w:tr>
        <w:trPr>
          <w:trHeight w:val="233"/>
        </w:trPr>
        <w:tc>
          <w:tcPr>
            <w:tcW w:w="61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Depreciation and amortization</w:t>
            </w:r>
          </w:p>
        </w:tc>
        <w:tc>
          <w:tcPr>
            <w:tcW w:w="10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14,459</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16,293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(1,834)</w:t>
            </w:r>
          </w:p>
        </w:tc>
      </w:tr>
      <w:tr>
        <w:trPr>
          <w:trHeight w:val="213"/>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costs and expenses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124,950</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127,588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(2,638)</w:t>
            </w:r>
          </w:p>
        </w:tc>
      </w:tr>
      <w:tr>
        <w:trPr>
          <w:trHeight w:val="213"/>
        </w:trPr>
        <w:tc>
          <w:tcPr>
            <w:tcW w:w="6120" w:type="dxa"/>
            <w:vAlign w:val="bottom"/>
          </w:tcPr>
          <w:p>
            <w:pPr>
              <w:ind w:left="20"/>
              <w:spacing w:after="0"/>
              <w:rPr>
                <w:sz w:val="20"/>
                <w:szCs w:val="20"/>
                <w:color w:val="auto"/>
              </w:rPr>
            </w:pPr>
            <w:r>
              <w:rPr>
                <w:rFonts w:ascii="Arial" w:cs="Arial" w:eastAsia="Arial" w:hAnsi="Arial"/>
                <w:sz w:val="17"/>
                <w:szCs w:val="17"/>
                <w:color w:val="auto"/>
              </w:rPr>
              <w:t>(Loss) income from operations</w:t>
            </w:r>
          </w:p>
        </w:tc>
        <w:tc>
          <w:tcPr>
            <w:tcW w:w="1000" w:type="dxa"/>
            <w:vAlign w:val="bottom"/>
          </w:tcPr>
          <w:p>
            <w:pPr>
              <w:jc w:val="right"/>
              <w:ind w:right="818"/>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(7,529)</w:t>
            </w:r>
          </w:p>
        </w:tc>
        <w:tc>
          <w:tcPr>
            <w:tcW w:w="1100" w:type="dxa"/>
            <w:vAlign w:val="bottom"/>
            <w:gridSpan w:val="2"/>
          </w:tcPr>
          <w:p>
            <w:pPr>
              <w:jc w:val="right"/>
              <w:ind w:right="822"/>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3,514</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(11,043)</w:t>
            </w:r>
          </w:p>
        </w:tc>
      </w:tr>
      <w:tr>
        <w:trPr>
          <w:trHeight w:val="20"/>
        </w:trPr>
        <w:tc>
          <w:tcPr>
            <w:tcW w:w="6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200" w:hanging="197"/>
        <w:spacing w:after="0" w:line="221" w:lineRule="auto"/>
        <w:tabs>
          <w:tab w:leader="none" w:pos="200"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194" w:lineRule="exact"/>
        <w:rPr>
          <w:sz w:val="20"/>
          <w:szCs w:val="20"/>
          <w:color w:val="auto"/>
        </w:rPr>
      </w:pPr>
    </w:p>
    <w:p>
      <w:pPr>
        <w:jc w:val="both"/>
        <w:ind w:firstLine="310"/>
        <w:spacing w:after="0" w:line="279" w:lineRule="auto"/>
        <w:rPr>
          <w:sz w:val="20"/>
          <w:szCs w:val="20"/>
          <w:color w:val="auto"/>
        </w:rPr>
      </w:pPr>
      <w:r>
        <w:rPr>
          <w:rFonts w:ascii="Arial" w:cs="Arial" w:eastAsia="Arial" w:hAnsi="Arial"/>
          <w:sz w:val="16"/>
          <w:szCs w:val="16"/>
          <w:b w:val="1"/>
          <w:bCs w:val="1"/>
          <w:color w:val="auto"/>
        </w:rPr>
        <w:t xml:space="preserve">Net revenues </w:t>
      </w:r>
      <w:r>
        <w:rPr>
          <w:rFonts w:ascii="Arial" w:cs="Arial" w:eastAsia="Arial" w:hAnsi="Arial"/>
          <w:sz w:val="16"/>
          <w:szCs w:val="16"/>
          <w:color w:val="auto"/>
        </w:rPr>
        <w:t>decreased $13.7 million to $117.4 million for the six months ended June 30, 2023, compared to the same period in 2022. The overall 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was primarily due to the expected runoff of deferred revenue recognized in the first half of 2022 as well as revenue recognized from the DXP and Activation assets prior to the divestiture in the prior period. The decrease in revenue was partially offset by subscriber growth.</w:t>
      </w:r>
    </w:p>
    <w:p>
      <w:pPr>
        <w:spacing w:after="0" w:line="185" w:lineRule="exact"/>
        <w:rPr>
          <w:sz w:val="20"/>
          <w:szCs w:val="20"/>
          <w:color w:val="auto"/>
        </w:rPr>
      </w:pPr>
    </w:p>
    <w:p>
      <w:pPr>
        <w:jc w:val="both"/>
        <w:ind w:firstLine="310"/>
        <w:spacing w:after="0" w:line="264"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$5.0 million to $42.2 million for the six months ended June 30, 2023, compared to the same period in 2022. The 2023 decrease</w:t>
      </w:r>
      <w:r>
        <w:rPr>
          <w:rFonts w:ascii="Arial" w:cs="Arial" w:eastAsia="Arial" w:hAnsi="Arial"/>
          <w:sz w:val="17"/>
          <w:szCs w:val="17"/>
          <w:b w:val="1"/>
          <w:bCs w:val="1"/>
          <w:color w:val="auto"/>
        </w:rPr>
        <w:t xml:space="preserve"> </w:t>
      </w:r>
      <w:r>
        <w:rPr>
          <w:rFonts w:ascii="Arial" w:cs="Arial" w:eastAsia="Arial" w:hAnsi="Arial"/>
          <w:sz w:val="17"/>
          <w:szCs w:val="17"/>
          <w:color w:val="auto"/>
        </w:rPr>
        <w:t>was primarily attributable to changes in revenue mix and continued efforts to streamline our business operations, reduce costs and focus on higher margin products.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 xml:space="preserve">Research and development </w:t>
      </w:r>
      <w:r>
        <w:rPr>
          <w:rFonts w:ascii="Arial" w:cs="Arial" w:eastAsia="Arial" w:hAnsi="Arial"/>
          <w:sz w:val="15"/>
          <w:szCs w:val="15"/>
          <w:color w:val="auto"/>
        </w:rPr>
        <w:t>expense increased $0.5 million to $29.8 million for the six months ended June 30, 2023, compared to the same period in 2022.</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The research and development costs increased year over year mainly as a result of higher employee costs and a lease impairment charge in the current period.</w:t>
      </w:r>
    </w:p>
    <w:p>
      <w:pPr>
        <w:spacing w:after="0" w:line="235" w:lineRule="exact"/>
        <w:rPr>
          <w:sz w:val="20"/>
          <w:szCs w:val="20"/>
          <w:color w:val="auto"/>
        </w:rPr>
      </w:pPr>
    </w:p>
    <w:p>
      <w:pPr>
        <w:jc w:val="both"/>
        <w:ind w:firstLine="310"/>
        <w:spacing w:after="0" w:line="290" w:lineRule="auto"/>
        <w:rPr>
          <w:sz w:val="20"/>
          <w:szCs w:val="20"/>
          <w:color w:val="auto"/>
        </w:rPr>
      </w:pPr>
      <w:r>
        <w:rPr>
          <w:rFonts w:ascii="Arial" w:cs="Arial" w:eastAsia="Arial" w:hAnsi="Arial"/>
          <w:sz w:val="16"/>
          <w:szCs w:val="16"/>
          <w:b w:val="1"/>
          <w:bCs w:val="1"/>
          <w:color w:val="auto"/>
        </w:rPr>
        <w:t xml:space="preserve">Selling, general and administrative </w:t>
      </w:r>
      <w:r>
        <w:rPr>
          <w:rFonts w:ascii="Arial" w:cs="Arial" w:eastAsia="Arial" w:hAnsi="Arial"/>
          <w:sz w:val="16"/>
          <w:szCs w:val="16"/>
          <w:color w:val="auto"/>
        </w:rPr>
        <w:t>expense increased $5.0 million to $38.2 million for the six months ended June 30, 2023, compared to the same period in</w:t>
      </w:r>
      <w:r>
        <w:rPr>
          <w:rFonts w:ascii="Arial" w:cs="Arial" w:eastAsia="Arial" w:hAnsi="Arial"/>
          <w:sz w:val="16"/>
          <w:szCs w:val="16"/>
          <w:b w:val="1"/>
          <w:bCs w:val="1"/>
          <w:color w:val="auto"/>
        </w:rPr>
        <w:t xml:space="preserve"> </w:t>
      </w:r>
      <w:r>
        <w:rPr>
          <w:rFonts w:ascii="Arial" w:cs="Arial" w:eastAsia="Arial" w:hAnsi="Arial"/>
          <w:sz w:val="16"/>
          <w:szCs w:val="16"/>
          <w:color w:val="auto"/>
        </w:rPr>
        <w:t>2022. The increase in selling, general and administrative expense is mainly related to a lease impairment charge and non-recurring professional fees.</w:t>
      </w:r>
    </w:p>
    <w:p>
      <w:pPr>
        <w:spacing w:after="0" w:line="176" w:lineRule="exact"/>
        <w:rPr>
          <w:sz w:val="20"/>
          <w:szCs w:val="20"/>
          <w:color w:val="auto"/>
        </w:rPr>
      </w:pPr>
    </w:p>
    <w:p>
      <w:pPr>
        <w:jc w:val="both"/>
        <w:ind w:firstLine="310"/>
        <w:spacing w:after="0" w:line="361" w:lineRule="auto"/>
        <w:rPr>
          <w:sz w:val="20"/>
          <w:szCs w:val="20"/>
          <w:color w:val="auto"/>
        </w:rPr>
      </w:pPr>
      <w:r>
        <w:rPr>
          <w:rFonts w:ascii="Arial" w:cs="Arial" w:eastAsia="Arial" w:hAnsi="Arial"/>
          <w:sz w:val="15"/>
          <w:szCs w:val="15"/>
          <w:b w:val="1"/>
          <w:bCs w:val="1"/>
          <w:color w:val="auto"/>
        </w:rPr>
        <w:t xml:space="preserve">Restructuring charges </w:t>
      </w:r>
      <w:r>
        <w:rPr>
          <w:rFonts w:ascii="Arial" w:cs="Arial" w:eastAsia="Arial" w:hAnsi="Arial"/>
          <w:sz w:val="15"/>
          <w:szCs w:val="15"/>
          <w:color w:val="auto"/>
        </w:rPr>
        <w:t>were $0.4 million and $1.7 million for the six months ended June 30, 2023 and 2022, respectively, which primarily related to</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termination costs as a result of the work-force reductions initiated to reduce operating costs and align our resources with our key strategic priorities.</w:t>
      </w:r>
    </w:p>
    <w:p>
      <w:pPr>
        <w:spacing w:after="0" w:line="127" w:lineRule="exact"/>
        <w:rPr>
          <w:sz w:val="20"/>
          <w:szCs w:val="20"/>
          <w:color w:val="auto"/>
        </w:rPr>
      </w:pPr>
    </w:p>
    <w:p>
      <w:pPr>
        <w:jc w:val="both"/>
        <w:ind w:firstLine="310"/>
        <w:spacing w:after="0" w:line="272"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expense decreased $1.8 million to $14.5 million for the six months ended June 30, 2023, compared to the same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2022. The 2023 decrease was primarily attributable to the expiration of amortizable acquired assets in combination with reduced capital expenditures mainly as a result of efforts to streamline business operations, partially offset by the increased amortization of capitalized software.</w:t>
      </w:r>
    </w:p>
    <w:p>
      <w:pPr>
        <w:spacing w:after="0" w:line="175" w:lineRule="exact"/>
        <w:rPr>
          <w:sz w:val="20"/>
          <w:szCs w:val="20"/>
          <w:color w:val="auto"/>
        </w:rPr>
      </w:pPr>
    </w:p>
    <w:p>
      <w:pPr>
        <w:jc w:val="both"/>
        <w:ind w:firstLine="310"/>
        <w:spacing w:after="0" w:line="256" w:lineRule="auto"/>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The Company recognized an income tax expense of approximately $1.8 million and approximately $0.6 million during the six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2023 and 2022, respectively. The effective tax rate was approximately (10.5)% for the six months ended June 30, 2023, which was lower than the U.S. federal statutory rate primarily due to pre-tax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losses in jurisdictions where full valuation allowances have been recorded and certain jurisdictions projecting current income tax expense. The Company’s income tax expense for the period is primarily driven by the enacted Internal Revenue Code Section 174 rules that require the Company to amortize qualifying research and development expenses over five years or fifteen years depending on the jurisdiction where such activities are performed. The Company’s effective tax rate was approximately 10.3% for the six months ended June 30, 2022, which was lower than the U.S. federal statutory rate primarily due to pre-tax losses in jurisdictions where full valuation allowances have been recorded. Additionally, the Company recognized a discrete income tax benefit in the period associated with the release of certain reserves for uncertain tax benefits.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0"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As of June 30, 2023, our principal sources of liquidity were cash provided by operations and the remaining proceeds from the financing transactions. Our cash and cash equivalents balance was $19.3 million at June 30, 2023. We anticipate that our principal uses of cash and cash equivalents will be to fund our business, including technology expansion and working capital.</w:t>
      </w:r>
    </w:p>
    <w:p>
      <w:pPr>
        <w:spacing w:after="0" w:line="198"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At June 30, 2023, our non-U.S. subsidiaries held approximately $14.2 million of cash and cash equivalents that are available for use by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203" w:lineRule="exact"/>
        <w:rPr>
          <w:sz w:val="20"/>
          <w:szCs w:val="20"/>
          <w:color w:val="auto"/>
        </w:rPr>
      </w:pPr>
    </w:p>
    <w:p>
      <w:pPr>
        <w:jc w:val="both"/>
        <w:ind w:firstLine="310"/>
        <w:spacing w:after="0" w:line="249" w:lineRule="auto"/>
        <w:rPr>
          <w:sz w:val="20"/>
          <w:szCs w:val="20"/>
          <w:color w:val="auto"/>
        </w:rPr>
      </w:pPr>
      <w:r>
        <w:rPr>
          <w:rFonts w:ascii="Arial" w:cs="Arial" w:eastAsia="Arial" w:hAnsi="Arial"/>
          <w:sz w:val="17"/>
          <w:szCs w:val="17"/>
          <w:color w:val="auto"/>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filing date of this Form 10-Q based on our current business plans. Our liquidity plans are subject to a number of risks and uncertainties, including those described in the "Forward-Looking Statements" section of this MD&amp;A and Part I, Item 1A. “Risk Factors” in our Annual Report on Form 10-K for the year ended December 31, 2022, some of which are outside of our control.</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For further details, see </w:t>
      </w:r>
      <w:r>
        <w:rPr>
          <w:rFonts w:ascii="Arial" w:cs="Arial" w:eastAsia="Arial" w:hAnsi="Arial"/>
          <w:sz w:val="15"/>
          <w:szCs w:val="15"/>
          <w:i w:val="1"/>
          <w:iCs w:val="1"/>
          <w:color w:val="auto"/>
        </w:rPr>
        <w:t>Note 7. Debt</w:t>
      </w:r>
      <w:r>
        <w:rPr>
          <w:rFonts w:ascii="Arial" w:cs="Arial" w:eastAsia="Arial" w:hAnsi="Arial"/>
          <w:sz w:val="15"/>
          <w:szCs w:val="15"/>
          <w:color w:val="auto"/>
        </w:rPr>
        <w:t xml:space="preserve"> and </w:t>
      </w:r>
      <w:r>
        <w:rPr>
          <w:rFonts w:ascii="Arial" w:cs="Arial" w:eastAsia="Arial" w:hAnsi="Arial"/>
          <w:sz w:val="15"/>
          <w:szCs w:val="15"/>
          <w:i w:val="1"/>
          <w:iCs w:val="1"/>
          <w:color w:val="auto"/>
        </w:rPr>
        <w:t>Note 9. Capital Structure</w:t>
      </w:r>
      <w:r>
        <w:rPr>
          <w:rFonts w:ascii="Arial" w:cs="Arial" w:eastAsia="Arial" w:hAnsi="Arial"/>
          <w:sz w:val="15"/>
          <w:szCs w:val="15"/>
          <w:color w:val="auto"/>
        </w:rPr>
        <w:t xml:space="preserve"> of the Notes to Condensed Consolidated Financial Statements in Item 1 of this Form 10-Q.</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40" w:type="dxa"/>
            <w:vAlign w:val="bottom"/>
          </w:tcPr>
          <w:p>
            <w:pPr>
              <w:spacing w:after="0"/>
              <w:rPr>
                <w:sz w:val="20"/>
                <w:szCs w:val="20"/>
                <w:color w:val="auto"/>
              </w:rPr>
            </w:pPr>
            <w:r>
              <w:rPr>
                <w:rFonts w:ascii="Arial" w:cs="Arial" w:eastAsia="Arial" w:hAnsi="Arial"/>
                <w:sz w:val="17"/>
                <w:szCs w:val="17"/>
                <w:b w:val="1"/>
                <w:bCs w:val="1"/>
                <w:color w:val="auto"/>
              </w:rPr>
              <w:t>Discussion of Cash Flows</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9"/>
        </w:trPr>
        <w:tc>
          <w:tcPr>
            <w:tcW w:w="7840" w:type="dxa"/>
            <w:vAlign w:val="bottom"/>
          </w:tcPr>
          <w:p>
            <w:pPr>
              <w:ind w:left="320"/>
              <w:spacing w:after="0"/>
              <w:rPr>
                <w:sz w:val="20"/>
                <w:szCs w:val="20"/>
                <w:color w:val="auto"/>
              </w:rPr>
            </w:pPr>
            <w:r>
              <w:rPr>
                <w:rFonts w:ascii="Arial" w:cs="Arial" w:eastAsia="Arial" w:hAnsi="Arial"/>
                <w:sz w:val="17"/>
                <w:szCs w:val="17"/>
                <w:color w:val="auto"/>
              </w:rPr>
              <w:t>A summary of net cash flows follows (in thousands):</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2"/>
        </w:trPr>
        <w:tc>
          <w:tcPr>
            <w:tcW w:w="784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7"/>
                <w:szCs w:val="17"/>
                <w:b w:val="1"/>
                <w:bCs w:val="1"/>
                <w:color w:val="auto"/>
              </w:rPr>
              <w:t>Six Months Ended June 30,</w:t>
            </w:r>
          </w:p>
        </w:tc>
        <w:tc>
          <w:tcPr>
            <w:tcW w:w="580" w:type="dxa"/>
            <w:vAlign w:val="bottom"/>
            <w:tcBorders>
              <w:bottom w:val="single" w:sz="8" w:color="auto"/>
            </w:tcBorders>
          </w:tcPr>
          <w:p>
            <w:pPr>
              <w:spacing w:after="0"/>
              <w:rPr>
                <w:sz w:val="21"/>
                <w:szCs w:val="21"/>
                <w:color w:val="auto"/>
              </w:rPr>
            </w:pPr>
          </w:p>
        </w:tc>
      </w:tr>
      <w:tr>
        <w:trPr>
          <w:trHeight w:val="219"/>
        </w:trPr>
        <w:tc>
          <w:tcPr>
            <w:tcW w:w="78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2023</w:t>
            </w:r>
          </w:p>
        </w:tc>
        <w:tc>
          <w:tcPr>
            <w:tcW w:w="6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2022</w:t>
            </w:r>
          </w:p>
        </w:tc>
        <w:tc>
          <w:tcPr>
            <w:tcW w:w="580" w:type="dxa"/>
            <w:vAlign w:val="bottom"/>
          </w:tcPr>
          <w:p>
            <w:pPr>
              <w:spacing w:after="0"/>
              <w:rPr>
                <w:sz w:val="19"/>
                <w:szCs w:val="19"/>
                <w:color w:val="auto"/>
              </w:rPr>
            </w:pPr>
          </w:p>
        </w:tc>
      </w:tr>
      <w:tr>
        <w:trPr>
          <w:trHeight w:val="21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w:t>
            </w:r>
          </w:p>
        </w:tc>
        <w:tc>
          <w:tcPr>
            <w:tcW w:w="10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Operating activities</w:t>
            </w:r>
          </w:p>
        </w:tc>
        <w:tc>
          <w:tcPr>
            <w:tcW w:w="102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12,556</w:t>
            </w:r>
          </w:p>
        </w:tc>
        <w:tc>
          <w:tcPr>
            <w:tcW w:w="1160" w:type="dxa"/>
            <w:vAlign w:val="bottom"/>
            <w:gridSpan w:val="2"/>
          </w:tcPr>
          <w:p>
            <w:pPr>
              <w:jc w:val="right"/>
              <w:ind w:right="96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3"/>
              </w:rPr>
              <w:t>6,728</w:t>
            </w:r>
          </w:p>
        </w:tc>
      </w:tr>
      <w:tr>
        <w:trPr>
          <w:trHeight w:val="220"/>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Investing activities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(10,344)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(3,768)</w:t>
            </w: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Financing activities</w:t>
            </w:r>
          </w:p>
        </w:tc>
        <w:tc>
          <w:tcPr>
            <w:tcW w:w="102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(4,904)</w:t>
            </w:r>
          </w:p>
        </w:tc>
        <w:tc>
          <w:tcPr>
            <w:tcW w:w="1160" w:type="dxa"/>
            <w:vAlign w:val="bottom"/>
            <w:gridSpan w:val="2"/>
          </w:tcPr>
          <w:p>
            <w:pPr>
              <w:jc w:val="right"/>
              <w:ind w:right="96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2"/>
              </w:rPr>
              <w:t>(8,517)</w:t>
            </w:r>
          </w:p>
        </w:tc>
      </w:tr>
    </w:tbl>
    <w:p>
      <w:pPr>
        <w:spacing w:after="0" w:line="310"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192" w:lineRule="exact"/>
        <w:rPr>
          <w:sz w:val="20"/>
          <w:szCs w:val="20"/>
          <w:color w:val="auto"/>
        </w:rPr>
      </w:pPr>
    </w:p>
    <w:p>
      <w:pPr>
        <w:jc w:val="both"/>
        <w:ind w:firstLine="310"/>
        <w:spacing w:after="0" w:line="272" w:lineRule="auto"/>
        <w:rPr>
          <w:sz w:val="20"/>
          <w:szCs w:val="20"/>
          <w:color w:val="auto"/>
        </w:rPr>
      </w:pPr>
      <w:r>
        <w:rPr>
          <w:rFonts w:ascii="Arial" w:cs="Arial" w:eastAsia="Arial" w:hAnsi="Arial"/>
          <w:sz w:val="17"/>
          <w:szCs w:val="17"/>
          <w:b w:val="1"/>
          <w:bCs w:val="1"/>
          <w:color w:val="auto"/>
        </w:rPr>
        <w:t xml:space="preserve">Cash provided by operating activities </w:t>
      </w:r>
      <w:r>
        <w:rPr>
          <w:rFonts w:ascii="Arial" w:cs="Arial" w:eastAsia="Arial" w:hAnsi="Arial"/>
          <w:sz w:val="17"/>
          <w:szCs w:val="17"/>
          <w:color w:val="auto"/>
        </w:rPr>
        <w:t>for the six months ended June 30, 2023 was $12.6 million as compared to $6.7 million of cash provided by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for the same period in 2022. In the current period, the Company generated cash from operations mainly driven by continued growth in cloud subscribers, reduced operating costs and favorable movements in working capital compared to the second quarter of 2022.</w:t>
      </w:r>
    </w:p>
    <w:p>
      <w:pPr>
        <w:spacing w:after="0" w:line="188" w:lineRule="exact"/>
        <w:rPr>
          <w:sz w:val="20"/>
          <w:szCs w:val="20"/>
          <w:color w:val="auto"/>
        </w:rPr>
      </w:pPr>
    </w:p>
    <w:p>
      <w:pPr>
        <w:jc w:val="both"/>
        <w:ind w:firstLine="310"/>
        <w:spacing w:after="0" w:line="272" w:lineRule="auto"/>
        <w:rPr>
          <w:sz w:val="20"/>
          <w:szCs w:val="20"/>
          <w:color w:val="auto"/>
        </w:rPr>
      </w:pPr>
      <w:r>
        <w:rPr>
          <w:rFonts w:ascii="Arial" w:cs="Arial" w:eastAsia="Arial" w:hAnsi="Arial"/>
          <w:sz w:val="17"/>
          <w:szCs w:val="17"/>
          <w:b w:val="1"/>
          <w:bCs w:val="1"/>
          <w:color w:val="auto"/>
        </w:rPr>
        <w:t xml:space="preserve">Cash used in investing activities </w:t>
      </w:r>
      <w:r>
        <w:rPr>
          <w:rFonts w:ascii="Arial" w:cs="Arial" w:eastAsia="Arial" w:hAnsi="Arial"/>
          <w:sz w:val="17"/>
          <w:szCs w:val="17"/>
          <w:color w:val="auto"/>
        </w:rPr>
        <w:t>for the six months ended June 30, 2023 was $10.3 million as compared to $3.8 million of cash used in investing activities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same period in 2022. The cash used for investing activities in the current year and prior year was primarily related to continued investment in product development for our Cloud offering and capitalization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associated labor costs. This investment was offset in the second quarter of 2022 by the $7.5 million of cash received as part of the DXP and Activation sale.</w:t>
      </w:r>
    </w:p>
    <w:p>
      <w:pPr>
        <w:spacing w:after="0" w:line="249" w:lineRule="exact"/>
        <w:rPr>
          <w:sz w:val="20"/>
          <w:szCs w:val="20"/>
          <w:color w:val="auto"/>
        </w:rPr>
      </w:pPr>
    </w:p>
    <w:p>
      <w:pPr>
        <w:jc w:val="both"/>
        <w:ind w:firstLine="310"/>
        <w:spacing w:after="0" w:line="266" w:lineRule="auto"/>
        <w:rPr>
          <w:sz w:val="20"/>
          <w:szCs w:val="20"/>
          <w:color w:val="auto"/>
        </w:rPr>
      </w:pPr>
      <w:r>
        <w:rPr>
          <w:rFonts w:ascii="Arial" w:cs="Arial" w:eastAsia="Arial" w:hAnsi="Arial"/>
          <w:sz w:val="17"/>
          <w:szCs w:val="17"/>
          <w:b w:val="1"/>
          <w:bCs w:val="1"/>
          <w:color w:val="auto"/>
        </w:rPr>
        <w:t xml:space="preserve">Cash used in financing activities </w:t>
      </w:r>
      <w:r>
        <w:rPr>
          <w:rFonts w:ascii="Arial" w:cs="Arial" w:eastAsia="Arial" w:hAnsi="Arial"/>
          <w:sz w:val="17"/>
          <w:szCs w:val="17"/>
          <w:color w:val="auto"/>
        </w:rPr>
        <w:t>for the six months ended June 30, 2023 was $4.9 million as compared to $8.5 million of cash used in financing activities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same period in 2022. The cash used in investing activities in the current year was primarily due to dividend payments on the Series B Preferred Stock. In 2022, $1.8 million of cash used in financing activities was to pay the dividend on the Series B Preferred Stock and $6.7 million was to redeem the Series B 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Inflation</w:t>
      </w:r>
    </w:p>
    <w:p>
      <w:pPr>
        <w:spacing w:after="0" w:line="250"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Inflationary increases in certain input costs, such as occupancy, labor and benefits, and general administrative costs, have impacted our business. Management does not believe these impacts however have had a material impact on our results of operations during the six months June 30, 2023 and 2022. We cannot assure you, however, that we will not be affected by general inflation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72" w:lineRule="exact"/>
        <w:rPr>
          <w:sz w:val="20"/>
          <w:szCs w:val="20"/>
          <w:color w:val="auto"/>
        </w:rPr>
      </w:pPr>
    </w:p>
    <w:p>
      <w:pPr>
        <w:jc w:val="both"/>
        <w:ind w:firstLine="310"/>
        <w:spacing w:after="0" w:line="353" w:lineRule="auto"/>
        <w:rPr>
          <w:sz w:val="20"/>
          <w:szCs w:val="20"/>
          <w:color w:val="auto"/>
        </w:rPr>
      </w:pPr>
      <w:r>
        <w:rPr>
          <w:rFonts w:ascii="Arial" w:cs="Arial" w:eastAsia="Arial" w:hAnsi="Arial"/>
          <w:sz w:val="15"/>
          <w:szCs w:val="15"/>
          <w:color w:val="auto"/>
        </w:rPr>
        <w:t>Our contractual obligations consist of contingent consideration, office equipment and colocation services and contractual commitments under third-party hosting, software licenses and maintenance agreements. The following table summarizes our long-term contractual obligations as of June 30, 2023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right"/>
              <w:ind w:right="775"/>
              <w:spacing w:after="0"/>
              <w:rPr>
                <w:sz w:val="20"/>
                <w:szCs w:val="20"/>
                <w:color w:val="auto"/>
              </w:rPr>
            </w:pPr>
            <w:r>
              <w:rPr>
                <w:rFonts w:ascii="Arial" w:cs="Arial" w:eastAsia="Arial" w:hAnsi="Arial"/>
                <w:sz w:val="16"/>
                <w:szCs w:val="16"/>
                <w:b w:val="1"/>
                <w:bCs w:val="1"/>
                <w:color w:val="auto"/>
              </w:rPr>
              <w:t>Payments Due by Period</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200"/>
        </w:trPr>
        <w:tc>
          <w:tcPr>
            <w:tcW w:w="44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2024-2026</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2027-2028</w:t>
            </w: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obligations</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w:t>
            </w:r>
          </w:p>
        </w:tc>
        <w:tc>
          <w:tcPr>
            <w:tcW w:w="1120" w:type="dxa"/>
            <w:vAlign w:val="bottom"/>
            <w:gridSpan w:val="2"/>
            <w:shd w:val="clear" w:color="auto" w:fill="CCEEFF"/>
          </w:tcPr>
          <w:p>
            <w:pPr>
              <w:jc w:val="right"/>
              <w:ind w:right="842"/>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4420" w:type="dxa"/>
            <w:vAlign w:val="bottom"/>
          </w:tcPr>
          <w:p>
            <w:pPr>
              <w:ind w:left="20"/>
              <w:spacing w:after="0"/>
              <w:rPr>
                <w:sz w:val="20"/>
                <w:szCs w:val="20"/>
                <w:color w:val="auto"/>
              </w:rPr>
            </w:pPr>
            <w:r>
              <w:rPr>
                <w:rFonts w:ascii="Arial" w:cs="Arial" w:eastAsia="Arial" w:hAnsi="Arial"/>
                <w:sz w:val="17"/>
                <w:szCs w:val="17"/>
                <w:color w:val="auto"/>
              </w:rPr>
              <w:t>Interest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38,400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5,908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32,492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38,733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10,542</w:t>
            </w:r>
          </w:p>
        </w:tc>
      </w:tr>
      <w:tr>
        <w:trPr>
          <w:trHeight w:val="220"/>
        </w:trPr>
        <w:tc>
          <w:tcPr>
            <w:tcW w:w="4420" w:type="dxa"/>
            <w:vAlign w:val="bottom"/>
          </w:tcPr>
          <w:p>
            <w:pPr>
              <w:ind w:left="20"/>
              <w:spacing w:after="0" w:line="220"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2"/>
                <w:szCs w:val="22"/>
                <w:color w:val="auto"/>
                <w:vertAlign w:val="superscript"/>
              </w:rPr>
              <w:t>1</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38,273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29,914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3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 Payable</w:t>
            </w: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141,077</w:t>
            </w:r>
          </w:p>
        </w:tc>
        <w:tc>
          <w:tcPr>
            <w:tcW w:w="1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141,077</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4420" w:type="dxa"/>
            <w:vAlign w:val="bottom"/>
          </w:tcPr>
          <w:p>
            <w:pPr>
              <w:ind w:left="220"/>
              <w:spacing w:after="0"/>
              <w:rPr>
                <w:sz w:val="20"/>
                <w:szCs w:val="20"/>
                <w:color w:val="auto"/>
              </w:rPr>
            </w:pPr>
            <w:r>
              <w:rPr>
                <w:rFonts w:ascii="Arial" w:cs="Arial" w:eastAsia="Arial" w:hAnsi="Arial"/>
                <w:sz w:val="17"/>
                <w:szCs w:val="17"/>
                <w:color w:val="auto"/>
              </w:rPr>
              <w:t>Total</w:t>
            </w:r>
          </w:p>
        </w:tc>
        <w:tc>
          <w:tcPr>
            <w:tcW w:w="1000" w:type="dxa"/>
            <w:vAlign w:val="bottom"/>
          </w:tcPr>
          <w:p>
            <w:pPr>
              <w:jc w:val="right"/>
              <w:ind w:right="797"/>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257,551</w:t>
            </w:r>
          </w:p>
        </w:tc>
        <w:tc>
          <w:tcPr>
            <w:tcW w:w="1120" w:type="dxa"/>
            <w:vAlign w:val="bottom"/>
            <w:gridSpan w:val="2"/>
          </w:tcPr>
          <w:p>
            <w:pPr>
              <w:jc w:val="right"/>
              <w:ind w:right="842"/>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9"/>
              </w:rPr>
              <w:t>18,588</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228,301</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10,662</w:t>
            </w:r>
          </w:p>
        </w:tc>
      </w:tr>
      <w:tr>
        <w:trPr>
          <w:trHeight w:val="20"/>
        </w:trPr>
        <w:tc>
          <w:tcPr>
            <w:tcW w:w="4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ind w:left="200" w:hanging="197"/>
        <w:spacing w:after="0" w:line="221" w:lineRule="auto"/>
        <w:tabs>
          <w:tab w:leader="none" w:pos="200" w:val="left"/>
        </w:tabs>
        <w:numPr>
          <w:ilvl w:val="0"/>
          <w:numId w:val="20"/>
        </w:numPr>
        <w:rPr>
          <w:rFonts w:ascii="Arial" w:cs="Arial" w:eastAsia="Arial" w:hAnsi="Arial"/>
          <w:sz w:val="20"/>
          <w:szCs w:val="20"/>
          <w:color w:val="auto"/>
          <w:vertAlign w:val="superscript"/>
        </w:rPr>
      </w:pPr>
      <w:r>
        <w:rPr>
          <w:rFonts w:ascii="Arial" w:cs="Arial" w:eastAsia="Arial" w:hAnsi="Arial"/>
          <w:sz w:val="16"/>
          <w:szCs w:val="16"/>
          <w:color w:val="auto"/>
        </w:rPr>
        <w:t>Amount represents obligations associated with colocation agreements and other customer delivery related purchase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Tax Positions</w:t>
      </w:r>
    </w:p>
    <w:p>
      <w:pPr>
        <w:spacing w:after="0" w:line="250" w:lineRule="exact"/>
        <w:rPr>
          <w:sz w:val="20"/>
          <w:szCs w:val="20"/>
          <w:color w:val="auto"/>
        </w:rPr>
      </w:pPr>
    </w:p>
    <w:p>
      <w:pPr>
        <w:jc w:val="both"/>
        <w:ind w:firstLine="310"/>
        <w:spacing w:after="0" w:line="292" w:lineRule="auto"/>
        <w:rPr>
          <w:sz w:val="20"/>
          <w:szCs w:val="20"/>
          <w:color w:val="auto"/>
        </w:rPr>
      </w:pPr>
      <w:r>
        <w:rPr>
          <w:rFonts w:ascii="Arial" w:cs="Arial" w:eastAsia="Arial" w:hAnsi="Arial"/>
          <w:sz w:val="16"/>
          <w:szCs w:val="16"/>
          <w:color w:val="auto"/>
        </w:rPr>
        <w:t>Unrecognized tax positions of $4.4 million at June 30, 2023 are excluded from the table above as we are not able to reasonably estimate when we would make any cash payments required to settle these liabilities, but we do not believe that the ultimate settlement of our obligations will materially affect our liquidity. We anticipate that the balance of unrecognized tax benefits will decrease by approximately $0.8 million over the next twelve months.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0"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w:t>
      </w:r>
    </w:p>
    <w:p>
      <w:pPr>
        <w:spacing w:after="0" w:line="189"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These estimates and assumptions take into account historical and forward looking factors that the Company believes are reasonable, including but not limited to the potential impacts continuing to arise from COVID-19 and public and private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policies and initiatives aimed at reducing its transmission. As the extent and duration of the impacts from COVID-19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203"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During the six months ended June 30, 2023, there were no significant changes in our critical accounting policies and estimates discussed in our Form 10-K for the year ended December 31, 2022. Please refer to Management’s Discussion and Analysis of Financial Condition and Results of Operations contained in Part II, Item 7 of our Annual Report on Form 10-K for the year ended December 31, 2022 for a more complete discussion of our critical accounting policies and estimates.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50"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 xml:space="preserve">For a discussion of recently issued accounting standards see </w:t>
      </w:r>
      <w:r>
        <w:rPr>
          <w:rFonts w:ascii="Arial" w:cs="Arial" w:eastAsia="Arial" w:hAnsi="Arial"/>
          <w:sz w:val="17"/>
          <w:szCs w:val="17"/>
          <w:i w:val="1"/>
          <w:iCs w:val="1"/>
          <w:color w:val="auto"/>
        </w:rPr>
        <w:t>Note 2. Basis of Presentation and Consolidation</w:t>
      </w:r>
      <w:r>
        <w:rPr>
          <w:rFonts w:ascii="Arial" w:cs="Arial" w:eastAsia="Arial" w:hAnsi="Arial"/>
          <w:sz w:val="17"/>
          <w:szCs w:val="17"/>
          <w:color w:val="auto"/>
        </w:rPr>
        <w:t xml:space="preserve"> included in Part I, Item 1. “Notes to Condensed Consolidated Financial Statements (unaudited)” of this Quarterly Report on Form 10-Q.</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0"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had no off-balance sheet arrangements as of June 30, 2023 and December 31, 2022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50"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203" w:lineRule="exact"/>
        <w:rPr>
          <w:sz w:val="20"/>
          <w:szCs w:val="20"/>
          <w:color w:val="auto"/>
        </w:rPr>
      </w:pPr>
    </w:p>
    <w:p>
      <w:pPr>
        <w:jc w:val="both"/>
        <w:ind w:firstLine="310"/>
        <w:spacing w:after="0" w:line="304" w:lineRule="auto"/>
        <w:rPr>
          <w:sz w:val="20"/>
          <w:szCs w:val="20"/>
          <w:color w:val="auto"/>
        </w:rPr>
      </w:pPr>
      <w:r>
        <w:rPr>
          <w:rFonts w:ascii="Arial" w:cs="Arial" w:eastAsia="Arial" w:hAnsi="Arial"/>
          <w:sz w:val="15"/>
          <w:szCs w:val="15"/>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June 30, 2023 and December 31, 2022 were invested in liquid money market accounts, certificates of deposit and government securities. All market-risk sensitive instruments were entered into for non-trading purposes.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Risk</w:t>
      </w:r>
    </w:p>
    <w:p>
      <w:pPr>
        <w:spacing w:after="0" w:line="250"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98"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50"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are exposed to the risk of interest rate fluctuations on the interest income earned on our cash and cash equivalents. A hypothetical 100 basis point movement in interest rates applicable to our cash and cash equivalents outstanding at June 30, 2023 would increase interest income by approximately $0.2 million on an annual basis.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0"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June 30, 2023.</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0" w:lineRule="exact"/>
        <w:rPr>
          <w:sz w:val="20"/>
          <w:szCs w:val="20"/>
          <w:color w:val="auto"/>
        </w:rPr>
      </w:pPr>
    </w:p>
    <w:p>
      <w:pPr>
        <w:jc w:val="both"/>
        <w:ind w:firstLine="310"/>
        <w:spacing w:after="0" w:line="260"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250"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50"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 xml:space="preserve">For a discussion of our material pending legal proceedings that could impact our results of operations, financial condition or cash flows see </w:t>
      </w:r>
      <w:r>
        <w:rPr>
          <w:rFonts w:ascii="Arial" w:cs="Arial" w:eastAsia="Arial" w:hAnsi="Arial"/>
          <w:sz w:val="17"/>
          <w:szCs w:val="17"/>
          <w:i w:val="1"/>
          <w:iCs w:val="1"/>
          <w:color w:val="auto"/>
        </w:rPr>
        <w:t>Note 13.</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Commitments, Contingencies and Other </w:t>
      </w:r>
      <w:r>
        <w:rPr>
          <w:rFonts w:ascii="Arial" w:cs="Arial" w:eastAsia="Arial" w:hAnsi="Arial"/>
          <w:sz w:val="17"/>
          <w:szCs w:val="17"/>
          <w:color w:val="auto"/>
        </w:rPr>
        <w:t>included in Part I, Item 1. “Notes to Condensed Consolidated Financial Statements (unaudited)” of this Quarterly Report</w:t>
      </w:r>
      <w:r>
        <w:rPr>
          <w:rFonts w:ascii="Arial" w:cs="Arial" w:eastAsia="Arial" w:hAnsi="Arial"/>
          <w:sz w:val="17"/>
          <w:szCs w:val="17"/>
          <w:i w:val="1"/>
          <w:iCs w:val="1"/>
          <w:color w:val="auto"/>
        </w:rPr>
        <w:t xml:space="preserve"> </w:t>
      </w:r>
      <w:r>
        <w:rPr>
          <w:rFonts w:ascii="Arial" w:cs="Arial" w:eastAsia="Arial" w:hAnsi="Arial"/>
          <w:sz w:val="17"/>
          <w:szCs w:val="17"/>
          <w:color w:val="auto"/>
        </w:rPr>
        <w:t>on Form 10-Q.</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50"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Other than set forth below, there have been no material changes to our risk factors as previously disclosed in Part I, Item 1A. included in our Annual Report on Form 10-K for the year ended December 31, 2022.</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have engaged UBS Securities, LLC as our financial advisor to assist in exploring and evaluating potential strategic transactions. Additionally, we have received a non-binding proposal from B. Riley Financial, Inc. and its affiliates (“BRF”), and there can be no assurance that a transaction will be agreed to or consummated.</w:t>
      </w:r>
    </w:p>
    <w:p>
      <w:pPr>
        <w:spacing w:after="0" w:line="198"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In March 2023, we announced that we have engaged UBS Securities, LLC as our financial advisor to assist in exploring and evaluating potential strategic transactions, as well as the receipt from BRF of a non-binding acquisition proposal (the “BRF Offer”). Management and our board of directors, in accordance with their fiduciary duties and consistent with their commitment to maximize shareholder value, are evaluating potential strategic transactions, including the BRF Offer. There can be no assurance that any transaction will ultimately be consummated. The price of our common stock may be impacted by the outcome of the board of directors’ evaluation of any potential strategic transactions, and whether or not any transaction is agreed to or consummated.</w:t>
      </w:r>
    </w:p>
    <w:p>
      <w:pPr>
        <w:spacing w:after="0" w:line="189"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Securities class action lawsuits and derivative lawsuits are often brought against public companies and their directors when companies either reject acquisition proposals or enter into agreements for transactions similar to those contemplated by the BRF Offer, and such lawsuits may be brought against our company and our directors in connection with the BRF Offer or a potential strategic transaction, whether or not a transaction is ultimately agreed to or consummated. Even if the lawsuits are without merit, these claims can result in substantial costs and divert management time and resources. An adverse judgment could result in monetary damages, which could have a negative impact on our liquidity and financial condition.</w:t>
      </w:r>
    </w:p>
    <w:p>
      <w:pPr>
        <w:spacing w:after="0" w:line="203"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In addition, perceived uncertainties as to our future direction, strategy or leadership created as a consequence of new activist shareholder initiatives may result in the loss of potential business opportunities, harm our ability to attract new investors, customers, and employees, and cause our stock price to experience periods of volatility or stagnation.</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traditionally have had substantial customer concentration, with a limited number of customers accounting for a substantial portion of our revenues.</w:t>
      </w:r>
    </w:p>
    <w:p>
      <w:pPr>
        <w:spacing w:after="0" w:line="267" w:lineRule="exact"/>
        <w:rPr>
          <w:sz w:val="20"/>
          <w:szCs w:val="20"/>
          <w:color w:val="auto"/>
        </w:rPr>
      </w:pPr>
    </w:p>
    <w:p>
      <w:pPr>
        <w:jc w:val="both"/>
        <w:ind w:firstLine="310"/>
        <w:spacing w:after="0" w:line="294" w:lineRule="auto"/>
        <w:rPr>
          <w:sz w:val="20"/>
          <w:szCs w:val="20"/>
          <w:color w:val="auto"/>
        </w:rPr>
      </w:pPr>
      <w:r>
        <w:rPr>
          <w:rFonts w:ascii="Arial" w:cs="Arial" w:eastAsia="Arial" w:hAnsi="Arial"/>
          <w:sz w:val="15"/>
          <w:szCs w:val="15"/>
          <w:color w:val="auto"/>
        </w:rPr>
        <w:t>The Company’s top five customers accounted for 76.3% of net revenues for the six months ended June 30, 2023 and 73.4%, 68.2% and 68.0% of net revenues for the years ended December 31, 2022, 2021 and 2020, respectively. Of these customers, Verizon accounted for more than 10% of our revenues in the six months ended June 30, 2023 and the years ended December 31, 2022, 2021, and 2020. There are inherent risks whenever a large percentage of total revenues are concentrated with a limited number of customers. It is not possible for us to predict the future level of demand for our products and services that will be generated by these customers or the future demand for the products and services of these customers in the end-user marketplace. In addition, revenues from these larger customers may fluctuate from time to time based on the commencement and completion of projects, the timing of which may be affected by market conditions or other factors, some of which may be outside of our control. Further, some of our contracts with these larger customers permit them to terminate our services at any time (subject to notice and certain other provisions). If any of our major customers experience declining or delayed sales due to market, economic or competitive conditions, we could be pressured to reduce the prices we charge for our services or we could lose the customer. Some of our customer agreements contain “most favored nation” clauses, which typically provide that if we enter into an agreement with another customer on more favorable terms, we must offer some of those terms to our existing customers. These agreements may obligate us to provide different, more favorable terms to certain customers, which could,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applied, result in lower revenue or otherwise affect our business, financial condition, and results of operations. While we believe that we have appropriately complied with the most favored nation terms included in our customer agreements, these contracts are complex and other parties could reach a different conclusion that, if enforced, could have an adverse effect on our business, financial condition or results of operations. Disputes over such terms may be costly, difficult and time-consuming to resolve, and could divert our management’s attention and resources. Any such development could have an adverse effect on our margins and financial position and would negatively affect our revenues and results of operations and/or trading price of our common stock.</w:t>
      </w:r>
    </w:p>
    <w:p>
      <w:pPr>
        <w:spacing w:after="0" w:line="189"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163" w:lineRule="exact"/>
        <w:rPr>
          <w:sz w:val="20"/>
          <w:szCs w:val="20"/>
          <w:color w:val="auto"/>
        </w:rPr>
      </w:pPr>
    </w:p>
    <w:p>
      <w:pPr>
        <w:jc w:val="both"/>
        <w:ind w:firstLine="310"/>
        <w:spacing w:after="0" w:line="273" w:lineRule="auto"/>
        <w:rPr>
          <w:sz w:val="20"/>
          <w:szCs w:val="20"/>
          <w:color w:val="auto"/>
        </w:rPr>
      </w:pPr>
      <w:r>
        <w:rPr>
          <w:rFonts w:ascii="Arial" w:cs="Arial" w:eastAsia="Arial" w:hAnsi="Arial"/>
          <w:sz w:val="16"/>
          <w:szCs w:val="16"/>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A statement by the U.S. Department of the Treasury, the Federal Reserve and the FDIC stated that all depositors of SVB would have access to all of their money after only one business day following the date of closure. Similarly, on May 1, 2023, First Republic Bank (“FRB”) was closed by the California Department of Financial Protection and Innovation and the FDIC was appointed as receiver. JPMorgan Chase Bank, National Association (N.A.) acquired all of FRB’s deposit accounts and substantially all of its assets.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spacing w:after="0" w:line="197"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and cash equivalents could be adversely affected if the financial institutions in which we hold our cash and cash equivalents fail.</w:t>
      </w:r>
    </w:p>
    <w:p>
      <w:pPr>
        <w:spacing w:after="0" w:line="244" w:lineRule="exact"/>
        <w:rPr>
          <w:sz w:val="20"/>
          <w:szCs w:val="20"/>
          <w:color w:val="auto"/>
        </w:rPr>
      </w:pPr>
    </w:p>
    <w:p>
      <w:pPr>
        <w:jc w:val="both"/>
        <w:ind w:firstLine="310"/>
        <w:spacing w:after="0" w:line="292" w:lineRule="auto"/>
        <w:rPr>
          <w:sz w:val="20"/>
          <w:szCs w:val="20"/>
          <w:color w:val="auto"/>
        </w:rPr>
      </w:pPr>
      <w:r>
        <w:rPr>
          <w:rFonts w:ascii="Arial" w:cs="Arial" w:eastAsia="Arial" w:hAnsi="Arial"/>
          <w:sz w:val="16"/>
          <w:szCs w:val="16"/>
          <w:color w:val="auto"/>
        </w:rPr>
        <w:t>We regularly maintain cash balances at third-party financial institutions in excess of the Federal Deposit Insurance Corporation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and financial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10"/>
          </w:tcPr>
          <w:p>
            <w:pPr>
              <w:ind w:left="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1"/>
        </w:trPr>
        <w:tc>
          <w:tcPr>
            <w:tcW w:w="1100" w:type="dxa"/>
            <w:vAlign w:val="bottom"/>
          </w:tcPr>
          <w:p>
            <w:pPr>
              <w:jc w:val="center"/>
              <w:spacing w:after="0" w:line="141" w:lineRule="exact"/>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Borders>
              <w:bottom w:val="single" w:sz="8" w:color="0000FF"/>
            </w:tcBorders>
            <w:gridSpan w:val="9"/>
          </w:tcPr>
          <w:p>
            <w:pPr>
              <w:spacing w:after="0" w:line="141" w:lineRule="exact"/>
              <w:rPr>
                <w:rFonts w:ascii="Arial" w:cs="Arial" w:eastAsia="Arial" w:hAnsi="Arial"/>
                <w:sz w:val="14"/>
                <w:szCs w:val="14"/>
                <w:color w:val="0000FF"/>
                <w:w w:val="89"/>
              </w:rPr>
            </w:pPr>
            <w:hyperlink r:id="rId48">
              <w:r>
                <w:rPr>
                  <w:rFonts w:ascii="Arial" w:cs="Arial" w:eastAsia="Arial" w:hAnsi="Arial"/>
                  <w:sz w:val="14"/>
                  <w:szCs w:val="14"/>
                  <w:color w:val="0000FF"/>
                  <w:w w:val="89"/>
                </w:rPr>
                <w:t>Restated Certificate of Incorporation of the Registrant.</w:t>
              </w:r>
            </w:hyperlink>
          </w:p>
        </w:tc>
        <w:tc>
          <w:tcPr>
            <w:tcW w:w="160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15"/>
          </w:tcPr>
          <w:p>
            <w:pPr>
              <w:spacing w:after="0"/>
              <w:rPr>
                <w:rFonts w:ascii="Arial" w:cs="Arial" w:eastAsia="Arial" w:hAnsi="Arial"/>
                <w:sz w:val="14"/>
                <w:szCs w:val="14"/>
                <w:color w:val="0000FF"/>
                <w:w w:val="99"/>
              </w:rPr>
            </w:pPr>
            <w:hyperlink r:id="rId49">
              <w:r>
                <w:rPr>
                  <w:rFonts w:ascii="Arial" w:cs="Arial" w:eastAsia="Arial" w:hAnsi="Arial"/>
                  <w:sz w:val="14"/>
                  <w:szCs w:val="14"/>
                  <w:color w:val="0000FF"/>
                  <w:w w:val="99"/>
                </w:rPr>
                <w:t>Certificate of Amendment to the Restated Certificate of Incorporation of the</w:t>
              </w:r>
            </w:hyperlink>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tcBorders>
              <w:top w:val="single" w:sz="8" w:color="0000FF"/>
            </w:tcBorders>
            <w:gridSpan w:val="12"/>
          </w:tcPr>
          <w:p>
            <w:pPr>
              <w:spacing w:after="0" w:line="135" w:lineRule="exact"/>
              <w:rPr>
                <w:rFonts w:ascii="Arial" w:cs="Arial" w:eastAsia="Arial" w:hAnsi="Arial"/>
                <w:sz w:val="14"/>
                <w:szCs w:val="14"/>
                <w:color w:val="0000FF"/>
              </w:rPr>
            </w:pPr>
            <w:hyperlink r:id="rId49">
              <w:r>
                <w:rPr>
                  <w:rFonts w:ascii="Arial" w:cs="Arial" w:eastAsia="Arial" w:hAnsi="Arial"/>
                  <w:sz w:val="14"/>
                  <w:szCs w:val="14"/>
                  <w:color w:val="0000FF"/>
                </w:rPr>
                <w:t>Registrant.</w:t>
              </w:r>
            </w:hyperlink>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0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Borders>
              <w:bottom w:val="single" w:sz="8" w:color="0000FF"/>
            </w:tcBorders>
            <w:gridSpan w:val="8"/>
          </w:tcPr>
          <w:p>
            <w:pPr>
              <w:spacing w:after="0"/>
              <w:rPr>
                <w:rFonts w:ascii="Arial" w:cs="Arial" w:eastAsia="Arial" w:hAnsi="Arial"/>
                <w:sz w:val="14"/>
                <w:szCs w:val="14"/>
                <w:color w:val="0000FF"/>
                <w:w w:val="88"/>
              </w:rPr>
            </w:pPr>
            <w:hyperlink r:id="rId50">
              <w:r>
                <w:rPr>
                  <w:rFonts w:ascii="Arial" w:cs="Arial" w:eastAsia="Arial" w:hAnsi="Arial"/>
                  <w:sz w:val="14"/>
                  <w:szCs w:val="14"/>
                  <w:color w:val="0000FF"/>
                  <w:w w:val="88"/>
                </w:rPr>
                <w:t>Amended and Restated Bylaws of the Registrant.</w:t>
              </w:r>
            </w:hyperlink>
          </w:p>
        </w:tc>
        <w:tc>
          <w:tcPr>
            <w:tcW w:w="19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15"/>
          </w:tcPr>
          <w:p>
            <w:pPr>
              <w:spacing w:after="0"/>
              <w:rPr>
                <w:rFonts w:ascii="Arial" w:cs="Arial" w:eastAsia="Arial" w:hAnsi="Arial"/>
                <w:sz w:val="14"/>
                <w:szCs w:val="14"/>
                <w:color w:val="0000FF"/>
              </w:rPr>
            </w:pPr>
            <w:hyperlink r:id="rId51">
              <w:r>
                <w:rPr>
                  <w:rFonts w:ascii="Arial" w:cs="Arial" w:eastAsia="Arial" w:hAnsi="Arial"/>
                  <w:sz w:val="14"/>
                  <w:szCs w:val="14"/>
                  <w:color w:val="0000FF"/>
                </w:rPr>
                <w:t>Amendment No. 1 to Amended and Restated Bylaws of the Registrant.</w:t>
              </w:r>
            </w:hyperlink>
          </w:p>
        </w:tc>
        <w:tc>
          <w:tcPr>
            <w:tcW w:w="0" w:type="dxa"/>
            <w:vAlign w:val="bottom"/>
          </w:tcPr>
          <w:p>
            <w:pPr>
              <w:spacing w:after="0"/>
              <w:rPr>
                <w:sz w:val="1"/>
                <w:szCs w:val="1"/>
                <w:color w:val="auto"/>
              </w:rPr>
            </w:pPr>
          </w:p>
        </w:tc>
      </w:tr>
      <w:tr>
        <w:trPr>
          <w:trHeight w:val="20"/>
        </w:trPr>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92"/>
              </w:rPr>
              <w:t>3.5</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15"/>
          </w:tcPr>
          <w:p>
            <w:pPr>
              <w:spacing w:after="0"/>
              <w:rPr>
                <w:rFonts w:ascii="Arial" w:cs="Arial" w:eastAsia="Arial" w:hAnsi="Arial"/>
                <w:sz w:val="14"/>
                <w:szCs w:val="14"/>
                <w:color w:val="0000FF"/>
                <w:w w:val="99"/>
              </w:rPr>
            </w:pPr>
            <w:hyperlink r:id="rId52">
              <w:r>
                <w:rPr>
                  <w:rFonts w:ascii="Arial" w:cs="Arial" w:eastAsia="Arial" w:hAnsi="Arial"/>
                  <w:sz w:val="14"/>
                  <w:szCs w:val="14"/>
                  <w:color w:val="0000FF"/>
                  <w:w w:val="99"/>
                </w:rPr>
                <w:t>Amendment No. 2 to the Amended and Restated Bylaws of the Registrant.</w:t>
              </w:r>
            </w:hyperlink>
          </w:p>
        </w:tc>
        <w:tc>
          <w:tcPr>
            <w:tcW w:w="0" w:type="dxa"/>
            <w:vAlign w:val="bottom"/>
          </w:tcPr>
          <w:p>
            <w:pPr>
              <w:spacing w:after="0"/>
              <w:rPr>
                <w:sz w:val="1"/>
                <w:szCs w:val="1"/>
                <w:color w:val="auto"/>
              </w:rPr>
            </w:pPr>
          </w:p>
        </w:tc>
      </w:tr>
      <w:tr>
        <w:trPr>
          <w:trHeight w:val="20"/>
        </w:trPr>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92"/>
              </w:rPr>
              <w:t>3.6</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15"/>
          </w:tcPr>
          <w:p>
            <w:pPr>
              <w:spacing w:after="0"/>
              <w:rPr>
                <w:rFonts w:ascii="Arial" w:cs="Arial" w:eastAsia="Arial" w:hAnsi="Arial"/>
                <w:sz w:val="14"/>
                <w:szCs w:val="14"/>
                <w:color w:val="0000FF"/>
                <w:w w:val="93"/>
              </w:rPr>
            </w:pPr>
            <w:hyperlink r:id="rId53">
              <w:r>
                <w:rPr>
                  <w:rFonts w:ascii="Arial" w:cs="Arial" w:eastAsia="Arial" w:hAnsi="Arial"/>
                  <w:sz w:val="14"/>
                  <w:szCs w:val="14"/>
                  <w:color w:val="0000FF"/>
                  <w:w w:val="93"/>
                </w:rPr>
                <w:t>Certificate of Designations of the Series B Perpetual Non-Convertible Preferred</w:t>
              </w:r>
            </w:hyperlink>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top w:val="single" w:sz="8" w:color="0000FF"/>
              <w:bottom w:val="single" w:sz="8" w:color="0000FF"/>
            </w:tcBorders>
            <w:gridSpan w:val="2"/>
          </w:tcPr>
          <w:p>
            <w:pPr>
              <w:spacing w:after="0" w:line="135" w:lineRule="exact"/>
              <w:rPr>
                <w:rFonts w:ascii="Arial" w:cs="Arial" w:eastAsia="Arial" w:hAnsi="Arial"/>
                <w:sz w:val="14"/>
                <w:szCs w:val="14"/>
                <w:color w:val="0000FF"/>
                <w:w w:val="87"/>
              </w:rPr>
            </w:pPr>
            <w:hyperlink r:id="rId53">
              <w:r>
                <w:rPr>
                  <w:rFonts w:ascii="Arial" w:cs="Arial" w:eastAsia="Arial" w:hAnsi="Arial"/>
                  <w:sz w:val="14"/>
                  <w:szCs w:val="14"/>
                  <w:color w:val="0000FF"/>
                  <w:w w:val="87"/>
                </w:rPr>
                <w:t>Stock.</w:t>
              </w:r>
            </w:hyperlink>
          </w:p>
        </w:tc>
        <w:tc>
          <w:tcPr>
            <w:tcW w:w="4040" w:type="dxa"/>
            <w:vAlign w:val="bottom"/>
            <w:tcBorders>
              <w:top w:val="single" w:sz="8" w:color="0000FF"/>
            </w:tcBorders>
            <w:gridSpan w:val="11"/>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1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15"/>
          </w:tcPr>
          <w:p>
            <w:pPr>
              <w:spacing w:after="0"/>
              <w:rPr>
                <w:rFonts w:ascii="Arial" w:cs="Arial" w:eastAsia="Arial" w:hAnsi="Arial"/>
                <w:sz w:val="14"/>
                <w:szCs w:val="14"/>
                <w:color w:val="0000FF"/>
                <w:w w:val="90"/>
              </w:rPr>
            </w:pPr>
            <w:hyperlink r:id="rId54">
              <w:r>
                <w:rPr>
                  <w:rFonts w:ascii="Arial" w:cs="Arial" w:eastAsia="Arial" w:hAnsi="Arial"/>
                  <w:sz w:val="14"/>
                  <w:szCs w:val="14"/>
                  <w:color w:val="0000FF"/>
                  <w:w w:val="90"/>
                </w:rPr>
                <w:t>Change Request No. 19 effective July 18, 2023 to SOW No. 1 Application Service</w:t>
              </w:r>
            </w:hyperlink>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tcBorders>
              <w:top w:val="single" w:sz="8" w:color="0000FF"/>
              <w:bottom w:val="single" w:sz="8" w:color="0000FF"/>
            </w:tcBorders>
            <w:gridSpan w:val="14"/>
          </w:tcPr>
          <w:p>
            <w:pPr>
              <w:spacing w:after="0" w:line="123" w:lineRule="exact"/>
              <w:rPr>
                <w:rFonts w:ascii="Arial" w:cs="Arial" w:eastAsia="Arial" w:hAnsi="Arial"/>
                <w:sz w:val="14"/>
                <w:szCs w:val="14"/>
                <w:color w:val="0000FF"/>
                <w:w w:val="93"/>
              </w:rPr>
            </w:pPr>
            <w:hyperlink r:id="rId54">
              <w:r>
                <w:rPr>
                  <w:rFonts w:ascii="Arial" w:cs="Arial" w:eastAsia="Arial" w:hAnsi="Arial"/>
                  <w:sz w:val="14"/>
                  <w:szCs w:val="14"/>
                  <w:color w:val="0000FF"/>
                  <w:w w:val="93"/>
                </w:rPr>
                <w:t>Provider Agreement effective as of April 1, 2013 by and between the Registrant</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0" w:type="dxa"/>
            <w:vAlign w:val="bottom"/>
            <w:gridSpan w:val="14"/>
          </w:tcPr>
          <w:p>
            <w:pPr>
              <w:spacing w:after="0" w:line="110" w:lineRule="exact"/>
              <w:rPr>
                <w:rFonts w:ascii="Arial" w:cs="Arial" w:eastAsia="Arial" w:hAnsi="Arial"/>
                <w:sz w:val="11"/>
                <w:szCs w:val="11"/>
                <w:color w:val="0000FF"/>
              </w:rPr>
            </w:pPr>
            <w:hyperlink r:id="rId54">
              <w:r>
                <w:rPr>
                  <w:rFonts w:ascii="Arial" w:cs="Arial" w:eastAsia="Arial" w:hAnsi="Arial"/>
                  <w:sz w:val="11"/>
                  <w:szCs w:val="11"/>
                  <w:color w:val="0000FF"/>
                </w:rPr>
                <w:t>and Verizon Sourcing LLC.</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15"/>
          </w:tcPr>
          <w:p>
            <w:pPr>
              <w:spacing w:after="0"/>
              <w:rPr>
                <w:rFonts w:ascii="Arial" w:cs="Arial" w:eastAsia="Arial" w:hAnsi="Arial"/>
                <w:sz w:val="14"/>
                <w:szCs w:val="14"/>
                <w:color w:val="0000FF"/>
                <w:w w:val="92"/>
              </w:rPr>
            </w:pPr>
            <w:hyperlink r:id="rId55">
              <w:r>
                <w:rPr>
                  <w:rFonts w:ascii="Arial" w:cs="Arial" w:eastAsia="Arial" w:hAnsi="Arial"/>
                  <w:sz w:val="14"/>
                  <w:szCs w:val="14"/>
                  <w:color w:val="0000FF"/>
                  <w:w w:val="92"/>
                </w:rPr>
                <w:t>Amendment 2 to the Application Service Provider Agreement effective as of July</w:t>
              </w:r>
            </w:hyperlink>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tcBorders>
              <w:top w:val="single" w:sz="8" w:color="0000FF"/>
              <w:bottom w:val="single" w:sz="8" w:color="0000FF"/>
            </w:tcBorders>
            <w:gridSpan w:val="14"/>
          </w:tcPr>
          <w:p>
            <w:pPr>
              <w:spacing w:after="0" w:line="123" w:lineRule="exact"/>
              <w:rPr>
                <w:rFonts w:ascii="Arial" w:cs="Arial" w:eastAsia="Arial" w:hAnsi="Arial"/>
                <w:sz w:val="14"/>
                <w:szCs w:val="14"/>
                <w:color w:val="0000FF"/>
                <w:w w:val="94"/>
              </w:rPr>
            </w:pPr>
            <w:hyperlink r:id="rId55">
              <w:r>
                <w:rPr>
                  <w:rFonts w:ascii="Arial" w:cs="Arial" w:eastAsia="Arial" w:hAnsi="Arial"/>
                  <w:sz w:val="14"/>
                  <w:szCs w:val="14"/>
                  <w:color w:val="0000FF"/>
                  <w:w w:val="94"/>
                </w:rPr>
                <w:t>18, 2023 by and between Registrant and Verizon Sourcing LLC effective as of</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0000FF"/>
            </w:tcBorders>
            <w:gridSpan w:val="4"/>
          </w:tcPr>
          <w:p>
            <w:pPr>
              <w:spacing w:after="0" w:line="110" w:lineRule="exact"/>
              <w:rPr>
                <w:rFonts w:ascii="Arial" w:cs="Arial" w:eastAsia="Arial" w:hAnsi="Arial"/>
                <w:sz w:val="11"/>
                <w:szCs w:val="11"/>
                <w:color w:val="0000FF"/>
              </w:rPr>
            </w:pPr>
            <w:hyperlink r:id="rId55">
              <w:r>
                <w:rPr>
                  <w:rFonts w:ascii="Arial" w:cs="Arial" w:eastAsia="Arial" w:hAnsi="Arial"/>
                  <w:sz w:val="11"/>
                  <w:szCs w:val="11"/>
                  <w:color w:val="0000FF"/>
                </w:rPr>
                <w:t>April 1, 2013.</w:t>
              </w:r>
            </w:hyperlink>
          </w:p>
        </w:tc>
        <w:tc>
          <w:tcPr>
            <w:tcW w:w="3820" w:type="dxa"/>
            <w:vAlign w:val="bottom"/>
            <w:gridSpan w:val="1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15"/>
          </w:tcPr>
          <w:p>
            <w:pPr>
              <w:spacing w:after="0" w:line="161" w:lineRule="exact"/>
              <w:rPr>
                <w:sz w:val="20"/>
                <w:szCs w:val="20"/>
                <w:color w:val="auto"/>
              </w:rPr>
            </w:pPr>
            <w:r>
              <w:rPr>
                <w:rFonts w:ascii="Arial" w:cs="Arial" w:eastAsia="Arial" w:hAnsi="Arial"/>
                <w:sz w:val="14"/>
                <w:szCs w:val="14"/>
                <w:color w:val="0000FF"/>
                <w:w w:val="98"/>
              </w:rPr>
              <w:t>Certification of Principal Executive Officer pursuant to Rule 13a</w:t>
            </w:r>
            <w:r>
              <w:rPr>
                <w:rFonts w:ascii="MS PGothic" w:cs="MS PGothic" w:eastAsia="MS PGothic" w:hAnsi="MS PGothic"/>
                <w:sz w:val="14"/>
                <w:szCs w:val="14"/>
                <w:color w:val="0000FF"/>
                <w:w w:val="98"/>
              </w:rPr>
              <w:t>‑</w:t>
            </w:r>
            <w:r>
              <w:rPr>
                <w:rFonts w:ascii="Arial" w:cs="Arial" w:eastAsia="Arial" w:hAnsi="Arial"/>
                <w:sz w:val="14"/>
                <w:szCs w:val="14"/>
                <w:color w:val="0000FF"/>
                <w:w w:val="98"/>
              </w:rPr>
              <w:t>14(a) of the</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tcBorders>
              <w:top w:val="single" w:sz="8" w:color="0000FF"/>
              <w:bottom w:val="single" w:sz="8" w:color="0000FF"/>
            </w:tcBorders>
            <w:gridSpan w:val="14"/>
          </w:tcPr>
          <w:p>
            <w:pPr>
              <w:spacing w:after="0" w:line="123" w:lineRule="exact"/>
              <w:rPr>
                <w:sz w:val="20"/>
                <w:szCs w:val="20"/>
                <w:color w:val="auto"/>
              </w:rPr>
            </w:pPr>
            <w:r>
              <w:rPr>
                <w:rFonts w:ascii="Arial" w:cs="Arial" w:eastAsia="Arial" w:hAnsi="Arial"/>
                <w:sz w:val="14"/>
                <w:szCs w:val="14"/>
                <w:color w:val="0000FF"/>
                <w:w w:val="92"/>
              </w:rPr>
              <w:t>Exchange Act, as adopted pursuant to section 302 of the Sarbanes</w:t>
            </w:r>
            <w:r>
              <w:rPr>
                <w:rFonts w:ascii="MS PGothic" w:cs="MS PGothic" w:eastAsia="MS PGothic" w:hAnsi="MS PGothic"/>
                <w:sz w:val="14"/>
                <w:szCs w:val="14"/>
                <w:color w:val="0000FF"/>
                <w:w w:val="92"/>
              </w:rPr>
              <w:t>‑</w:t>
            </w:r>
            <w:r>
              <w:rPr>
                <w:rFonts w:ascii="Arial" w:cs="Arial" w:eastAsia="Arial" w:hAnsi="Arial"/>
                <w:sz w:val="14"/>
                <w:szCs w:val="14"/>
                <w:color w:val="0000FF"/>
                <w:w w:val="92"/>
              </w:rPr>
              <w:t>Oxley Act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320" w:type="dxa"/>
            <w:vAlign w:val="bottom"/>
            <w:tcBorders>
              <w:bottom w:val="single" w:sz="8" w:color="0000FF"/>
            </w:tcBorders>
          </w:tcPr>
          <w:p>
            <w:pPr>
              <w:spacing w:after="0" w:line="110" w:lineRule="exact"/>
              <w:rPr>
                <w:sz w:val="20"/>
                <w:szCs w:val="20"/>
                <w:color w:val="auto"/>
              </w:rPr>
            </w:pPr>
            <w:r>
              <w:rPr>
                <w:rFonts w:ascii="Arial" w:cs="Arial" w:eastAsia="Arial" w:hAnsi="Arial"/>
                <w:sz w:val="11"/>
                <w:szCs w:val="11"/>
                <w:color w:val="0000FF"/>
              </w:rPr>
              <w:t>2002.</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15"/>
          </w:tcPr>
          <w:p>
            <w:pPr>
              <w:spacing w:after="0" w:line="161" w:lineRule="exact"/>
              <w:rPr>
                <w:sz w:val="20"/>
                <w:szCs w:val="20"/>
                <w:color w:val="auto"/>
              </w:rPr>
            </w:pPr>
            <w:r>
              <w:rPr>
                <w:rFonts w:ascii="Arial" w:cs="Arial" w:eastAsia="Arial" w:hAnsi="Arial"/>
                <w:sz w:val="14"/>
                <w:szCs w:val="14"/>
                <w:color w:val="0000FF"/>
                <w:w w:val="99"/>
              </w:rPr>
              <w:t>Certification of Principal Financial Officer pursuant to Rule 13a</w:t>
            </w:r>
            <w:r>
              <w:rPr>
                <w:rFonts w:ascii="MS PGothic" w:cs="MS PGothic" w:eastAsia="MS PGothic" w:hAnsi="MS PGothic"/>
                <w:sz w:val="14"/>
                <w:szCs w:val="14"/>
                <w:color w:val="0000FF"/>
                <w:w w:val="99"/>
              </w:rPr>
              <w:t>‑</w:t>
            </w:r>
            <w:r>
              <w:rPr>
                <w:rFonts w:ascii="Arial" w:cs="Arial" w:eastAsia="Arial" w:hAnsi="Arial"/>
                <w:sz w:val="14"/>
                <w:szCs w:val="14"/>
                <w:color w:val="0000FF"/>
                <w:w w:val="99"/>
              </w:rPr>
              <w:t>14(a) of the</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tcBorders>
              <w:top w:val="single" w:sz="8" w:color="0000FF"/>
              <w:bottom w:val="single" w:sz="8" w:color="0000FF"/>
            </w:tcBorders>
            <w:gridSpan w:val="14"/>
          </w:tcPr>
          <w:p>
            <w:pPr>
              <w:spacing w:after="0" w:line="123" w:lineRule="exact"/>
              <w:rPr>
                <w:sz w:val="20"/>
                <w:szCs w:val="20"/>
                <w:color w:val="auto"/>
              </w:rPr>
            </w:pPr>
            <w:r>
              <w:rPr>
                <w:rFonts w:ascii="Arial" w:cs="Arial" w:eastAsia="Arial" w:hAnsi="Arial"/>
                <w:sz w:val="14"/>
                <w:szCs w:val="14"/>
                <w:color w:val="0000FF"/>
                <w:w w:val="92"/>
              </w:rPr>
              <w:t>Exchange Act, as adopted pursuant to section 302 of the Sarbanes</w:t>
            </w:r>
            <w:r>
              <w:rPr>
                <w:rFonts w:ascii="MS PGothic" w:cs="MS PGothic" w:eastAsia="MS PGothic" w:hAnsi="MS PGothic"/>
                <w:sz w:val="14"/>
                <w:szCs w:val="14"/>
                <w:color w:val="0000FF"/>
                <w:w w:val="92"/>
              </w:rPr>
              <w:t>‑</w:t>
            </w:r>
            <w:r>
              <w:rPr>
                <w:rFonts w:ascii="Arial" w:cs="Arial" w:eastAsia="Arial" w:hAnsi="Arial"/>
                <w:sz w:val="14"/>
                <w:szCs w:val="14"/>
                <w:color w:val="0000FF"/>
                <w:w w:val="92"/>
              </w:rPr>
              <w:t>Oxley Act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320" w:type="dxa"/>
            <w:vAlign w:val="bottom"/>
            <w:tcBorders>
              <w:bottom w:val="single" w:sz="8" w:color="0000FF"/>
            </w:tcBorders>
          </w:tcPr>
          <w:p>
            <w:pPr>
              <w:spacing w:after="0" w:line="110" w:lineRule="exact"/>
              <w:rPr>
                <w:sz w:val="20"/>
                <w:szCs w:val="20"/>
                <w:color w:val="auto"/>
              </w:rPr>
            </w:pPr>
            <w:r>
              <w:rPr>
                <w:rFonts w:ascii="Arial" w:cs="Arial" w:eastAsia="Arial" w:hAnsi="Arial"/>
                <w:sz w:val="11"/>
                <w:szCs w:val="11"/>
                <w:color w:val="0000FF"/>
              </w:rPr>
              <w:t>2002.</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tcPr>
          <w:p>
            <w:pPr>
              <w:jc w:val="center"/>
              <w:spacing w:after="0"/>
              <w:rPr>
                <w:sz w:val="20"/>
                <w:szCs w:val="20"/>
                <w:color w:val="auto"/>
              </w:rPr>
            </w:pPr>
            <w:r>
              <w:rPr>
                <w:rFonts w:ascii="Arial" w:cs="Arial" w:eastAsia="Arial" w:hAnsi="Arial"/>
                <w:sz w:val="14"/>
                <w:szCs w:val="14"/>
                <w:color w:val="auto"/>
                <w:w w:val="87"/>
              </w:rPr>
              <w:t>32.1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15"/>
          </w:tcPr>
          <w:p>
            <w:pPr>
              <w:spacing w:after="0" w:line="161" w:lineRule="exact"/>
              <w:rPr>
                <w:sz w:val="20"/>
                <w:szCs w:val="20"/>
                <w:color w:val="auto"/>
              </w:rPr>
            </w:pPr>
            <w:r>
              <w:rPr>
                <w:rFonts w:ascii="Arial" w:cs="Arial" w:eastAsia="Arial" w:hAnsi="Arial"/>
                <w:sz w:val="14"/>
                <w:szCs w:val="14"/>
                <w:color w:val="0000FF"/>
                <w:w w:val="98"/>
              </w:rPr>
              <w:t>Certification of Principal Executive Officer pursuant to Rule 13a</w:t>
            </w:r>
            <w:r>
              <w:rPr>
                <w:rFonts w:ascii="MS PGothic" w:cs="MS PGothic" w:eastAsia="MS PGothic" w:hAnsi="MS PGothic"/>
                <w:sz w:val="14"/>
                <w:szCs w:val="14"/>
                <w:color w:val="0000FF"/>
                <w:w w:val="98"/>
              </w:rPr>
              <w:t>‑</w:t>
            </w:r>
            <w:r>
              <w:rPr>
                <w:rFonts w:ascii="Arial" w:cs="Arial" w:eastAsia="Arial" w:hAnsi="Arial"/>
                <w:sz w:val="14"/>
                <w:szCs w:val="14"/>
                <w:color w:val="0000FF"/>
                <w:w w:val="98"/>
              </w:rPr>
              <w:t>14(b) of the</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tcBorders>
              <w:top w:val="single" w:sz="8" w:color="0000FF"/>
              <w:bottom w:val="single" w:sz="8" w:color="0000FF"/>
            </w:tcBorders>
            <w:gridSpan w:val="14"/>
          </w:tcPr>
          <w:p>
            <w:pPr>
              <w:spacing w:after="0" w:line="123" w:lineRule="exact"/>
              <w:rPr>
                <w:sz w:val="20"/>
                <w:szCs w:val="20"/>
                <w:color w:val="auto"/>
              </w:rPr>
            </w:pPr>
            <w:r>
              <w:rPr>
                <w:rFonts w:ascii="Arial" w:cs="Arial" w:eastAsia="Arial" w:hAnsi="Arial"/>
                <w:sz w:val="14"/>
                <w:szCs w:val="14"/>
                <w:color w:val="0000FF"/>
                <w:w w:val="98"/>
              </w:rPr>
              <w:t>Exchange Act and section 18 U.S.C. Section 1350, as adopted pursuant to</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tcBorders>
              <w:bottom w:val="single" w:sz="8" w:color="0000FF"/>
            </w:tcBorders>
            <w:gridSpan w:val="7"/>
          </w:tcPr>
          <w:p>
            <w:pPr>
              <w:spacing w:after="0" w:line="110" w:lineRule="exact"/>
              <w:rPr>
                <w:sz w:val="20"/>
                <w:szCs w:val="20"/>
                <w:color w:val="auto"/>
              </w:rPr>
            </w:pPr>
            <w:r>
              <w:rPr>
                <w:rFonts w:ascii="Arial" w:cs="Arial" w:eastAsia="Arial" w:hAnsi="Arial"/>
                <w:sz w:val="11"/>
                <w:szCs w:val="11"/>
                <w:color w:val="0000FF"/>
              </w:rPr>
              <w:t>section 906 of the Sarbanes</w:t>
            </w:r>
            <w:r>
              <w:rPr>
                <w:rFonts w:ascii="MS PGothic" w:cs="MS PGothic" w:eastAsia="MS PGothic" w:hAnsi="MS PGothic"/>
                <w:sz w:val="11"/>
                <w:szCs w:val="11"/>
                <w:color w:val="0000FF"/>
              </w:rPr>
              <w:t>‑</w:t>
            </w:r>
            <w:r>
              <w:rPr>
                <w:rFonts w:ascii="Arial" w:cs="Arial" w:eastAsia="Arial" w:hAnsi="Arial"/>
                <w:sz w:val="11"/>
                <w:szCs w:val="11"/>
                <w:color w:val="0000FF"/>
              </w:rPr>
              <w:t>Oxley Act of 2002.</w:t>
            </w:r>
          </w:p>
        </w:tc>
        <w:tc>
          <w:tcPr>
            <w:tcW w:w="1960" w:type="dxa"/>
            <w:vAlign w:val="bottom"/>
            <w:gridSpan w:val="7"/>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tcPr>
          <w:p>
            <w:pPr>
              <w:jc w:val="center"/>
              <w:spacing w:after="0"/>
              <w:rPr>
                <w:sz w:val="20"/>
                <w:szCs w:val="20"/>
                <w:color w:val="auto"/>
              </w:rPr>
            </w:pPr>
            <w:r>
              <w:rPr>
                <w:rFonts w:ascii="Arial" w:cs="Arial" w:eastAsia="Arial" w:hAnsi="Arial"/>
                <w:sz w:val="14"/>
                <w:szCs w:val="14"/>
                <w:color w:val="auto"/>
                <w:w w:val="87"/>
              </w:rPr>
              <w:t>32.2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15"/>
          </w:tcPr>
          <w:p>
            <w:pPr>
              <w:spacing w:after="0" w:line="161" w:lineRule="exact"/>
              <w:rPr>
                <w:sz w:val="20"/>
                <w:szCs w:val="20"/>
                <w:color w:val="auto"/>
              </w:rPr>
            </w:pPr>
            <w:r>
              <w:rPr>
                <w:rFonts w:ascii="Arial" w:cs="Arial" w:eastAsia="Arial" w:hAnsi="Arial"/>
                <w:sz w:val="14"/>
                <w:szCs w:val="14"/>
                <w:color w:val="0000FF"/>
                <w:w w:val="99"/>
              </w:rPr>
              <w:t>Certification of Principal Financial Officer pursuant to Rule 13a</w:t>
            </w:r>
            <w:r>
              <w:rPr>
                <w:rFonts w:ascii="MS PGothic" w:cs="MS PGothic" w:eastAsia="MS PGothic" w:hAnsi="MS PGothic"/>
                <w:sz w:val="14"/>
                <w:szCs w:val="14"/>
                <w:color w:val="0000FF"/>
                <w:w w:val="99"/>
              </w:rPr>
              <w:t>‑</w:t>
            </w:r>
            <w:r>
              <w:rPr>
                <w:rFonts w:ascii="Arial" w:cs="Arial" w:eastAsia="Arial" w:hAnsi="Arial"/>
                <w:sz w:val="14"/>
                <w:szCs w:val="14"/>
                <w:color w:val="0000FF"/>
                <w:w w:val="99"/>
              </w:rPr>
              <w:t>14(b) of the</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tcBorders>
              <w:top w:val="single" w:sz="8" w:color="0000FF"/>
              <w:bottom w:val="single" w:sz="8" w:color="0000FF"/>
            </w:tcBorders>
            <w:gridSpan w:val="14"/>
          </w:tcPr>
          <w:p>
            <w:pPr>
              <w:spacing w:after="0" w:line="123" w:lineRule="exact"/>
              <w:rPr>
                <w:sz w:val="20"/>
                <w:szCs w:val="20"/>
                <w:color w:val="auto"/>
              </w:rPr>
            </w:pPr>
            <w:r>
              <w:rPr>
                <w:rFonts w:ascii="Arial" w:cs="Arial" w:eastAsia="Arial" w:hAnsi="Arial"/>
                <w:sz w:val="14"/>
                <w:szCs w:val="14"/>
                <w:color w:val="0000FF"/>
                <w:w w:val="98"/>
              </w:rPr>
              <w:t>Exchange Act and section 18 U.S.C. Section 1350, as adopted pursuant to</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0" w:type="dxa"/>
            <w:vAlign w:val="bottom"/>
            <w:gridSpan w:val="14"/>
          </w:tcPr>
          <w:p>
            <w:pPr>
              <w:spacing w:after="0" w:line="110" w:lineRule="exact"/>
              <w:rPr>
                <w:sz w:val="20"/>
                <w:szCs w:val="20"/>
                <w:color w:val="auto"/>
              </w:rPr>
            </w:pPr>
            <w:r>
              <w:rPr>
                <w:rFonts w:ascii="Arial" w:cs="Arial" w:eastAsia="Arial" w:hAnsi="Arial"/>
                <w:sz w:val="11"/>
                <w:szCs w:val="11"/>
                <w:color w:val="0000FF"/>
              </w:rPr>
              <w:t>section 906 of the Sarbanes</w:t>
            </w:r>
            <w:r>
              <w:rPr>
                <w:rFonts w:ascii="MS PGothic" w:cs="MS PGothic" w:eastAsia="MS PGothic" w:hAnsi="MS PGothic"/>
                <w:sz w:val="11"/>
                <w:szCs w:val="11"/>
                <w:color w:val="0000FF"/>
              </w:rPr>
              <w:t>‑</w:t>
            </w:r>
            <w:r>
              <w:rPr>
                <w:rFonts w:ascii="Arial" w:cs="Arial" w:eastAsia="Arial" w:hAnsi="Arial"/>
                <w:sz w:val="11"/>
                <w:szCs w:val="11"/>
                <w:color w:val="0000FF"/>
              </w:rPr>
              <w:t>Oxley Act of 2002.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1100" w:type="dxa"/>
            <w:vAlign w:val="bottom"/>
          </w:tcPr>
          <w:p>
            <w:pPr>
              <w:jc w:val="center"/>
              <w:spacing w:after="0"/>
              <w:rPr>
                <w:sz w:val="20"/>
                <w:szCs w:val="20"/>
                <w:color w:val="auto"/>
              </w:rPr>
            </w:pPr>
            <w:r>
              <w:rPr>
                <w:rFonts w:ascii="Arial" w:cs="Arial" w:eastAsia="Arial" w:hAnsi="Arial"/>
                <w:sz w:val="14"/>
                <w:szCs w:val="14"/>
                <w:color w:val="auto"/>
                <w:w w:val="90"/>
              </w:rPr>
              <w:t>101.INS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auto"/>
              </w:rPr>
              <w:t>XBRL Instance Document</w:t>
            </w:r>
          </w:p>
        </w:tc>
        <w:tc>
          <w:tcPr>
            <w:tcW w:w="20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00" w:type="dxa"/>
            <w:vAlign w:val="bottom"/>
          </w:tcPr>
          <w:p>
            <w:pPr>
              <w:jc w:val="center"/>
              <w:spacing w:after="0"/>
              <w:rPr>
                <w:sz w:val="20"/>
                <w:szCs w:val="20"/>
                <w:color w:val="auto"/>
              </w:rPr>
            </w:pPr>
            <w:r>
              <w:rPr>
                <w:rFonts w:ascii="Arial" w:cs="Arial" w:eastAsia="Arial" w:hAnsi="Arial"/>
                <w:sz w:val="14"/>
                <w:szCs w:val="14"/>
                <w:color w:val="auto"/>
                <w:w w:val="87"/>
              </w:rPr>
              <w:t>101.SCH</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15"/>
          </w:tcPr>
          <w:p>
            <w:pPr>
              <w:spacing w:after="0"/>
              <w:rPr>
                <w:sz w:val="20"/>
                <w:szCs w:val="20"/>
                <w:color w:val="auto"/>
              </w:rPr>
            </w:pPr>
            <w:r>
              <w:rPr>
                <w:rFonts w:ascii="Arial" w:cs="Arial" w:eastAsia="Arial" w:hAnsi="Arial"/>
                <w:sz w:val="14"/>
                <w:szCs w:val="14"/>
                <w:color w:val="auto"/>
              </w:rPr>
              <w:t>XBRL Schema Document</w:t>
            </w:r>
          </w:p>
        </w:tc>
        <w:tc>
          <w:tcPr>
            <w:tcW w:w="0" w:type="dxa"/>
            <w:vAlign w:val="bottom"/>
          </w:tcPr>
          <w:p>
            <w:pPr>
              <w:spacing w:after="0"/>
              <w:rPr>
                <w:sz w:val="1"/>
                <w:szCs w:val="1"/>
                <w:color w:val="auto"/>
              </w:rPr>
            </w:pPr>
          </w:p>
        </w:tc>
      </w:tr>
      <w:tr>
        <w:trPr>
          <w:trHeight w:val="181"/>
        </w:trPr>
        <w:tc>
          <w:tcPr>
            <w:tcW w:w="1100" w:type="dxa"/>
            <w:vAlign w:val="bottom"/>
          </w:tcPr>
          <w:p>
            <w:pPr>
              <w:jc w:val="center"/>
              <w:spacing w:after="0"/>
              <w:rPr>
                <w:sz w:val="20"/>
                <w:szCs w:val="20"/>
                <w:color w:val="auto"/>
              </w:rPr>
            </w:pPr>
            <w:r>
              <w:rPr>
                <w:rFonts w:ascii="Arial" w:cs="Arial" w:eastAsia="Arial" w:hAnsi="Arial"/>
                <w:sz w:val="14"/>
                <w:szCs w:val="14"/>
                <w:color w:val="auto"/>
                <w:w w:val="91"/>
              </w:rPr>
              <w:t>101.CAL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15"/>
          </w:tcPr>
          <w:p>
            <w:pPr>
              <w:spacing w:after="0"/>
              <w:rPr>
                <w:sz w:val="20"/>
                <w:szCs w:val="20"/>
                <w:color w:val="auto"/>
              </w:rPr>
            </w:pPr>
            <w:r>
              <w:rPr>
                <w:rFonts w:ascii="Arial" w:cs="Arial" w:eastAsia="Arial" w:hAnsi="Arial"/>
                <w:sz w:val="14"/>
                <w:szCs w:val="14"/>
                <w:color w:val="auto"/>
              </w:rPr>
              <w:t>XBRL Calculation Linkbase Document</w:t>
            </w:r>
          </w:p>
        </w:tc>
        <w:tc>
          <w:tcPr>
            <w:tcW w:w="0" w:type="dxa"/>
            <w:vAlign w:val="bottom"/>
          </w:tcPr>
          <w:p>
            <w:pPr>
              <w:spacing w:after="0"/>
              <w:rPr>
                <w:sz w:val="1"/>
                <w:szCs w:val="1"/>
                <w:color w:val="auto"/>
              </w:rPr>
            </w:pPr>
          </w:p>
        </w:tc>
      </w:tr>
      <w:tr>
        <w:trPr>
          <w:trHeight w:val="194"/>
        </w:trPr>
        <w:tc>
          <w:tcPr>
            <w:tcW w:w="1100" w:type="dxa"/>
            <w:vAlign w:val="bottom"/>
          </w:tcPr>
          <w:p>
            <w:pPr>
              <w:jc w:val="center"/>
              <w:spacing w:after="0"/>
              <w:rPr>
                <w:sz w:val="20"/>
                <w:szCs w:val="20"/>
                <w:color w:val="auto"/>
              </w:rPr>
            </w:pPr>
            <w:r>
              <w:rPr>
                <w:rFonts w:ascii="Arial" w:cs="Arial" w:eastAsia="Arial" w:hAnsi="Arial"/>
                <w:sz w:val="14"/>
                <w:szCs w:val="14"/>
                <w:color w:val="auto"/>
                <w:w w:val="90"/>
              </w:rPr>
              <w:t>101.DEF</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15"/>
          </w:tcPr>
          <w:p>
            <w:pPr>
              <w:spacing w:after="0"/>
              <w:rPr>
                <w:sz w:val="20"/>
                <w:szCs w:val="20"/>
                <w:color w:val="auto"/>
              </w:rPr>
            </w:pPr>
            <w:r>
              <w:rPr>
                <w:rFonts w:ascii="Arial" w:cs="Arial" w:eastAsia="Arial" w:hAnsi="Arial"/>
                <w:sz w:val="14"/>
                <w:szCs w:val="14"/>
                <w:color w:val="auto"/>
              </w:rPr>
              <w:t>XBRL Taxonomy Extension Definition Linkbase</w:t>
            </w:r>
          </w:p>
        </w:tc>
        <w:tc>
          <w:tcPr>
            <w:tcW w:w="0" w:type="dxa"/>
            <w:vAlign w:val="bottom"/>
          </w:tcPr>
          <w:p>
            <w:pPr>
              <w:spacing w:after="0"/>
              <w:rPr>
                <w:sz w:val="1"/>
                <w:szCs w:val="1"/>
                <w:color w:val="auto"/>
              </w:rPr>
            </w:pPr>
          </w:p>
        </w:tc>
      </w:tr>
      <w:tr>
        <w:trPr>
          <w:trHeight w:val="194"/>
        </w:trPr>
        <w:tc>
          <w:tcPr>
            <w:tcW w:w="1100" w:type="dxa"/>
            <w:vAlign w:val="bottom"/>
          </w:tcPr>
          <w:p>
            <w:pPr>
              <w:jc w:val="center"/>
              <w:spacing w:after="0"/>
              <w:rPr>
                <w:sz w:val="20"/>
                <w:szCs w:val="20"/>
                <w:color w:val="auto"/>
              </w:rPr>
            </w:pPr>
            <w:r>
              <w:rPr>
                <w:rFonts w:ascii="Arial" w:cs="Arial" w:eastAsia="Arial" w:hAnsi="Arial"/>
                <w:sz w:val="14"/>
                <w:szCs w:val="14"/>
                <w:color w:val="auto"/>
                <w:w w:val="93"/>
              </w:rPr>
              <w:t>101.LAB</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15"/>
          </w:tcPr>
          <w:p>
            <w:pPr>
              <w:spacing w:after="0"/>
              <w:rPr>
                <w:sz w:val="20"/>
                <w:szCs w:val="20"/>
                <w:color w:val="auto"/>
              </w:rPr>
            </w:pPr>
            <w:r>
              <w:rPr>
                <w:rFonts w:ascii="Arial" w:cs="Arial" w:eastAsia="Arial" w:hAnsi="Arial"/>
                <w:sz w:val="14"/>
                <w:szCs w:val="14"/>
                <w:color w:val="auto"/>
              </w:rPr>
              <w:t>XBRL Labels Linkbase Document</w:t>
            </w:r>
          </w:p>
        </w:tc>
        <w:tc>
          <w:tcPr>
            <w:tcW w:w="0" w:type="dxa"/>
            <w:vAlign w:val="bottom"/>
          </w:tcPr>
          <w:p>
            <w:pPr>
              <w:spacing w:after="0"/>
              <w:rPr>
                <w:sz w:val="1"/>
                <w:szCs w:val="1"/>
                <w:color w:val="auto"/>
              </w:rPr>
            </w:pPr>
          </w:p>
        </w:tc>
      </w:tr>
      <w:tr>
        <w:trPr>
          <w:trHeight w:val="181"/>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101.PRE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15"/>
          </w:tcPr>
          <w:p>
            <w:pPr>
              <w:spacing w:after="0"/>
              <w:rPr>
                <w:sz w:val="20"/>
                <w:szCs w:val="20"/>
                <w:color w:val="auto"/>
              </w:rPr>
            </w:pPr>
            <w:r>
              <w:rPr>
                <w:rFonts w:ascii="Arial" w:cs="Arial" w:eastAsia="Arial" w:hAnsi="Arial"/>
                <w:sz w:val="14"/>
                <w:szCs w:val="14"/>
                <w:color w:val="auto"/>
              </w:rPr>
              <w:t>XBRL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tcPr>
          <w:p>
            <w:pPr>
              <w:ind w:left="620"/>
              <w:spacing w:after="0"/>
              <w:rPr>
                <w:sz w:val="20"/>
                <w:szCs w:val="20"/>
                <w:color w:val="auto"/>
              </w:rPr>
            </w:pPr>
            <w:r>
              <w:rPr>
                <w:rFonts w:ascii="Arial" w:cs="Arial" w:eastAsia="Arial" w:hAnsi="Arial"/>
                <w:sz w:val="14"/>
                <w:szCs w:val="14"/>
                <w:b w:val="1"/>
                <w:bCs w:val="1"/>
                <w:color w:val="auto"/>
                <w:w w:val="92"/>
              </w:rPr>
              <w:t>Incorporated by Reference</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6"/>
        </w:trPr>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0"/>
                <w:szCs w:val="10"/>
                <w:color w:val="auto"/>
              </w:rPr>
            </w:pPr>
          </w:p>
        </w:tc>
        <w:tc>
          <w:tcPr>
            <w:tcW w:w="11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0"/>
                <w:szCs w:val="10"/>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300" w:type="dxa"/>
            <w:vAlign w:val="bottom"/>
            <w:vMerge w:val="restart"/>
          </w:tcPr>
          <w:p>
            <w:pPr>
              <w:jc w:val="center"/>
              <w:ind w:right="51"/>
              <w:spacing w:after="0"/>
              <w:rPr>
                <w:sz w:val="20"/>
                <w:szCs w:val="20"/>
                <w:color w:val="auto"/>
              </w:rPr>
            </w:pPr>
            <w:r>
              <w:rPr>
                <w:rFonts w:ascii="Arial" w:cs="Arial" w:eastAsia="Arial" w:hAnsi="Arial"/>
                <w:sz w:val="14"/>
                <w:szCs w:val="14"/>
                <w:b w:val="1"/>
                <w:bCs w:val="1"/>
                <w:color w:val="auto"/>
                <w:w w:val="92"/>
              </w:rPr>
              <w:t>Filing Date</w:t>
            </w:r>
          </w:p>
        </w:tc>
        <w:tc>
          <w:tcPr>
            <w:tcW w:w="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10-K</w:t>
            </w:r>
          </w:p>
        </w:tc>
        <w:tc>
          <w:tcPr>
            <w:tcW w:w="100" w:type="dxa"/>
            <w:vAlign w:val="bottom"/>
          </w:tcPr>
          <w:p>
            <w:pPr>
              <w:spacing w:after="0"/>
              <w:rPr>
                <w:sz w:val="14"/>
                <w:szCs w:val="1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001-40574</w:t>
            </w:r>
          </w:p>
        </w:tc>
        <w:tc>
          <w:tcPr>
            <w:tcW w:w="100" w:type="dxa"/>
            <w:vAlign w:val="bottom"/>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1"/>
              </w:rPr>
              <w:t>3.1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71"/>
              <w:spacing w:after="0"/>
              <w:rPr>
                <w:sz w:val="20"/>
                <w:szCs w:val="20"/>
                <w:color w:val="auto"/>
              </w:rPr>
            </w:pPr>
            <w:r>
              <w:rPr>
                <w:rFonts w:ascii="Arial" w:cs="Arial" w:eastAsia="Arial" w:hAnsi="Arial"/>
                <w:sz w:val="14"/>
                <w:szCs w:val="14"/>
                <w:color w:val="auto"/>
                <w:w w:val="90"/>
              </w:rPr>
              <w:t>March 15, 2023</w:t>
            </w:r>
          </w:p>
        </w:tc>
        <w:tc>
          <w:tcPr>
            <w:tcW w:w="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660" w:type="dxa"/>
            <w:vAlign w:val="bottom"/>
          </w:tcPr>
          <w:p>
            <w:pPr>
              <w:jc w:val="center"/>
              <w:spacing w:after="0"/>
              <w:rPr>
                <w:sz w:val="20"/>
                <w:szCs w:val="20"/>
                <w:color w:val="auto"/>
              </w:rPr>
            </w:pPr>
            <w:r>
              <w:rPr>
                <w:rFonts w:ascii="Arial" w:cs="Arial" w:eastAsia="Arial" w:hAnsi="Arial"/>
                <w:sz w:val="14"/>
                <w:szCs w:val="14"/>
                <w:color w:val="auto"/>
              </w:rPr>
              <w:t>8-K</w:t>
            </w:r>
          </w:p>
        </w:tc>
        <w:tc>
          <w:tcPr>
            <w:tcW w:w="1280" w:type="dxa"/>
            <w:vAlign w:val="bottom"/>
            <w:gridSpan w:val="2"/>
          </w:tcPr>
          <w:p>
            <w:pPr>
              <w:jc w:val="center"/>
              <w:ind w:left="11"/>
              <w:spacing w:after="0"/>
              <w:rPr>
                <w:sz w:val="20"/>
                <w:szCs w:val="20"/>
                <w:color w:val="auto"/>
              </w:rPr>
            </w:pPr>
            <w:r>
              <w:rPr>
                <w:rFonts w:ascii="Arial" w:cs="Arial" w:eastAsia="Arial" w:hAnsi="Arial"/>
                <w:sz w:val="14"/>
                <w:szCs w:val="14"/>
                <w:color w:val="auto"/>
                <w:w w:val="89"/>
              </w:rPr>
              <w:t>001-40574</w:t>
            </w:r>
          </w:p>
        </w:tc>
        <w:tc>
          <w:tcPr>
            <w:tcW w:w="880" w:type="dxa"/>
            <w:vAlign w:val="bottom"/>
            <w:gridSpan w:val="2"/>
          </w:tcPr>
          <w:p>
            <w:pPr>
              <w:jc w:val="center"/>
              <w:ind w:left="11"/>
              <w:spacing w:after="0"/>
              <w:rPr>
                <w:sz w:val="20"/>
                <w:szCs w:val="20"/>
                <w:color w:val="auto"/>
              </w:rPr>
            </w:pPr>
            <w:r>
              <w:rPr>
                <w:rFonts w:ascii="Arial" w:cs="Arial" w:eastAsia="Arial" w:hAnsi="Arial"/>
                <w:sz w:val="14"/>
                <w:szCs w:val="14"/>
                <w:color w:val="auto"/>
                <w:w w:val="81"/>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71"/>
              <w:spacing w:after="0"/>
              <w:rPr>
                <w:sz w:val="20"/>
                <w:szCs w:val="20"/>
                <w:color w:val="auto"/>
              </w:rPr>
            </w:pPr>
            <w:r>
              <w:rPr>
                <w:rFonts w:ascii="Arial" w:cs="Arial" w:eastAsia="Arial" w:hAnsi="Arial"/>
                <w:sz w:val="14"/>
                <w:szCs w:val="14"/>
                <w:color w:val="auto"/>
                <w:w w:val="85"/>
              </w:rPr>
              <w:t>June 23, 2022</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60" w:type="dxa"/>
            <w:vAlign w:val="bottom"/>
          </w:tcPr>
          <w:p>
            <w:pPr>
              <w:jc w:val="center"/>
              <w:spacing w:after="0"/>
              <w:rPr>
                <w:sz w:val="20"/>
                <w:szCs w:val="20"/>
                <w:color w:val="auto"/>
              </w:rPr>
            </w:pPr>
            <w:r>
              <w:rPr>
                <w:rFonts w:ascii="Arial" w:cs="Arial" w:eastAsia="Arial" w:hAnsi="Arial"/>
                <w:sz w:val="14"/>
                <w:szCs w:val="14"/>
                <w:color w:val="auto"/>
                <w:w w:val="82"/>
              </w:rPr>
              <w:t>S-1</w:t>
            </w:r>
          </w:p>
        </w:tc>
        <w:tc>
          <w:tcPr>
            <w:tcW w:w="1280" w:type="dxa"/>
            <w:vAlign w:val="bottom"/>
            <w:gridSpan w:val="2"/>
          </w:tcPr>
          <w:p>
            <w:pPr>
              <w:jc w:val="center"/>
              <w:ind w:left="31"/>
              <w:spacing w:after="0"/>
              <w:rPr>
                <w:sz w:val="20"/>
                <w:szCs w:val="20"/>
                <w:color w:val="auto"/>
              </w:rPr>
            </w:pPr>
            <w:r>
              <w:rPr>
                <w:rFonts w:ascii="Arial" w:cs="Arial" w:eastAsia="Arial" w:hAnsi="Arial"/>
                <w:sz w:val="14"/>
                <w:szCs w:val="14"/>
                <w:color w:val="auto"/>
                <w:w w:val="88"/>
              </w:rPr>
              <w:t>333-132080</w:t>
            </w:r>
          </w:p>
        </w:tc>
        <w:tc>
          <w:tcPr>
            <w:tcW w:w="880" w:type="dxa"/>
            <w:vAlign w:val="bottom"/>
            <w:gridSpan w:val="2"/>
          </w:tcPr>
          <w:p>
            <w:pPr>
              <w:jc w:val="center"/>
              <w:ind w:left="11"/>
              <w:spacing w:after="0"/>
              <w:rPr>
                <w:sz w:val="20"/>
                <w:szCs w:val="20"/>
                <w:color w:val="auto"/>
              </w:rPr>
            </w:pPr>
            <w:r>
              <w:rPr>
                <w:rFonts w:ascii="Arial" w:cs="Arial" w:eastAsia="Arial" w:hAnsi="Arial"/>
                <w:sz w:val="14"/>
                <w:szCs w:val="14"/>
                <w:color w:val="auto"/>
                <w:w w:val="81"/>
              </w:rPr>
              <w:t>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center"/>
              <w:ind w:right="51"/>
              <w:spacing w:after="0"/>
              <w:rPr>
                <w:sz w:val="20"/>
                <w:szCs w:val="20"/>
                <w:color w:val="auto"/>
              </w:rPr>
            </w:pPr>
            <w:r>
              <w:rPr>
                <w:rFonts w:ascii="Arial" w:cs="Arial" w:eastAsia="Arial" w:hAnsi="Arial"/>
                <w:sz w:val="14"/>
                <w:szCs w:val="14"/>
                <w:color w:val="auto"/>
                <w:w w:val="90"/>
              </w:rPr>
              <w:t>May 9, 2006</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660" w:type="dxa"/>
            <w:vAlign w:val="bottom"/>
          </w:tcPr>
          <w:p>
            <w:pPr>
              <w:jc w:val="center"/>
              <w:spacing w:after="0"/>
              <w:rPr>
                <w:sz w:val="20"/>
                <w:szCs w:val="20"/>
                <w:color w:val="auto"/>
              </w:rPr>
            </w:pPr>
            <w:r>
              <w:rPr>
                <w:rFonts w:ascii="Arial" w:cs="Arial" w:eastAsia="Arial" w:hAnsi="Arial"/>
                <w:sz w:val="14"/>
                <w:szCs w:val="14"/>
                <w:color w:val="auto"/>
              </w:rPr>
              <w:t>8-K</w:t>
            </w:r>
          </w:p>
        </w:tc>
        <w:tc>
          <w:tcPr>
            <w:tcW w:w="1280" w:type="dxa"/>
            <w:vAlign w:val="bottom"/>
            <w:gridSpan w:val="2"/>
          </w:tcPr>
          <w:p>
            <w:pPr>
              <w:jc w:val="center"/>
              <w:ind w:left="11"/>
              <w:spacing w:after="0"/>
              <w:rPr>
                <w:sz w:val="20"/>
                <w:szCs w:val="20"/>
                <w:color w:val="auto"/>
              </w:rPr>
            </w:pPr>
            <w:r>
              <w:rPr>
                <w:rFonts w:ascii="Arial" w:cs="Arial" w:eastAsia="Arial" w:hAnsi="Arial"/>
                <w:sz w:val="14"/>
                <w:szCs w:val="14"/>
                <w:color w:val="auto"/>
                <w:w w:val="89"/>
              </w:rPr>
              <w:t>000-52049</w:t>
            </w:r>
          </w:p>
        </w:tc>
        <w:tc>
          <w:tcPr>
            <w:tcW w:w="880" w:type="dxa"/>
            <w:vAlign w:val="bottom"/>
            <w:gridSpan w:val="2"/>
          </w:tcPr>
          <w:p>
            <w:pPr>
              <w:jc w:val="center"/>
              <w:ind w:left="11"/>
              <w:spacing w:after="0"/>
              <w:rPr>
                <w:sz w:val="20"/>
                <w:szCs w:val="20"/>
                <w:color w:val="auto"/>
              </w:rPr>
            </w:pPr>
            <w:r>
              <w:rPr>
                <w:rFonts w:ascii="Arial" w:cs="Arial" w:eastAsia="Arial" w:hAnsi="Arial"/>
                <w:sz w:val="14"/>
                <w:szCs w:val="14"/>
                <w:color w:val="auto"/>
                <w:w w:val="81"/>
              </w:rPr>
              <w:t>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51"/>
              <w:spacing w:after="0"/>
              <w:rPr>
                <w:sz w:val="20"/>
                <w:szCs w:val="20"/>
                <w:color w:val="auto"/>
              </w:rPr>
            </w:pPr>
            <w:r>
              <w:rPr>
                <w:rFonts w:ascii="Arial" w:cs="Arial" w:eastAsia="Arial" w:hAnsi="Arial"/>
                <w:sz w:val="14"/>
                <w:szCs w:val="14"/>
                <w:color w:val="auto"/>
                <w:w w:val="89"/>
              </w:rPr>
              <w:t>February 20, 2018</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0" w:type="dxa"/>
            <w:vAlign w:val="bottom"/>
          </w:tcPr>
          <w:p>
            <w:pPr>
              <w:jc w:val="center"/>
              <w:spacing w:after="0"/>
              <w:rPr>
                <w:sz w:val="20"/>
                <w:szCs w:val="20"/>
                <w:color w:val="auto"/>
              </w:rPr>
            </w:pPr>
            <w:r>
              <w:rPr>
                <w:rFonts w:ascii="Arial" w:cs="Arial" w:eastAsia="Arial" w:hAnsi="Arial"/>
                <w:sz w:val="14"/>
                <w:szCs w:val="14"/>
                <w:color w:val="auto"/>
              </w:rPr>
              <w:t>8-K</w:t>
            </w:r>
          </w:p>
        </w:tc>
        <w:tc>
          <w:tcPr>
            <w:tcW w:w="1280" w:type="dxa"/>
            <w:vAlign w:val="bottom"/>
            <w:gridSpan w:val="2"/>
          </w:tcPr>
          <w:p>
            <w:pPr>
              <w:jc w:val="center"/>
              <w:ind w:left="11"/>
              <w:spacing w:after="0"/>
              <w:rPr>
                <w:sz w:val="20"/>
                <w:szCs w:val="20"/>
                <w:color w:val="auto"/>
              </w:rPr>
            </w:pPr>
            <w:r>
              <w:rPr>
                <w:rFonts w:ascii="Arial" w:cs="Arial" w:eastAsia="Arial" w:hAnsi="Arial"/>
                <w:sz w:val="14"/>
                <w:szCs w:val="14"/>
                <w:color w:val="auto"/>
                <w:w w:val="89"/>
              </w:rPr>
              <w:t>000-52049</w:t>
            </w:r>
          </w:p>
        </w:tc>
        <w:tc>
          <w:tcPr>
            <w:tcW w:w="880" w:type="dxa"/>
            <w:vAlign w:val="bottom"/>
            <w:gridSpan w:val="2"/>
          </w:tcPr>
          <w:p>
            <w:pPr>
              <w:jc w:val="center"/>
              <w:ind w:left="11"/>
              <w:spacing w:after="0"/>
              <w:rPr>
                <w:sz w:val="20"/>
                <w:szCs w:val="20"/>
                <w:color w:val="auto"/>
              </w:rPr>
            </w:pPr>
            <w:r>
              <w:rPr>
                <w:rFonts w:ascii="Arial" w:cs="Arial" w:eastAsia="Arial" w:hAnsi="Arial"/>
                <w:sz w:val="14"/>
                <w:szCs w:val="14"/>
                <w:color w:val="auto"/>
                <w:w w:val="81"/>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71"/>
              <w:spacing w:after="0"/>
              <w:rPr>
                <w:sz w:val="20"/>
                <w:szCs w:val="20"/>
                <w:color w:val="auto"/>
              </w:rPr>
            </w:pPr>
            <w:r>
              <w:rPr>
                <w:rFonts w:ascii="Arial" w:cs="Arial" w:eastAsia="Arial" w:hAnsi="Arial"/>
                <w:sz w:val="14"/>
                <w:szCs w:val="14"/>
                <w:color w:val="auto"/>
                <w:w w:val="85"/>
              </w:rPr>
              <w:t>June 30, 2021</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660" w:type="dxa"/>
            <w:vAlign w:val="bottom"/>
          </w:tcPr>
          <w:p>
            <w:pPr>
              <w:jc w:val="center"/>
              <w:spacing w:after="0"/>
              <w:rPr>
                <w:sz w:val="20"/>
                <w:szCs w:val="20"/>
                <w:color w:val="auto"/>
              </w:rPr>
            </w:pPr>
            <w:r>
              <w:rPr>
                <w:rFonts w:ascii="Arial" w:cs="Arial" w:eastAsia="Arial" w:hAnsi="Arial"/>
                <w:sz w:val="14"/>
                <w:szCs w:val="14"/>
                <w:color w:val="auto"/>
              </w:rPr>
              <w:t>8-K</w:t>
            </w:r>
          </w:p>
        </w:tc>
        <w:tc>
          <w:tcPr>
            <w:tcW w:w="1280" w:type="dxa"/>
            <w:vAlign w:val="bottom"/>
            <w:gridSpan w:val="2"/>
          </w:tcPr>
          <w:p>
            <w:pPr>
              <w:jc w:val="center"/>
              <w:ind w:left="11"/>
              <w:spacing w:after="0"/>
              <w:rPr>
                <w:sz w:val="20"/>
                <w:szCs w:val="20"/>
                <w:color w:val="auto"/>
              </w:rPr>
            </w:pPr>
            <w:r>
              <w:rPr>
                <w:rFonts w:ascii="Arial" w:cs="Arial" w:eastAsia="Arial" w:hAnsi="Arial"/>
                <w:sz w:val="14"/>
                <w:szCs w:val="14"/>
                <w:color w:val="auto"/>
                <w:w w:val="89"/>
              </w:rPr>
              <w:t>000-52049</w:t>
            </w:r>
          </w:p>
        </w:tc>
        <w:tc>
          <w:tcPr>
            <w:tcW w:w="880" w:type="dxa"/>
            <w:vAlign w:val="bottom"/>
            <w:gridSpan w:val="2"/>
          </w:tcPr>
          <w:p>
            <w:pPr>
              <w:jc w:val="center"/>
              <w:ind w:left="11"/>
              <w:spacing w:after="0"/>
              <w:rPr>
                <w:sz w:val="20"/>
                <w:szCs w:val="20"/>
                <w:color w:val="auto"/>
              </w:rPr>
            </w:pPr>
            <w:r>
              <w:rPr>
                <w:rFonts w:ascii="Arial" w:cs="Arial" w:eastAsia="Arial" w:hAnsi="Arial"/>
                <w:sz w:val="14"/>
                <w:szCs w:val="14"/>
                <w:color w:val="auto"/>
                <w:w w:val="81"/>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71"/>
              <w:spacing w:after="0"/>
              <w:rPr>
                <w:sz w:val="20"/>
                <w:szCs w:val="20"/>
                <w:color w:val="auto"/>
              </w:rPr>
            </w:pPr>
            <w:r>
              <w:rPr>
                <w:rFonts w:ascii="Arial" w:cs="Arial" w:eastAsia="Arial" w:hAnsi="Arial"/>
                <w:sz w:val="14"/>
                <w:szCs w:val="14"/>
                <w:color w:val="auto"/>
                <w:w w:val="85"/>
              </w:rPr>
              <w:t>June 30, 2021</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280" w:type="dxa"/>
            <w:vAlign w:val="bottom"/>
            <w:gridSpan w:val="2"/>
            <w:vMerge w:val="restart"/>
          </w:tcPr>
          <w:p>
            <w:pPr>
              <w:jc w:val="center"/>
              <w:ind w:left="11"/>
              <w:spacing w:after="0"/>
              <w:rPr>
                <w:sz w:val="20"/>
                <w:szCs w:val="20"/>
                <w:color w:val="auto"/>
              </w:rPr>
            </w:pPr>
            <w:r>
              <w:rPr>
                <w:rFonts w:ascii="Arial" w:cs="Arial" w:eastAsia="Arial" w:hAnsi="Arial"/>
                <w:sz w:val="14"/>
                <w:szCs w:val="14"/>
                <w:color w:val="auto"/>
                <w:w w:val="89"/>
              </w:rPr>
              <w:t>001-40574</w:t>
            </w:r>
          </w:p>
        </w:tc>
        <w:tc>
          <w:tcPr>
            <w:tcW w:w="880" w:type="dxa"/>
            <w:vAlign w:val="bottom"/>
            <w:gridSpan w:val="2"/>
          </w:tcPr>
          <w:p>
            <w:pPr>
              <w:jc w:val="center"/>
              <w:ind w:left="11"/>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center"/>
              <w:ind w:right="51"/>
              <w:spacing w:after="0"/>
              <w:rPr>
                <w:sz w:val="20"/>
                <w:szCs w:val="20"/>
                <w:color w:val="auto"/>
              </w:rPr>
            </w:pPr>
            <w:r>
              <w:rPr>
                <w:rFonts w:ascii="Arial" w:cs="Arial" w:eastAsia="Arial" w:hAnsi="Arial"/>
                <w:sz w:val="14"/>
                <w:szCs w:val="14"/>
                <w:color w:val="auto"/>
                <w:w w:val="88"/>
              </w:rPr>
              <w:t>July 19, 2023</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66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280" w:type="dxa"/>
            <w:vAlign w:val="bottom"/>
            <w:gridSpan w:val="2"/>
            <w:vMerge w:val="restart"/>
          </w:tcPr>
          <w:p>
            <w:pPr>
              <w:jc w:val="center"/>
              <w:ind w:left="11"/>
              <w:spacing w:after="0"/>
              <w:rPr>
                <w:sz w:val="20"/>
                <w:szCs w:val="20"/>
                <w:color w:val="auto"/>
              </w:rPr>
            </w:pPr>
            <w:r>
              <w:rPr>
                <w:rFonts w:ascii="Arial" w:cs="Arial" w:eastAsia="Arial" w:hAnsi="Arial"/>
                <w:sz w:val="14"/>
                <w:szCs w:val="14"/>
                <w:color w:val="auto"/>
                <w:w w:val="89"/>
              </w:rPr>
              <w:t>001-40574</w:t>
            </w:r>
          </w:p>
        </w:tc>
        <w:tc>
          <w:tcPr>
            <w:tcW w:w="880" w:type="dxa"/>
            <w:vAlign w:val="bottom"/>
            <w:gridSpan w:val="2"/>
          </w:tcPr>
          <w:p>
            <w:pPr>
              <w:jc w:val="center"/>
              <w:ind w:left="11"/>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51"/>
              <w:spacing w:after="0"/>
              <w:rPr>
                <w:sz w:val="20"/>
                <w:szCs w:val="20"/>
                <w:color w:val="auto"/>
              </w:rPr>
            </w:pPr>
            <w:r>
              <w:rPr>
                <w:rFonts w:ascii="Arial" w:cs="Arial" w:eastAsia="Arial" w:hAnsi="Arial"/>
                <w:sz w:val="14"/>
                <w:szCs w:val="14"/>
                <w:color w:val="auto"/>
                <w:w w:val="88"/>
              </w:rPr>
              <w:t>July 19, 2023</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X</w:t>
      </w:r>
    </w:p>
    <w:p>
      <w:pPr>
        <w:spacing w:after="0" w:line="304"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X</w:t>
      </w:r>
    </w:p>
    <w:p>
      <w:pPr>
        <w:spacing w:after="0" w:line="304"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X</w:t>
      </w:r>
    </w:p>
    <w:p>
      <w:pPr>
        <w:spacing w:after="0" w:line="304"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X</w:t>
      </w:r>
    </w:p>
    <w:p>
      <w:pPr>
        <w:spacing w:after="0" w:line="304"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X</w:t>
      </w:r>
    </w:p>
    <w:p>
      <w:pPr>
        <w:spacing w:after="0" w:line="33"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X</w:t>
      </w:r>
    </w:p>
    <w:p>
      <w:pPr>
        <w:spacing w:after="0" w:line="33"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X</w:t>
      </w:r>
    </w:p>
    <w:p>
      <w:pPr>
        <w:spacing w:after="0" w:line="33"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X</w:t>
      </w:r>
    </w:p>
    <w:p>
      <w:pPr>
        <w:spacing w:after="0" w:line="213" w:lineRule="exact"/>
        <w:rPr>
          <w:sz w:val="20"/>
          <w:szCs w:val="20"/>
          <w:color w:val="auto"/>
        </w:rPr>
      </w:pPr>
    </w:p>
    <w:p>
      <w:pPr>
        <w:sectPr>
          <w:pgSz w:w="11900" w:h="16838" w:orient="portrait"/>
          <w:cols w:equalWidth="0" w:num="2">
            <w:col w:w="5840" w:space="100"/>
            <w:col w:w="530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50" w:lineRule="exact"/>
        <w:rPr>
          <w:sz w:val="20"/>
          <w:szCs w:val="20"/>
          <w:color w:val="auto"/>
        </w:rPr>
      </w:pPr>
    </w:p>
    <w:p>
      <w:pPr>
        <w:ind w:firstLine="310"/>
        <w:spacing w:after="0" w:line="277" w:lineRule="auto"/>
        <w:rPr>
          <w:sz w:val="20"/>
          <w:szCs w:val="20"/>
          <w:color w:val="auto"/>
        </w:rPr>
      </w:pPr>
      <w:r>
        <w:rPr>
          <w:rFonts w:ascii="Arial" w:cs="Arial" w:eastAsia="Arial" w:hAnsi="Arial"/>
          <w:sz w:val="17"/>
          <w:szCs w:val="17"/>
          <w:color w:val="auto"/>
        </w:rPr>
        <w:t>Pursuant to the requirements of Securities Exchange Act of 1934, the registrant has caused this Report to be signed on its behalf by the undersigned, thereunto duly authorized.</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23495</wp:posOffset>
            </wp:positionV>
            <wp:extent cx="29127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24"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354"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15240</wp:posOffset>
            </wp:positionV>
            <wp:extent cx="29127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Louis Ferraro</w:t>
      </w:r>
    </w:p>
    <w:p>
      <w:pPr>
        <w:spacing w:after="0" w:line="30"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Chief Financial Officer</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August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27" w:right="339" w:bottom="1440" w:gutter="0" w:footer="0" w:header="0"/>
        </w:sectPr>
      </w:pPr>
    </w:p>
    <w:bookmarkStart w:id="40" w:name="page41"/>
    <w:bookmarkEnd w:id="40"/>
    <w:p>
      <w:pPr>
        <w:ind w:left="10360"/>
        <w:spacing w:after="0"/>
        <w:rPr>
          <w:sz w:val="20"/>
          <w:szCs w:val="20"/>
          <w:color w:val="auto"/>
        </w:rPr>
      </w:pPr>
      <w:r>
        <w:rPr>
          <w:rFonts w:ascii="Arial" w:cs="Arial" w:eastAsia="Arial" w:hAnsi="Arial"/>
          <w:sz w:val="15"/>
          <w:szCs w:val="15"/>
          <w:b w:val="1"/>
          <w:bCs w:val="1"/>
          <w:color w:val="auto"/>
        </w:rPr>
        <w:t>Exhibit 31.1</w:t>
      </w:r>
    </w:p>
    <w:p>
      <w:pPr>
        <w:spacing w:after="0" w:line="24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Jeff Miller</w:t>
      </w:r>
      <w:r>
        <w:rPr>
          <w:rFonts w:ascii="Arial" w:cs="Arial" w:eastAsia="Arial" w:hAnsi="Arial"/>
          <w:sz w:val="17"/>
          <w:szCs w:val="17"/>
          <w:color w:val="auto"/>
        </w:rPr>
        <w:t>, certify that:</w:t>
      </w:r>
    </w:p>
    <w:p>
      <w:pPr>
        <w:spacing w:after="0" w:line="224"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June 30, 2023;</w:t>
      </w:r>
    </w:p>
    <w:p>
      <w:pPr>
        <w:spacing w:after="0" w:line="179" w:lineRule="exact"/>
        <w:rPr>
          <w:rFonts w:ascii="Arial" w:cs="Arial" w:eastAsia="Arial" w:hAnsi="Arial"/>
          <w:sz w:val="17"/>
          <w:szCs w:val="17"/>
          <w:color w:val="auto"/>
        </w:rPr>
      </w:pPr>
    </w:p>
    <w:p>
      <w:pPr>
        <w:ind w:left="620" w:hanging="307"/>
        <w:spacing w:after="0" w:line="353" w:lineRule="auto"/>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5"/>
          <w:szCs w:val="15"/>
          <w:color w:val="auto"/>
        </w:rPr>
      </w:pPr>
    </w:p>
    <w:p>
      <w:pPr>
        <w:ind w:left="620" w:hanging="307"/>
        <w:spacing w:after="0" w:line="283"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jc w:val="both"/>
        <w:ind w:left="620" w:hanging="307"/>
        <w:spacing w:after="0" w:line="268"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3" w:lineRule="exact"/>
        <w:rPr>
          <w:rFonts w:ascii="Arial" w:cs="Arial" w:eastAsia="Arial" w:hAnsi="Arial"/>
          <w:sz w:val="17"/>
          <w:szCs w:val="17"/>
          <w:color w:val="auto"/>
        </w:rPr>
      </w:pPr>
    </w:p>
    <w:p>
      <w:pPr>
        <w:jc w:val="both"/>
        <w:ind w:left="1240" w:hanging="306"/>
        <w:spacing w:after="0" w:line="268"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7"/>
          <w:szCs w:val="17"/>
          <w:color w:val="auto"/>
        </w:rPr>
      </w:pPr>
    </w:p>
    <w:p>
      <w:pPr>
        <w:jc w:val="both"/>
        <w:ind w:left="1240" w:hanging="306"/>
        <w:spacing w:after="0" w:line="268"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7"/>
          <w:szCs w:val="17"/>
          <w:color w:val="auto"/>
        </w:rPr>
      </w:pPr>
    </w:p>
    <w:p>
      <w:pPr>
        <w:ind w:left="1240" w:hanging="306"/>
        <w:spacing w:after="0" w:line="315" w:lineRule="auto"/>
        <w:tabs>
          <w:tab w:leader="none" w:pos="12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jc w:val="both"/>
        <w:ind w:left="1240" w:hanging="306"/>
        <w:spacing w:after="0" w:line="268"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7"/>
          <w:szCs w:val="17"/>
          <w:color w:val="auto"/>
        </w:rPr>
      </w:pPr>
    </w:p>
    <w:p>
      <w:pPr>
        <w:ind w:left="620" w:hanging="307"/>
        <w:spacing w:after="0" w:line="315" w:lineRule="auto"/>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1240" w:hanging="306"/>
        <w:spacing w:after="0" w:line="283"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1240" w:hanging="306"/>
        <w:spacing w:after="0" w:line="283"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2023</w:t>
      </w:r>
    </w:p>
    <w:p>
      <w:pPr>
        <w:spacing w:after="0" w:line="50" w:lineRule="exact"/>
        <w:rPr>
          <w:sz w:val="20"/>
          <w:szCs w:val="20"/>
          <w:color w:val="auto"/>
        </w:rPr>
      </w:pPr>
    </w:p>
    <w:p>
      <w:pPr>
        <w:ind w:left="5240"/>
        <w:spacing w:after="0"/>
        <w:rPr>
          <w:sz w:val="20"/>
          <w:szCs w:val="20"/>
          <w:color w:val="auto"/>
        </w:rPr>
      </w:pPr>
      <w:r>
        <w:rPr>
          <w:rFonts w:ascii="Arial" w:cs="Arial" w:eastAsia="Arial" w:hAnsi="Arial"/>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23495</wp:posOffset>
            </wp:positionV>
            <wp:extent cx="21170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4"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40"/>
          </w:cols>
          <w:pgMar w:left="320" w:top="858" w:right="339" w:bottom="1440" w:gutter="0" w:footer="0" w:header="0"/>
        </w:sectPr>
      </w:pPr>
    </w:p>
    <w:bookmarkStart w:id="41" w:name="page42"/>
    <w:bookmarkEnd w:id="41"/>
    <w:p>
      <w:pPr>
        <w:ind w:left="10360"/>
        <w:spacing w:after="0"/>
        <w:rPr>
          <w:sz w:val="20"/>
          <w:szCs w:val="20"/>
          <w:color w:val="auto"/>
        </w:rPr>
      </w:pPr>
      <w:r>
        <w:rPr>
          <w:rFonts w:ascii="Arial" w:cs="Arial" w:eastAsia="Arial" w:hAnsi="Arial"/>
          <w:sz w:val="15"/>
          <w:szCs w:val="15"/>
          <w:b w:val="1"/>
          <w:bCs w:val="1"/>
          <w:color w:val="auto"/>
        </w:rPr>
        <w:t>Exhibit 31.2</w:t>
      </w:r>
    </w:p>
    <w:p>
      <w:pPr>
        <w:spacing w:after="0" w:line="24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Louis Ferraro</w:t>
      </w:r>
      <w:r>
        <w:rPr>
          <w:rFonts w:ascii="Arial" w:cs="Arial" w:eastAsia="Arial" w:hAnsi="Arial"/>
          <w:sz w:val="17"/>
          <w:szCs w:val="17"/>
          <w:color w:val="auto"/>
        </w:rPr>
        <w:t>, certify that:</w:t>
      </w:r>
    </w:p>
    <w:p>
      <w:pPr>
        <w:spacing w:after="0" w:line="224"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June 30, 2023;</w:t>
      </w:r>
    </w:p>
    <w:p>
      <w:pPr>
        <w:spacing w:after="0" w:line="179" w:lineRule="exact"/>
        <w:rPr>
          <w:rFonts w:ascii="Arial" w:cs="Arial" w:eastAsia="Arial" w:hAnsi="Arial"/>
          <w:sz w:val="17"/>
          <w:szCs w:val="17"/>
          <w:color w:val="auto"/>
        </w:rPr>
      </w:pPr>
    </w:p>
    <w:p>
      <w:pPr>
        <w:ind w:left="620" w:hanging="307"/>
        <w:spacing w:after="0" w:line="353" w:lineRule="auto"/>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5"/>
          <w:szCs w:val="15"/>
          <w:color w:val="auto"/>
        </w:rPr>
      </w:pPr>
    </w:p>
    <w:p>
      <w:pPr>
        <w:ind w:left="620" w:hanging="307"/>
        <w:spacing w:after="0" w:line="283"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jc w:val="both"/>
        <w:ind w:left="620" w:hanging="307"/>
        <w:spacing w:after="0" w:line="268"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3" w:lineRule="exact"/>
        <w:rPr>
          <w:rFonts w:ascii="Arial" w:cs="Arial" w:eastAsia="Arial" w:hAnsi="Arial"/>
          <w:sz w:val="17"/>
          <w:szCs w:val="17"/>
          <w:color w:val="auto"/>
        </w:rPr>
      </w:pPr>
    </w:p>
    <w:p>
      <w:pPr>
        <w:jc w:val="both"/>
        <w:ind w:left="1240" w:hanging="306"/>
        <w:spacing w:after="0" w:line="268" w:lineRule="auto"/>
        <w:tabs>
          <w:tab w:leader="none" w:pos="12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7"/>
          <w:szCs w:val="17"/>
          <w:color w:val="auto"/>
        </w:rPr>
      </w:pPr>
    </w:p>
    <w:p>
      <w:pPr>
        <w:jc w:val="both"/>
        <w:ind w:left="1240" w:hanging="306"/>
        <w:spacing w:after="0" w:line="268" w:lineRule="auto"/>
        <w:tabs>
          <w:tab w:leader="none" w:pos="12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7"/>
          <w:szCs w:val="17"/>
          <w:color w:val="auto"/>
        </w:rPr>
      </w:pPr>
    </w:p>
    <w:p>
      <w:pPr>
        <w:ind w:left="1240" w:hanging="306"/>
        <w:spacing w:after="0" w:line="315" w:lineRule="auto"/>
        <w:tabs>
          <w:tab w:leader="none" w:pos="12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jc w:val="both"/>
        <w:ind w:left="1240" w:hanging="306"/>
        <w:spacing w:after="0" w:line="268" w:lineRule="auto"/>
        <w:tabs>
          <w:tab w:leader="none" w:pos="12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7"/>
          <w:szCs w:val="17"/>
          <w:color w:val="auto"/>
        </w:rPr>
      </w:pPr>
    </w:p>
    <w:p>
      <w:pPr>
        <w:ind w:left="620" w:hanging="307"/>
        <w:spacing w:after="0" w:line="315" w:lineRule="auto"/>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6"/>
          <w:szCs w:val="16"/>
          <w:color w:val="auto"/>
        </w:rPr>
      </w:pPr>
    </w:p>
    <w:p>
      <w:pPr>
        <w:ind w:left="1240" w:hanging="306"/>
        <w:spacing w:after="0" w:line="283" w:lineRule="auto"/>
        <w:tabs>
          <w:tab w:leader="none" w:pos="12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1240" w:hanging="306"/>
        <w:spacing w:after="0" w:line="283" w:lineRule="auto"/>
        <w:tabs>
          <w:tab w:leader="none" w:pos="12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2023</w:t>
      </w:r>
    </w:p>
    <w:p>
      <w:pPr>
        <w:spacing w:after="0" w:line="50"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15240</wp:posOffset>
            </wp:positionV>
            <wp:extent cx="29540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2954020" cy="8255"/>
                    </a:xfrm>
                    <a:prstGeom prst="rect">
                      <a:avLst/>
                    </a:prstGeom>
                    <a:noFill/>
                  </pic:spPr>
                </pic:pic>
              </a:graphicData>
            </a:graphic>
          </wp:anchor>
        </w:drawing>
      </w:r>
    </w:p>
    <w:p>
      <w:pPr>
        <w:spacing w:after="0" w:line="11"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Louis Ferraro</w:t>
      </w:r>
    </w:p>
    <w:p>
      <w:pPr>
        <w:spacing w:after="0" w:line="37"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1240"/>
          </w:cols>
          <w:pgMar w:left="320" w:top="858" w:right="339" w:bottom="1440" w:gutter="0" w:footer="0" w:header="0"/>
        </w:sectPr>
      </w:pPr>
    </w:p>
    <w:bookmarkStart w:id="42" w:name="page43"/>
    <w:bookmarkEnd w:id="42"/>
    <w:p>
      <w:pPr>
        <w:ind w:left="10360"/>
        <w:spacing w:after="0"/>
        <w:rPr>
          <w:sz w:val="20"/>
          <w:szCs w:val="20"/>
          <w:color w:val="auto"/>
        </w:rPr>
      </w:pPr>
      <w:r>
        <w:rPr>
          <w:rFonts w:ascii="Arial" w:cs="Arial" w:eastAsia="Arial" w:hAnsi="Arial"/>
          <w:sz w:val="15"/>
          <w:szCs w:val="15"/>
          <w:b w:val="1"/>
          <w:bCs w:val="1"/>
          <w:color w:val="auto"/>
        </w:rPr>
        <w:t>Exhibit 32.1</w:t>
      </w:r>
    </w:p>
    <w:p>
      <w:pPr>
        <w:spacing w:after="0" w:line="24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connection with the Quarterly Report on Form 10-Q of Synchronoss Technologies, Inc. (the “Company”) for the quarter ended June 30, 2023, as filed with the Securities and Exchange Commission on the date hereof (the “Report”), I, </w:t>
      </w:r>
      <w:r>
        <w:rPr>
          <w:rFonts w:ascii="Arial" w:cs="Arial" w:eastAsia="Arial" w:hAnsi="Arial"/>
          <w:sz w:val="16"/>
          <w:szCs w:val="16"/>
          <w:b w:val="1"/>
          <w:bCs w:val="1"/>
          <w:color w:val="auto"/>
        </w:rPr>
        <w:t>Jeff Miller</w:t>
      </w:r>
      <w:r>
        <w:rPr>
          <w:rFonts w:ascii="Arial" w:cs="Arial" w:eastAsia="Arial" w:hAnsi="Arial"/>
          <w:sz w:val="16"/>
          <w:szCs w:val="16"/>
          <w:color w:val="auto"/>
        </w:rPr>
        <w:t>, the Chief Executive Officer of the Company, hereby certify, pursuant to 18 U.S.C. 1350, as adopted pursuant to Section 906 of the Sarbanes-Oxley Act of 2002, to the best of my knowledge and belief that:</w:t>
      </w:r>
    </w:p>
    <w:p>
      <w:pPr>
        <w:spacing w:after="0" w:line="117"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3"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2023</w:t>
      </w:r>
    </w:p>
    <w:p>
      <w:pPr>
        <w:spacing w:after="0" w:line="153" w:lineRule="exact"/>
        <w:rPr>
          <w:sz w:val="20"/>
          <w:szCs w:val="20"/>
          <w:color w:val="auto"/>
        </w:rPr>
      </w:pPr>
    </w:p>
    <w:p>
      <w:pPr>
        <w:ind w:left="5160"/>
        <w:spacing w:after="0"/>
        <w:rPr>
          <w:sz w:val="20"/>
          <w:szCs w:val="20"/>
          <w:color w:val="auto"/>
        </w:rPr>
      </w:pPr>
      <w:r>
        <w:rPr>
          <w:rFonts w:ascii="Arial" w:cs="Arial" w:eastAsia="Arial" w:hAnsi="Arial"/>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23495</wp:posOffset>
            </wp:positionV>
            <wp:extent cx="2280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2280920" cy="8255"/>
                    </a:xfrm>
                    <a:prstGeom prst="rect">
                      <a:avLst/>
                    </a:prstGeom>
                    <a:noFill/>
                  </pic:spPr>
                </pic:pic>
              </a:graphicData>
            </a:graphic>
          </wp:anchor>
        </w:drawing>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315"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8" w:right="339" w:bottom="1440" w:gutter="0" w:footer="0" w:header="0"/>
        </w:sectPr>
      </w:pPr>
    </w:p>
    <w:bookmarkStart w:id="43" w:name="page44"/>
    <w:bookmarkEnd w:id="43"/>
    <w:p>
      <w:pPr>
        <w:ind w:left="10360"/>
        <w:spacing w:after="0"/>
        <w:rPr>
          <w:sz w:val="20"/>
          <w:szCs w:val="20"/>
          <w:color w:val="auto"/>
        </w:rPr>
      </w:pPr>
      <w:r>
        <w:rPr>
          <w:rFonts w:ascii="Arial" w:cs="Arial" w:eastAsia="Arial" w:hAnsi="Arial"/>
          <w:sz w:val="15"/>
          <w:szCs w:val="15"/>
          <w:b w:val="1"/>
          <w:bCs w:val="1"/>
          <w:color w:val="auto"/>
        </w:rPr>
        <w:t>Exhibit 32.2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connection with the Quarterly Report on Form 10-Q of Synchronoss Technologies, Inc. (the “Company”) for the quarter ended June 30, 2023, as filed with the Securities and Exchange Commission on the date hereof (the “Report”), I, </w:t>
      </w:r>
      <w:r>
        <w:rPr>
          <w:rFonts w:ascii="Arial" w:cs="Arial" w:eastAsia="Arial" w:hAnsi="Arial"/>
          <w:sz w:val="16"/>
          <w:szCs w:val="16"/>
          <w:b w:val="1"/>
          <w:bCs w:val="1"/>
          <w:color w:val="auto"/>
        </w:rPr>
        <w:t>Louis Ferraro</w:t>
      </w:r>
      <w:r>
        <w:rPr>
          <w:rFonts w:ascii="Arial" w:cs="Arial" w:eastAsia="Arial" w:hAnsi="Arial"/>
          <w:sz w:val="16"/>
          <w:szCs w:val="16"/>
          <w:color w:val="auto"/>
        </w:rPr>
        <w:t>, the Chief Financial Officer of the Company, hereby certify, pursuant to 18 U.S.C. 1350, as adopted pursuant to Section 906 of the Sarbanes-Oxley Act of 2002, to the best of my knowledge and belief that:</w:t>
      </w:r>
    </w:p>
    <w:p>
      <w:pPr>
        <w:spacing w:after="0" w:line="117"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3" w:lineRule="exact"/>
        <w:rPr>
          <w:rFonts w:ascii="Arial" w:cs="Arial" w:eastAsia="Arial" w:hAnsi="Arial"/>
          <w:sz w:val="16"/>
          <w:szCs w:val="16"/>
          <w:color w:val="auto"/>
        </w:rPr>
      </w:pPr>
    </w:p>
    <w:p>
      <w:pPr>
        <w:ind w:left="620" w:hanging="307"/>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2023</w:t>
      </w:r>
    </w:p>
    <w:p>
      <w:pPr>
        <w:spacing w:after="0" w:line="153" w:lineRule="exact"/>
        <w:rPr>
          <w:sz w:val="20"/>
          <w:szCs w:val="20"/>
          <w:color w:val="auto"/>
        </w:rPr>
      </w:pPr>
    </w:p>
    <w:p>
      <w:pPr>
        <w:ind w:left="4740"/>
        <w:spacing w:after="0"/>
        <w:rPr>
          <w:sz w:val="20"/>
          <w:szCs w:val="20"/>
          <w:color w:val="auto"/>
        </w:rPr>
      </w:pPr>
      <w:r>
        <w:rPr>
          <w:rFonts w:ascii="Arial" w:cs="Arial" w:eastAsia="Arial" w:hAnsi="Arial"/>
          <w:sz w:val="17"/>
          <w:szCs w:val="17"/>
          <w:i w:val="1"/>
          <w:iCs w:val="1"/>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23495</wp:posOffset>
            </wp:positionV>
            <wp:extent cx="2871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4"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Louis Ferraro</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Chief Financial Officer</w:t>
      </w:r>
    </w:p>
    <w:p>
      <w:pPr>
        <w:spacing w:after="0" w:line="200" w:lineRule="exact"/>
        <w:rPr>
          <w:sz w:val="20"/>
          <w:szCs w:val="20"/>
          <w:color w:val="auto"/>
        </w:rPr>
      </w:pPr>
    </w:p>
    <w:p>
      <w:pPr>
        <w:spacing w:after="0" w:line="212"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bullet"/>
      <w:start w:val="1"/>
    </w:lvl>
  </w:abstractNum>
  <w:abstractNum w:abstractNumId="3">
    <w:nsid w:val="DED7263"/>
    <w:multiLevelType w:val="hybridMultilevel"/>
    <w:lvl w:ilvl="0">
      <w:lvlJc w:val="left"/>
      <w:lvlText w:val="1"/>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bullet"/>
      <w:start w:val="1"/>
    </w:lvl>
  </w:abstractNum>
  <w:abstractNum w:abstractNumId="8">
    <w:nsid w:val="4E6AFB66"/>
    <w:multiLevelType w:val="hybridMultilevel"/>
    <w:lvl w:ilvl="0">
      <w:lvlJc w:val="left"/>
      <w:lvlText w:val="1"/>
      <w:numFmt w:val="bullet"/>
      <w:start w:val="1"/>
    </w:lvl>
  </w:abstractNum>
  <w:abstractNum w:abstractNumId="9">
    <w:nsid w:val="25E45D32"/>
    <w:multiLevelType w:val="hybridMultilevel"/>
    <w:lvl w:ilvl="0">
      <w:lvlJc w:val="left"/>
      <w:lvlText w:val="1"/>
      <w:numFmt w:val="bullet"/>
      <w:start w:val="1"/>
    </w:lvl>
  </w:abstractNum>
  <w:abstractNum w:abstractNumId="10">
    <w:nsid w:val="519B500D"/>
    <w:multiLevelType w:val="hybridMultilevel"/>
    <w:lvl w:ilvl="0">
      <w:lvlJc w:val="left"/>
      <w:lvlText w:val="1"/>
      <w:numFmt w:val="bullet"/>
      <w:start w:val="1"/>
    </w:lvl>
  </w:abstractNum>
  <w:abstractNum w:abstractNumId="11">
    <w:nsid w:val="431BD7B7"/>
    <w:multiLevelType w:val="hybridMultilevel"/>
    <w:lvl w:ilvl="0">
      <w:lvlJc w:val="left"/>
      <w:lvlText w:val="1"/>
      <w:numFmt w:val="bullet"/>
      <w:start w:val="1"/>
    </w:lvl>
  </w:abstractNum>
  <w:abstractNum w:abstractNumId="12">
    <w:nsid w:val="3F2DBA31"/>
    <w:multiLevelType w:val="hybridMultilevel"/>
    <w:lvl w:ilvl="0">
      <w:lvlJc w:val="left"/>
      <w:lvlText w:val="1"/>
      <w:numFmt w:val="bullet"/>
      <w:start w:val="1"/>
    </w:lvl>
  </w:abstractNum>
  <w:abstractNum w:abstractNumId="13">
    <w:nsid w:val="7C83E458"/>
    <w:multiLevelType w:val="hybridMultilevel"/>
    <w:lvl w:ilvl="0">
      <w:lvlJc w:val="left"/>
      <w:lvlText w:val="1"/>
      <w:numFmt w:val="bullet"/>
      <w:start w:val="1"/>
    </w:lvl>
  </w:abstractNum>
  <w:abstractNum w:abstractNumId="14">
    <w:nsid w:val="257130A3"/>
    <w:multiLevelType w:val="hybridMultilevel"/>
    <w:lvl w:ilvl="0">
      <w:lvlJc w:val="left"/>
      <w:lvlText w:val="1"/>
      <w:numFmt w:val="bullet"/>
      <w:start w:val="1"/>
    </w:lvl>
  </w:abstractNum>
  <w:abstractNum w:abstractNumId="15">
    <w:nsid w:val="62BBD95A"/>
    <w:multiLevelType w:val="hybridMultilevel"/>
    <w:lvl w:ilvl="0">
      <w:lvlJc w:val="left"/>
      <w:lvlText w:val="2"/>
      <w:numFmt w:val="bullet"/>
      <w:start w:val="1"/>
    </w:lvl>
  </w:abstractNum>
  <w:abstractNum w:abstractNumId="16">
    <w:nsid w:val="436C6125"/>
    <w:multiLevelType w:val="hybridMultilevel"/>
    <w:lvl w:ilvl="0">
      <w:lvlJc w:val="left"/>
      <w:lvlText w:val="•"/>
      <w:numFmt w:val="bullet"/>
      <w:start w:val="1"/>
    </w:lvl>
    <w:lvl w:ilvl="1">
      <w:lvlJc w:val="left"/>
      <w:lvlText w:val="▪"/>
      <w:numFmt w:val="bullet"/>
      <w:start w:val="1"/>
    </w:lvl>
  </w:abstractNum>
  <w:abstractNum w:abstractNumId="17">
    <w:nsid w:val="628C895D"/>
    <w:multiLevelType w:val="hybridMultilevel"/>
    <w:lvl w:ilvl="0">
      <w:lvlJc w:val="left"/>
      <w:lvlText w:val="1"/>
      <w:numFmt w:val="bullet"/>
      <w:start w:val="1"/>
    </w:lvl>
  </w:abstractNum>
  <w:abstractNum w:abstractNumId="18">
    <w:nsid w:val="333AB105"/>
    <w:multiLevelType w:val="hybridMultilevel"/>
    <w:lvl w:ilvl="0">
      <w:lvlJc w:val="left"/>
      <w:lvlText w:val="1"/>
      <w:numFmt w:val="bullet"/>
      <w:start w:val="1"/>
    </w:lvl>
  </w:abstractNum>
  <w:abstractNum w:abstractNumId="19">
    <w:nsid w:val="721DA317"/>
    <w:multiLevelType w:val="hybridMultilevel"/>
    <w:lvl w:ilvl="0">
      <w:lvlJc w:val="left"/>
      <w:lvlText w:val="1"/>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48" Type="http://schemas.openxmlformats.org/officeDocument/2006/relationships/hyperlink" Target="https://www.sec.gov/Archives/edgar/data/1131554/000113155423000013/sncr-123122xex31restatedce.htm" TargetMode="External"/><Relationship Id="rId49" Type="http://schemas.openxmlformats.org/officeDocument/2006/relationships/hyperlink" Target="https://www.sec.gov/Archives/edgar/data/1131554/000113155422000035/sncr-exhx31certificateofam.htm" TargetMode="External"/><Relationship Id="rId50" Type="http://schemas.openxmlformats.org/officeDocument/2006/relationships/hyperlink" Target="http://www.sec.gov/Archives/edgar/data/1131554/000095012306005985/y15440a2exv3w4.txt" TargetMode="External"/><Relationship Id="rId51" Type="http://schemas.openxmlformats.org/officeDocument/2006/relationships/hyperlink" Target="http://www.sec.gov/Archives/edgar/data/1131554/000110465918010721/a18-6289_1ex3d2.htm" TargetMode="External"/><Relationship Id="rId52" Type="http://schemas.openxmlformats.org/officeDocument/2006/relationships/hyperlink" Target="https://www.sec.gov/Archives/edgar/data/1131554/000110465921087598/tm2120300d3_ex3-3.htm" TargetMode="External"/><Relationship Id="rId53" Type="http://schemas.openxmlformats.org/officeDocument/2006/relationships/hyperlink" Target="https://www.sec.gov/Archives/edgar/data/1131554/000110465921087598/tm2120300d3_ex3-1.htm" TargetMode="External"/><Relationship Id="rId54" Type="http://schemas.openxmlformats.org/officeDocument/2006/relationships/hyperlink" Target="https://www.sec.gov/Archives/edgar/data/1131554/000113155423000061/ex-101_sncrxverizonxcr19to.htm" TargetMode="External"/><Relationship Id="rId55" Type="http://schemas.openxmlformats.org/officeDocument/2006/relationships/hyperlink" Target="https://www.sec.gov/Archives/edgar/data/1131554/000113155423000061/ex-102_sncrxverizonxamend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2023-08-09T15:39:25Z</dcterms:created>
  <dcterms:modified xsi:type="dcterms:W3CDTF">2023-08-09T15:39:25Z</dcterms:modified>
</cp:coreProperties>
</file>