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6" w:lineRule="exact"/>
        <w:rPr>
          <w:sz w:val="24"/>
          <w:szCs w:val="24"/>
          <w:color w:val="auto"/>
        </w:rPr>
      </w:pPr>
    </w:p>
    <w:p>
      <w:pPr>
        <w:ind w:left="1060" w:hanging="575"/>
        <w:spacing w:after="0"/>
        <w:tabs>
          <w:tab w:leader="none" w:pos="1060" w:val="left"/>
        </w:tabs>
        <w:numPr>
          <w:ilvl w:val="0"/>
          <w:numId w:val="1"/>
        </w:numPr>
        <w:rPr>
          <w:rFonts w:ascii="Arial" w:cs="Arial" w:eastAsia="Arial" w:hAnsi="Arial"/>
          <w:sz w:val="29"/>
          <w:szCs w:val="29"/>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1080" w:hanging="620"/>
        <w:spacing w:after="0"/>
        <w:tabs>
          <w:tab w:leader="none" w:pos="10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235" w:lineRule="exact"/>
        <w:rPr>
          <w:sz w:val="24"/>
          <w:szCs w:val="24"/>
          <w:color w:val="auto"/>
        </w:rPr>
      </w:pPr>
    </w:p>
    <w:p>
      <w:pPr>
        <w:ind w:left="4400"/>
        <w:spacing w:after="0"/>
        <w:tabs>
          <w:tab w:leader="none" w:pos="6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420"/>
          </w:cols>
          <w:pgMar w:left="240" w:top="233" w:right="239" w:bottom="1440" w:gutter="0" w:footer="0" w:header="0"/>
          <w:type w:val="continuous"/>
        </w:sect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6100" w:type="dxa"/>
            <w:vAlign w:val="bottom"/>
          </w:tcPr>
          <w:p>
            <w:pPr>
              <w:jc w:val="center"/>
              <w:ind w:right="3459"/>
              <w:spacing w:after="0"/>
              <w:rPr>
                <w:sz w:val="20"/>
                <w:szCs w:val="20"/>
                <w:color w:val="auto"/>
              </w:rPr>
            </w:pPr>
            <w:r>
              <w:rPr>
                <w:rFonts w:ascii="Arial" w:cs="Arial" w:eastAsia="Arial" w:hAnsi="Arial"/>
                <w:sz w:val="16"/>
                <w:szCs w:val="16"/>
                <w:b w:val="1"/>
                <w:bCs w:val="1"/>
                <w:color w:val="auto"/>
                <w:w w:val="91"/>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r>
      <w:tr>
        <w:trPr>
          <w:trHeight w:val="253"/>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4"/>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505"/>
        </w:trPr>
        <w:tc>
          <w:tcPr>
            <w:tcW w:w="6100" w:type="dxa"/>
            <w:vAlign w:val="bottom"/>
          </w:tcPr>
          <w:p>
            <w:pPr>
              <w:jc w:val="center"/>
              <w:ind w:right="3479"/>
              <w:spacing w:after="0"/>
              <w:rPr>
                <w:sz w:val="20"/>
                <w:szCs w:val="20"/>
                <w:color w:val="auto"/>
              </w:rPr>
            </w:pPr>
            <w:r>
              <w:rPr>
                <w:rFonts w:ascii="Arial" w:cs="Arial" w:eastAsia="Arial" w:hAnsi="Arial"/>
                <w:sz w:val="16"/>
                <w:szCs w:val="16"/>
                <w:b w:val="1"/>
                <w:bCs w:val="1"/>
                <w:color w:val="auto"/>
                <w:w w:val="91"/>
              </w:rPr>
              <w:t>200 Crossing Boulevard, 8th Floor</w:t>
            </w:r>
          </w:p>
        </w:tc>
        <w:tc>
          <w:tcPr>
            <w:tcW w:w="1480" w:type="dxa"/>
            <w:vAlign w:val="bottom"/>
          </w:tcPr>
          <w:p>
            <w:pPr>
              <w:spacing w:after="0"/>
              <w:rPr>
                <w:sz w:val="24"/>
                <w:szCs w:val="24"/>
                <w:color w:val="auto"/>
              </w:rPr>
            </w:pPr>
          </w:p>
        </w:tc>
      </w:tr>
      <w:tr>
        <w:trPr>
          <w:trHeight w:val="210"/>
        </w:trPr>
        <w:tc>
          <w:tcPr>
            <w:tcW w:w="6100" w:type="dxa"/>
            <w:vAlign w:val="bottom"/>
          </w:tcPr>
          <w:p>
            <w:pPr>
              <w:jc w:val="center"/>
              <w:ind w:right="3459"/>
              <w:spacing w:after="0"/>
              <w:rPr>
                <w:sz w:val="20"/>
                <w:szCs w:val="20"/>
                <w:color w:val="auto"/>
              </w:rPr>
            </w:pPr>
            <w:r>
              <w:rPr>
                <w:rFonts w:ascii="Arial" w:cs="Arial" w:eastAsia="Arial" w:hAnsi="Arial"/>
                <w:sz w:val="16"/>
                <w:szCs w:val="16"/>
                <w:b w:val="1"/>
                <w:bCs w:val="1"/>
                <w:color w:val="auto"/>
                <w:w w:val="90"/>
              </w:rPr>
              <w:t>Bridgewater, New Jersey</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08807</w:t>
            </w:r>
          </w:p>
        </w:tc>
      </w:tr>
      <w:tr>
        <w:trPr>
          <w:trHeight w:val="257"/>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3"/>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r>
        <w:trPr>
          <w:trHeight w:val="401"/>
        </w:trPr>
        <w:tc>
          <w:tcPr>
            <w:tcW w:w="6100" w:type="dxa"/>
            <w:vAlign w:val="bottom"/>
          </w:tcPr>
          <w:p>
            <w:pPr>
              <w:jc w:val="right"/>
              <w:ind w:right="1379"/>
              <w:spacing w:after="0"/>
              <w:rPr>
                <w:sz w:val="20"/>
                <w:szCs w:val="20"/>
                <w:color w:val="auto"/>
              </w:rPr>
            </w:pPr>
            <w:r>
              <w:rPr>
                <w:rFonts w:ascii="Arial" w:cs="Arial" w:eastAsia="Arial" w:hAnsi="Arial"/>
                <w:sz w:val="16"/>
                <w:szCs w:val="16"/>
                <w:b w:val="1"/>
                <w:bCs w:val="1"/>
                <w:color w:val="auto"/>
              </w:rPr>
              <w:t>(866) 620-3940</w:t>
            </w:r>
          </w:p>
        </w:tc>
        <w:tc>
          <w:tcPr>
            <w:tcW w:w="1480" w:type="dxa"/>
            <w:vAlign w:val="bottom"/>
          </w:tcPr>
          <w:p>
            <w:pPr>
              <w:spacing w:after="0"/>
              <w:rPr>
                <w:sz w:val="24"/>
                <w:szCs w:val="24"/>
                <w:color w:val="auto"/>
              </w:rPr>
            </w:pPr>
          </w:p>
        </w:tc>
      </w:tr>
      <w:tr>
        <w:trPr>
          <w:trHeight w:val="206"/>
        </w:trPr>
        <w:tc>
          <w:tcPr>
            <w:tcW w:w="6100" w:type="dxa"/>
            <w:vAlign w:val="bottom"/>
          </w:tcPr>
          <w:p>
            <w:pPr>
              <w:jc w:val="center"/>
              <w:ind w:left="2039"/>
              <w:spacing w:after="0"/>
              <w:rPr>
                <w:sz w:val="20"/>
                <w:szCs w:val="20"/>
                <w:color w:val="auto"/>
              </w:rPr>
            </w:pPr>
            <w:r>
              <w:rPr>
                <w:rFonts w:ascii="Arial" w:cs="Arial" w:eastAsia="Arial" w:hAnsi="Arial"/>
                <w:sz w:val="16"/>
                <w:szCs w:val="16"/>
                <w:color w:val="auto"/>
                <w:w w:val="90"/>
              </w:rPr>
              <w:t>(Registrant’s telephone number, including area code)</w:t>
            </w:r>
          </w:p>
        </w:tc>
        <w:tc>
          <w:tcPr>
            <w:tcW w:w="1480" w:type="dxa"/>
            <w:vAlign w:val="bottom"/>
          </w:tcPr>
          <w:p>
            <w:pPr>
              <w:spacing w:after="0"/>
              <w:rPr>
                <w:sz w:val="17"/>
                <w:szCs w:val="17"/>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right="20"/>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8" w:lineRule="exact"/>
        <w:rPr>
          <w:sz w:val="24"/>
          <w:szCs w:val="24"/>
          <w:color w:val="auto"/>
        </w:rPr>
      </w:pPr>
    </w:p>
    <w:p>
      <w:pPr>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175"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89"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2"/>
              </w:rPr>
              <w:t>Large accelerated filer</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jc w:val="center"/>
              <w:ind w:left="2119"/>
              <w:spacing w:after="0"/>
              <w:rPr>
                <w:sz w:val="20"/>
                <w:szCs w:val="20"/>
                <w:color w:val="auto"/>
              </w:rPr>
            </w:pPr>
            <w:r>
              <w:rPr>
                <w:rFonts w:ascii="Arial" w:cs="Arial" w:eastAsia="Arial" w:hAnsi="Arial"/>
                <w:sz w:val="16"/>
                <w:szCs w:val="16"/>
                <w:color w:val="auto"/>
                <w:w w:val="94"/>
              </w:rPr>
              <w:t>Accelerated filer</w:t>
            </w:r>
          </w:p>
        </w:tc>
        <w:tc>
          <w:tcPr>
            <w:tcW w:w="520" w:type="dxa"/>
            <w:vAlign w:val="bottom"/>
          </w:tcPr>
          <w:p>
            <w:pPr>
              <w:jc w:val="center"/>
              <w:ind w:left="283"/>
              <w:spacing w:after="0"/>
              <w:rPr>
                <w:sz w:val="20"/>
                <w:szCs w:val="20"/>
                <w:color w:val="auto"/>
              </w:rPr>
            </w:pPr>
            <w:r>
              <w:rPr>
                <w:rFonts w:ascii="Arial" w:cs="Arial" w:eastAsia="Arial" w:hAnsi="Arial"/>
                <w:sz w:val="14"/>
                <w:szCs w:val="14"/>
                <w:color w:val="auto"/>
              </w:rPr>
              <w:t>x</w:t>
            </w:r>
          </w:p>
        </w:tc>
      </w:tr>
      <w:tr>
        <w:trPr>
          <w:trHeight w:val="26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Non-accelerated filer</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jc w:val="center"/>
              <w:ind w:left="2139"/>
              <w:spacing w:after="0"/>
              <w:rPr>
                <w:sz w:val="20"/>
                <w:szCs w:val="20"/>
                <w:color w:val="auto"/>
              </w:rPr>
            </w:pPr>
            <w:r>
              <w:rPr>
                <w:rFonts w:ascii="Arial" w:cs="Arial" w:eastAsia="Arial" w:hAnsi="Arial"/>
                <w:sz w:val="16"/>
                <w:szCs w:val="16"/>
                <w:color w:val="auto"/>
                <w:w w:val="92"/>
              </w:rPr>
              <w:t>Smaller Reporting Company</w:t>
            </w:r>
          </w:p>
        </w:tc>
        <w:tc>
          <w:tcPr>
            <w:tcW w:w="520" w:type="dxa"/>
            <w:vAlign w:val="bottom"/>
          </w:tcPr>
          <w:p>
            <w:pPr>
              <w:jc w:val="center"/>
              <w:ind w:left="283"/>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70"/>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Emerging growth company</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440" w:type="dxa"/>
            <w:vAlign w:val="bottom"/>
          </w:tcPr>
          <w:p>
            <w:pPr>
              <w:jc w:val="center"/>
              <w:ind w:left="179"/>
              <w:spacing w:after="0"/>
              <w:rPr>
                <w:sz w:val="20"/>
                <w:szCs w:val="20"/>
                <w:color w:val="auto"/>
              </w:rPr>
            </w:pPr>
            <w:r>
              <w:rPr>
                <w:rFonts w:ascii="Arial" w:cs="Arial" w:eastAsia="Arial" w:hAnsi="Arial"/>
                <w:sz w:val="16"/>
                <w:szCs w:val="16"/>
                <w:color w:val="auto"/>
                <w:w w:val="92"/>
              </w:rPr>
              <w:t>Title of each class</w:t>
            </w:r>
          </w:p>
        </w:tc>
        <w:tc>
          <w:tcPr>
            <w:tcW w:w="2560" w:type="dxa"/>
            <w:vAlign w:val="bottom"/>
          </w:tcPr>
          <w:p>
            <w:pPr>
              <w:jc w:val="center"/>
              <w:spacing w:after="0"/>
              <w:rPr>
                <w:sz w:val="20"/>
                <w:szCs w:val="20"/>
                <w:color w:val="auto"/>
              </w:rPr>
            </w:pPr>
            <w:r>
              <w:rPr>
                <w:rFonts w:ascii="Arial" w:cs="Arial" w:eastAsia="Arial" w:hAnsi="Arial"/>
                <w:sz w:val="16"/>
                <w:szCs w:val="16"/>
                <w:color w:val="auto"/>
                <w:w w:val="94"/>
              </w:rPr>
              <w:t>Trading Symbol(s)</w:t>
            </w:r>
          </w:p>
        </w:tc>
        <w:tc>
          <w:tcPr>
            <w:tcW w:w="4420" w:type="dxa"/>
            <w:vAlign w:val="bottom"/>
          </w:tcPr>
          <w:p>
            <w:pPr>
              <w:jc w:val="center"/>
              <w:ind w:right="17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4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jc w:val="center"/>
              <w:ind w:left="179"/>
              <w:spacing w:after="0"/>
              <w:rPr>
                <w:sz w:val="20"/>
                <w:szCs w:val="20"/>
                <w:color w:val="auto"/>
              </w:rPr>
            </w:pPr>
            <w:r>
              <w:rPr>
                <w:rFonts w:ascii="Arial" w:cs="Arial" w:eastAsia="Arial" w:hAnsi="Arial"/>
                <w:sz w:val="16"/>
                <w:szCs w:val="16"/>
                <w:color w:val="auto"/>
                <w:w w:val="91"/>
              </w:rPr>
              <w:t>Common Stock, par value $.0001 par value</w:t>
            </w:r>
          </w:p>
        </w:tc>
        <w:tc>
          <w:tcPr>
            <w:tcW w:w="2560" w:type="dxa"/>
            <w:vAlign w:val="bottom"/>
            <w:vMerge w:val="restart"/>
          </w:tcPr>
          <w:p>
            <w:pPr>
              <w:jc w:val="center"/>
              <w:spacing w:after="0"/>
              <w:rPr>
                <w:sz w:val="20"/>
                <w:szCs w:val="20"/>
                <w:color w:val="auto"/>
              </w:rPr>
            </w:pPr>
            <w:r>
              <w:rPr>
                <w:rFonts w:ascii="Arial" w:cs="Arial" w:eastAsia="Arial" w:hAnsi="Arial"/>
                <w:sz w:val="16"/>
                <w:szCs w:val="16"/>
                <w:color w:val="auto"/>
                <w:w w:val="96"/>
              </w:rPr>
              <w:t>SNCR</w:t>
            </w:r>
          </w:p>
        </w:tc>
        <w:tc>
          <w:tcPr>
            <w:tcW w:w="4420" w:type="dxa"/>
            <w:vAlign w:val="bottom"/>
          </w:tcPr>
          <w:p>
            <w:pPr>
              <w:jc w:val="center"/>
              <w:ind w:right="179"/>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2019, there were 45,064,296 shares of common stock issued and outstanding.</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9"/>
          </w:tcPr>
          <w:p>
            <w:pPr>
              <w:jc w:val="center"/>
              <w:ind w:right="1720"/>
              <w:spacing w:after="0"/>
              <w:rPr>
                <w:sz w:val="20"/>
                <w:szCs w:val="20"/>
                <w:color w:val="auto"/>
              </w:rPr>
            </w:pPr>
            <w:r>
              <w:rPr>
                <w:rFonts w:ascii="Arial" w:cs="Arial" w:eastAsia="Arial" w:hAnsi="Arial"/>
                <w:sz w:val="18"/>
                <w:szCs w:val="18"/>
                <w:b w:val="1"/>
                <w:bCs w:val="1"/>
                <w:color w:val="auto"/>
                <w:w w:val="99"/>
              </w:rPr>
              <w:t>SYNCHRONOSS TECHNOLOGIES,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7"/>
          </w:tcPr>
          <w:p>
            <w:pPr>
              <w:jc w:val="center"/>
              <w:ind w:right="3500"/>
              <w:spacing w:after="0"/>
              <w:rPr>
                <w:sz w:val="20"/>
                <w:szCs w:val="20"/>
                <w:color w:val="auto"/>
              </w:rPr>
            </w:pPr>
            <w:r>
              <w:rPr>
                <w:rFonts w:ascii="Arial" w:cs="Arial" w:eastAsia="Arial" w:hAnsi="Arial"/>
                <w:sz w:val="18"/>
                <w:szCs w:val="18"/>
                <w:b w:val="1"/>
                <w:bCs w:val="1"/>
                <w:color w:val="auto"/>
              </w:rPr>
              <w:t>FORM 10-Q INDEX</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80" w:type="dxa"/>
            <w:vAlign w:val="bottom"/>
            <w:gridSpan w:val="2"/>
          </w:tcPr>
          <w:p>
            <w:pPr>
              <w:spacing w:after="0" w:line="17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PART I.</w:t>
              </w:r>
            </w:hyperlink>
          </w:p>
        </w:tc>
        <w:tc>
          <w:tcPr>
            <w:tcW w:w="520" w:type="dxa"/>
            <w:vAlign w:val="bottom"/>
            <w:gridSpan w:val="2"/>
          </w:tcPr>
          <w:p>
            <w:pPr>
              <w:spacing w:after="0"/>
              <w:rPr>
                <w:sz w:val="15"/>
                <w:szCs w:val="15"/>
                <w:color w:val="auto"/>
              </w:rPr>
            </w:pPr>
          </w:p>
        </w:tc>
        <w:tc>
          <w:tcPr>
            <w:tcW w:w="9260" w:type="dxa"/>
            <w:vAlign w:val="bottom"/>
            <w:gridSpan w:val="17"/>
            <w:vMerge w:val="continue"/>
          </w:tcPr>
          <w:p>
            <w:pPr>
              <w:spacing w:after="0"/>
              <w:rPr>
                <w:sz w:val="15"/>
                <w:szCs w:val="15"/>
                <w:color w:val="auto"/>
              </w:rPr>
            </w:pPr>
          </w:p>
        </w:tc>
        <w:tc>
          <w:tcPr>
            <w:tcW w:w="560" w:type="dxa"/>
            <w:vAlign w:val="bottom"/>
            <w:gridSpan w:val="2"/>
          </w:tcPr>
          <w:p>
            <w:pPr>
              <w:jc w:val="center"/>
              <w:ind w:left="370"/>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0000EE"/>
            </w:tcBorders>
          </w:tcPr>
          <w:p>
            <w:pPr>
              <w:spacing w:after="0"/>
              <w:rPr>
                <w:sz w:val="2"/>
                <w:szCs w:val="2"/>
                <w:color w:val="auto"/>
              </w:rPr>
            </w:pPr>
          </w:p>
        </w:tc>
        <w:tc>
          <w:tcPr>
            <w:tcW w:w="540" w:type="dxa"/>
            <w:vAlign w:val="bottom"/>
            <w:gridSpan w:val="2"/>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520" w:type="dxa"/>
            <w:vAlign w:val="bottom"/>
            <w:gridSpan w:val="2"/>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and Notes</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Borders>
              <w:top w:val="single" w:sz="8" w:color="0000EE"/>
            </w:tcBorders>
            <w:gridSpan w:val="10"/>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Balance Sheets (unaudited)</w:t>
              </w:r>
            </w:hyperlink>
          </w:p>
        </w:tc>
        <w:tc>
          <w:tcPr>
            <w:tcW w:w="52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Income (Loss) (unaudited)</w:t>
              </w:r>
            </w:hyperlink>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406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2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926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80" w:type="dxa"/>
            <w:vAlign w:val="bottom"/>
            <w:tcBorders>
              <w:left w:val="single" w:sz="8" w:color="0000EE"/>
            </w:tcBorders>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92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PART II.</w:t>
              </w:r>
            </w:hyperlink>
          </w:p>
        </w:tc>
        <w:tc>
          <w:tcPr>
            <w:tcW w:w="46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7440" w:type="dxa"/>
            <w:vAlign w:val="bottom"/>
            <w:gridSpan w:val="11"/>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w:t>
              </w:r>
            </w:hyperlink>
          </w:p>
        </w:tc>
        <w:tc>
          <w:tcPr>
            <w:tcW w:w="46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7440" w:type="dxa"/>
            <w:vAlign w:val="bottom"/>
            <w:gridSpan w:val="11"/>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1A.</w:t>
              </w:r>
            </w:hyperlink>
          </w:p>
        </w:tc>
        <w:tc>
          <w:tcPr>
            <w:tcW w:w="46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w w:val="81"/>
              </w:rPr>
            </w:pPr>
            <w:hyperlink w:anchor="page46">
              <w:r>
                <w:rPr>
                  <w:rFonts w:ascii="Arial" w:cs="Arial" w:eastAsia="Arial" w:hAnsi="Arial"/>
                  <w:sz w:val="18"/>
                  <w:szCs w:val="18"/>
                  <w:color w:val="0000EE"/>
                  <w:w w:val="81"/>
                </w:rPr>
                <w:t>Risk Factors</w:t>
              </w:r>
            </w:hyperlink>
          </w:p>
        </w:tc>
        <w:tc>
          <w:tcPr>
            <w:tcW w:w="8420" w:type="dxa"/>
            <w:vAlign w:val="bottom"/>
            <w:gridSpan w:val="14"/>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92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92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92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92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SIGNATURES</w:t>
              </w:r>
            </w:hyperlink>
          </w:p>
        </w:tc>
        <w:tc>
          <w:tcPr>
            <w:tcW w:w="9260" w:type="dxa"/>
            <w:vAlign w:val="bottom"/>
            <w:gridSpan w:val="17"/>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7720" w:type="dxa"/>
            <w:vAlign w:val="bottom"/>
            <w:vMerge w:val="restart"/>
          </w:tcPr>
          <w:p>
            <w:pPr>
              <w:ind w:left="52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18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103,771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6,089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Marketable securities, current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28,230</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w w:val="92"/>
              </w:rPr>
              <w:t>Accounts receivable, net of allowances for bad debt of $3,318 and $4,599 at September 30, 2019 and December 31,</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2018, respectively**</w:t>
            </w:r>
          </w:p>
        </w:tc>
        <w:tc>
          <w:tcPr>
            <w:tcW w:w="18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73,574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102,798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45,058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4,934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8,508</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294,454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Marketable securities, non-current</w:t>
            </w: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67,937</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55,308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224,899</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81,172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98,706</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8,982</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703,255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13,576</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54,219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59,545</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Deferred revenues, current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57,101</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Short-term convertible debt, net of debt issuance costs</w:t>
            </w: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113,542</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243,764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Lease financing obligation</w:t>
            </w: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9,494</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Deferred revenues,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59,841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4,624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10,797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Series A Convertible Participating Perpetual Preferred Stock, $0.0001 par value; 10,000 shares authorized; 210</w:t>
            </w:r>
          </w:p>
        </w:tc>
        <w:tc>
          <w:tcPr>
            <w:tcW w:w="18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192,596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176,603</w:t>
            </w:r>
          </w:p>
        </w:tc>
        <w:tc>
          <w:tcPr>
            <w:tcW w:w="0" w:type="dxa"/>
            <w:vAlign w:val="bottom"/>
          </w:tcPr>
          <w:p>
            <w:pPr>
              <w:spacing w:after="0"/>
              <w:rPr>
                <w:sz w:val="1"/>
                <w:szCs w:val="1"/>
                <w:color w:val="auto"/>
              </w:rPr>
            </w:pPr>
          </w:p>
        </w:tc>
      </w:tr>
      <w:tr>
        <w:trPr>
          <w:trHeight w:val="98"/>
        </w:trPr>
        <w:tc>
          <w:tcPr>
            <w:tcW w:w="180" w:type="dxa"/>
            <w:vAlign w:val="bottom"/>
            <w:shd w:val="clear" w:color="auto" w:fill="CCEEFF"/>
          </w:tcPr>
          <w:p>
            <w:pPr>
              <w:spacing w:after="0"/>
              <w:rPr>
                <w:sz w:val="8"/>
                <w:szCs w:val="8"/>
                <w:color w:val="auto"/>
              </w:rPr>
            </w:pPr>
          </w:p>
        </w:tc>
        <w:tc>
          <w:tcPr>
            <w:tcW w:w="77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at September 30, 2019</w:t>
            </w:r>
          </w:p>
        </w:tc>
        <w:tc>
          <w:tcPr>
            <w:tcW w:w="18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Borders>
              <w:bottom w:val="single" w:sz="8" w:color="CCEEFF"/>
            </w:tcBorders>
            <w:shd w:val="clear" w:color="auto" w:fill="CCEEFF"/>
          </w:tcPr>
          <w:p>
            <w:pPr>
              <w:spacing w:after="0"/>
              <w:rPr>
                <w:sz w:val="10"/>
                <w:szCs w:val="10"/>
                <w:color w:val="auto"/>
              </w:rPr>
            </w:pPr>
          </w:p>
        </w:tc>
        <w:tc>
          <w:tcPr>
            <w:tcW w:w="772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Common stock, $0.0001 par value; 100,000 shares authorized, 51,608 and 49,836 shares issued; 44,446 and 42,674</w:t>
            </w:r>
          </w:p>
        </w:tc>
        <w:tc>
          <w:tcPr>
            <w:tcW w:w="18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8"/>
        </w:trPr>
        <w:tc>
          <w:tcPr>
            <w:tcW w:w="180" w:type="dxa"/>
            <w:vAlign w:val="bottom"/>
            <w:shd w:val="clear" w:color="auto" w:fill="CCEEFF"/>
          </w:tcPr>
          <w:p>
            <w:pPr>
              <w:spacing w:after="0"/>
              <w:rPr>
                <w:sz w:val="8"/>
                <w:szCs w:val="8"/>
                <w:color w:val="auto"/>
              </w:rPr>
            </w:pPr>
          </w:p>
        </w:tc>
        <w:tc>
          <w:tcPr>
            <w:tcW w:w="77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outstanding at September 30, 2019 and December 31, 2018, respectively</w:t>
            </w:r>
          </w:p>
        </w:tc>
        <w:tc>
          <w:tcPr>
            <w:tcW w:w="18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Borders>
              <w:bottom w:val="single" w:sz="8" w:color="CCEEFF"/>
            </w:tcBorders>
            <w:shd w:val="clear" w:color="auto" w:fill="CCEEFF"/>
          </w:tcPr>
          <w:p>
            <w:pPr>
              <w:spacing w:after="0"/>
              <w:rPr>
                <w:sz w:val="10"/>
                <w:szCs w:val="10"/>
                <w:color w:val="auto"/>
              </w:rPr>
            </w:pPr>
          </w:p>
        </w:tc>
        <w:tc>
          <w:tcPr>
            <w:tcW w:w="772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w w:val="97"/>
              </w:rPr>
              <w:t>Treasury stock, at cost (7,162 and 7,162 shares at September 30, 2019 and December 31, 2018, respectively)</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(82,087)</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534,673</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(33,880)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(30,383)</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(233,299)</w:t>
            </w:r>
          </w:p>
        </w:tc>
        <w:tc>
          <w:tcPr>
            <w:tcW w:w="0" w:type="dxa"/>
            <w:vAlign w:val="bottom"/>
          </w:tcPr>
          <w:p>
            <w:pPr>
              <w:spacing w:after="0"/>
              <w:rPr>
                <w:sz w:val="1"/>
                <w:szCs w:val="1"/>
                <w:color w:val="auto"/>
              </w:rPr>
            </w:pPr>
          </w:p>
        </w:tc>
      </w:tr>
      <w:tr>
        <w:trPr>
          <w:trHeight w:val="21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84,587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188,909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703,255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720" w:type="dxa"/>
            <w:vAlign w:val="bottom"/>
          </w:tcPr>
          <w:p>
            <w:pPr>
              <w:ind w:left="16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8"/>
                <w:szCs w:val="18"/>
                <w:i w:val="1"/>
                <w:iCs w:val="1"/>
                <w:color w:val="auto"/>
              </w:rPr>
              <w:t>2. Basis of Presentation and Consolidation</w:t>
            </w:r>
            <w:r>
              <w:rPr>
                <w:rFonts w:ascii="Arial" w:cs="Arial" w:eastAsia="Arial" w:hAnsi="Arial"/>
                <w:sz w:val="16"/>
                <w:szCs w:val="16"/>
                <w:color w:val="auto"/>
              </w:rPr>
              <w:t xml:space="preserve"> </w:t>
            </w:r>
            <w:r>
              <w:rPr>
                <w:rFonts w:ascii="Arial" w:cs="Arial" w:eastAsia="Arial" w:hAnsi="Arial"/>
                <w:sz w:val="18"/>
                <w:szCs w:val="18"/>
                <w:color w:val="auto"/>
              </w:rPr>
              <w:t>for restricted cash details.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360" w:right="3140" w:hanging="3352"/>
        <w:spacing w:after="0" w:line="572" w:lineRule="auto"/>
        <w:tabs>
          <w:tab w:leader="none" w:pos="341"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6"/>
          <w:szCs w:val="16"/>
          <w:i w:val="1"/>
          <w:iCs w:val="1"/>
          <w:color w:val="auto"/>
        </w:rPr>
        <w:t>6. Investments in Affiliates and Related Transactions</w:t>
      </w:r>
      <w:r>
        <w:rPr>
          <w:rFonts w:ascii="Arial" w:cs="Arial" w:eastAsia="Arial" w:hAnsi="Arial"/>
          <w:sz w:val="14"/>
          <w:szCs w:val="14"/>
          <w:color w:val="auto"/>
        </w:rPr>
        <w:t xml:space="preserve"> for related party transactions reflected in this account. See accompanying notes to condensed consolidated financial statements.</w:t>
      </w:r>
    </w:p>
    <w:p>
      <w:pPr>
        <w:sectPr>
          <w:pgSz w:w="11900" w:h="16838" w:orient="portrait"/>
          <w:cols w:equalWidth="0" w:num="1">
            <w:col w:w="11420"/>
          </w:cols>
          <w:pgMar w:left="240" w:top="125" w:right="239" w:bottom="678"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7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4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00"/>
          </w:cols>
          <w:pgMar w:left="240" w:top="125" w:right="259" w:bottom="1440" w:gutter="0" w:footer="0" w:header="0"/>
        </w:sectPr>
      </w:pPr>
    </w:p>
    <w:p>
      <w:pPr>
        <w:spacing w:after="0" w:line="216" w:lineRule="exact"/>
        <w:rPr>
          <w:sz w:val="20"/>
          <w:szCs w:val="20"/>
          <w:color w:val="auto"/>
        </w:rPr>
      </w:pPr>
    </w:p>
    <w:p>
      <w:pPr>
        <w:jc w:val="center"/>
        <w:ind w:left="59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31115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4" w:lineRule="exact"/>
        <w:rPr>
          <w:sz w:val="20"/>
          <w:szCs w:val="20"/>
          <w:color w:val="auto"/>
        </w:rPr>
      </w:pPr>
    </w:p>
    <w:p>
      <w:pPr>
        <w:ind w:left="6160"/>
        <w:spacing w:after="0"/>
        <w:tabs>
          <w:tab w:leader="none" w:pos="76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31115</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14"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23495</wp:posOffset>
            </wp:positionV>
            <wp:extent cx="1783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60"/>
          </w:cols>
          <w:pgMar w:left="240" w:top="125" w:right="259" w:bottom="1440" w:gutter="0" w:footer="0" w:header="0"/>
          <w:type w:val="continuous"/>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18,575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18,684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57,282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59,789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103,182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117,915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307,760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365,700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(50,972)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(34,629)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(89,599)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Gain on extinguishment of debt</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Equity method investment (loss) income</w:t>
            </w:r>
          </w:p>
        </w:tc>
        <w:tc>
          <w:tcPr>
            <w:tcW w:w="4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taxes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(48,952)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(Provision) benefit for income taxes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(61,213)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Net loss attributable to redeemable noncontrolling interests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dividend</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(18,076)</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Synchronoss</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(69,432)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(54,529)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(122,049)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(141,839)</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6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40,564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280"/>
              <w:spacing w:after="0"/>
              <w:rPr>
                <w:sz w:val="20"/>
                <w:szCs w:val="20"/>
                <w:color w:val="auto"/>
              </w:rPr>
            </w:pPr>
            <w:r>
              <w:rPr>
                <w:rFonts w:ascii="Arial" w:cs="Arial" w:eastAsia="Arial" w:hAnsi="Arial"/>
                <w:sz w:val="16"/>
                <w:szCs w:val="16"/>
                <w:color w:val="auto"/>
              </w:rPr>
              <w:t>Diluted</w:t>
            </w:r>
          </w:p>
        </w:tc>
        <w:tc>
          <w:tcPr>
            <w:tcW w:w="4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40,910</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39,612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40,564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40,405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2659"/>
              <w:spacing w:after="0"/>
              <w:rPr>
                <w:sz w:val="20"/>
                <w:szCs w:val="20"/>
                <w:color w:val="auto"/>
              </w:rPr>
            </w:pPr>
            <w:r>
              <w:rPr>
                <w:rFonts w:ascii="Arial" w:cs="Arial" w:eastAsia="Arial" w:hAnsi="Arial"/>
                <w:sz w:val="18"/>
                <w:szCs w:val="18"/>
                <w:color w:val="auto"/>
                <w:w w:val="89"/>
              </w:rPr>
              <w:t>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5000" w:right="1940" w:hanging="2903"/>
        <w:spacing w:after="0" w:line="313"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ind w:left="12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5"/>
                <w:szCs w:val="15"/>
                <w:color w:val="auto"/>
              </w:rPr>
            </w:pPr>
          </w:p>
        </w:tc>
        <w:tc>
          <w:tcPr>
            <w:tcW w:w="2320" w:type="dxa"/>
            <w:vAlign w:val="bottom"/>
            <w:gridSpan w:val="4"/>
          </w:tcPr>
          <w:p>
            <w:pPr>
              <w:jc w:val="right"/>
              <w:ind w:right="249"/>
              <w:spacing w:after="0"/>
              <w:rPr>
                <w:sz w:val="20"/>
                <w:szCs w:val="20"/>
                <w:color w:val="auto"/>
              </w:rPr>
            </w:pPr>
            <w:r>
              <w:rPr>
                <w:rFonts w:ascii="Arial" w:cs="Arial" w:eastAsia="Arial" w:hAnsi="Arial"/>
                <w:sz w:val="13"/>
                <w:szCs w:val="13"/>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(125,885)</w:t>
            </w:r>
          </w:p>
        </w:tc>
        <w:tc>
          <w:tcPr>
            <w:tcW w:w="0" w:type="dxa"/>
            <w:vAlign w:val="bottom"/>
          </w:tcPr>
          <w:p>
            <w:pPr>
              <w:spacing w:after="0"/>
              <w:rPr>
                <w:sz w:val="1"/>
                <w:szCs w:val="1"/>
                <w:color w:val="auto"/>
              </w:rPr>
            </w:pPr>
          </w:p>
        </w:tc>
      </w:tr>
      <w:tr>
        <w:trPr>
          <w:trHeight w:val="264"/>
        </w:trPr>
        <w:tc>
          <w:tcPr>
            <w:tcW w:w="5940" w:type="dxa"/>
            <w:vAlign w:val="bottom"/>
          </w:tcPr>
          <w:p>
            <w:pPr>
              <w:ind w:left="160"/>
              <w:spacing w:after="0"/>
              <w:rPr>
                <w:sz w:val="20"/>
                <w:szCs w:val="20"/>
                <w:color w:val="auto"/>
              </w:rPr>
            </w:pPr>
            <w:r>
              <w:rPr>
                <w:rFonts w:ascii="Arial" w:cs="Arial" w:eastAsia="Arial" w:hAnsi="Arial"/>
                <w:sz w:val="14"/>
                <w:szCs w:val="14"/>
                <w:color w:val="auto"/>
              </w:rPr>
              <w:t>Other comprehensive (loss) income, net of tax:</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264"/>
        </w:trPr>
        <w:tc>
          <w:tcPr>
            <w:tcW w:w="5940" w:type="dxa"/>
            <w:vAlign w:val="bottom"/>
          </w:tcPr>
          <w:p>
            <w:pPr>
              <w:ind w:left="280"/>
              <w:spacing w:after="0"/>
              <w:rPr>
                <w:sz w:val="20"/>
                <w:szCs w:val="20"/>
                <w:color w:val="auto"/>
              </w:rPr>
            </w:pPr>
            <w:r>
              <w:rPr>
                <w:rFonts w:ascii="Arial" w:cs="Arial" w:eastAsia="Arial" w:hAnsi="Arial"/>
                <w:sz w:val="14"/>
                <w:szCs w:val="14"/>
                <w:color w:val="auto"/>
              </w:rPr>
              <w:t>Unrealized gain (loss) on available for sale securities</w:t>
            </w:r>
          </w:p>
        </w:tc>
        <w:tc>
          <w:tcPr>
            <w:tcW w:w="20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on intra-entity foreign currency transactions</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71"/>
        </w:trPr>
        <w:tc>
          <w:tcPr>
            <w:tcW w:w="5940" w:type="dxa"/>
            <w:vAlign w:val="bottom"/>
          </w:tcPr>
          <w:p>
            <w:pPr>
              <w:ind w:left="40"/>
              <w:spacing w:after="0"/>
              <w:rPr>
                <w:sz w:val="20"/>
                <w:szCs w:val="20"/>
                <w:color w:val="auto"/>
              </w:rPr>
            </w:pPr>
            <w:r>
              <w:rPr>
                <w:rFonts w:ascii="Arial" w:cs="Arial" w:eastAsia="Arial" w:hAnsi="Arial"/>
                <w:sz w:val="14"/>
                <w:szCs w:val="14"/>
                <w:color w:val="auto"/>
              </w:rPr>
              <w:t>Total other comprehensive loss</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(2,983)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(3,497)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(7,184)</w:t>
            </w:r>
          </w:p>
        </w:tc>
        <w:tc>
          <w:tcPr>
            <w:tcW w:w="0" w:type="dxa"/>
            <w:vAlign w:val="bottom"/>
          </w:tcPr>
          <w:p>
            <w:pPr>
              <w:spacing w:after="0"/>
              <w:rPr>
                <w:sz w:val="1"/>
                <w:szCs w:val="1"/>
                <w:color w:val="auto"/>
              </w:rPr>
            </w:pPr>
          </w:p>
        </w:tc>
      </w:tr>
      <w:tr>
        <w:trPr>
          <w:trHeight w:val="74"/>
        </w:trPr>
        <w:tc>
          <w:tcPr>
            <w:tcW w:w="59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(64,196)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(133,069)</w:t>
            </w:r>
          </w:p>
        </w:tc>
        <w:tc>
          <w:tcPr>
            <w:tcW w:w="0" w:type="dxa"/>
            <w:vAlign w:val="bottom"/>
          </w:tcPr>
          <w:p>
            <w:pPr>
              <w:spacing w:after="0"/>
              <w:rPr>
                <w:sz w:val="1"/>
                <w:szCs w:val="1"/>
                <w:color w:val="auto"/>
              </w:rPr>
            </w:pPr>
          </w:p>
        </w:tc>
      </w:tr>
      <w:tr>
        <w:trPr>
          <w:trHeight w:val="80"/>
        </w:trPr>
        <w:tc>
          <w:tcPr>
            <w:tcW w:w="5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Comprehensive (income) loss attributable to redeemable noncontrolling interests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Synchronoss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(130,947)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125"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9"/>
                <w:szCs w:val="9"/>
                <w:b w:val="1"/>
                <w:bCs w:val="1"/>
                <w:color w:val="auto"/>
                <w:w w:val="95"/>
              </w:rPr>
              <w:t>Three Months Ended September 30, 2019</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56"/>
        </w:trPr>
        <w:tc>
          <w:tcPr>
            <w:tcW w:w="4240" w:type="dxa"/>
            <w:vAlign w:val="bottom"/>
          </w:tcPr>
          <w:p>
            <w:pPr>
              <w:spacing w:after="0"/>
              <w:rPr>
                <w:sz w:val="22"/>
                <w:szCs w:val="2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Treasury Stock</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54"/>
        </w:trPr>
        <w:tc>
          <w:tcPr>
            <w:tcW w:w="4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3"/>
                <w:szCs w:val="13"/>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79"/>
              </w:rPr>
              <w:t>Shares</w:t>
            </w:r>
          </w:p>
        </w:tc>
        <w:tc>
          <w:tcPr>
            <w:tcW w:w="1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Shares</w:t>
            </w:r>
          </w:p>
        </w:tc>
        <w:tc>
          <w:tcPr>
            <w:tcW w:w="100" w:type="dxa"/>
            <w:vAlign w:val="bottom"/>
          </w:tcPr>
          <w:p>
            <w:pPr>
              <w:spacing w:after="0"/>
              <w:rPr>
                <w:sz w:val="10"/>
                <w:szCs w:val="10"/>
                <w:color w:val="auto"/>
              </w:rPr>
            </w:pPr>
          </w:p>
        </w:tc>
        <w:tc>
          <w:tcPr>
            <w:tcW w:w="840" w:type="dxa"/>
            <w:vAlign w:val="bottom"/>
            <w:gridSpan w:val="2"/>
          </w:tcPr>
          <w:p>
            <w:pPr>
              <w:ind w:left="16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June 30, 2019</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51,578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531,282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(30,897)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(266,948)</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151,355</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5,587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5,587</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(7,598)</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(597)</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common stock on exercise of options</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Retirement of treasury stock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income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(61,237)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(61,237)</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25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(2,983)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(2,983)</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September 30, 2019</w:t>
            </w:r>
          </w:p>
        </w:tc>
        <w:tc>
          <w:tcPr>
            <w:tcW w:w="8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51,608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528,734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(33,880)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(328,185)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84,587</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3"/>
        </w:trPr>
        <w:tc>
          <w:tcPr>
            <w:tcW w:w="4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9"/>
                <w:szCs w:val="9"/>
                <w:b w:val="1"/>
                <w:bCs w:val="1"/>
                <w:color w:val="auto"/>
                <w:w w:val="95"/>
              </w:rPr>
              <w:t>Three Months Ended September 30, 2018</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56"/>
        </w:trPr>
        <w:tc>
          <w:tcPr>
            <w:tcW w:w="4240" w:type="dxa"/>
            <w:vAlign w:val="bottom"/>
          </w:tcPr>
          <w:p>
            <w:pPr>
              <w:spacing w:after="0"/>
              <w:rPr>
                <w:sz w:val="22"/>
                <w:szCs w:val="2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Treasury Stock</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54"/>
        </w:trPr>
        <w:tc>
          <w:tcPr>
            <w:tcW w:w="4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3"/>
                <w:szCs w:val="13"/>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79"/>
              </w:rPr>
              <w:t>Shares</w:t>
            </w:r>
          </w:p>
        </w:tc>
        <w:tc>
          <w:tcPr>
            <w:tcW w:w="1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Shares</w:t>
            </w:r>
          </w:p>
        </w:tc>
        <w:tc>
          <w:tcPr>
            <w:tcW w:w="100" w:type="dxa"/>
            <w:vAlign w:val="bottom"/>
          </w:tcPr>
          <w:p>
            <w:pPr>
              <w:spacing w:after="0"/>
              <w:rPr>
                <w:sz w:val="10"/>
                <w:szCs w:val="10"/>
                <w:color w:val="auto"/>
              </w:rPr>
            </w:pPr>
          </w:p>
        </w:tc>
        <w:tc>
          <w:tcPr>
            <w:tcW w:w="840" w:type="dxa"/>
            <w:vAlign w:val="bottom"/>
            <w:gridSpan w:val="2"/>
          </w:tcPr>
          <w:p>
            <w:pPr>
              <w:ind w:left="16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June 30, 2018</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49,439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(82,084)</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543,603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(28,938)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(91,841)</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340,745</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6,545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384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(7,075)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(387)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Retirement of treasury stock</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(51)</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income attributable to Synchronoss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(47,068)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(47,068)</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422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422</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(1,636)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606 Adjustments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17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Fx SBC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9</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September 30, 2018</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49,817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543,069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(30,557)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(138,909)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291,521</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tcPr>
          <w:p>
            <w:pPr>
              <w:ind w:left="160"/>
              <w:spacing w:after="0"/>
              <w:rPr>
                <w:sz w:val="20"/>
                <w:szCs w:val="20"/>
                <w:color w:val="auto"/>
              </w:rPr>
            </w:pPr>
            <w:r>
              <w:rPr>
                <w:rFonts w:ascii="Arial" w:cs="Arial" w:eastAsia="Arial" w:hAnsi="Arial"/>
                <w:sz w:val="9"/>
                <w:szCs w:val="9"/>
                <w:b w:val="1"/>
                <w:bCs w:val="1"/>
                <w:color w:val="auto"/>
                <w:w w:val="96"/>
              </w:rPr>
              <w:t>Nine months ended September 30, 2019</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2018</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49,836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534,673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(30,383)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(233,299)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188,909</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16,694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16,694</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(22,005)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(22,005)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(1,586)</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Issuance of common stock on exercise of options</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(12)</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Adjustments to purchase price allocation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3,574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3,574</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(98,458)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(98,458)</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931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(3,497)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(3,497)</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September 30, 2019</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51,608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528,734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(33,880)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(328,185)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84,587</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3"/>
        </w:trPr>
        <w:tc>
          <w:tcPr>
            <w:tcW w:w="4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160"/>
              <w:spacing w:after="0"/>
              <w:rPr>
                <w:sz w:val="20"/>
                <w:szCs w:val="20"/>
                <w:color w:val="auto"/>
              </w:rPr>
            </w:pPr>
            <w:r>
              <w:rPr>
                <w:rFonts w:ascii="Arial" w:cs="Arial" w:eastAsia="Arial" w:hAnsi="Arial"/>
                <w:sz w:val="9"/>
                <w:szCs w:val="9"/>
                <w:b w:val="1"/>
                <w:bCs w:val="1"/>
                <w:color w:val="auto"/>
                <w:w w:val="96"/>
              </w:rPr>
              <w:t>Nine months ended September 30, 2018</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2017</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52,028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(5,060)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w w:val="97"/>
              </w:rPr>
              <w:t>(105,584)</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597,553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(23,373)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(5,014)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463,587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21,350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21,350</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1,688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(17,256)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(17,256)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(820)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(820)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Retirement of treasury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68,327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Pr>
          <w:p>
            <w:pPr>
              <w:jc w:val="right"/>
              <w:ind w:right="27"/>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(61)</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shares received from Siris (IL sale)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(5,995)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(44,830)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(44,830)</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income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(123,764)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(123,764)</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10,659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10,659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(7,234)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(7,234)</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606 Adjustments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(10,131)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(10,081)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(38)</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Fx SBC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9</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September 30, 2018</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49,817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543,069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(30,557)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(138,909)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291,521</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3"/>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(125,885)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70,330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Change in fair value of financial instruments</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(3,849)</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(Gain) loss on extinguishment of debt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PIK interest*</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Allowance for loan losses*</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18,225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 loss from equity method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Loss (Gain) on disposals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277</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bond premium</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Cumulative adjustment to STI receivable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26,044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ROU Asset Impairment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for doubtful accounts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28,789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34,052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(12,844)</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8,195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(3,886)</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(30,841)</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cash provided by (used for) operating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11,839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(60,662)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(8,565)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capitalized software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Purchases of marketable securities available for sale</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(47,703)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(15,784)</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Maturity of marketable securities available for sale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81,794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Business acquired, net of cash</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(9,734)</w:t>
            </w: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17,725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Extinguishment of outstanding Convertible Senior Notes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issuance of preferred stock</w:t>
            </w: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86,220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dividend payment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Payments for finance leases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(120,993)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85,202</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restricted cash and cash equivalents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restricted cash and cash equivalents, beginning of period</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109,860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246,125</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restricted cash and cash equivalents,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226,815</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Accrued dividends on Series A Convertible Participating Perpetual Preferred Stock</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14,407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10,180</w:t>
            </w:r>
          </w:p>
        </w:tc>
      </w:tr>
      <w:tr>
        <w:trPr>
          <w:trHeight w:val="141"/>
        </w:trPr>
        <w:tc>
          <w:tcPr>
            <w:tcW w:w="8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Cash and cash equivalents per the Condensed Consolidated Balance Sheets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19,193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222,438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 per the Condensed Consolidated Balance Sheets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4,377</w:t>
            </w:r>
          </w:p>
        </w:tc>
      </w:tr>
      <w:tr>
        <w:trPr>
          <w:trHeight w:val="218"/>
        </w:trPr>
        <w:tc>
          <w:tcPr>
            <w:tcW w:w="858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6. Investments in Affiliates and Related Transactions</w:t>
      </w:r>
      <w:r>
        <w:rPr>
          <w:rFonts w:ascii="Arial" w:cs="Arial" w:eastAsia="Arial" w:hAnsi="Arial"/>
          <w:sz w:val="18"/>
          <w:szCs w:val="18"/>
          <w:color w:val="auto"/>
        </w:rPr>
        <w:t xml:space="preserve"> for related party transactions reflected in this account.</w:t>
      </w:r>
    </w:p>
    <w:p>
      <w:pPr>
        <w:spacing w:after="0" w:line="7" w:lineRule="exact"/>
        <w:rPr>
          <w:rFonts w:ascii="Arial" w:cs="Arial" w:eastAsia="Arial" w:hAnsi="Arial"/>
          <w:sz w:val="18"/>
          <w:szCs w:val="18"/>
          <w:color w:val="auto"/>
        </w:rPr>
      </w:pPr>
    </w:p>
    <w:p>
      <w:pPr>
        <w:ind w:left="3380"/>
        <w:spacing w:after="0"/>
        <w:rPr>
          <w:rFonts w:ascii="Arial" w:cs="Arial" w:eastAsia="Arial" w:hAnsi="Arial"/>
          <w:sz w:val="18"/>
          <w:szCs w:val="18"/>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5" w:right="239" w:bottom="773"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773"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144" w:lineRule="exact"/>
        <w:rPr>
          <w:sz w:val="20"/>
          <w:szCs w:val="20"/>
          <w:color w:val="auto"/>
        </w:rPr>
      </w:pPr>
    </w:p>
    <w:p>
      <w:pPr>
        <w:ind w:left="980" w:right="2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and more</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Synchronoss Digital Experience Platform (“DXP”) is a purpose-built experience management toolset that sits between the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2018. The results of operations for the three and nine months ended September 30, 2019 are not necessarily indicative of the results to be expected for the year ending December 31, 2019.</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includes amounts related to various deposits, escrows and other cash collateral that are restricted by contractual obligation. As of September 30, 2019, the restricted cash amounts were primarily attributed to cash held in transit, and operating cash held by the Company’s consolidated joint venture Zentry, LLC (“Zentry”), which cannot be used to fulfill the obligations of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28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100" w:type="dxa"/>
            <w:vAlign w:val="bottom"/>
          </w:tcPr>
          <w:p>
            <w:pPr>
              <w:ind w:left="160"/>
              <w:spacing w:after="0"/>
              <w:rPr>
                <w:sz w:val="20"/>
                <w:szCs w:val="20"/>
                <w:color w:val="auto"/>
              </w:rPr>
            </w:pPr>
            <w:r>
              <w:rPr>
                <w:rFonts w:ascii="Arial" w:cs="Arial" w:eastAsia="Arial" w:hAnsi="Arial"/>
                <w:sz w:val="16"/>
                <w:szCs w:val="16"/>
                <w:color w:val="auto"/>
              </w:rPr>
              <w:t>Effect on the financial statements</w:t>
            </w:r>
          </w:p>
        </w:tc>
      </w:tr>
      <w:tr>
        <w:trPr>
          <w:trHeight w:val="47"/>
        </w:trPr>
        <w:tc>
          <w:tcPr>
            <w:tcW w:w="198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Update 2018-07—</w:t>
            </w:r>
          </w:p>
        </w:tc>
        <w:tc>
          <w:tcPr>
            <w:tcW w:w="6280" w:type="dxa"/>
            <w:vAlign w:val="bottom"/>
          </w:tcPr>
          <w:p>
            <w:pPr>
              <w:ind w:left="100"/>
              <w:spacing w:after="0"/>
              <w:rPr>
                <w:sz w:val="20"/>
                <w:szCs w:val="20"/>
                <w:color w:val="auto"/>
              </w:rPr>
            </w:pPr>
            <w:r>
              <w:rPr>
                <w:rFonts w:ascii="Arial" w:cs="Arial" w:eastAsia="Arial" w:hAnsi="Arial"/>
                <w:sz w:val="16"/>
                <w:szCs w:val="16"/>
                <w:color w:val="auto"/>
                <w:w w:val="98"/>
              </w:rPr>
              <w:t>In June 2018, the Financial Accounting Standards Board (“FASB”) issued ASU 2018-07,</w:t>
            </w:r>
          </w:p>
        </w:tc>
        <w:tc>
          <w:tcPr>
            <w:tcW w:w="3100" w:type="dxa"/>
            <w:vAlign w:val="bottom"/>
          </w:tcPr>
          <w:p>
            <w:pPr>
              <w:ind w:left="160"/>
              <w:spacing w:after="0"/>
              <w:rPr>
                <w:sz w:val="20"/>
                <w:szCs w:val="20"/>
                <w:color w:val="auto"/>
              </w:rPr>
            </w:pPr>
            <w:r>
              <w:rPr>
                <w:rFonts w:ascii="Arial" w:cs="Arial" w:eastAsia="Arial" w:hAnsi="Arial"/>
                <w:sz w:val="16"/>
                <w:szCs w:val="16"/>
                <w:color w:val="auto"/>
                <w:w w:val="93"/>
              </w:rPr>
              <w:t>The adoption of this standard did not have a</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Compensation—Stock</w:t>
            </w:r>
          </w:p>
        </w:tc>
        <w:tc>
          <w:tcPr>
            <w:tcW w:w="6280" w:type="dxa"/>
            <w:vAlign w:val="bottom"/>
          </w:tcPr>
          <w:p>
            <w:pPr>
              <w:ind w:left="100"/>
              <w:spacing w:after="0"/>
              <w:rPr>
                <w:sz w:val="20"/>
                <w:szCs w:val="20"/>
                <w:color w:val="auto"/>
              </w:rPr>
            </w:pPr>
            <w:r>
              <w:rPr>
                <w:rFonts w:ascii="Arial" w:cs="Arial" w:eastAsia="Arial" w:hAnsi="Arial"/>
                <w:sz w:val="16"/>
                <w:szCs w:val="16"/>
                <w:color w:val="auto"/>
                <w:w w:val="97"/>
              </w:rPr>
              <w:t>regarding ASC Topic 718 “Compensation - Stock Compensation,” which largely aligns the</w:t>
            </w:r>
          </w:p>
        </w:tc>
        <w:tc>
          <w:tcPr>
            <w:tcW w:w="3100" w:type="dxa"/>
            <w:vAlign w:val="bottom"/>
          </w:tcPr>
          <w:p>
            <w:pPr>
              <w:ind w:left="160"/>
              <w:spacing w:after="0"/>
              <w:rPr>
                <w:sz w:val="20"/>
                <w:szCs w:val="20"/>
                <w:color w:val="auto"/>
              </w:rPr>
            </w:pPr>
            <w:r>
              <w:rPr>
                <w:rFonts w:ascii="Arial" w:cs="Arial" w:eastAsia="Arial" w:hAnsi="Arial"/>
                <w:sz w:val="16"/>
                <w:szCs w:val="16"/>
                <w:color w:val="auto"/>
                <w:w w:val="92"/>
              </w:rPr>
              <w:t>material effect on the Company’s condensed</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 (Topic 718):</w:t>
            </w:r>
          </w:p>
        </w:tc>
        <w:tc>
          <w:tcPr>
            <w:tcW w:w="6280" w:type="dxa"/>
            <w:vAlign w:val="bottom"/>
          </w:tcPr>
          <w:p>
            <w:pPr>
              <w:ind w:left="100"/>
              <w:spacing w:after="0"/>
              <w:rPr>
                <w:sz w:val="20"/>
                <w:szCs w:val="20"/>
                <w:color w:val="auto"/>
              </w:rPr>
            </w:pPr>
            <w:r>
              <w:rPr>
                <w:rFonts w:ascii="Arial" w:cs="Arial" w:eastAsia="Arial" w:hAnsi="Arial"/>
                <w:sz w:val="16"/>
                <w:szCs w:val="16"/>
                <w:color w:val="auto"/>
              </w:rPr>
              <w:t>accounting for share-based compensation for non-employees with employees. The</w:t>
            </w:r>
          </w:p>
        </w:tc>
        <w:tc>
          <w:tcPr>
            <w:tcW w:w="3100" w:type="dxa"/>
            <w:vAlign w:val="bottom"/>
          </w:tcPr>
          <w:p>
            <w:pPr>
              <w:ind w:left="160"/>
              <w:spacing w:after="0"/>
              <w:rPr>
                <w:sz w:val="20"/>
                <w:szCs w:val="20"/>
                <w:color w:val="auto"/>
              </w:rPr>
            </w:pPr>
            <w:r>
              <w:rPr>
                <w:rFonts w:ascii="Arial" w:cs="Arial" w:eastAsia="Arial" w:hAnsi="Arial"/>
                <w:sz w:val="16"/>
                <w:szCs w:val="16"/>
                <w:color w:val="auto"/>
              </w:rPr>
              <w:t>consolidated financial statements.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Improvements to Non-</w:t>
            </w:r>
          </w:p>
        </w:tc>
        <w:tc>
          <w:tcPr>
            <w:tcW w:w="6280" w:type="dxa"/>
            <w:vAlign w:val="bottom"/>
          </w:tcPr>
          <w:p>
            <w:pPr>
              <w:ind w:left="100"/>
              <w:spacing w:after="0"/>
              <w:rPr>
                <w:sz w:val="20"/>
                <w:szCs w:val="20"/>
                <w:color w:val="auto"/>
              </w:rPr>
            </w:pPr>
            <w:r>
              <w:rPr>
                <w:rFonts w:ascii="Arial" w:cs="Arial" w:eastAsia="Arial" w:hAnsi="Arial"/>
                <w:sz w:val="16"/>
                <w:szCs w:val="16"/>
                <w:color w:val="auto"/>
                <w:w w:val="96"/>
              </w:rPr>
              <w:t>amendments in this ASU are effective for public business entities for fiscal years beginning</w:t>
            </w:r>
          </w:p>
        </w:tc>
        <w:tc>
          <w:tcPr>
            <w:tcW w:w="3100" w:type="dxa"/>
            <w:vAlign w:val="bottom"/>
          </w:tcPr>
          <w:p>
            <w:pPr>
              <w:spacing w:after="0"/>
              <w:rPr>
                <w:sz w:val="17"/>
                <w:szCs w:val="17"/>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employee Share-Based</w:t>
            </w:r>
          </w:p>
        </w:tc>
        <w:tc>
          <w:tcPr>
            <w:tcW w:w="6280" w:type="dxa"/>
            <w:vAlign w:val="bottom"/>
          </w:tcPr>
          <w:p>
            <w:pPr>
              <w:ind w:left="100"/>
              <w:spacing w:after="0"/>
              <w:rPr>
                <w:sz w:val="20"/>
                <w:szCs w:val="20"/>
                <w:color w:val="auto"/>
              </w:rPr>
            </w:pPr>
            <w:r>
              <w:rPr>
                <w:rFonts w:ascii="Arial" w:cs="Arial" w:eastAsia="Arial" w:hAnsi="Arial"/>
                <w:sz w:val="16"/>
                <w:szCs w:val="16"/>
                <w:color w:val="auto"/>
                <w:w w:val="96"/>
              </w:rPr>
              <w:t>after December 15, 2018, including interim periods within that fiscal year. Early adoption is</w:t>
            </w:r>
          </w:p>
        </w:tc>
        <w:tc>
          <w:tcPr>
            <w:tcW w:w="3100" w:type="dxa"/>
            <w:vAlign w:val="bottom"/>
          </w:tcPr>
          <w:p>
            <w:pPr>
              <w:spacing w:after="0"/>
              <w:rPr>
                <w:sz w:val="17"/>
                <w:szCs w:val="17"/>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Payment Accounting</w:t>
            </w:r>
          </w:p>
        </w:tc>
        <w:tc>
          <w:tcPr>
            <w:tcW w:w="6280" w:type="dxa"/>
            <w:vAlign w:val="bottom"/>
          </w:tcPr>
          <w:p>
            <w:pPr>
              <w:ind w:left="100"/>
              <w:spacing w:after="0"/>
              <w:rPr>
                <w:sz w:val="20"/>
                <w:szCs w:val="20"/>
                <w:color w:val="auto"/>
              </w:rPr>
            </w:pPr>
            <w:r>
              <w:rPr>
                <w:rFonts w:ascii="Arial" w:cs="Arial" w:eastAsia="Arial" w:hAnsi="Arial"/>
                <w:sz w:val="16"/>
                <w:szCs w:val="16"/>
                <w:color w:val="auto"/>
              </w:rPr>
              <w:t>permitted, but no earlier than an entity’s adoption date of Topic 606.</w:t>
            </w:r>
          </w:p>
        </w:tc>
        <w:tc>
          <w:tcPr>
            <w:tcW w:w="310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2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2019.</w:t>
            </w:r>
          </w:p>
        </w:tc>
        <w:tc>
          <w:tcPr>
            <w:tcW w:w="6280" w:type="dxa"/>
            <w:vAlign w:val="bottom"/>
          </w:tcPr>
          <w:p>
            <w:pPr>
              <w:spacing w:after="0"/>
              <w:rPr>
                <w:sz w:val="17"/>
                <w:szCs w:val="17"/>
                <w:color w:val="auto"/>
              </w:rPr>
            </w:pPr>
          </w:p>
        </w:tc>
        <w:tc>
          <w:tcPr>
            <w:tcW w:w="3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ASU 2018-15 Intangibles -</w:t>
      </w:r>
      <w:r>
        <w:rPr>
          <w:sz w:val="20"/>
          <w:szCs w:val="20"/>
          <w:color w:val="auto"/>
        </w:rPr>
        <w:tab/>
      </w:r>
      <w:r>
        <w:rPr>
          <w:rFonts w:ascii="Arial" w:cs="Arial" w:eastAsia="Arial" w:hAnsi="Arial"/>
          <w:sz w:val="14"/>
          <w:szCs w:val="14"/>
          <w:color w:val="auto"/>
        </w:rPr>
        <w:t>In August 2018, the FASB issued final guidance requiring a customer in a cloud computing</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Goodwill and Other -</w:t>
      </w:r>
      <w:r>
        <w:rPr>
          <w:sz w:val="20"/>
          <w:szCs w:val="20"/>
          <w:color w:val="auto"/>
        </w:rPr>
        <w:tab/>
      </w:r>
      <w:r>
        <w:rPr>
          <w:rFonts w:ascii="Arial" w:cs="Arial" w:eastAsia="Arial" w:hAnsi="Arial"/>
          <w:sz w:val="14"/>
          <w:szCs w:val="14"/>
          <w:color w:val="auto"/>
        </w:rPr>
        <w:t>arrangement that is a service contract to follow the internal use software guidance in</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Internal Use Software</w:t>
      </w:r>
      <w:r>
        <w:rPr>
          <w:sz w:val="20"/>
          <w:szCs w:val="20"/>
          <w:color w:val="auto"/>
        </w:rPr>
        <w:tab/>
      </w:r>
      <w:r>
        <w:rPr>
          <w:rFonts w:ascii="Arial" w:cs="Arial" w:eastAsia="Arial" w:hAnsi="Arial"/>
          <w:sz w:val="15"/>
          <w:szCs w:val="15"/>
          <w:color w:val="auto"/>
        </w:rPr>
        <w:t>Accounting Standards Codification (“ASC”) 350-402 Intangibles - Goodwill and Other -</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(Subtopic 350-40): Cloud</w:t>
      </w:r>
      <w:r>
        <w:rPr>
          <w:sz w:val="20"/>
          <w:szCs w:val="20"/>
          <w:color w:val="auto"/>
        </w:rPr>
        <w:tab/>
      </w:r>
      <w:r>
        <w:rPr>
          <w:rFonts w:ascii="Arial" w:cs="Arial" w:eastAsia="Arial" w:hAnsi="Arial"/>
          <w:sz w:val="14"/>
          <w:szCs w:val="14"/>
          <w:color w:val="auto"/>
        </w:rPr>
        <w:t>Internal Use Software (Subtopic 350-40) to determine which implementation costs to</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Computing Arrangements</w:t>
      </w:r>
      <w:r>
        <w:rPr>
          <w:sz w:val="20"/>
          <w:szCs w:val="20"/>
          <w:color w:val="auto"/>
        </w:rPr>
        <w:tab/>
      </w:r>
      <w:r>
        <w:rPr>
          <w:rFonts w:ascii="Arial" w:cs="Arial" w:eastAsia="Arial" w:hAnsi="Arial"/>
          <w:sz w:val="14"/>
          <w:szCs w:val="14"/>
          <w:color w:val="auto"/>
        </w:rPr>
        <w:t>capitalize as assets. The amendments in this ASU are effective for fiscal years beginning after</w:t>
      </w:r>
    </w:p>
    <w:p>
      <w:pPr>
        <w:spacing w:after="0" w:line="19" w:lineRule="exact"/>
        <w:rPr>
          <w:sz w:val="20"/>
          <w:szCs w:val="20"/>
          <w:color w:val="auto"/>
        </w:rPr>
      </w:pPr>
    </w:p>
    <w:p>
      <w:pPr>
        <w:ind w:left="2120"/>
        <w:spacing w:after="0" w:line="302" w:lineRule="auto"/>
        <w:rPr>
          <w:sz w:val="20"/>
          <w:szCs w:val="20"/>
          <w:color w:val="auto"/>
        </w:rPr>
      </w:pPr>
      <w:r>
        <w:rPr>
          <w:rFonts w:ascii="Arial" w:cs="Arial" w:eastAsia="Arial" w:hAnsi="Arial"/>
          <w:sz w:val="15"/>
          <w:szCs w:val="15"/>
          <w:color w:val="auto"/>
        </w:rPr>
        <w:t>December 15, 2019. Early adoption of the amendments is permitted, including adoption in any interim period, for all entities and should be applied either retrospectively or prospectively to all implementation costs incurred after the date of adoption.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60"/>
        <w:spacing w:after="0" w:line="335" w:lineRule="auto"/>
        <w:rPr>
          <w:sz w:val="20"/>
          <w:szCs w:val="20"/>
          <w:color w:val="auto"/>
        </w:rPr>
      </w:pPr>
      <w:r>
        <w:rPr>
          <w:rFonts w:ascii="Arial" w:cs="Arial" w:eastAsia="Arial" w:hAnsi="Arial"/>
          <w:sz w:val="14"/>
          <w:szCs w:val="14"/>
          <w:color w:val="auto"/>
        </w:rPr>
        <w:t>The adoption of this standard did not have a material effect on the Company’s condensed consolidated financial statements.</w:t>
      </w:r>
    </w:p>
    <w:p>
      <w:pPr>
        <w:spacing w:after="0" w:line="1590" w:lineRule="exact"/>
        <w:rPr>
          <w:sz w:val="20"/>
          <w:szCs w:val="20"/>
          <w:color w:val="auto"/>
        </w:rPr>
      </w:pPr>
    </w:p>
    <w:p>
      <w:pPr>
        <w:sectPr>
          <w:pgSz w:w="11900" w:h="16838" w:orient="portrait"/>
          <w:cols w:equalWidth="0" w:num="2">
            <w:col w:w="8260" w:space="200"/>
            <w:col w:w="2960"/>
          </w:cols>
          <w:pgMar w:left="240" w:top="125" w:right="239" w:bottom="1440" w:gutter="0" w:footer="0" w:header="0"/>
          <w:type w:val="continuous"/>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adopted Accounting Standards Codification Topic 842, Leases (ASC 842) on January 1, 2019. ASC 842 applies to a number of arrangements to which the Company is party whereby the Company acts as a lessee.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lease, the Company must then determine:</w:t>
      </w:r>
    </w:p>
    <w:p>
      <w:pPr>
        <w:spacing w:after="0" w:line="252" w:lineRule="exact"/>
        <w:rPr>
          <w:sz w:val="20"/>
          <w:szCs w:val="20"/>
          <w:color w:val="auto"/>
        </w:rPr>
      </w:pPr>
    </w:p>
    <w:p>
      <w:pPr>
        <w:jc w:val="both"/>
        <w:ind w:left="660" w:firstLine="320"/>
        <w:spacing w:after="0" w:line="311" w:lineRule="auto"/>
        <w:tabs>
          <w:tab w:leader="none" w:pos="1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181" w:lineRule="exact"/>
        <w:rPr>
          <w:rFonts w:ascii="Arial" w:cs="Arial" w:eastAsia="Arial" w:hAnsi="Arial"/>
          <w:sz w:val="18"/>
          <w:szCs w:val="18"/>
          <w:color w:val="auto"/>
        </w:rPr>
      </w:pPr>
    </w:p>
    <w:p>
      <w:pPr>
        <w:ind w:left="1360" w:hanging="380"/>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present value of lease payments is calculated based on:</w:t>
      </w:r>
    </w:p>
    <w:p>
      <w:pPr>
        <w:spacing w:after="0" w:line="265" w:lineRule="exact"/>
        <w:rPr>
          <w:rFonts w:ascii="Arial" w:cs="Arial" w:eastAsia="Arial" w:hAnsi="Arial"/>
          <w:sz w:val="18"/>
          <w:szCs w:val="18"/>
          <w:color w:val="auto"/>
        </w:rPr>
      </w:pPr>
    </w:p>
    <w:p>
      <w:pPr>
        <w:jc w:val="both"/>
        <w:ind w:left="1300" w:firstLine="324"/>
        <w:spacing w:after="0" w:line="325" w:lineRule="auto"/>
        <w:rPr>
          <w:rFonts w:ascii="Arial" w:cs="Arial" w:eastAsia="Arial" w:hAnsi="Arial"/>
          <w:sz w:val="18"/>
          <w:szCs w:val="18"/>
          <w:color w:val="auto"/>
        </w:rPr>
      </w:pPr>
      <w:r>
        <w:rPr>
          <w:rFonts w:ascii="Arial" w:cs="Arial" w:eastAsia="Arial" w:hAnsi="Arial"/>
          <w:sz w:val="17"/>
          <w:szCs w:val="17"/>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175" w:lineRule="exact"/>
        <w:rPr>
          <w:rFonts w:ascii="Arial" w:cs="Arial" w:eastAsia="Arial" w:hAnsi="Arial"/>
          <w:sz w:val="18"/>
          <w:szCs w:val="18"/>
          <w:color w:val="auto"/>
        </w:rPr>
      </w:pPr>
    </w:p>
    <w:p>
      <w:pPr>
        <w:jc w:val="both"/>
        <w:ind w:left="1300" w:firstLine="324"/>
        <w:spacing w:after="0" w:line="354" w:lineRule="auto"/>
        <w:rPr>
          <w:rFonts w:ascii="Arial" w:cs="Arial" w:eastAsia="Arial" w:hAnsi="Arial"/>
          <w:sz w:val="18"/>
          <w:szCs w:val="18"/>
          <w:color w:val="auto"/>
        </w:rPr>
      </w:pPr>
      <w:r>
        <w:rPr>
          <w:rFonts w:ascii="Arial" w:cs="Arial" w:eastAsia="Arial" w:hAnsi="Arial"/>
          <w:sz w:val="16"/>
          <w:szCs w:val="16"/>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156" w:lineRule="exact"/>
        <w:rPr>
          <w:rFonts w:ascii="Arial" w:cs="Arial" w:eastAsia="Arial" w:hAnsi="Arial"/>
          <w:sz w:val="18"/>
          <w:szCs w:val="18"/>
          <w:color w:val="auto"/>
        </w:rPr>
      </w:pPr>
    </w:p>
    <w:p>
      <w:pPr>
        <w:jc w:val="both"/>
        <w:ind w:left="660" w:firstLine="320"/>
        <w:spacing w:after="0" w:line="336" w:lineRule="auto"/>
        <w:tabs>
          <w:tab w:leader="none" w:pos="1371" w:val="left"/>
        </w:tabs>
        <w:numPr>
          <w:ilvl w:val="0"/>
          <w:numId w:val="7"/>
        </w:numPr>
        <w:rPr>
          <w:rFonts w:ascii="Arial" w:cs="Arial" w:eastAsia="Arial" w:hAnsi="Arial"/>
          <w:sz w:val="17"/>
          <w:szCs w:val="17"/>
          <w:color w:val="auto"/>
        </w:rPr>
      </w:pPr>
      <w:r>
        <w:rPr>
          <w:rFonts w:ascii="Arial" w:cs="Arial" w:eastAsia="Arial" w:hAnsi="Arial"/>
          <w:sz w:val="17"/>
          <w:szCs w:val="17"/>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Over the lease term, the Company generally increases it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finance leases, amortization expense and interest expense are recognized separately in the Condensed Consolidated Statements of Operations, with amortization expense generally recorded on a straight-line basis and interest expense recorded using the effective interest method. For operating leases, a single lease cost is generally recognized in the Condensed Consolidated Statements of Operations on a straight-line basis over the lease term. Lease costs for short-term leases not recognized in the Condensed Consolidated Balance Sheets are recognized in the Condensed Consolidated Statements of Operations on a straight-line basis over the lease term. Variable lease costs not initially included in the lease liability and ROU asset impairment charges are expensed as incurred.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No. 2016-02, “Leases (Topic 842)” (ASU 2016-02). In July 2018, the FASB issued ASU No. 2018-10, “Codification Improvements to Topic 842, Leases” (ASU 2018-10), which provides narrow amendments to clarify how to apply certain aspects of the new lease standard, and ASU No. 2018-11, “Leases (Topic 842) - Targeted Improvements” (ASU 2018-11), which addresses implementation issues related to the new lease standard. These and certain other lease-related ASUs have generally been codified in ASC 842. ASC 842 supersedes the lease accounting requirements in Accounting Standards Codification Topic 840, Leases (ASC 840), and requires lessees to, among other things, recognize a lease liability, which represents the discounted obligation to make future minimum lease payments, and a corresponding right-of-use asset on the balance sheet for most leases.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adopted ASC 842 on January 1, 2019 for leases that existed on that date. The Company has elected to apply the provisions of ASC 842 modified retrospectively at January 1, 2019 through a cumulative-effect adjustment. Prior period results continue to be presented under ASC 840 based on the accounting standards originally in effect for such periods.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elected certain practical expedients permitted under the transition guidance within ASC 842 to leases that commenced before January 1, 2019, including the package of practical expedients. Due to the Company's election of the package of practical expedients, the Company has carried forward certain historical conclusions for expired or existing contracts, including conclusions relating to initial direct costs and to the existence and classification of leases.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2019, as a result of adopting ASC 842, the Company recorded a net decrease of $3.6 million to its Accumulated deficit.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adoption of ASC 842 did not have a material effect on the Company's Loss from continuing operations or Net loss, or the related per-share amounts, during the three and nine months ended September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8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00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20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Update 2018-17-</w:t>
            </w:r>
          </w:p>
        </w:tc>
        <w:tc>
          <w:tcPr>
            <w:tcW w:w="6380" w:type="dxa"/>
            <w:vAlign w:val="bottom"/>
          </w:tcPr>
          <w:p>
            <w:pPr>
              <w:ind w:left="100"/>
              <w:spacing w:after="0"/>
              <w:rPr>
                <w:sz w:val="20"/>
                <w:szCs w:val="20"/>
                <w:color w:val="auto"/>
              </w:rPr>
            </w:pPr>
            <w:r>
              <w:rPr>
                <w:rFonts w:ascii="Arial" w:cs="Arial" w:eastAsia="Arial" w:hAnsi="Arial"/>
                <w:sz w:val="16"/>
                <w:szCs w:val="16"/>
                <w:color w:val="auto"/>
                <w:w w:val="95"/>
              </w:rPr>
              <w:t>The update is intended to improve general purpose financial reporting by considering indirect</w:t>
            </w:r>
          </w:p>
        </w:tc>
        <w:tc>
          <w:tcPr>
            <w:tcW w:w="3000" w:type="dxa"/>
            <w:vAlign w:val="bottom"/>
          </w:tcPr>
          <w:p>
            <w:pPr>
              <w:ind w:left="8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Consolidation (Topic 810):</w:t>
            </w:r>
          </w:p>
        </w:tc>
        <w:tc>
          <w:tcPr>
            <w:tcW w:w="6380" w:type="dxa"/>
            <w:vAlign w:val="bottom"/>
          </w:tcPr>
          <w:p>
            <w:pPr>
              <w:ind w:left="100"/>
              <w:spacing w:after="0"/>
              <w:rPr>
                <w:sz w:val="20"/>
                <w:szCs w:val="20"/>
                <w:color w:val="auto"/>
              </w:rPr>
            </w:pPr>
            <w:r>
              <w:rPr>
                <w:rFonts w:ascii="Arial" w:cs="Arial" w:eastAsia="Arial" w:hAnsi="Arial"/>
                <w:sz w:val="16"/>
                <w:szCs w:val="16"/>
                <w:color w:val="auto"/>
                <w:w w:val="94"/>
              </w:rPr>
              <w:t>interests held through related parties in common control arrangements on a proportional basis</w:t>
            </w:r>
          </w:p>
        </w:tc>
        <w:tc>
          <w:tcPr>
            <w:tcW w:w="3000" w:type="dxa"/>
            <w:vAlign w:val="bottom"/>
          </w:tcPr>
          <w:p>
            <w:pPr>
              <w:ind w:left="80"/>
              <w:spacing w:after="0"/>
              <w:rPr>
                <w:sz w:val="20"/>
                <w:szCs w:val="20"/>
                <w:color w:val="auto"/>
              </w:rPr>
            </w:pPr>
            <w:r>
              <w:rPr>
                <w:rFonts w:ascii="Arial" w:cs="Arial" w:eastAsia="Arial" w:hAnsi="Arial"/>
                <w:sz w:val="16"/>
                <w:szCs w:val="16"/>
                <w:color w:val="auto"/>
              </w:rPr>
              <w:t>impact of the adoption of this ASU on its</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Targeted Improvements to</w:t>
            </w:r>
          </w:p>
        </w:tc>
        <w:tc>
          <w:tcPr>
            <w:tcW w:w="6380" w:type="dxa"/>
            <w:vAlign w:val="bottom"/>
          </w:tcPr>
          <w:p>
            <w:pPr>
              <w:ind w:left="100"/>
              <w:spacing w:after="0"/>
              <w:rPr>
                <w:sz w:val="20"/>
                <w:szCs w:val="20"/>
                <w:color w:val="auto"/>
              </w:rPr>
            </w:pPr>
            <w:r>
              <w:rPr>
                <w:rFonts w:ascii="Arial" w:cs="Arial" w:eastAsia="Arial" w:hAnsi="Arial"/>
                <w:sz w:val="16"/>
                <w:szCs w:val="16"/>
                <w:color w:val="auto"/>
              </w:rPr>
              <w:t>for determining whether fees paid to decision makers and service providers are variable</w:t>
            </w:r>
          </w:p>
        </w:tc>
        <w:tc>
          <w:tcPr>
            <w:tcW w:w="3000" w:type="dxa"/>
            <w:vAlign w:val="bottom"/>
          </w:tcPr>
          <w:p>
            <w:pPr>
              <w:ind w:left="80"/>
              <w:spacing w:after="0"/>
              <w:rPr>
                <w:sz w:val="20"/>
                <w:szCs w:val="20"/>
                <w:color w:val="auto"/>
              </w:rPr>
            </w:pPr>
            <w:r>
              <w:rPr>
                <w:rFonts w:ascii="Arial" w:cs="Arial" w:eastAsia="Arial" w:hAnsi="Arial"/>
                <w:sz w:val="16"/>
                <w:szCs w:val="16"/>
                <w:color w:val="auto"/>
              </w:rPr>
              <w:t>condensed consolidated financial</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Related Party Guidance for</w:t>
            </w:r>
          </w:p>
        </w:tc>
        <w:tc>
          <w:tcPr>
            <w:tcW w:w="6380" w:type="dxa"/>
            <w:vAlign w:val="bottom"/>
          </w:tcPr>
          <w:p>
            <w:pPr>
              <w:ind w:left="100"/>
              <w:spacing w:after="0"/>
              <w:rPr>
                <w:sz w:val="20"/>
                <w:szCs w:val="20"/>
                <w:color w:val="auto"/>
              </w:rPr>
            </w:pPr>
            <w:r>
              <w:rPr>
                <w:rFonts w:ascii="Arial" w:cs="Arial" w:eastAsia="Arial" w:hAnsi="Arial"/>
                <w:sz w:val="16"/>
                <w:szCs w:val="16"/>
                <w:color w:val="auto"/>
                <w:w w:val="97"/>
              </w:rPr>
              <w:t>interests. The amendments in ASU 2018-17 will be effective for fiscal years beginning after</w:t>
            </w:r>
          </w:p>
        </w:tc>
        <w:tc>
          <w:tcPr>
            <w:tcW w:w="300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Variable Interest Entities</w:t>
            </w:r>
          </w:p>
        </w:tc>
        <w:tc>
          <w:tcPr>
            <w:tcW w:w="6380" w:type="dxa"/>
            <w:vAlign w:val="bottom"/>
          </w:tcPr>
          <w:p>
            <w:pPr>
              <w:ind w:left="100"/>
              <w:spacing w:after="0"/>
              <w:rPr>
                <w:sz w:val="20"/>
                <w:szCs w:val="20"/>
                <w:color w:val="auto"/>
              </w:rPr>
            </w:pPr>
            <w:r>
              <w:rPr>
                <w:rFonts w:ascii="Arial" w:cs="Arial" w:eastAsia="Arial" w:hAnsi="Arial"/>
                <w:sz w:val="16"/>
                <w:szCs w:val="16"/>
                <w:color w:val="auto"/>
              </w:rPr>
              <w:t>December 15, 2019, with early adoption permitted.</w:t>
            </w:r>
          </w:p>
        </w:tc>
        <w:tc>
          <w:tcPr>
            <w:tcW w:w="3000" w:type="dxa"/>
            <w:vAlign w:val="bottom"/>
          </w:tcPr>
          <w:p>
            <w:pPr>
              <w:spacing w:after="0"/>
              <w:rPr>
                <w:sz w:val="17"/>
                <w:szCs w:val="17"/>
                <w:color w:val="auto"/>
              </w:rPr>
            </w:pPr>
          </w:p>
        </w:tc>
      </w:tr>
      <w:tr>
        <w:trPr>
          <w:trHeight w:val="455"/>
        </w:trPr>
        <w:tc>
          <w:tcPr>
            <w:tcW w:w="2000" w:type="dxa"/>
            <w:vAlign w:val="bottom"/>
          </w:tcPr>
          <w:p>
            <w:pPr>
              <w:ind w:left="20"/>
              <w:spacing w:after="0"/>
              <w:rPr>
                <w:sz w:val="20"/>
                <w:szCs w:val="20"/>
                <w:color w:val="auto"/>
              </w:rPr>
            </w:pPr>
            <w:r>
              <w:rPr>
                <w:rFonts w:ascii="Arial" w:cs="Arial" w:eastAsia="Arial" w:hAnsi="Arial"/>
                <w:sz w:val="16"/>
                <w:szCs w:val="16"/>
                <w:color w:val="auto"/>
                <w:w w:val="97"/>
              </w:rPr>
              <w:t>Date of adoption: January 1,</w:t>
            </w:r>
          </w:p>
        </w:tc>
        <w:tc>
          <w:tcPr>
            <w:tcW w:w="63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2020.</w:t>
            </w:r>
          </w:p>
        </w:tc>
        <w:tc>
          <w:tcPr>
            <w:tcW w:w="63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3"/>
        </w:trPr>
        <w:tc>
          <w:tcPr>
            <w:tcW w:w="20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ASU 2016-13, ASU 2019-4</w:t>
            </w:r>
          </w:p>
        </w:tc>
        <w:tc>
          <w:tcPr>
            <w:tcW w:w="6380" w:type="dxa"/>
            <w:vAlign w:val="bottom"/>
          </w:tcPr>
          <w:p>
            <w:pPr>
              <w:ind w:left="100"/>
              <w:spacing w:after="0"/>
              <w:rPr>
                <w:sz w:val="20"/>
                <w:szCs w:val="20"/>
                <w:color w:val="auto"/>
              </w:rPr>
            </w:pPr>
            <w:r>
              <w:rPr>
                <w:rFonts w:ascii="Arial" w:cs="Arial" w:eastAsia="Arial" w:hAnsi="Arial"/>
                <w:sz w:val="16"/>
                <w:szCs w:val="16"/>
                <w:color w:val="auto"/>
                <w:w w:val="98"/>
              </w:rPr>
              <w:t>In June 2016, the FASB issued ASU 2016-13 which replaces the incurred loss impairment</w:t>
            </w:r>
          </w:p>
        </w:tc>
        <w:tc>
          <w:tcPr>
            <w:tcW w:w="3000" w:type="dxa"/>
            <w:vAlign w:val="bottom"/>
          </w:tcPr>
          <w:p>
            <w:pPr>
              <w:ind w:left="8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w w:val="97"/>
              </w:rPr>
              <w:t>Financial Instruments-Credit</w:t>
            </w:r>
          </w:p>
        </w:tc>
        <w:tc>
          <w:tcPr>
            <w:tcW w:w="6380" w:type="dxa"/>
            <w:vAlign w:val="bottom"/>
          </w:tcPr>
          <w:p>
            <w:pPr>
              <w:ind w:left="100"/>
              <w:spacing w:after="0"/>
              <w:rPr>
                <w:sz w:val="20"/>
                <w:szCs w:val="20"/>
                <w:color w:val="auto"/>
              </w:rPr>
            </w:pPr>
            <w:r>
              <w:rPr>
                <w:rFonts w:ascii="Arial" w:cs="Arial" w:eastAsia="Arial" w:hAnsi="Arial"/>
                <w:sz w:val="16"/>
                <w:szCs w:val="16"/>
                <w:color w:val="auto"/>
                <w:w w:val="93"/>
              </w:rPr>
              <w:t>methodology in current U.S. GAAP with a methodology that reflects expected credit losses and</w:t>
            </w:r>
          </w:p>
        </w:tc>
        <w:tc>
          <w:tcPr>
            <w:tcW w:w="3000" w:type="dxa"/>
            <w:vAlign w:val="bottom"/>
          </w:tcPr>
          <w:p>
            <w:pPr>
              <w:ind w:left="80"/>
              <w:spacing w:after="0"/>
              <w:rPr>
                <w:sz w:val="20"/>
                <w:szCs w:val="20"/>
                <w:color w:val="auto"/>
              </w:rPr>
            </w:pPr>
            <w:r>
              <w:rPr>
                <w:rFonts w:ascii="Arial" w:cs="Arial" w:eastAsia="Arial" w:hAnsi="Arial"/>
                <w:sz w:val="16"/>
                <w:szCs w:val="16"/>
                <w:color w:val="auto"/>
                <w:w w:val="94"/>
              </w:rPr>
              <w:t>impact of the adoption of this ASU but does</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Losses (Topic 326):</w:t>
            </w:r>
          </w:p>
        </w:tc>
        <w:tc>
          <w:tcPr>
            <w:tcW w:w="6380" w:type="dxa"/>
            <w:vAlign w:val="bottom"/>
          </w:tcPr>
          <w:p>
            <w:pPr>
              <w:ind w:left="100"/>
              <w:spacing w:after="0"/>
              <w:rPr>
                <w:sz w:val="20"/>
                <w:szCs w:val="20"/>
                <w:color w:val="auto"/>
              </w:rPr>
            </w:pPr>
            <w:r>
              <w:rPr>
                <w:rFonts w:ascii="Arial" w:cs="Arial" w:eastAsia="Arial" w:hAnsi="Arial"/>
                <w:sz w:val="16"/>
                <w:szCs w:val="16"/>
                <w:color w:val="auto"/>
                <w:w w:val="94"/>
              </w:rPr>
              <w:t>requires consideration of a broader range of reasonable and supportable information to inform</w:t>
            </w:r>
          </w:p>
        </w:tc>
        <w:tc>
          <w:tcPr>
            <w:tcW w:w="3000" w:type="dxa"/>
            <w:vAlign w:val="bottom"/>
          </w:tcPr>
          <w:p>
            <w:pPr>
              <w:ind w:left="80"/>
              <w:spacing w:after="0"/>
              <w:rPr>
                <w:sz w:val="20"/>
                <w:szCs w:val="20"/>
                <w:color w:val="auto"/>
              </w:rPr>
            </w:pPr>
            <w:r>
              <w:rPr>
                <w:rFonts w:ascii="Arial" w:cs="Arial" w:eastAsia="Arial" w:hAnsi="Arial"/>
                <w:sz w:val="16"/>
                <w:szCs w:val="16"/>
                <w:color w:val="auto"/>
                <w:w w:val="94"/>
              </w:rPr>
              <w:t>not expect that the pending adoption of this</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Measurement of Credit</w:t>
            </w:r>
          </w:p>
        </w:tc>
        <w:tc>
          <w:tcPr>
            <w:tcW w:w="6380" w:type="dxa"/>
            <w:vAlign w:val="bottom"/>
          </w:tcPr>
          <w:p>
            <w:pPr>
              <w:ind w:left="100"/>
              <w:spacing w:after="0"/>
              <w:rPr>
                <w:sz w:val="20"/>
                <w:szCs w:val="20"/>
                <w:color w:val="auto"/>
              </w:rPr>
            </w:pPr>
            <w:r>
              <w:rPr>
                <w:rFonts w:ascii="Arial" w:cs="Arial" w:eastAsia="Arial" w:hAnsi="Arial"/>
                <w:sz w:val="16"/>
                <w:szCs w:val="16"/>
                <w:color w:val="auto"/>
                <w:w w:val="96"/>
              </w:rPr>
              <w:t>credit loss estimates. The ASU is effective for public companies in annual periods beginning</w:t>
            </w:r>
          </w:p>
        </w:tc>
        <w:tc>
          <w:tcPr>
            <w:tcW w:w="3000" w:type="dxa"/>
            <w:vAlign w:val="bottom"/>
          </w:tcPr>
          <w:p>
            <w:pPr>
              <w:ind w:left="80"/>
              <w:spacing w:after="0"/>
              <w:rPr>
                <w:sz w:val="20"/>
                <w:szCs w:val="20"/>
                <w:color w:val="auto"/>
              </w:rPr>
            </w:pPr>
            <w:r>
              <w:rPr>
                <w:rFonts w:ascii="Arial" w:cs="Arial" w:eastAsia="Arial" w:hAnsi="Arial"/>
                <w:sz w:val="16"/>
                <w:szCs w:val="16"/>
                <w:color w:val="auto"/>
              </w:rPr>
              <w:t>ASU will have a material effect on its</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Losses on Financial</w:t>
            </w:r>
          </w:p>
        </w:tc>
        <w:tc>
          <w:tcPr>
            <w:tcW w:w="6380" w:type="dxa"/>
            <w:vAlign w:val="bottom"/>
          </w:tcPr>
          <w:p>
            <w:pPr>
              <w:ind w:left="100"/>
              <w:spacing w:after="0"/>
              <w:rPr>
                <w:sz w:val="20"/>
                <w:szCs w:val="20"/>
                <w:color w:val="auto"/>
              </w:rPr>
            </w:pPr>
            <w:r>
              <w:rPr>
                <w:rFonts w:ascii="Arial" w:cs="Arial" w:eastAsia="Arial" w:hAnsi="Arial"/>
                <w:sz w:val="16"/>
                <w:szCs w:val="16"/>
                <w:color w:val="auto"/>
                <w:w w:val="95"/>
              </w:rPr>
              <w:t>after December 15, 2019, and interim periods within those years. Early adoption is permitted</w:t>
            </w:r>
          </w:p>
        </w:tc>
        <w:tc>
          <w:tcPr>
            <w:tcW w:w="3000" w:type="dxa"/>
            <w:vAlign w:val="bottom"/>
          </w:tcPr>
          <w:p>
            <w:pPr>
              <w:ind w:left="80"/>
              <w:spacing w:after="0"/>
              <w:rPr>
                <w:sz w:val="20"/>
                <w:szCs w:val="20"/>
                <w:color w:val="auto"/>
              </w:rPr>
            </w:pPr>
            <w:r>
              <w:rPr>
                <w:rFonts w:ascii="Arial" w:cs="Arial" w:eastAsia="Arial" w:hAnsi="Arial"/>
                <w:sz w:val="16"/>
                <w:szCs w:val="16"/>
                <w:color w:val="auto"/>
              </w:rPr>
              <w:t>condensed consolidated financial</w:t>
            </w: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Instruments</w:t>
            </w:r>
          </w:p>
        </w:tc>
        <w:tc>
          <w:tcPr>
            <w:tcW w:w="6380" w:type="dxa"/>
            <w:vAlign w:val="bottom"/>
          </w:tcPr>
          <w:p>
            <w:pPr>
              <w:ind w:left="100"/>
              <w:spacing w:after="0"/>
              <w:rPr>
                <w:sz w:val="20"/>
                <w:szCs w:val="20"/>
                <w:color w:val="auto"/>
              </w:rPr>
            </w:pPr>
            <w:r>
              <w:rPr>
                <w:rFonts w:ascii="Arial" w:cs="Arial" w:eastAsia="Arial" w:hAnsi="Arial"/>
                <w:sz w:val="16"/>
                <w:szCs w:val="16"/>
                <w:color w:val="auto"/>
              </w:rPr>
              <w:t>beginning after December 15, 2018 and interim periods within those years.</w:t>
            </w:r>
          </w:p>
        </w:tc>
        <w:tc>
          <w:tcPr>
            <w:tcW w:w="300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53"/>
        </w:trPr>
        <w:tc>
          <w:tcPr>
            <w:tcW w:w="2000" w:type="dxa"/>
            <w:vAlign w:val="bottom"/>
          </w:tcPr>
          <w:p>
            <w:pPr>
              <w:ind w:left="20"/>
              <w:spacing w:after="0"/>
              <w:rPr>
                <w:sz w:val="20"/>
                <w:szCs w:val="20"/>
                <w:color w:val="auto"/>
              </w:rPr>
            </w:pPr>
            <w:r>
              <w:rPr>
                <w:rFonts w:ascii="Arial" w:cs="Arial" w:eastAsia="Arial" w:hAnsi="Arial"/>
                <w:sz w:val="16"/>
                <w:szCs w:val="16"/>
                <w:color w:val="auto"/>
                <w:w w:val="97"/>
              </w:rPr>
              <w:t>Date of adoption: January 1,</w:t>
            </w:r>
          </w:p>
        </w:tc>
        <w:tc>
          <w:tcPr>
            <w:tcW w:w="638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2020.</w:t>
            </w:r>
          </w:p>
        </w:tc>
        <w:tc>
          <w:tcPr>
            <w:tcW w:w="63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3"/>
        </w:trPr>
        <w:tc>
          <w:tcPr>
            <w:tcW w:w="20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4"/>
                <w:szCs w:val="14"/>
                <w:b w:val="1"/>
                <w:bCs w:val="1"/>
                <w:color w:val="auto"/>
                <w:w w:val="94"/>
              </w:rPr>
              <w:t>Three Months Ended September 30, 2019</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7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Cloud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40" w:type="dxa"/>
            <w:vAlign w:val="bottom"/>
          </w:tcPr>
          <w:p>
            <w:pPr>
              <w:spacing w:after="0"/>
              <w:rPr>
                <w:sz w:val="22"/>
                <w:szCs w:val="22"/>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Cloud</w:t>
            </w:r>
          </w:p>
        </w:tc>
        <w:tc>
          <w:tcPr>
            <w:tcW w:w="42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Digital</w:t>
            </w:r>
          </w:p>
        </w:tc>
        <w:tc>
          <w:tcPr>
            <w:tcW w:w="22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w w:val="91"/>
              </w:rPr>
              <w:t>Messaging</w:t>
            </w:r>
          </w:p>
        </w:tc>
        <w:tc>
          <w:tcPr>
            <w:tcW w:w="320" w:type="dxa"/>
            <w:vAlign w:val="bottom"/>
          </w:tcPr>
          <w:p>
            <w:pPr>
              <w:spacing w:after="0"/>
              <w:rPr>
                <w:sz w:val="22"/>
                <w:szCs w:val="22"/>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38,669</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2,514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34,236</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41,029</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24,563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2,714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68,306</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APAC</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11,407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6,729</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EMEA</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6,567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1,967</w:t>
            </w: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2,216</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4,068</w:t>
            </w:r>
          </w:p>
        </w:tc>
        <w:tc>
          <w:tcPr>
            <w:tcW w:w="3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8,251</w:t>
            </w:r>
          </w:p>
        </w:tc>
      </w:tr>
      <w:tr>
        <w:trPr>
          <w:trHeight w:val="3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40,461</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42,996</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11,429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83,286</w:t>
            </w:r>
          </w:p>
        </w:tc>
      </w:tr>
      <w:tr>
        <w:trPr>
          <w:trHeight w:val="324"/>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3,861</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9,966</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2,982</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1,728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8,761</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Transaction Services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4,763</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9,321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31,911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38,096</w:t>
            </w: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20,572</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7,976</w:t>
            </w:r>
          </w:p>
        </w:tc>
        <w:tc>
          <w:tcPr>
            <w:tcW w:w="3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66,644</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6,292</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1,393</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1,725</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3,118</w:t>
            </w:r>
          </w:p>
        </w:tc>
      </w:tr>
      <w:tr>
        <w:trPr>
          <w:trHeight w:val="231"/>
        </w:trPr>
        <w:tc>
          <w:tcPr>
            <w:tcW w:w="23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40,461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52,210</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42,996</w:t>
            </w:r>
          </w:p>
        </w:tc>
        <w:tc>
          <w:tcPr>
            <w:tcW w:w="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28,861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11,429</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83,286</w:t>
            </w:r>
          </w:p>
        </w:tc>
      </w:tr>
    </w:tbl>
    <w:p>
      <w:pPr>
        <w:spacing w:after="0" w:line="235" w:lineRule="exact"/>
        <w:rPr>
          <w:sz w:val="20"/>
          <w:szCs w:val="20"/>
          <w:color w:val="auto"/>
        </w:rPr>
      </w:pPr>
    </w:p>
    <w:p>
      <w:pPr>
        <w:jc w:val="both"/>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During the period, changes to the STIN business led the Company to conclude that its collection of certain STIN receivables is no longer probable. The Company has updated its collectability assessment in accordance with ASC 842 and concluded that a contingency reserve is required, which included a reduction of digital revenue in America in the amount $26.0 million. For further details, see </w:t>
      </w:r>
      <w:r>
        <w:rPr>
          <w:rFonts w:ascii="Arial" w:cs="Arial" w:eastAsia="Arial" w:hAnsi="Arial"/>
          <w:sz w:val="18"/>
          <w:szCs w:val="18"/>
          <w:i w:val="1"/>
          <w:iCs w:val="1"/>
          <w:color w:val="auto"/>
        </w:rPr>
        <w:t>Note 6. Investments in Affiliates and Related Transactions</w:t>
      </w:r>
      <w:r>
        <w:rPr>
          <w:rFonts w:ascii="Arial" w:cs="Arial" w:eastAsia="Arial" w:hAnsi="Arial"/>
          <w:sz w:val="18"/>
          <w:szCs w:val="18"/>
          <w:color w:val="auto"/>
        </w:rPr>
        <w:t xml:space="preserve"> of the Notes to Condensed Consolidated Financial Statements of this Form 10-Q.</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Nine Months Ended September 30,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w w:val="93"/>
              </w:rPr>
              <w:t>Nine Months Ended September 30, 2018</w:t>
            </w:r>
          </w:p>
        </w:tc>
        <w:tc>
          <w:tcPr>
            <w:tcW w:w="7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Cloud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6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Messaging</w:t>
            </w:r>
          </w:p>
        </w:tc>
        <w:tc>
          <w:tcPr>
            <w:tcW w:w="200" w:type="dxa"/>
            <w:vAlign w:val="bottom"/>
          </w:tcPr>
          <w:p>
            <w:pPr>
              <w:spacing w:after="0"/>
              <w:rPr>
                <w:sz w:val="22"/>
                <w:szCs w:val="22"/>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Cloud</w:t>
            </w:r>
          </w:p>
        </w:tc>
        <w:tc>
          <w:tcPr>
            <w:tcW w:w="40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Digital</w:t>
            </w:r>
          </w:p>
        </w:tc>
        <w:tc>
          <w:tcPr>
            <w:tcW w:w="22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w w:val="91"/>
              </w:rPr>
              <w:t>Messaging</w:t>
            </w:r>
          </w:p>
        </w:tc>
        <w:tc>
          <w:tcPr>
            <w:tcW w:w="320" w:type="dxa"/>
            <w:vAlign w:val="bottom"/>
          </w:tcPr>
          <w:p>
            <w:pPr>
              <w:spacing w:after="0"/>
              <w:rPr>
                <w:sz w:val="22"/>
                <w:szCs w:val="22"/>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116,165</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34,325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6,864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157,354</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113,452</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65,614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7,585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186,651</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APAC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37,578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4,697</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30,287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34,984</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EMEA</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5,437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12,362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20,305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6,568</w:t>
            </w:r>
          </w:p>
        </w:tc>
        <w:tc>
          <w:tcPr>
            <w:tcW w:w="4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3,747</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11,787</w:t>
            </w:r>
          </w:p>
        </w:tc>
        <w:tc>
          <w:tcPr>
            <w:tcW w:w="3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22,102</w:t>
            </w:r>
          </w:p>
        </w:tc>
      </w:tr>
      <w:tr>
        <w:trPr>
          <w:trHeight w:val="3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121,602</w:t>
            </w:r>
          </w:p>
        </w:tc>
        <w:tc>
          <w:tcPr>
            <w:tcW w:w="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56,804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218,161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120,020</w:t>
            </w: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74,058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49,659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243,737</w:t>
            </w:r>
          </w:p>
        </w:tc>
      </w:tr>
      <w:tr>
        <w:trPr>
          <w:trHeight w:val="324"/>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11,220</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11,699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20,066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42,985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10,002</w:t>
            </w: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14,053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8,118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32,173</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Transaction Services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6,740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13,443</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106,036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19,886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27,043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152,965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102,891</w:t>
            </w:r>
          </w:p>
        </w:tc>
        <w:tc>
          <w:tcPr>
            <w:tcW w:w="4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50,103</w:t>
            </w:r>
          </w:p>
        </w:tc>
        <w:tc>
          <w:tcPr>
            <w:tcW w:w="2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23,709</w:t>
            </w:r>
          </w:p>
        </w:tc>
        <w:tc>
          <w:tcPr>
            <w:tcW w:w="3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176,703</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9,695</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12,127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3,162</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17,832</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21,418</w:t>
            </w:r>
          </w:p>
        </w:tc>
      </w:tr>
      <w:tr>
        <w:trPr>
          <w:trHeight w:val="231"/>
        </w:trPr>
        <w:tc>
          <w:tcPr>
            <w:tcW w:w="23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121,602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39,755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56,804</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218,161</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120,020</w:t>
            </w:r>
          </w:p>
        </w:tc>
        <w:tc>
          <w:tcPr>
            <w:tcW w:w="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74,058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49,659</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243,737</w:t>
            </w:r>
          </w:p>
        </w:tc>
      </w:tr>
    </w:tbl>
    <w:p>
      <w:pPr>
        <w:spacing w:after="0" w:line="235" w:lineRule="exact"/>
        <w:rPr>
          <w:sz w:val="20"/>
          <w:szCs w:val="20"/>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During the period, changes to the STIN business led the Company to conclude that its collection of certain STIN receivables is no longer probable. The Company has updated its collectability assessment in accordance with ASC 842 and concluded that a contingency reserve is required, which included a reduction of digital revenue in America in the amount $26.0 million. For further details, see </w:t>
      </w:r>
      <w:r>
        <w:rPr>
          <w:rFonts w:ascii="Arial" w:cs="Arial" w:eastAsia="Arial" w:hAnsi="Arial"/>
          <w:sz w:val="18"/>
          <w:szCs w:val="18"/>
          <w:i w:val="1"/>
          <w:iCs w:val="1"/>
          <w:color w:val="auto"/>
        </w:rPr>
        <w:t>Note 6. Investments in Affiliates and Related Transactions</w:t>
      </w:r>
      <w:r>
        <w:rPr>
          <w:rFonts w:ascii="Arial" w:cs="Arial" w:eastAsia="Arial" w:hAnsi="Arial"/>
          <w:sz w:val="18"/>
          <w:szCs w:val="18"/>
          <w:color w:val="auto"/>
        </w:rPr>
        <w:t xml:space="preserve"> of the Notes to Condensed Consolidated Financial Statements of this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its records revenue on a professional services engagement but are not entitled to bill until the Company achieves specified milestones. Contract asset balance at September 30, 2019 is $4.2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20" w:type="dxa"/>
            <w:vAlign w:val="bottom"/>
          </w:tcPr>
          <w:p>
            <w:pPr>
              <w:spacing w:after="0"/>
              <w:rPr>
                <w:sz w:val="20"/>
                <w:szCs w:val="20"/>
                <w:color w:val="auto"/>
              </w:rPr>
            </w:pPr>
          </w:p>
        </w:tc>
        <w:tc>
          <w:tcPr>
            <w:tcW w:w="9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Balance - January 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116,942</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 recognized in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(214,204)</w:t>
            </w:r>
          </w:p>
        </w:tc>
      </w:tr>
      <w:tr>
        <w:trPr>
          <w:trHeight w:val="243"/>
        </w:trPr>
        <w:tc>
          <w:tcPr>
            <w:tcW w:w="20" w:type="dxa"/>
            <w:vAlign w:val="bottom"/>
          </w:tcPr>
          <w:p>
            <w:pPr>
              <w:spacing w:after="0"/>
              <w:rPr>
                <w:sz w:val="21"/>
                <w:szCs w:val="21"/>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Amounts billed but not recognized as revenue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185,069</w:t>
            </w:r>
          </w:p>
        </w:tc>
      </w:tr>
      <w:tr>
        <w:trPr>
          <w:trHeight w:val="27"/>
        </w:trPr>
        <w:tc>
          <w:tcPr>
            <w:tcW w:w="20" w:type="dxa"/>
            <w:vAlign w:val="bottom"/>
          </w:tcPr>
          <w:p>
            <w:pPr>
              <w:spacing w:after="0"/>
              <w:rPr>
                <w:sz w:val="2"/>
                <w:szCs w:val="2"/>
                <w:color w:val="auto"/>
              </w:rPr>
            </w:pPr>
          </w:p>
        </w:tc>
        <w:tc>
          <w:tcPr>
            <w:tcW w:w="9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87,807</w:t>
            </w:r>
          </w:p>
        </w:tc>
      </w:tr>
      <w:tr>
        <w:trPr>
          <w:trHeight w:val="202"/>
        </w:trPr>
        <w:tc>
          <w:tcPr>
            <w:tcW w:w="20" w:type="dxa"/>
            <w:vAlign w:val="bottom"/>
          </w:tcPr>
          <w:p>
            <w:pPr>
              <w:spacing w:after="0"/>
              <w:rPr>
                <w:sz w:val="17"/>
                <w:szCs w:val="17"/>
                <w:color w:val="auto"/>
              </w:rPr>
            </w:pPr>
          </w:p>
        </w:tc>
        <w:tc>
          <w:tcPr>
            <w:tcW w:w="9920" w:type="dxa"/>
            <w:vAlign w:val="bottom"/>
          </w:tcPr>
          <w:p>
            <w:pPr>
              <w:spacing w:after="0" w:line="201" w:lineRule="exact"/>
              <w:rPr>
                <w:sz w:val="20"/>
                <w:szCs w:val="20"/>
                <w:color w:val="auto"/>
              </w:rPr>
            </w:pPr>
            <w:r>
              <w:rPr>
                <w:rFonts w:ascii="Arial" w:cs="Arial" w:eastAsia="Arial" w:hAnsi="Arial"/>
                <w:sz w:val="18"/>
                <w:szCs w:val="18"/>
                <w:color w:val="auto"/>
              </w:rPr>
              <w:t>________________________________</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   Comprised of Deferred Revenue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September 30, 2019. The Company has elected not to disclose transaction price allocated to remaining performance obligations for:</w:t>
      </w:r>
    </w:p>
    <w:p>
      <w:pPr>
        <w:spacing w:after="0" w:line="12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remaining performance obligations, all of which will be resolved in the period in which amounts are known:</w:t>
      </w:r>
    </w:p>
    <w:p>
      <w:pPr>
        <w:spacing w:after="0" w:line="22"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the aggregate amount of transaction price allocated to remaining performance obligations, other than those meeting the exclusion criteria above, was $231.1 million, of which approximately 90.9% is expected to be recognized as revenues within 2 years, and the remainder thereafter.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8"/>
          </w:tcPr>
          <w:p>
            <w:pPr>
              <w:ind w:left="400"/>
              <w:spacing w:after="0"/>
              <w:rPr>
                <w:sz w:val="20"/>
                <w:szCs w:val="20"/>
                <w:color w:val="auto"/>
              </w:rPr>
            </w:pPr>
            <w:r>
              <w:rPr>
                <w:rFonts w:ascii="Arial" w:cs="Arial" w:eastAsia="Arial" w:hAnsi="Arial"/>
                <w:sz w:val="16"/>
                <w:szCs w:val="16"/>
                <w:b w:val="1"/>
                <w:bCs w:val="1"/>
                <w:color w:val="auto"/>
              </w:rPr>
              <w:t>September 30, 2019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19,214</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19,214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20,111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19,214</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897</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Temporary equity</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3"/>
                <w:szCs w:val="23"/>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8"/>
          </w:tcPr>
          <w:p>
            <w:pPr>
              <w:ind w:left="460"/>
              <w:spacing w:after="0"/>
              <w:rPr>
                <w:sz w:val="20"/>
                <w:szCs w:val="20"/>
                <w:color w:val="auto"/>
              </w:rPr>
            </w:pPr>
            <w:r>
              <w:rPr>
                <w:rFonts w:ascii="Arial" w:cs="Arial" w:eastAsia="Arial" w:hAnsi="Arial"/>
                <w:sz w:val="16"/>
                <w:szCs w:val="16"/>
                <w:b w:val="1"/>
                <w:bCs w:val="1"/>
                <w:color w:val="auto"/>
              </w:rPr>
              <w:t>December 31, 2018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060" w:type="dxa"/>
            <w:vAlign w:val="bottom"/>
          </w:tcPr>
          <w:p>
            <w:pPr>
              <w:ind w:left="28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109,860</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28,230</w:t>
            </w:r>
          </w:p>
        </w:tc>
        <w:tc>
          <w:tcPr>
            <w:tcW w:w="0" w:type="dxa"/>
            <w:vAlign w:val="bottom"/>
          </w:tcPr>
          <w:p>
            <w:pPr>
              <w:spacing w:after="0"/>
              <w:rPr>
                <w:sz w:val="1"/>
                <w:szCs w:val="1"/>
                <w:color w:val="auto"/>
              </w:rPr>
            </w:pPr>
          </w:p>
        </w:tc>
      </w:tr>
      <w:tr>
        <w:trPr>
          <w:trHeight w:val="257"/>
        </w:trPr>
        <w:tc>
          <w:tcPr>
            <w:tcW w:w="606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3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144,748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34,888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Temporary Equity</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60" w:type="dxa"/>
            <w:vAlign w:val="bottom"/>
          </w:tcPr>
          <w:p>
            <w:pPr>
              <w:ind w:left="28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-339725</wp:posOffset>
            </wp:positionV>
            <wp:extent cx="340487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340" w:hanging="332"/>
        <w:spacing w:after="0" w:line="183"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Cash equivalents primarily included money market funds.</w:t>
      </w:r>
    </w:p>
    <w:p>
      <w:pPr>
        <w:spacing w:after="0" w:line="2" w:lineRule="exact"/>
        <w:rPr>
          <w:rFonts w:ascii="Arial" w:cs="Arial" w:eastAsia="Arial" w:hAnsi="Arial"/>
          <w:sz w:val="25"/>
          <w:szCs w:val="25"/>
          <w:color w:val="auto"/>
          <w:vertAlign w:val="superscript"/>
        </w:rPr>
      </w:pPr>
    </w:p>
    <w:p>
      <w:pPr>
        <w:ind w:left="340" w:hanging="332"/>
        <w:spacing w:after="0" w:line="203"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Marketable securities are comprised of municipal bonds, certificates of deposit. corporate bonds, treasury bonds, and mutual funds.</w:t>
      </w:r>
    </w:p>
    <w:p>
      <w:pPr>
        <w:spacing w:after="0" w:line="2"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Put arrangements held by the noncontrolling interests in certain of the Company’s joint ventures.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949" w:hanging="949"/>
        <w:spacing w:after="0"/>
        <w:tabs>
          <w:tab w:leader="none" w:pos="9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949" w:hanging="949"/>
        <w:spacing w:after="0"/>
        <w:tabs>
          <w:tab w:leader="none" w:pos="9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54" w:lineRule="exact"/>
        <w:rPr>
          <w:sz w:val="20"/>
          <w:szCs w:val="20"/>
          <w:color w:val="auto"/>
        </w:rPr>
      </w:pPr>
    </w:p>
    <w:p>
      <w:pPr>
        <w:ind w:left="629" w:hanging="629"/>
        <w:spacing w:after="0"/>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12,500</w:t>
      </w:r>
    </w:p>
    <w:p>
      <w:pPr>
        <w:spacing w:after="0" w:line="99" w:lineRule="exact"/>
        <w:rPr>
          <w:rFonts w:ascii="Arial" w:cs="Arial" w:eastAsia="Arial" w:hAnsi="Arial"/>
          <w:sz w:val="16"/>
          <w:szCs w:val="16"/>
          <w:color w:val="auto"/>
        </w:rPr>
      </w:pPr>
    </w:p>
    <w:p>
      <w:pPr>
        <w:ind w:left="629" w:hanging="629"/>
        <w:spacing w:after="0"/>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8" w:lineRule="exact"/>
        <w:rPr>
          <w:sz w:val="20"/>
          <w:szCs w:val="20"/>
          <w:color w:val="auto"/>
        </w:rPr>
      </w:pPr>
    </w:p>
    <w:p>
      <w:pPr>
        <w:sectPr>
          <w:pgSz w:w="11900" w:h="16838" w:orient="portrait"/>
          <w:cols w:equalWidth="0" w:num="2">
            <w:col w:w="10060" w:space="131"/>
            <w:col w:w="1229"/>
          </w:cols>
          <w:pgMar w:left="240" w:top="125" w:right="239" w:bottom="1440" w:gutter="0" w:footer="0" w:header="0"/>
          <w:type w:val="continuous"/>
        </w:sect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nine months ended September 30, 2019.</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marketable debt securities, unrealized gains and losses are reported as a component of accumulated other comprehensive income in stockholders’ equity. The cost of securities sold is based on the specific identification method. The Company evaluates investments with unrealized losses to determine if the losses are other than temporary. The Company has determined that the gross unrealized losses at September 30, 2019 and 2018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marketable equity securities are mutual funds measured at fair value and classified within Level 2 in the fair value hierarchy. Unrealized gains and losses related to our marketable equity securities were recognized in other income (expense), net.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and December 31, 2018, the estimated fair value of investments in marketable debt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340"/>
              <w:spacing w:after="0"/>
              <w:rPr>
                <w:sz w:val="20"/>
                <w:szCs w:val="20"/>
                <w:color w:val="auto"/>
              </w:rPr>
            </w:pPr>
            <w:r>
              <w:rPr>
                <w:rFonts w:ascii="Arial" w:cs="Arial" w:eastAsia="Arial" w:hAnsi="Arial"/>
                <w:sz w:val="13"/>
                <w:szCs w:val="13"/>
                <w:b w:val="1"/>
                <w:bCs w:val="1"/>
                <w:color w:val="auto"/>
              </w:rPr>
              <w:t>September 30, 2019</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340"/>
              <w:spacing w:after="0"/>
              <w:rPr>
                <w:sz w:val="20"/>
                <w:szCs w:val="20"/>
                <w:color w:val="auto"/>
              </w:rPr>
            </w:pPr>
            <w:r>
              <w:rPr>
                <w:rFonts w:ascii="Arial" w:cs="Arial" w:eastAsia="Arial" w:hAnsi="Arial"/>
                <w:sz w:val="13"/>
                <w:szCs w:val="13"/>
                <w:b w:val="1"/>
                <w:bCs w:val="1"/>
                <w:color w:val="auto"/>
              </w:rPr>
              <w:t>December 31, 2018</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7"/>
        </w:trPr>
        <w:tc>
          <w:tcPr>
            <w:tcW w:w="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137"/>
        </w:trPr>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1"/>
                <w:szCs w:val="11"/>
                <w:color w:val="auto"/>
              </w:rPr>
            </w:pPr>
          </w:p>
        </w:tc>
        <w:tc>
          <w:tcPr>
            <w:tcW w:w="70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Fair</w:t>
            </w:r>
          </w:p>
        </w:tc>
      </w:tr>
      <w:tr>
        <w:trPr>
          <w:trHeight w:val="174"/>
        </w:trPr>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Gains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20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Gains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Value</w:t>
            </w:r>
          </w:p>
        </w:tc>
      </w:tr>
      <w:tr>
        <w:trPr>
          <w:trHeight w:val="189"/>
        </w:trPr>
        <w:tc>
          <w:tcPr>
            <w:tcW w:w="3300" w:type="dxa"/>
            <w:vAlign w:val="bottom"/>
            <w:gridSpan w:val="3"/>
          </w:tcPr>
          <w:p>
            <w:pPr>
              <w:ind w:left="40"/>
              <w:spacing w:after="0"/>
              <w:rPr>
                <w:sz w:val="20"/>
                <w:szCs w:val="20"/>
                <w:color w:val="auto"/>
              </w:rPr>
            </w:pPr>
            <w:r>
              <w:rPr>
                <w:rFonts w:ascii="Arial" w:cs="Arial" w:eastAsia="Arial" w:hAnsi="Arial"/>
                <w:sz w:val="14"/>
                <w:szCs w:val="14"/>
                <w:color w:val="auto"/>
              </w:rPr>
              <w:t>Marketable securities - debt:</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640" w:type="dxa"/>
            <w:vAlign w:val="bottom"/>
            <w:tcBorders>
              <w:top w:val="single" w:sz="8" w:color="auto"/>
            </w:tcBorders>
          </w:tcPr>
          <w:p>
            <w:pPr>
              <w:spacing w:after="0"/>
              <w:rPr>
                <w:sz w:val="5"/>
                <w:szCs w:val="5"/>
                <w:color w:val="auto"/>
              </w:rPr>
            </w:pPr>
          </w:p>
        </w:tc>
        <w:tc>
          <w:tcPr>
            <w:tcW w:w="1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32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Certificates of deposit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3,760</w:t>
            </w:r>
          </w:p>
        </w:tc>
      </w:tr>
      <w:tr>
        <w:trPr>
          <w:trHeight w:val="264"/>
        </w:trPr>
        <w:tc>
          <w:tcPr>
            <w:tcW w:w="40" w:type="dxa"/>
            <w:vAlign w:val="bottom"/>
          </w:tcPr>
          <w:p>
            <w:pPr>
              <w:spacing w:after="0"/>
              <w:rPr>
                <w:sz w:val="22"/>
                <w:szCs w:val="22"/>
                <w:color w:val="auto"/>
              </w:rPr>
            </w:pPr>
          </w:p>
        </w:tc>
        <w:tc>
          <w:tcPr>
            <w:tcW w:w="3260" w:type="dxa"/>
            <w:vAlign w:val="bottom"/>
            <w:gridSpan w:val="2"/>
          </w:tcPr>
          <w:p>
            <w:pPr>
              <w:ind w:left="240"/>
              <w:spacing w:after="0"/>
              <w:rPr>
                <w:sz w:val="20"/>
                <w:szCs w:val="20"/>
                <w:color w:val="auto"/>
              </w:rPr>
            </w:pPr>
            <w:r>
              <w:rPr>
                <w:rFonts w:ascii="Arial" w:cs="Arial" w:eastAsia="Arial" w:hAnsi="Arial"/>
                <w:sz w:val="14"/>
                <w:szCs w:val="14"/>
                <w:color w:val="auto"/>
              </w:rPr>
              <w:t>Corporate bonds</w:t>
            </w:r>
          </w:p>
        </w:tc>
        <w:tc>
          <w:tcPr>
            <w:tcW w:w="14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401</w:t>
            </w:r>
          </w:p>
        </w:tc>
      </w:tr>
      <w:tr>
        <w:trPr>
          <w:trHeight w:val="276"/>
        </w:trPr>
        <w:tc>
          <w:tcPr>
            <w:tcW w:w="40" w:type="dxa"/>
            <w:vAlign w:val="bottom"/>
            <w:shd w:val="clear" w:color="auto" w:fill="CCEEFF"/>
          </w:tcPr>
          <w:p>
            <w:pPr>
              <w:spacing w:after="0"/>
              <w:rPr>
                <w:sz w:val="24"/>
                <w:szCs w:val="24"/>
                <w:color w:val="auto"/>
              </w:rPr>
            </w:pPr>
          </w:p>
        </w:tc>
        <w:tc>
          <w:tcPr>
            <w:tcW w:w="32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Municipal bonds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10,881</w:t>
            </w:r>
          </w:p>
        </w:tc>
      </w:tr>
      <w:tr>
        <w:trPr>
          <w:trHeight w:val="264"/>
        </w:trPr>
        <w:tc>
          <w:tcPr>
            <w:tcW w:w="4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Treasury bonds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15,685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15,685</w:t>
            </w:r>
          </w:p>
        </w:tc>
      </w:tr>
      <w:tr>
        <w:trPr>
          <w:trHeight w:val="270"/>
        </w:trPr>
        <w:tc>
          <w:tcPr>
            <w:tcW w:w="33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30,776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30,727</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2019 and December 31, 2018, the aggregate related fair value of investment with unrealized losses was approximately nil million and $14.9 million respectively.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920" w:type="dxa"/>
            <w:vAlign w:val="bottom"/>
          </w:tcPr>
          <w:p>
            <w:pPr>
              <w:ind w:left="320"/>
              <w:spacing w:after="0"/>
              <w:rPr>
                <w:sz w:val="20"/>
                <w:szCs w:val="20"/>
                <w:color w:val="auto"/>
              </w:rPr>
            </w:pPr>
            <w:r>
              <w:rPr>
                <w:rFonts w:ascii="Arial" w:cs="Arial" w:eastAsia="Arial" w:hAnsi="Arial"/>
                <w:sz w:val="18"/>
                <w:szCs w:val="18"/>
                <w:color w:val="auto"/>
              </w:rPr>
              <w:t>At September 30, 2019, the estimated fair value of investments in marketable equity securities, were as follows: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35"/>
        </w:trPr>
        <w:tc>
          <w:tcPr>
            <w:tcW w:w="9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w:t>
            </w:r>
          </w:p>
        </w:tc>
      </w:tr>
      <w:tr>
        <w:trPr>
          <w:trHeight w:val="243"/>
        </w:trPr>
        <w:tc>
          <w:tcPr>
            <w:tcW w:w="9920" w:type="dxa"/>
            <w:vAlign w:val="bottom"/>
          </w:tcPr>
          <w:p>
            <w:pPr>
              <w:ind w:left="160"/>
              <w:spacing w:after="0"/>
              <w:rPr>
                <w:sz w:val="20"/>
                <w:szCs w:val="20"/>
                <w:color w:val="auto"/>
              </w:rPr>
            </w:pPr>
            <w:r>
              <w:rPr>
                <w:rFonts w:ascii="Arial" w:cs="Arial" w:eastAsia="Arial" w:hAnsi="Arial"/>
                <w:sz w:val="18"/>
                <w:szCs w:val="18"/>
                <w:color w:val="auto"/>
              </w:rPr>
              <w:t>Mutual funds purchases</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39,742</w:t>
            </w: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Mutual funds sales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(43,005)</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Realized gains (losses)</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0"/>
        </w:trPr>
        <w:tc>
          <w:tcPr>
            <w:tcW w:w="9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fair value of the Company’s Level 3 redeemable noncontrolling interests during the nine months ended September 30, 2019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redeemable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entered into contracts with third parties to lease a variety of assets, including certain real estate, equipment, automobiles and other assets. Our leases frequently allow for lease payments that could vary based on factors such as inflation or the degree of utilization of the underlying asset. For example, certain of our real estate leases could require us to make payments that vary based on common area maintenance charges, insurance and other charges. Our lease agreements do not contain any material residual value guarantees or material restrictive covenants.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The Company does not have material sublease arrangements.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ROU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180"/>
              <w:spacing w:after="0"/>
              <w:rPr>
                <w:sz w:val="20"/>
                <w:szCs w:val="20"/>
                <w:color w:val="auto"/>
              </w:rPr>
            </w:pPr>
            <w:r>
              <w:rPr>
                <w:rFonts w:ascii="Arial" w:cs="Arial" w:eastAsia="Arial" w:hAnsi="Arial"/>
                <w:sz w:val="18"/>
                <w:szCs w:val="18"/>
                <w:color w:val="auto"/>
              </w:rPr>
              <w:t>Non-current operating lease ROU assets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55,308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Operating lease liabilities: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62,863</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70,953</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are included in Accrued Expenses on Condensed Consolidated Balance Sheets.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information about lease expense and sublease income for the three and nine months ended September 30,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4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74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Nine Months Ended</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lease costs and income:</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costs*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Sublease income*</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net lease cost</w:t>
            </w: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are included in Cost of revenues, Selling, general and administrative and/or Research and development based on the function that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underlying leased asset supports which are reflected in the Condensed Consolidated Statements of Operations.</w:t>
      </w:r>
    </w:p>
    <w:p>
      <w:pPr>
        <w:spacing w:after="0" w:line="5" w:lineRule="exact"/>
        <w:rPr>
          <w:sz w:val="20"/>
          <w:szCs w:val="20"/>
          <w:color w:val="auto"/>
        </w:rPr>
      </w:pPr>
    </w:p>
    <w:p>
      <w:pPr>
        <w:ind w:left="340" w:hanging="332"/>
        <w:spacing w:after="0" w:line="222"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During the third quarter, the Company executed an agreement enabling the Company to achieve data center consolidation moving forward. The Company recorded a $6.2 million ROU asset impairment based on forecasted future cash flows for those data centers impacted by the agreement.</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September 30, 2019 for each of the five years subsequent to December 31, 2018 and thereafter, as well as a reconciliation of such undiscounted cash flows to our lease liabilities at September 30, 2019 (in thousands):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SYNCHRONOSS TECHNOLOGIES, INC.</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820" w:type="dxa"/>
            <w:vAlign w:val="bottom"/>
          </w:tcPr>
          <w:p>
            <w:pPr>
              <w:jc w:val="center"/>
              <w:ind w:left="1510"/>
              <w:spacing w:after="0"/>
              <w:rPr>
                <w:sz w:val="20"/>
                <w:szCs w:val="20"/>
                <w:color w:val="auto"/>
              </w:rPr>
            </w:pPr>
            <w:r>
              <w:rPr>
                <w:rFonts w:ascii="Arial" w:cs="Arial" w:eastAsia="Arial" w:hAnsi="Arial"/>
                <w:sz w:val="18"/>
                <w:szCs w:val="18"/>
                <w:b w:val="1"/>
                <w:bCs w:val="1"/>
                <w:color w:val="auto"/>
              </w:rPr>
              <w:t>NOTES TO CONDENSED CONSOLIDATED FINANCIAL STATEMENTS — UNAUDITED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982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(Amounts in tables in thousands, except for per share data or unless otherwise noted)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831"/>
        </w:trPr>
        <w:tc>
          <w:tcPr>
            <w:tcW w:w="9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11"/>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13,543</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12,276</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43,965</w:t>
            </w:r>
          </w:p>
        </w:tc>
      </w:tr>
      <w:tr>
        <w:trPr>
          <w:trHeight w:val="27"/>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future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95,868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(24,915)</w:t>
            </w:r>
          </w:p>
        </w:tc>
      </w:tr>
      <w:tr>
        <w:trPr>
          <w:trHeight w:val="27"/>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future lease payments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70,953</w:t>
            </w: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weighted-average remaining lease term and weighted-average discount rates for our leases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ind w:left="18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7.81</w:t>
            </w:r>
          </w:p>
        </w:tc>
      </w:tr>
      <w:tr>
        <w:trPr>
          <w:trHeight w:val="27"/>
        </w:trPr>
        <w:tc>
          <w:tcPr>
            <w:tcW w:w="93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nine months ended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9,167</w:t>
            </w:r>
          </w:p>
        </w:tc>
      </w:tr>
      <w:tr>
        <w:trPr>
          <w:trHeight w:val="27"/>
        </w:trPr>
        <w:tc>
          <w:tcPr>
            <w:tcW w:w="75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arising from obtaining right-of-use assets</w:t>
            </w:r>
          </w:p>
        </w:tc>
        <w:tc>
          <w:tcPr>
            <w:tcW w:w="28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75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divestiture of the exception handling business of the Company, Synchronoss entered into a three-year Cloud Telephony and Support services agreement to grant Sequential Technology International, LLC (“STIN”) access to certain Synchronoss software and private branch exchange systems to facilitate exception handling operations required to support STIN customers.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to the STIN business led the Company to conclude that its collection of certain STIN receivables is no longer probable as of September 30, 2019. In accordance with ASC 842, the portion of revenue that is no longer deemed collectible is reversed in the current period against revenue. Accordingly, the Company determined a contingency reserve is required, which included a reduction of revenue in the amount $26.0 million. The impacts of this change are reflected in the STIN affiliate revenue and accounts receivable.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2019 and 2018, the Company recognized $(19.6) million and $6.4 million, respectively, in revenue related to Cloud Telephony and Support services, and nil and $0.9 million, respectively, in revenue related to all other services.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2019 and 2018, the Company recognized $(6.9) million and $19.2 million, respectively, in revenue related to Cloud Telephony and Support services, and nil and $1.8 million, respectively, in revenue related to all other services.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STIN affiliate accounts receivable balances in the Condensed Consolidated Balance Sheet as of September 30, 2019 and December 31, 2018, were $11.5 million and $27.5 million, respectively. These amounts principally included revenues generated from the Cloud and Telephony Support Services agreement and pass-through of vendor expenses incurred during the transition and assignment of vendor contracts.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September 30, 2019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640" w:type="dxa"/>
            <w:vAlign w:val="bottom"/>
            <w:tcBorders>
              <w:bottom w:val="single" w:sz="8" w:color="CCEEFF"/>
            </w:tcBorders>
            <w:shd w:val="clear" w:color="auto" w:fill="CCEEFF"/>
          </w:tcPr>
          <w:p>
            <w:pPr>
              <w:jc w:val="right"/>
              <w:ind w:right="143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113,980</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Unamortized debt issuance cost </w:t>
            </w:r>
            <w:r>
              <w:rPr>
                <w:rFonts w:ascii="Arial" w:cs="Arial" w:eastAsia="Arial" w:hAnsi="Arial"/>
                <w:sz w:val="25"/>
                <w:szCs w:val="25"/>
                <w:color w:val="auto"/>
                <w:vertAlign w:val="superscript"/>
              </w:rPr>
              <w:t>(1)</w:t>
            </w:r>
          </w:p>
        </w:tc>
        <w:tc>
          <w:tcPr>
            <w:tcW w:w="1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debt, carrying value</w:t>
            </w:r>
          </w:p>
        </w:tc>
        <w:tc>
          <w:tcPr>
            <w:tcW w:w="1640" w:type="dxa"/>
            <w:vAlign w:val="bottom"/>
            <w:shd w:val="clear" w:color="auto" w:fill="CCEEFF"/>
          </w:tcPr>
          <w:p>
            <w:pPr>
              <w:jc w:val="right"/>
              <w:ind w:right="1432"/>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113,542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Total short-term debt, carrying value</w:t>
            </w:r>
          </w:p>
        </w:tc>
        <w:tc>
          <w:tcPr>
            <w:tcW w:w="1640" w:type="dxa"/>
            <w:vAlign w:val="bottom"/>
          </w:tcPr>
          <w:p>
            <w:pPr>
              <w:jc w:val="right"/>
              <w:ind w:right="1432"/>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113,542</w:t>
            </w:r>
          </w:p>
        </w:tc>
      </w:tr>
      <w:tr>
        <w:trPr>
          <w:trHeight w:val="239"/>
        </w:trPr>
        <w:tc>
          <w:tcPr>
            <w:tcW w:w="744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340" w:hanging="332"/>
        <w:spacing w:after="0" w:line="183"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Unamortized debt issuance cost is related to Convertible Senior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12, 2014, the Company issued $230.0 million aggregate principal amount of its 0.75% Convertible Senior Notes due in 2019 (the “2019 Notes”). The 2019 Notes were paid at maturity on August 15, 2019.</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2019 Notes bore an interest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2019 Notes were senior, unsecured obligations of the Company, and were convertible into shares of its common stock based on a conversion rate of 18.8072 shares per $1,000 principal amount of 2019 Notes which is equivalent to an initial conversion price of approximately $53.17 per share. The 2019 Notes were convertible at the note holders’ option prior to their maturity and if specified corporate transactions occur. The issue price of the 2019 Notes was equal to their face amount. As of the maturity date, none of the 2019 Notes were converted to common stock.</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the 2019 Notes who converted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the maturity date of the 2019 Notes, none of these conditions existed.</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Notes were the Company’s direct senior unsecured obligations and rank equal in right of payment to all of the Company’s existing and future unsecured and unsubordinated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2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33"/>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47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Convertible Senior Notes</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auto"/>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Additional interest on default</w:t>
            </w:r>
          </w:p>
        </w:tc>
        <w:tc>
          <w:tcPr>
            <w:tcW w:w="11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3,935</w:t>
            </w: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nine months ended September 30, 2019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620" w:type="dxa"/>
            <w:vAlign w:val="bottom"/>
            <w:gridSpan w:val="3"/>
          </w:tcPr>
          <w:p>
            <w:pPr>
              <w:ind w:left="80"/>
              <w:spacing w:after="0"/>
              <w:rPr>
                <w:sz w:val="20"/>
                <w:szCs w:val="20"/>
                <w:color w:val="auto"/>
              </w:rPr>
            </w:pPr>
            <w:r>
              <w:rPr>
                <w:rFonts w:ascii="Arial" w:cs="Arial" w:eastAsia="Arial" w:hAnsi="Arial"/>
                <w:sz w:val="13"/>
                <w:szCs w:val="13"/>
                <w:b w:val="1"/>
                <w:bCs w:val="1"/>
                <w:color w:val="auto"/>
                <w:w w:val="99"/>
              </w:rPr>
              <w:t>Balance at December 31,</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Balance at September 30,</w:t>
            </w:r>
          </w:p>
        </w:tc>
      </w:tr>
      <w:tr>
        <w:trPr>
          <w:trHeight w:val="174"/>
        </w:trPr>
        <w:tc>
          <w:tcPr>
            <w:tcW w:w="5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Other comprehensive loss</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Tax effect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b w:val="1"/>
                <w:bCs w:val="1"/>
                <w:color w:val="auto"/>
              </w:rPr>
              <w:t>2019</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(26,436)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(1,928)</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91"/>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(28,364)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Unrealized loss on intra-entity foreign currency transactions</w:t>
            </w: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(3,906)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holding losses on marketable debt securities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(30,383)</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(3,845)</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(33,880)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significant changes to Company’s authorized capital stock and preferred stock during the nine months ended September 30,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2019, there were 210,000 shares of Series A Preferred Stock outstanding, including the initial issuance of 185,000 shares of Series A Preferred Stock and the issuance of 25,000 shares of Series A Preferred Stock as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Conversion Rate is subject to equitable proportionate adjustment in the event of stock splits, recapitalizations and other events set forth in the Series A Certificate.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September 30, 2019, the Liquidation Value and Redemption Value of the Preferred Shares was $243.1 million.</w:t>
      </w:r>
    </w:p>
    <w:p>
      <w:pPr>
        <w:spacing w:after="0" w:line="1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summary of the Company’s Series A Convertible Participating Perpetual Preferred Stock balance at September 30, 2019 and changes during the nine months ended September 30, 2019, are presented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r>
      <w:tr>
        <w:trPr>
          <w:trHeight w:val="236"/>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176,603</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Issuance of preferred stock</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Initial discount and issuance costs related to preferred stock</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Amortization of preferred stock issuance costs</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1,586</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preferred PIK dividend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14,407</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Balance at September 30, 2019</w:t>
            </w:r>
          </w:p>
        </w:tc>
        <w:tc>
          <w:tcPr>
            <w:tcW w:w="10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192,596</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September 30, 2019, the Company paid the accrued Preferred Dividends in-kind of $7.6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and nine months ended September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to the Company’s Stock Plans during the three and nine months ended September 30, 2019. As of September 30, 2019, there were 2.0 million shares available for the grant or award under the Company’s 2015 Plan and 0.3 million shares available for the grant or award under the Company’s 2017 New hire equity incentive Plan.</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has reflected such awards in accrued expenses. As of September 30, 2019, the liability for such awards is approximately $0.7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3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33"/>
        </w:trPr>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3,447</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4,682</w:t>
            </w: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4,079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13,911</w:t>
            </w:r>
          </w:p>
        </w:tc>
      </w:tr>
      <w:tr>
        <w:trPr>
          <w:trHeight w:val="257"/>
        </w:trPr>
        <w:tc>
          <w:tcPr>
            <w:tcW w:w="46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6,000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17,028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22,040</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2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16,340</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Performance Based Cash Units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before taxes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4,356</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September 30, 2019 was approximately $41.7 million. The expense is expected to be recognized over a weighted-average period of approximately 2.2 years.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performance based cash units as of September 30, 2019 was approximately $1.0 million. The expense is expected to be recognized over a weighted-average period of approximately 2.1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and nine months ended September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48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4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33"/>
        </w:trPr>
        <w:tc>
          <w:tcPr>
            <w:tcW w:w="4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4.11</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(grant date) of the options</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5.04</w:t>
            </w:r>
          </w:p>
        </w:tc>
      </w:tr>
      <w:tr>
        <w:trPr>
          <w:trHeight w:val="27"/>
        </w:trPr>
        <w:tc>
          <w:tcPr>
            <w:tcW w:w="4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September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Options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Term (Years)</w:t>
            </w:r>
          </w:p>
        </w:tc>
        <w:tc>
          <w:tcPr>
            <w:tcW w:w="280" w:type="dxa"/>
            <w:vAlign w:val="bottom"/>
          </w:tcPr>
          <w:p>
            <w:pPr>
              <w:spacing w:after="0"/>
              <w:rPr>
                <w:sz w:val="18"/>
                <w:szCs w:val="18"/>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September 30, 2019</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intrinsic value for stock options exercisable at September 30, 2019 and 2018 was $21 and nil, respectively. The total intrinsic value of stock options exercised for the nine months ended September 30, 2019 and 2018 was $21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and nine months ended September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unvested restricted stock at September 30, 2019, and changes during the nine months ended September 30, 2019,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Restricted Stock</w:t>
            </w: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6.94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10.53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September 30, 2019</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25" w:lineRule="exact"/>
        <w:rPr>
          <w:sz w:val="20"/>
          <w:szCs w:val="20"/>
          <w:color w:val="auto"/>
        </w:rPr>
      </w:pPr>
    </w:p>
    <w:p>
      <w:pPr>
        <w:ind w:right="2660" w:firstLine="324"/>
        <w:spacing w:after="0" w:line="342" w:lineRule="auto"/>
        <w:rPr>
          <w:sz w:val="20"/>
          <w:szCs w:val="20"/>
          <w:color w:val="auto"/>
        </w:rPr>
      </w:pPr>
      <w:r>
        <w:rPr>
          <w:rFonts w:ascii="Arial" w:cs="Arial" w:eastAsia="Arial" w:hAnsi="Arial"/>
          <w:sz w:val="16"/>
          <w:szCs w:val="16"/>
          <w:color w:val="auto"/>
        </w:rPr>
        <w:t>Performance based cash units granted under the Company’s 2015 Plan vest at the end of a three-year period based on service and achievement of certain performance objectives determined by the Company’s Board of Directors.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the Company’s unvested performance-based cash units at September 30, 2019 and changes during the nine months ended September 30, 2019, is presented below:</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left="319"/>
              <w:spacing w:after="0"/>
              <w:rPr>
                <w:sz w:val="20"/>
                <w:szCs w:val="20"/>
                <w:color w:val="auto"/>
              </w:rPr>
            </w:pPr>
            <w:r>
              <w:rPr>
                <w:rFonts w:ascii="Arial" w:cs="Arial" w:eastAsia="Arial" w:hAnsi="Arial"/>
                <w:sz w:val="16"/>
                <w:szCs w:val="16"/>
                <w:b w:val="1"/>
                <w:bCs w:val="1"/>
                <w:color w:val="auto"/>
                <w:w w:val="92"/>
              </w:rPr>
              <w:t>Number of</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Unvested Cash Units</w:t>
            </w:r>
          </w:p>
        </w:tc>
        <w:tc>
          <w:tcPr>
            <w:tcW w:w="1180" w:type="dxa"/>
            <w:vAlign w:val="bottom"/>
          </w:tcPr>
          <w:p>
            <w:pPr>
              <w:jc w:val="center"/>
              <w:ind w:left="319"/>
              <w:spacing w:after="0"/>
              <w:rPr>
                <w:sz w:val="20"/>
                <w:szCs w:val="20"/>
                <w:color w:val="auto"/>
              </w:rPr>
            </w:pPr>
            <w:r>
              <w:rPr>
                <w:rFonts w:ascii="Arial" w:cs="Arial" w:eastAsia="Arial" w:hAnsi="Arial"/>
                <w:sz w:val="16"/>
                <w:szCs w:val="16"/>
                <w:b w:val="1"/>
                <w:bCs w:val="1"/>
                <w:color w:val="auto"/>
                <w:w w:val="93"/>
              </w:rPr>
              <w:t>Awards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7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2018</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w:t>
            </w:r>
          </w:p>
        </w:tc>
      </w:tr>
      <w:tr>
        <w:trPr>
          <w:trHeight w:val="243"/>
        </w:trPr>
        <w:tc>
          <w:tcPr>
            <w:tcW w:w="808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September 30, 2019</w:t>
            </w:r>
          </w:p>
        </w:tc>
        <w:tc>
          <w:tcPr>
            <w:tcW w:w="11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w:t>
            </w: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recognized approximately $6.6 million in related income tax provision and $1.6 million in related tax benefit during the nine months ended September 30, 2019 and 2018, respectively. The effective tax rate was approximately (7.3)% for the nine months ended September 30, 2019, which was lower than the U.S. federal statutory rate primarily due to pre-tax losses in jurisdictions where full valuation allowances have been recorded and in zero tax rate jurisdictions, offset by certain foreign jurisdictions projecting current income tax expense. In addition, during the period the company recorded discrete current income tax expense associated with U.S. Base Erosion and Anti-Abuse Tax.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2019.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Throughout 2017 and in 2018, the Company initiated a work-force reduction as part of a corporate restructuring, with reductions occurring across all levels and departments within the Company, primarily to reduce costs subsequent to an acquisition or divestiture. As part of these efforts, the Company continues to identify workforce optimization opportunities to better align the Company’s resources with its key strategic priorities.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restructuring accrual at September 30, 2019 and changes during the nine months ended September 30, 2019, are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Balance at December 31,</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Balance at September 30,</w:t>
            </w:r>
          </w:p>
        </w:tc>
      </w:tr>
      <w:tr>
        <w:trPr>
          <w:trHeight w:val="243"/>
        </w:trPr>
        <w:tc>
          <w:tcPr>
            <w:tcW w:w="2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Charges</w:t>
            </w: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56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Adjustments</w:t>
            </w:r>
            <w:r>
              <w:rPr>
                <w:rFonts w:ascii="Arial" w:cs="Arial" w:eastAsia="Arial" w:hAnsi="Arial"/>
                <w:sz w:val="21"/>
                <w:szCs w:val="21"/>
                <w:b w:val="1"/>
                <w:bCs w:val="1"/>
                <w:color w:val="auto"/>
                <w:vertAlign w:val="superscript"/>
              </w:rPr>
              <w:t>1</w:t>
            </w:r>
          </w:p>
        </w:tc>
        <w:tc>
          <w:tcPr>
            <w:tcW w:w="460" w:type="dxa"/>
            <w:vAlign w:val="bottom"/>
          </w:tcPr>
          <w:p>
            <w:pPr>
              <w:spacing w:after="0"/>
              <w:rPr>
                <w:sz w:val="21"/>
                <w:szCs w:val="21"/>
                <w:color w:val="auto"/>
              </w:rPr>
            </w:pPr>
          </w:p>
        </w:tc>
        <w:tc>
          <w:tcPr>
            <w:tcW w:w="1460" w:type="dxa"/>
            <w:vAlign w:val="bottom"/>
          </w:tcPr>
          <w:p>
            <w:pPr>
              <w:jc w:val="right"/>
              <w:ind w:right="714"/>
              <w:spacing w:after="0"/>
              <w:rPr>
                <w:sz w:val="20"/>
                <w:szCs w:val="20"/>
                <w:color w:val="auto"/>
              </w:rPr>
            </w:pPr>
            <w:r>
              <w:rPr>
                <w:rFonts w:ascii="Arial" w:cs="Arial" w:eastAsia="Arial" w:hAnsi="Arial"/>
                <w:sz w:val="16"/>
                <w:szCs w:val="16"/>
                <w:b w:val="1"/>
                <w:bCs w:val="1"/>
                <w:color w:val="auto"/>
              </w:rPr>
              <w:t>2019</w:t>
            </w:r>
          </w:p>
        </w:tc>
      </w:tr>
      <w:tr>
        <w:trPr>
          <w:trHeight w:val="237"/>
        </w:trPr>
        <w:tc>
          <w:tcPr>
            <w:tcW w:w="29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termination costs</w:t>
            </w: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1,276</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r>
      <w:tr>
        <w:trPr>
          <w:trHeight w:val="27"/>
        </w:trPr>
        <w:tc>
          <w:tcPr>
            <w:tcW w:w="2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________________________________</w:t>
      </w:r>
    </w:p>
    <w:p>
      <w:pPr>
        <w:ind w:left="340" w:hanging="332"/>
        <w:spacing w:after="0" w:line="187"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non-cash adjustments and reclassifications.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 (“EPS”)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5"/>
                <w:szCs w:val="15"/>
                <w:color w:val="auto"/>
              </w:rPr>
            </w:pPr>
          </w:p>
        </w:tc>
        <w:tc>
          <w:tcPr>
            <w:tcW w:w="2320" w:type="dxa"/>
            <w:vAlign w:val="bottom"/>
            <w:gridSpan w:val="4"/>
          </w:tcPr>
          <w:p>
            <w:pPr>
              <w:jc w:val="right"/>
              <w:ind w:right="249"/>
              <w:spacing w:after="0"/>
              <w:rPr>
                <w:sz w:val="20"/>
                <w:szCs w:val="20"/>
                <w:color w:val="auto"/>
              </w:rPr>
            </w:pPr>
            <w:r>
              <w:rPr>
                <w:rFonts w:ascii="Arial" w:cs="Arial" w:eastAsia="Arial" w:hAnsi="Arial"/>
                <w:sz w:val="13"/>
                <w:szCs w:val="13"/>
                <w:b w:val="1"/>
                <w:bCs w:val="1"/>
                <w:color w:val="auto"/>
                <w:w w:val="92"/>
              </w:rPr>
              <w:t>Nine Months Ended September 30,</w:t>
            </w:r>
          </w:p>
        </w:tc>
      </w:tr>
      <w:tr>
        <w:trPr>
          <w:trHeight w:val="264"/>
        </w:trPr>
        <w:tc>
          <w:tcPr>
            <w:tcW w:w="56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2018</w:t>
            </w:r>
          </w:p>
        </w:tc>
      </w:t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 - Basic:</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60" w:type="dxa"/>
            <w:vAlign w:val="bottom"/>
          </w:tcPr>
          <w:p>
            <w:pPr>
              <w:ind w:left="160"/>
              <w:spacing w:after="0"/>
              <w:rPr>
                <w:sz w:val="20"/>
                <w:szCs w:val="20"/>
                <w:color w:val="auto"/>
              </w:rPr>
            </w:pPr>
            <w:r>
              <w:rPr>
                <w:rFonts w:ascii="Arial" w:cs="Arial" w:eastAsia="Arial" w:hAnsi="Arial"/>
                <w:sz w:val="14"/>
                <w:szCs w:val="14"/>
                <w:color w:val="auto"/>
              </w:rPr>
              <w:t>Net loss from 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(61,213)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(46,644)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(97,528)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(125,885)</w:t>
            </w:r>
          </w:p>
        </w:tc>
      </w:tr>
      <w:tr>
        <w:trPr>
          <w:trHeight w:val="276"/>
        </w:trPr>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redeemable noncontrolling interests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2,122</w:t>
            </w:r>
          </w:p>
        </w:tc>
      </w:tr>
      <w:tr>
        <w:trPr>
          <w:trHeight w:val="264"/>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Preferred stock dividend</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(8,194)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(23,590)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(18,076)</w:t>
            </w: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Synchronoss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(69,432)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(141,839)</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 - Diluted:</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60" w:type="dxa"/>
            <w:vAlign w:val="bottom"/>
          </w:tcPr>
          <w:p>
            <w:pPr>
              <w:ind w:left="160"/>
              <w:spacing w:after="0"/>
              <w:rPr>
                <w:sz w:val="20"/>
                <w:szCs w:val="20"/>
                <w:color w:val="auto"/>
              </w:rPr>
            </w:pPr>
            <w:r>
              <w:rPr>
                <w:rFonts w:ascii="Arial" w:cs="Arial" w:eastAsia="Arial" w:hAnsi="Arial"/>
                <w:sz w:val="14"/>
                <w:szCs w:val="14"/>
                <w:color w:val="auto"/>
              </w:rPr>
              <w:t>Net (loss) income from continuing operations attributable to Synchronoss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(69,432)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(54,529)</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(122,049)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(141,839)</w:t>
            </w:r>
          </w:p>
        </w:tc>
      </w:tr>
      <w:tr>
        <w:trPr>
          <w:trHeight w:val="270"/>
        </w:trPr>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effect for interest on convertible debt, net of tax</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Synchronoss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(69,432)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(54,529)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(122,049)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(141,839)</w:t>
            </w:r>
          </w:p>
        </w:tc>
      </w:tr>
      <w:tr>
        <w:trPr>
          <w:trHeight w:val="156"/>
        </w:trPr>
        <w:tc>
          <w:tcPr>
            <w:tcW w:w="5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64"/>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40,910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40,564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40,405</w:t>
            </w:r>
          </w:p>
        </w:tc>
      </w:tr>
      <w:tr>
        <w:trPr>
          <w:trHeight w:val="264"/>
        </w:trPr>
        <w:tc>
          <w:tcPr>
            <w:tcW w:w="5660" w:type="dxa"/>
            <w:vAlign w:val="bottom"/>
          </w:tcPr>
          <w:p>
            <w:pPr>
              <w:ind w:left="20"/>
              <w:spacing w:after="0"/>
              <w:rPr>
                <w:sz w:val="20"/>
                <w:szCs w:val="20"/>
                <w:color w:val="auto"/>
              </w:rPr>
            </w:pPr>
            <w:r>
              <w:rPr>
                <w:rFonts w:ascii="Arial" w:cs="Arial" w:eastAsia="Arial" w:hAnsi="Arial"/>
                <w:sz w:val="14"/>
                <w:szCs w:val="14"/>
                <w:color w:val="auto"/>
              </w:rPr>
              <w:t>Dilutive effect of:</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xml:space="preserve">Shares from assumed conversion of convertible debt </w:t>
            </w:r>
            <w:r>
              <w:rPr>
                <w:rFonts w:ascii="Arial" w:cs="Arial" w:eastAsia="Arial" w:hAnsi="Arial"/>
                <w:sz w:val="8"/>
                <w:szCs w:val="8"/>
                <w:color w:val="auto"/>
              </w:rPr>
              <w:t>1</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5660" w:type="dxa"/>
            <w:vAlign w:val="bottom"/>
          </w:tcPr>
          <w:p>
            <w:pPr>
              <w:ind w:left="260"/>
              <w:spacing w:after="0"/>
              <w:rPr>
                <w:sz w:val="20"/>
                <w:szCs w:val="20"/>
                <w:color w:val="auto"/>
              </w:rPr>
            </w:pPr>
            <w:r>
              <w:rPr>
                <w:rFonts w:ascii="Arial" w:cs="Arial" w:eastAsia="Arial" w:hAnsi="Arial"/>
                <w:sz w:val="14"/>
                <w:szCs w:val="14"/>
                <w:color w:val="auto"/>
              </w:rPr>
              <w:t xml:space="preserve">Shares from assumed conversion of preferred stock </w:t>
            </w:r>
            <w:r>
              <w:rPr>
                <w:rFonts w:ascii="Arial" w:cs="Arial" w:eastAsia="Arial" w:hAnsi="Arial"/>
                <w:sz w:val="8"/>
                <w:szCs w:val="8"/>
                <w:color w:val="auto"/>
              </w:rPr>
              <w:t>2</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5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Options and unvested restricted shares</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40,910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39,612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40,564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40,405</w:t>
            </w:r>
          </w:p>
        </w:tc>
      </w:tr>
      <w:tr>
        <w:trPr>
          <w:trHeight w:val="156"/>
        </w:trPr>
        <w:tc>
          <w:tcPr>
            <w:tcW w:w="5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64"/>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r>
      <w:tr>
        <w:trPr>
          <w:trHeight w:val="156"/>
        </w:trPr>
        <w:tc>
          <w:tcPr>
            <w:tcW w:w="5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64"/>
        </w:trPr>
        <w:tc>
          <w:tcPr>
            <w:tcW w:w="5660" w:type="dxa"/>
            <w:vAlign w:val="bottom"/>
          </w:tcPr>
          <w:p>
            <w:pPr>
              <w:ind w:left="20"/>
              <w:spacing w:after="0"/>
              <w:rPr>
                <w:sz w:val="20"/>
                <w:szCs w:val="20"/>
                <w:color w:val="auto"/>
              </w:rPr>
            </w:pPr>
            <w:r>
              <w:rPr>
                <w:rFonts w:ascii="Arial" w:cs="Arial" w:eastAsia="Arial" w:hAnsi="Arial"/>
                <w:sz w:val="14"/>
                <w:szCs w:val="14"/>
                <w:color w:val="auto"/>
              </w:rPr>
              <w:t>Anti-dilutive stock options excluded</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4,647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4,412</w:t>
            </w:r>
          </w:p>
        </w:tc>
      </w:tr>
      <w:tr>
        <w:trPr>
          <w:trHeight w:val="27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shares of restricted stock awards</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2,916</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3,467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2,916</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26"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calculation does not include the effect of assumed conversion of convertible debt of 513 and 4,326 shares for the three months ended September 30, 2019 and 2018, respectively, and 1,688 and 4,326 shares for the nine months ended September 30, 2019 and 2018, respectively; which is based on 18.8072 shares per $1,000 principal amount of the Senior Convertible Notes.</w:t>
      </w:r>
    </w:p>
    <w:p>
      <w:pPr>
        <w:spacing w:after="0" w:line="203" w:lineRule="exact"/>
        <w:rPr>
          <w:rFonts w:ascii="Arial" w:cs="Arial" w:eastAsia="Arial" w:hAnsi="Arial"/>
          <w:sz w:val="25"/>
          <w:szCs w:val="25"/>
          <w:color w:val="auto"/>
          <w:vertAlign w:val="superscript"/>
        </w:rPr>
      </w:pPr>
    </w:p>
    <w:p>
      <w:pPr>
        <w:jc w:val="both"/>
        <w:ind w:left="340" w:hanging="332"/>
        <w:spacing w:after="0" w:line="262"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 calculation does not include the effect of assumed conversion of preferred stock of 11,511 and 10,843 shares, for the three months ended September 30, 2019 and 2018, respectively, and 11,199 and 10,843 shares for the nine months ended September 30, 2019 and 2018, respectively; which is based on 55.5556 shares per $1,000 principal amount of the preferred stock, because the effect would have been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Other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b w:val="1"/>
                <w:bCs w:val="1"/>
                <w:i w:val="1"/>
                <w:iCs w:val="1"/>
                <w:color w:val="auto"/>
              </w:rPr>
              <w:t>Purchase Obligations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9360" w:type="dxa"/>
            <w:vAlign w:val="bottom"/>
          </w:tcPr>
          <w:p>
            <w:pPr>
              <w:ind w:left="340"/>
              <w:spacing w:after="0"/>
              <w:rPr>
                <w:sz w:val="20"/>
                <w:szCs w:val="20"/>
                <w:color w:val="auto"/>
              </w:rPr>
            </w:pPr>
            <w:r>
              <w:rPr>
                <w:rFonts w:ascii="Arial" w:cs="Arial" w:eastAsia="Arial" w:hAnsi="Arial"/>
                <w:sz w:val="18"/>
                <w:szCs w:val="18"/>
                <w:color w:val="auto"/>
              </w:rPr>
              <w:t>Aggregate annual future minimum payments under non-cancelable agreements are as follows: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1"/>
        </w:trPr>
        <w:tc>
          <w:tcPr>
            <w:tcW w:w="9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Non-cancelable</w:t>
            </w:r>
          </w:p>
        </w:tc>
      </w:t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Period ending September 30, 2019</w:t>
            </w:r>
          </w:p>
        </w:tc>
        <w:tc>
          <w:tcPr>
            <w:tcW w:w="280" w:type="dxa"/>
            <w:vAlign w:val="bottom"/>
          </w:tcPr>
          <w:p>
            <w:pPr>
              <w:spacing w:after="0"/>
              <w:rPr>
                <w:sz w:val="20"/>
                <w:szCs w:val="20"/>
                <w:color w:val="auto"/>
              </w:rPr>
            </w:pPr>
          </w:p>
        </w:tc>
        <w:tc>
          <w:tcPr>
            <w:tcW w:w="1780" w:type="dxa"/>
            <w:vAlign w:val="bottom"/>
          </w:tcPr>
          <w:p>
            <w:pPr>
              <w:jc w:val="right"/>
              <w:ind w:right="490"/>
              <w:spacing w:after="0"/>
              <w:rPr>
                <w:sz w:val="20"/>
                <w:szCs w:val="20"/>
                <w:color w:val="auto"/>
              </w:rPr>
            </w:pPr>
            <w:r>
              <w:rPr>
                <w:rFonts w:ascii="Arial" w:cs="Arial" w:eastAsia="Arial" w:hAnsi="Arial"/>
                <w:sz w:val="18"/>
                <w:szCs w:val="18"/>
                <w:b w:val="1"/>
                <w:bCs w:val="1"/>
                <w:color w:val="auto"/>
              </w:rPr>
              <w:t>agreements</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25,257</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2,933</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3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39,238</w:t>
            </w:r>
          </w:p>
        </w:tc>
      </w:tr>
      <w:tr>
        <w:trPr>
          <w:trHeight w:val="27"/>
        </w:trPr>
        <w:tc>
          <w:tcPr>
            <w:tcW w:w="9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our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our common stock between October 28, 2014 and June 13, 2017. On June 28, 2019, the Court granted defendants’ motion to dismiss the consolidated amended complaint in its entirety, without prejudice, allowing lead plaintiff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our financial results, business operations, and prospects. On October 4, 2019, the defendants moved to dismiss the second amended complaint in its entirety, with prejudice. The Company believes that the asserted claims lack merit and intends to defend against all of the claims vigorously. The plaintiff seeks unspecified damages, fees, interest, and costs.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15, 2017, October 24, 2017, October 27, 2017 and October 30, 2017, the Company’s shareholders filed derivative lawsuits against certain of its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 The Operative Complaint’s allegations relate to substantially the same facts as those underlying the Securities Law Action described above. Plaintiff seeks unspecified damages and for the Company to take steps to improve its corporate governance and internal procedures. Defendants’ motion to dismiss the Operative Complaint is pending before the Court.</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pending motion to dismiss in the Derivative Suits. The Company believes that the asserted claims lack merit and intends to defend against all of the claims vigorously. Due to the inherent uncertainties of litigation, the Company cannot predict the outcome of the Derivative Suits at this time and can give no assurance that the asserted claims will not have a material adverse effect on our financial position or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Additional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Other (expense) income, net included in the Condensed Consolidated Statements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(1,314)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PIK Note impairment </w:t>
            </w:r>
            <w:r>
              <w:rPr>
                <w:rFonts w:ascii="Arial" w:cs="Arial" w:eastAsia="Arial" w:hAnsi="Arial"/>
                <w:sz w:val="25"/>
                <w:szCs w:val="25"/>
                <w:color w:val="auto"/>
                <w:vertAlign w:val="superscript"/>
              </w:rPr>
              <w:t>(2)</w:t>
            </w:r>
          </w:p>
        </w:tc>
        <w:tc>
          <w:tcPr>
            <w:tcW w:w="9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(3)</w:t>
            </w:r>
          </w:p>
        </w:tc>
        <w:tc>
          <w:tcPr>
            <w:tcW w:w="9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Remeasurement gain (loss) on financial instrument </w:t>
            </w:r>
            <w:r>
              <w:rPr>
                <w:rFonts w:ascii="Arial" w:cs="Arial" w:eastAsia="Arial" w:hAnsi="Arial"/>
                <w:sz w:val="25"/>
                <w:szCs w:val="25"/>
                <w:color w:val="auto"/>
                <w:vertAlign w:val="superscript"/>
              </w:rPr>
              <w:t>(4)</w:t>
            </w:r>
          </w:p>
        </w:tc>
        <w:tc>
          <w:tcPr>
            <w:tcW w:w="9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Income from Investment </w:t>
            </w:r>
            <w:r>
              <w:rPr>
                <w:rFonts w:ascii="Arial" w:cs="Arial" w:eastAsia="Arial" w:hAnsi="Arial"/>
                <w:sz w:val="25"/>
                <w:szCs w:val="25"/>
                <w:color w:val="auto"/>
                <w:vertAlign w:val="superscript"/>
              </w:rPr>
              <w:t>(5)</w:t>
            </w:r>
          </w:p>
        </w:tc>
        <w:tc>
          <w:tcPr>
            <w:tcW w:w="9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Royalty income </w:t>
            </w:r>
            <w:r>
              <w:rPr>
                <w:rFonts w:ascii="Arial" w:cs="Arial" w:eastAsia="Arial" w:hAnsi="Arial"/>
                <w:sz w:val="25"/>
                <w:szCs w:val="25"/>
                <w:color w:val="auto"/>
                <w:vertAlign w:val="superscript"/>
              </w:rPr>
              <w:t>(6)</w:t>
            </w:r>
          </w:p>
        </w:tc>
        <w:tc>
          <w:tcPr>
            <w:tcW w:w="9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(7)</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Fair value of foreign exchange gains and losses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PIK Note impairment on the troubled debt restructuring</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Represents Legal settlement of $4.2M and $0.3M IP settlement from third parties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Remeasurement of gain/loss on Mandatorily Redeemable Put option for common shares held by Siris.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Represents gain on sale on the Company’s cost investment in Clarity, Money Inc.</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Includes royalty income in connection with Mirapoint sale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Represents an aggregate of individually immaterial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0.00%. In addition, on a quarterly basis, the Company is required to pay each lender under the Revolving Credit Facility a 0.2% commitment fee in respect of commitments under the Revolving Credit Facility, which may be subject to adjustment based on the Company’s total leverage ratio. The Company has not borrowed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5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currently operates in and markets its solutions and services directly through its sales organizations in North America, Europe and Asia-Pacific.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business depends on the continued growth of Business-to-Business and Business-to-Business-to-Consumer driving customer transactions, and continued expansion of our platforms into the TMT Market globally through Digital Transformation, Messaging, Cloud and Internet of Things (“IoT”) markets. As such, the volume of transactions and our ability to expand our footprint in TMT and globally may result in revenue fluctuations on a quarterly basis.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top five customers accounted for 70.8% and 70.8% of net revenues for the nine months ended September 30, 2019 and September 30, 2018, respectively. Contracts with these customers typically run for three to five years. Of these customers, Verizon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accounted for more than 10% of our revenues in 2019 and 2018. The loss of Verizon as a customer would have a material negative impact on our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believe that the costs incurred and subscriber disruption by Verizon to replace Synchronoss’ solutions would be substantial.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the three months ended September 30,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September 30,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14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 vs 2018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43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35,602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30,536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18,508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540" w:firstLine="8"/>
        <w:spacing w:after="0" w:line="290" w:lineRule="auto"/>
        <w:tabs>
          <w:tab w:leader="none" w:pos="3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2019 and 2018 net revenues includes STIN revenue of $(19.6) million and $7.3 million respectively. ** Cost of revenues excludes depreciation and amortization which are shown separately.</w:t>
      </w:r>
    </w:p>
    <w:p>
      <w:pPr>
        <w:spacing w:after="0" w:line="15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$31.1 million to $52.2 million for the three months ended September 30, 2019, compared to the same period in 2018. The</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 in revenue is primarily driven by changes to the STIN business that led the Company to conclude that its collection of certain STIN receivables is no longer probable. In accordance with ASC 842, the portion of revenue that is no longer deemed collectible is reversed in the current period against revenue. Accordingly, the Company determined a contingency reserve is required, which is included as a reduction of revenue in the amount $26.0 million.</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$8.1 million to $35.6 million for the three months ended September 30, 2019, compared to the same period in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2019 decrease was primarily due to cost savings initiatives implemented in 2018 and continuing into 2019. These initiatives resulted in a significant decrease in cost of revenues driven mainly by data center consolidation and operating expense savings.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$0.1 million to $18.6 million for the three months ended September 30,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decrease in 2019 is primarily due to the realization of our strategic efforts to reduce costs and refocus our resources on key strategic priorities. These efforts resulted in decreased personnel related costs including stock-based compensation expense.</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increased $3.2 million to $30.5 million for the three months ended September 30, 2019,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2018. The 2019 increase was primarily related to the right of use asset impairment of $6.1 million in the period offset by lower personnel and consulting costs from the prior period.</w:t>
      </w:r>
    </w:p>
    <w:p>
      <w:pPr>
        <w:spacing w:after="0" w:line="17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$0.0 million and $4.5 million for the three months ended September 30, 2019 and 2018, respectively, which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employment termination costs as a result of the work-force reduction and facility consolidation plans initiated in connection with acquisition and divestiture activities. In the prior year, we commenced separate plans designed to reduce operating costs and align our resources with our key strategic priorities. Material cash outlays for restructuring typically occur in the quarter in which the plan is initiated or in the subsequent quarter.</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$5.2 million to $18.5 million for the three months ended September 30,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2019 decrease was primarily attributable to the expiration of amortizable acquired assets, partially offset by the increased amortization of capitalized software.</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decreased $1.2 million to $0.2 million for the three months ended September 30,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a decrease in our borrowings outstanding in 2019 after repayments of 2019 Notes.</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The Company recognized approximately $9.8 million income tax provision and $2.3 million in related income tax benefit during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2019 and 2018, respectively. The effective tax rate was approximately (19.2)% for the three months ended September 30, 2019, which was lower than the U.S. federal statutory rate primarily due to pre-tax losses in jurisdictions where full valuation allowances have been recorded and in zero tax rate jurisdictions, offset by certain foreign jurisdictions projecting current income tax expense. In addition, during the period the company recorded discrete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current income tax expense associated with U.S. Base Erosion and Anti-Abuse Tax. The Company’s effective tax rate was approximately 4.7% for the three months ended September 30, 2018, which was lower than the U.S. federal statutory rate primarily due to the to the valuation allowance recorded in the fourth quarter of 2017 and the tax benefits recorded discretely in the third quarter of 2018 from the expiration of the statute of limitations for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Condensed Consolidated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nine months ended September 30,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36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 vs 2018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4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107,958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82,862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58,920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307,760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(57,940)</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32,364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540" w:firstLine="8"/>
        <w:spacing w:after="0" w:line="290" w:lineRule="auto"/>
        <w:tabs>
          <w:tab w:leader="none" w:pos="3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2019 and 2018 net revenues includes STIN revenue of $(6.9) million and $21.0 million respectively. ** Cost of revenues excludes depreciation and amortization which are shown separately.</w:t>
      </w:r>
    </w:p>
    <w:p>
      <w:pPr>
        <w:spacing w:after="0" w:line="15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$25.6 million to $218.2 million for the nine months ended September 30, 2019, compared to the same period in 2018. The</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 in revenue is primarily driven by changes to the STIN business that led the Company to conclude that its collection of certain STIN receivables is no longer probable. In accordance with ASC 842, the portion of revenue that is no longer deemed collectible is reversed in the current period against revenue. Accordingly, the Company determined a contingency reserve is required, which is included as a reduction of revenue in the amount $26.0 million.</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$19.8 million to $108.0 million for the nine months ended September 30, 2019, compared to the same period in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2019 decrease was primarily due to cost savings initiatives implemented in 2018 and continuing into 2019. These initiatives resulted in a significant decrease in cost of revenues driven mainly by data center consolidation and operating expense savings.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$2.5 million to $57.3 million for the nine months ended September 30,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decrease in 2019 is primarily due to the realization of our strategic efforts to reduce costs and refocus our resources on key strategic priorities. These efforts resulted in decreased personnel related costs including stock-based compensation expense.</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$16.5 million to $82.9 million for the nine months ended September 30, 2019,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2018. The 2019 decrease was primarily due to a net reduction in professional services and outside consulting fees incurred in the prior year period and lower telecommunication and facility costs offset by the right of use asset impairment of $6.1 million in the current period.</w:t>
      </w:r>
    </w:p>
    <w:p>
      <w:pPr>
        <w:spacing w:after="0" w:line="15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$0.7 million and $8.4 million for the nine months ended September 30, 2019 and 2018, respectively, which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employment termination costs as a result of the work-force reduction and facility consolidation plans initiated in connection with acquisition and divestiture activities. In the prior year, we commenced separate plans designed to reduce operating costs and align our resources with our key strategic priorities. Material cash outlays for restructuring typically occur in the quarter in which the plan is initiated or in the subsequent quarter.</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$11.4 million to $58.9 million for the nine months ended September 30,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2019 decrease was primarily attributable to the expiration of amortizable acquired assets, partially offset by the increased amortization of capitalized software.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decreased $6.8 million to $0.7 million for the nine months ended September 30,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2018 interest earned on a paid-in-kind purchase money note (the “PIK Note”), which the Company began deferring effective July 1, 2018 related to PIK Note.</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$2.7 million to $1.3 million for the nine months ended September 30, 2019, compared to the same period in 2018. The 2019</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a decrease in our borrowings outstanding in 2019 after repayments of 2019 Notes and new lease standard (Topic 842) implementation for interest expense presentation which is now reflected in operating expense effective first quarter of 2019.</w:t>
      </w:r>
    </w:p>
    <w:p>
      <w:pPr>
        <w:spacing w:after="0" w:line="158"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decreased $9.2 million to $0.0 million for the nine months ended September 30, 2019, compared to the same period in 2018. There was</w:t>
      </w:r>
      <w:r>
        <w:rPr>
          <w:rFonts w:ascii="Arial" w:cs="Arial" w:eastAsia="Arial" w:hAnsi="Arial"/>
          <w:sz w:val="16"/>
          <w:szCs w:val="16"/>
          <w:b w:val="1"/>
          <w:bCs w:val="1"/>
          <w:color w:val="auto"/>
        </w:rPr>
        <w:t xml:space="preserve"> </w:t>
      </w:r>
      <w:r>
        <w:rPr>
          <w:rFonts w:ascii="Arial" w:cs="Arial" w:eastAsia="Arial" w:hAnsi="Arial"/>
          <w:sz w:val="16"/>
          <w:szCs w:val="16"/>
          <w:color w:val="auto"/>
        </w:rPr>
        <w:t>no significant activity in current period in other expense. The prior period other net expense consisted of a $18.2 million write down of the PIK note, partially offset by other net income of $4.2 million in legal settlements and $3.8 million from the remeasurement of a mandatorily redeemable financial instrument.</w:t>
      </w:r>
    </w:p>
    <w:p>
      <w:pPr>
        <w:spacing w:after="0" w:line="14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Equity method investment loss </w:t>
      </w:r>
      <w:r>
        <w:rPr>
          <w:rFonts w:ascii="Arial" w:cs="Arial" w:eastAsia="Arial" w:hAnsi="Arial"/>
          <w:sz w:val="18"/>
          <w:szCs w:val="18"/>
          <w:color w:val="auto"/>
        </w:rPr>
        <w:t>changed $1.7 million to a loss of $1.6 million for the nine months ended September 30, 2019, compared to a loss of $0.1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2018. All equity method investment income (loss) are the result of our 30% equity interest in STIN and vary based on the financial results of the investment company during the respective reporting period.</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The Company recognized approximately $6.6 million in related income tax provision and $1.6 million in related income tax benefit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2019 and 2018, respectively. The effective tax rate was approximately (7.3)% for the nine months ended September 30, 2019, which was lower than the U.S. federal statutory rate primarily due to pre-tax losses in jurisdictions where full valuation allowances have been recorded and in zero tax rate jurisdictions, offset by certain foreign jurisdictions projecting current income tax expense. In addition, during the period the company recorded discrete current income tax expense associated with U.S. Base Erosion and Anti-Abuse Tax. The Company’s effective tax rate was approximately 1.3% for the nine months ended September 30, 2018, which was lower than the U.S. federal statutory rate primarily due to the valuation allowance recorded in the fourth quarter of 2017 and the tax benefits recorded discretely in the third quarter of 2018 from the expiration of the statute of limitations for uncertain tax positions.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September 30, 2019, our principal sources of liquidity have been cash provided by operations and proceeds from divestitures. Our cash, cash equivalents, marketable securities and restricted cash balance was $20.1 million at September 30, 2019. We anticipate that our principal uses of cash, cash equivalents, and marketable securities will be to fund the expansion of our business through both organic growth and acquisition activities and the expansion of our customer base. Uses of cash will also include facility and technology expansion, significant integration, capital expenditures, and working capital.</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September 30, 2019, our non-U.S. subsidiaries held approximately $8.6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existing cash, cash equivalents, marketable securities, and expected positive cash flows generated from operations will be sufficient to fund our operations for the next twelve months from the date of filing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paid off the remaining carrying amount of the convertible senior notes on August 15, 2019. For further details, see </w:t>
      </w:r>
      <w:r>
        <w:rPr>
          <w:rFonts w:ascii="Arial" w:cs="Arial" w:eastAsia="Arial" w:hAnsi="Arial"/>
          <w:sz w:val="18"/>
          <w:szCs w:val="18"/>
          <w:i w:val="1"/>
          <w:iCs w:val="1"/>
          <w:color w:val="auto"/>
        </w:rPr>
        <w:t>Note 7. Debt</w:t>
      </w:r>
      <w:r>
        <w:rPr>
          <w:rFonts w:ascii="Arial" w:cs="Arial" w:eastAsia="Arial" w:hAnsi="Arial"/>
          <w:sz w:val="18"/>
          <w:szCs w:val="18"/>
          <w:color w:val="auto"/>
        </w:rPr>
        <w:t xml:space="preserve"> of the Notes to Condensed Consolidated Financial Statements in Item 1 of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w:t>
      </w:r>
    </w:p>
    <w:p>
      <w:pPr>
        <w:spacing w:after="0" w:line="2" w:lineRule="exact"/>
        <w:rPr>
          <w:sz w:val="20"/>
          <w:szCs w:val="20"/>
          <w:color w:val="auto"/>
        </w:rPr>
      </w:pPr>
    </w:p>
    <w:p>
      <w:pPr>
        <w:jc w:val="both"/>
        <w:ind w:firstLine="8"/>
        <w:spacing w:after="0" w:line="255" w:lineRule="auto"/>
        <w:tabs>
          <w:tab w:leader="none" w:pos="2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September 30, 2019, the Liquidation Value and Redemption Value of the Preferred Shares was $243.1 million.</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jc w:val="center"/>
              <w:ind w:right="4710"/>
              <w:spacing w:after="0"/>
              <w:rPr>
                <w:sz w:val="20"/>
                <w:szCs w:val="20"/>
                <w:color w:val="auto"/>
              </w:rPr>
            </w:pPr>
            <w:r>
              <w:rPr>
                <w:rFonts w:ascii="Arial" w:cs="Arial" w:eastAsia="Arial" w:hAnsi="Arial"/>
                <w:sz w:val="18"/>
                <w:szCs w:val="18"/>
                <w:b w:val="1"/>
                <w:bCs w:val="1"/>
                <w:color w:val="auto"/>
                <w:w w:val="86"/>
              </w:rPr>
              <w:t>Discussion of Cash Flows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340"/>
              <w:spacing w:after="0"/>
              <w:rPr>
                <w:sz w:val="20"/>
                <w:szCs w:val="20"/>
                <w:color w:val="auto"/>
              </w:rPr>
            </w:pPr>
            <w:r>
              <w:rPr>
                <w:rFonts w:ascii="Arial" w:cs="Arial" w:eastAsia="Arial" w:hAnsi="Arial"/>
                <w:sz w:val="18"/>
                <w:szCs w:val="18"/>
                <w:color w:val="auto"/>
              </w:rPr>
              <w:t>A summary of net cash flows follows (in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c>
          <w:tcPr>
            <w:tcW w:w="2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center"/>
              <w:ind w:right="4670"/>
              <w:spacing w:after="0"/>
              <w:rPr>
                <w:sz w:val="20"/>
                <w:szCs w:val="20"/>
                <w:color w:val="auto"/>
              </w:rPr>
            </w:pPr>
            <w:r>
              <w:rPr>
                <w:rFonts w:ascii="Arial" w:cs="Arial" w:eastAsia="Arial" w:hAnsi="Arial"/>
                <w:sz w:val="18"/>
                <w:szCs w:val="18"/>
                <w:color w:val="auto"/>
                <w:w w:val="92"/>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72,501</w:t>
            </w:r>
          </w:p>
        </w:tc>
        <w:tc>
          <w:tcPr>
            <w:tcW w:w="0" w:type="dxa"/>
            <w:vAlign w:val="bottom"/>
          </w:tcPr>
          <w:p>
            <w:pPr>
              <w:spacing w:after="0"/>
              <w:rPr>
                <w:sz w:val="1"/>
                <w:szCs w:val="1"/>
                <w:color w:val="auto"/>
              </w:rPr>
            </w:pPr>
          </w:p>
        </w:tc>
      </w:tr>
      <w:tr>
        <w:trPr>
          <w:trHeight w:val="243"/>
        </w:trPr>
        <w:tc>
          <w:tcPr>
            <w:tcW w:w="6740" w:type="dxa"/>
            <w:vAlign w:val="bottom"/>
          </w:tcPr>
          <w:p>
            <w:pPr>
              <w:jc w:val="center"/>
              <w:ind w:right="4730"/>
              <w:spacing w:after="0"/>
              <w:rPr>
                <w:sz w:val="20"/>
                <w:szCs w:val="20"/>
                <w:color w:val="auto"/>
              </w:rPr>
            </w:pPr>
            <w:r>
              <w:rPr>
                <w:rFonts w:ascii="Arial" w:cs="Arial" w:eastAsia="Arial" w:hAnsi="Arial"/>
                <w:sz w:val="18"/>
                <w:szCs w:val="18"/>
                <w:color w:val="auto"/>
                <w:w w:val="93"/>
              </w:rPr>
              <w:t>Investing activities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59,770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jc w:val="center"/>
              <w:ind w:right="4670"/>
              <w:spacing w:after="0"/>
              <w:rPr>
                <w:sz w:val="20"/>
                <w:szCs w:val="20"/>
                <w:color w:val="auto"/>
              </w:rPr>
            </w:pPr>
            <w:r>
              <w:rPr>
                <w:rFonts w:ascii="Arial" w:cs="Arial" w:eastAsia="Arial" w:hAnsi="Arial"/>
                <w:sz w:val="18"/>
                <w:szCs w:val="18"/>
                <w:color w:val="auto"/>
                <w:w w:val="93"/>
              </w:rPr>
              <w:t>Financing activities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7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nine months ended September 30, 2019 was a $11.8 million of cash provided by operating activities,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$60.7 million of cash used for operating activities for the same period in 2018. The increase of cash provided by operating activities of $72.5 million was primarily due to favorable changes in cash earnings of $38.2 million and a favorable change in working capital of $34.3 million.</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nine months ended September 30, 2019 was $17.7 million, as compared to $42.0 million in cash used for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during the same period in 2018. The increased spend in 2018 was due primarily to purchase marketable securities and fund the honeybee acquisition.</w:t>
      </w:r>
    </w:p>
    <w:p>
      <w:pPr>
        <w:spacing w:after="0" w:line="17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Cash flows from financing </w:t>
      </w:r>
      <w:r>
        <w:rPr>
          <w:rFonts w:ascii="Arial" w:cs="Arial" w:eastAsia="Arial" w:hAnsi="Arial"/>
          <w:sz w:val="16"/>
          <w:szCs w:val="16"/>
          <w:color w:val="auto"/>
        </w:rPr>
        <w:t>for nine months ended September 30, 2019 was $121.0 million use of cash, as compared to $85.2 million of cash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by financing activities for the same period in 2018. The cash used for financing for 2019 was primarily driven by the $113.0 million partial repayment of the convertible debt and preferred dividend payment of $7.1 million compared to proceeds for the issuance of preferred stock for the same period in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2019 and 2018. We do not expect the current rate of inflation to have a material impact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principal and interest related to our Convertible Senior Notes,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September 30,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0"/>
              </w:rPr>
              <w:t>Payments Due by Period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6"/>
                <w:szCs w:val="16"/>
                <w:b w:val="1"/>
                <w:bCs w:val="1"/>
                <w:color w:val="auto"/>
                <w:w w:val="93"/>
              </w:rPr>
              <w:t>Remainder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w w:val="98"/>
              </w:rPr>
              <w:t>2020 - 2022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6"/>
                <w:szCs w:val="16"/>
                <w:b w:val="1"/>
                <w:bCs w:val="1"/>
                <w:color w:val="auto"/>
              </w:rPr>
              <w:t>2023 - 2024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95,868</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3,242</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38,689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20,079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33,858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135,419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70,033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20,079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33,858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38</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represents obligations associated with colocation agreements and other customer delivery related purchase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Unrecognized tax positions of $3.6 million at September 30, 2019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nine months ended September 30, 2019, the Company made significant changes in its accounting policies over leases, to align with the adoption of Topic 842. These updates are described in detail in </w:t>
      </w:r>
      <w:r>
        <w:rPr>
          <w:rFonts w:ascii="Arial" w:cs="Arial" w:eastAsia="Arial" w:hAnsi="Arial"/>
          <w:sz w:val="18"/>
          <w:szCs w:val="18"/>
          <w:i w:val="1"/>
          <w:iCs w:val="1"/>
          <w:color w:val="auto"/>
        </w:rPr>
        <w:t>Note 2. Basis of Presentation and Consolidation.</w:t>
      </w:r>
      <w:r>
        <w:rPr>
          <w:rFonts w:ascii="Arial" w:cs="Arial" w:eastAsia="Arial" w:hAnsi="Arial"/>
          <w:sz w:val="18"/>
          <w:szCs w:val="18"/>
          <w:color w:val="auto"/>
        </w:rPr>
        <w:t xml:space="preserve"> Aside from the adoption of Topic 842, there were no significant changes in our critical accounting policies and estimates discussed in our Form 10-K for the year ended December 31, 2018 during the nine months ended September 30, 2019. Please refer to Management’s Discussion and Analysis of Financial Condition and Results of Operations contained in Part II, Item 7 of our Annual Report on Form 10-K for the year ended December 31, 2018 for a more complete discussion of our critical accounting policies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off-balance sheet arrangements as of September 30, 2019 and December 31, 2018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September 30, 2019 and December 31, 2018 were invested in liquid money market accounts, certificates of deposit and government securities. All market-risk sensitive instruments were entered into for non-trading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September 30, 2019 would increase interest income by approximately $0.2 million on an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preparation of the Company’s Form 10-Q for the first quarter of 2017 and a related internal investigation commenced by the Audit Committee, certain adjustments related to the Company’s accounting treatment for software license revenue were identified. The Company subsequently completed additional accounting review procedures and identified other adjustments.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accounting adjustments referenced above resulted from certain material weaknesses in our internal control over financial reporting.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described in additional detail in the 2018 Form 10-K, the Company did not maintain effective controls within its financial close process. Until these material weaknesses are remediated, they could result in material misstatements of the Company’s financial statements that would not be prevented or detected. As of September 30, 2019, the remedial measures identified below have been implemented and tested by management for design and operating effectiveness in the second quarter. Based on the results of testing, management has developed specific action plans to address the control findings which were incorporated into our third quarter testing that is currently being evaluated.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(the “Exchange Act”)),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Principal Executive Officer and Principal Financial Officer have evaluated the design and effectiveness of the Company’s disclosure controls and procedures as of September 30, 2019 and, due to the existence of the material weaknesses in internal control over financial reporting described above, the Company’s Principal Executive and Principal Financial Officers have determined that such disclosure controls and procedures were not effective as of such date. In light of the material weakness, the Company performed additional analysis and other post-closing procedures to ensure the Company’s condensed consolidated financial statements are prepared in accordance with U.S. GAAP. Accordingly, the Company’s management, including its Principal Executive and Principal Financial Officers, has concluded that the condensed consolidated financial statements included in this Form 10-Q present fairly, in all material respects, the Company’s financial position, results of operations and cash flows for the periods presented in conformity with accounting principles generally accepted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 in Internal Control Over Financial Reporting</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Following the identification of the material weaknesses described above and further described in subsection “Evaluation of Disclosure Controls and Procedures” in Part II, Item 9A of our Annual Report on Form 10-K for the year ended December 31, 2018, and with the oversight of the Audit Committee, management is committed to our remediation efforts to address these material weaknesses. The remediation efforts, summarized below, are intended to both address the identified material weaknesses and strengthen our overall financial control environment. In this regard, the following represents the enhancements the Company has designed, implemented and is in the process testing as of September 30, 2019 to remediate the material weaknesses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Environment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hanging="324"/>
        <w:spacing w:after="0" w:line="25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increased standardization of contract documentation and revenue analysis for individual transactions, including increased oversight of revenue opportunities and contract review by personnel with the requisite accounting knowledge to identify revenue-impacting terms and consider potential downstream effects.</w:t>
      </w: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developed a more comprehensive review process and monitoring controls over contracts with customers to ensure accurate accounting for multiple-element arrangements.</w:t>
      </w:r>
    </w:p>
    <w:p>
      <w:pPr>
        <w:jc w:val="both"/>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implemented and is executing a quarterly non-recurring transaction review meeting with key stakeholders within the Company to identify and discuss potentially significant transactions. Meetings are attended by process owners across various functions or departments, both domestic and international, to promote regular and effective communication between finance and non-finance personnel, and to ensure that information related to significant transactions is communicated timely.</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performed a review of key business process controls related to high-risk financial statement accounts, such as revenue, significant transactions, capitalized software, accounts receivable, treasury and financial close, which resulted in the redesign of existing controls and the addition of newly developed / documented control activities, in order to mitigate known risks and strengthen the overall control environment. The redesigned control environment was tested in the second quarter and management action plans were developed and incorporated into our current periods control procedures.</w:t>
      </w:r>
    </w:p>
    <w:p>
      <w:pPr>
        <w:spacing w:after="0" w:line="2"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hired a Director of Revenue Recognition, a Director of Technical Accounting, and other resources to augment our staff to support further enhancement on the controls and procedures surrounding revenue recognition and technical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Activities</w:t>
      </w:r>
    </w:p>
    <w:p>
      <w:pPr>
        <w:spacing w:after="0" w:line="225" w:lineRule="exact"/>
        <w:rPr>
          <w:sz w:val="20"/>
          <w:szCs w:val="20"/>
          <w:color w:val="auto"/>
        </w:rPr>
      </w:pPr>
    </w:p>
    <w:p>
      <w:pPr>
        <w:ind w:left="980" w:right="20" w:hanging="324"/>
        <w:spacing w:after="0" w:line="274"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has performed a review of key IT process controls and enhanced the control design. The IT control environment was tested in the second quarter and management action plans were developed and incorporated into our current periods control procedures.</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engaged external resources to assist management in our control design assessment and execution.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and Communication</w:t>
      </w:r>
    </w:p>
    <w:p>
      <w:pPr>
        <w:spacing w:after="0" w:line="225" w:lineRule="exact"/>
        <w:rPr>
          <w:sz w:val="20"/>
          <w:szCs w:val="20"/>
          <w:color w:val="auto"/>
        </w:rPr>
      </w:pPr>
    </w:p>
    <w:p>
      <w:pPr>
        <w:jc w:val="both"/>
        <w:ind w:left="980" w:hanging="324"/>
        <w:spacing w:after="0" w:line="271"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has established a Disclosure Committee that includes key members of management that include key members of management that have responsibility for disclosure information necessary for periodic filings with the SEC. The committee met formally for purposes of the Fiscal 2019 Form 10-Q filing to discuss all significant events and relevant disclosure matters for the filing.</w:t>
      </w:r>
    </w:p>
    <w:p>
      <w:pPr>
        <w:jc w:val="both"/>
        <w:ind w:left="980" w:hanging="324"/>
        <w:spacing w:after="0" w:line="273"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has established a quarterly significant non-recurring transactions meeting that includes key members of management from each functional business area including sales, marketing, finance, operations, information technology, and legal. The meeting includes a standardized agenda that discusses relevant business matters and updates that may have an accounting implication for the quarter. Each matter is documented, the accounting implications are assessed, and the appropriate actions are taken.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Monitoring Activities and Risk Assessment</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formally established an Internal Audit function and our Audit Committee approved their charter in January 2019.</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enhanced and completed our risk assessment processes to identify relevant accounts and assertions and design control procedures that relate to relevant risks.</w:t>
      </w: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reevaluated and completed our control design of our entity level controls. The Company is in the process of executing full control testing for entity level controls as of September 30, 2019.</w:t>
      </w: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hired external resources to support and improve our Internal Audit function.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control measures described above have been implemented and will remediate the material weaknesses we have identified in our internal control over financial reporting, as well as our disclosure controls and procedures once the controls have been operating effectively for a sufficient period of time. We are committed to continuing to improve our internal control processes and will continue to diligently and vigorously review our financial reporting controls and procedures. As we continue to evaluate and work to improve our internal control over financial reporting, our management may determine to take additional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Excluding the changes described above under “Remediation of Material Weaknesses in Internal Control Over Financial Reporting” including the on-going remediation efforts described above, there were no changes in our internal control over financial reporting during the period ended September 30, 2019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or future results. The risks described in our Form 10-K and other reports we file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01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780" w:type="dxa"/>
            <w:vAlign w:val="bottom"/>
            <w:tcBorders>
              <w:top w:val="single" w:sz="8" w:color="auto"/>
            </w:tcBorders>
            <w:gridSpan w:val="5"/>
            <w:vMerge w:val="restart"/>
          </w:tcPr>
          <w:p>
            <w:pPr>
              <w:spacing w:after="0" w:line="161" w:lineRule="exact"/>
              <w:rPr>
                <w:rFonts w:ascii="Arial" w:cs="Arial" w:eastAsia="Arial" w:hAnsi="Arial"/>
                <w:sz w:val="14"/>
                <w:szCs w:val="14"/>
                <w:color w:val="0000FF"/>
                <w:w w:val="93"/>
              </w:rPr>
            </w:pPr>
            <w:hyperlink r:id="rId28">
              <w:r>
                <w:rPr>
                  <w:rFonts w:ascii="Arial" w:cs="Arial" w:eastAsia="Arial" w:hAnsi="Arial"/>
                  <w:sz w:val="14"/>
                  <w:szCs w:val="14"/>
                  <w:color w:val="0000FF"/>
                  <w:w w:val="93"/>
                </w:rPr>
                <w:t>Restated Certificate of Incorporation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400" w:type="dxa"/>
            <w:vAlign w:val="bottom"/>
            <w:tcBorders>
              <w:top w:val="single" w:sz="8" w:color="auto"/>
            </w:tcBorders>
            <w:gridSpan w:val="6"/>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780" w:type="dxa"/>
            <w:vAlign w:val="bottom"/>
            <w:tcBorders>
              <w:bottom w:val="single" w:sz="8" w:color="0000FF"/>
            </w:tcBorders>
            <w:gridSpan w:val="5"/>
            <w:vMerge w:val="continue"/>
          </w:tcPr>
          <w:p>
            <w:pPr>
              <w:spacing w:after="0"/>
              <w:rPr>
                <w:sz w:val="2"/>
                <w:szCs w:val="2"/>
                <w:color w:val="auto"/>
              </w:rPr>
            </w:pPr>
          </w:p>
        </w:tc>
        <w:tc>
          <w:tcPr>
            <w:tcW w:w="40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60" w:type="dxa"/>
            <w:vAlign w:val="bottom"/>
            <w:gridSpan w:val="4"/>
            <w:vMerge w:val="restart"/>
          </w:tcPr>
          <w:p>
            <w:pPr>
              <w:spacing w:after="0" w:line="161" w:lineRule="exact"/>
              <w:rPr>
                <w:rFonts w:ascii="Arial" w:cs="Arial" w:eastAsia="Arial" w:hAnsi="Arial"/>
                <w:sz w:val="14"/>
                <w:szCs w:val="14"/>
                <w:color w:val="0000FF"/>
                <w:w w:val="93"/>
              </w:rPr>
            </w:pPr>
            <w:hyperlink r:id="rId29">
              <w:r>
                <w:rPr>
                  <w:rFonts w:ascii="Arial" w:cs="Arial" w:eastAsia="Arial" w:hAnsi="Arial"/>
                  <w:sz w:val="14"/>
                  <w:szCs w:val="14"/>
                  <w:color w:val="0000FF"/>
                  <w:w w:val="93"/>
                </w:rPr>
                <w:t>Amended and Restated Bylaws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720" w:type="dxa"/>
            <w:vAlign w:val="bottom"/>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60" w:type="dxa"/>
            <w:vAlign w:val="bottom"/>
            <w:tcBorders>
              <w:bottom w:val="single" w:sz="8" w:color="0000FF"/>
            </w:tcBorders>
            <w:gridSpan w:val="4"/>
            <w:vMerge w:val="continue"/>
          </w:tcPr>
          <w:p>
            <w:pPr>
              <w:spacing w:after="0"/>
              <w:rPr>
                <w:sz w:val="3"/>
                <w:szCs w:val="3"/>
                <w:color w:val="auto"/>
              </w:rPr>
            </w:pPr>
          </w:p>
        </w:tc>
        <w:tc>
          <w:tcPr>
            <w:tcW w:w="7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rPr>
                <w:rFonts w:ascii="Arial" w:cs="Arial" w:eastAsia="Arial" w:hAnsi="Arial"/>
                <w:sz w:val="14"/>
                <w:szCs w:val="14"/>
                <w:color w:val="0000FF"/>
                <w:w w:val="99"/>
              </w:rPr>
            </w:pPr>
            <w:hyperlink r:id="rId30">
              <w:r>
                <w:rPr>
                  <w:rFonts w:ascii="Arial" w:cs="Arial" w:eastAsia="Arial" w:hAnsi="Arial"/>
                  <w:sz w:val="14"/>
                  <w:szCs w:val="14"/>
                  <w:color w:val="0000FF"/>
                  <w:w w:val="99"/>
                </w:rPr>
                <w:t>Amendment No. 1 to Amended and Restated Bylaws of Registration, incorporated by reference to Exhibit 3.2 to the Registrant’s Current Report on Form 8-K filed on</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8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30">
              <w:r>
                <w:rPr>
                  <w:rFonts w:ascii="Arial" w:cs="Arial" w:eastAsia="Arial" w:hAnsi="Arial"/>
                  <w:sz w:val="14"/>
                  <w:szCs w:val="14"/>
                  <w:color w:val="0000FF"/>
                </w:rPr>
                <w:t>February 20,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8"/>
              </w:rPr>
            </w:pPr>
            <w:hyperlink w:anchor="page49">
              <w:r>
                <w:rPr>
                  <w:rFonts w:ascii="Arial" w:cs="Arial" w:eastAsia="Arial" w:hAnsi="Arial"/>
                  <w:sz w:val="14"/>
                  <w:szCs w:val="14"/>
                  <w:color w:val="0000FF"/>
                  <w:w w:val="98"/>
                </w:rPr>
                <w:t>Certification of Principal Executive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 Exchange Act, as adopted pursuant to section 302 of the Sarbanes</w:t>
              </w:r>
              <w:r>
                <w:rPr>
                  <w:rFonts w:ascii="MS PGothic" w:cs="MS PGothic" w:eastAsia="MS PGothic" w:hAnsi="MS PGothic"/>
                  <w:sz w:val="14"/>
                  <w:szCs w:val="14"/>
                  <w:color w:val="0000FF"/>
                  <w:w w:val="98"/>
                </w:rPr>
                <w:t>‑</w:t>
              </w:r>
              <w:r>
                <w:rPr>
                  <w:rFonts w:ascii="Arial" w:cs="Arial" w:eastAsia="Arial" w:hAnsi="Arial"/>
                  <w:sz w:val="14"/>
                  <w:szCs w:val="14"/>
                  <w:color w:val="0000FF"/>
                  <w:w w:val="98"/>
                </w:rPr>
                <w:t>Oxley Act of 2002 (filed</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4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w:anchor="page49">
              <w:r>
                <w:rPr>
                  <w:rFonts w:ascii="Arial" w:cs="Arial" w:eastAsia="Arial" w:hAnsi="Arial"/>
                  <w:sz w:val="14"/>
                  <w:szCs w:val="14"/>
                  <w:color w:val="0000FF"/>
                </w:rPr>
                <w:t>herewith)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8"/>
              </w:rPr>
            </w:pPr>
            <w:hyperlink w:anchor="page50">
              <w:r>
                <w:rPr>
                  <w:rFonts w:ascii="Arial" w:cs="Arial" w:eastAsia="Arial" w:hAnsi="Arial"/>
                  <w:sz w:val="14"/>
                  <w:szCs w:val="14"/>
                  <w:color w:val="0000FF"/>
                  <w:w w:val="98"/>
                </w:rPr>
                <w:t>Certification of Principal Financial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 Exchange Act, as adopted pursuant to section 302 of the Sarbanes</w:t>
              </w:r>
              <w:r>
                <w:rPr>
                  <w:rFonts w:ascii="MS PGothic" w:cs="MS PGothic" w:eastAsia="MS PGothic" w:hAnsi="MS PGothic"/>
                  <w:sz w:val="14"/>
                  <w:szCs w:val="14"/>
                  <w:color w:val="0000FF"/>
                  <w:w w:val="98"/>
                </w:rPr>
                <w:t>‑</w:t>
              </w:r>
              <w:r>
                <w:rPr>
                  <w:rFonts w:ascii="Arial" w:cs="Arial" w:eastAsia="Arial" w:hAnsi="Arial"/>
                  <w:sz w:val="14"/>
                  <w:szCs w:val="14"/>
                  <w:color w:val="0000FF"/>
                  <w:w w:val="98"/>
                </w:rPr>
                <w:t>Oxley Act of 2002 (filed</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6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w:anchor="page50">
              <w:r>
                <w:rPr>
                  <w:rFonts w:ascii="Arial" w:cs="Arial" w:eastAsia="Arial" w:hAnsi="Arial"/>
                  <w:sz w:val="14"/>
                  <w:szCs w:val="14"/>
                  <w:color w:val="0000FF"/>
                </w:rPr>
                <w:t>herewith)</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6"/>
              </w:rPr>
            </w:pPr>
            <w:hyperlink w:anchor="page51">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0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w:anchor="page51">
              <w:r>
                <w:rPr>
                  <w:rFonts w:ascii="Arial" w:cs="Arial" w:eastAsia="Arial" w:hAnsi="Arial"/>
                  <w:sz w:val="14"/>
                  <w:szCs w:val="14"/>
                  <w:color w:val="0000FF"/>
                </w:rPr>
                <w:t>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 (filed herewith)</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7"/>
              </w:rPr>
            </w:pPr>
            <w:hyperlink w:anchor="page52">
              <w:r>
                <w:rPr>
                  <w:rFonts w:ascii="Arial" w:cs="Arial" w:eastAsia="Arial" w:hAnsi="Arial"/>
                  <w:sz w:val="14"/>
                  <w:szCs w:val="14"/>
                  <w:color w:val="0000FF"/>
                  <w:w w:val="97"/>
                </w:rPr>
                <w:t>Certification of Principal Financial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2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w:anchor="page52">
              <w:r>
                <w:rPr>
                  <w:rFonts w:ascii="Arial" w:cs="Arial" w:eastAsia="Arial" w:hAnsi="Arial"/>
                  <w:sz w:val="14"/>
                  <w:szCs w:val="14"/>
                  <w:color w:val="0000FF"/>
                </w:rPr>
                <w:t>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 (filed herewith)</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256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76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33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David Clark</w:t>
      </w:r>
    </w:p>
    <w:p>
      <w:pPr>
        <w:spacing w:after="0" w:line="5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November 5,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2019;</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31750</wp:posOffset>
            </wp:positionV>
            <wp:extent cx="3027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2019;</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266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September 30, 2019,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44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September 30, 2019,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3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2590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endash "/>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28" Type="http://schemas.openxmlformats.org/officeDocument/2006/relationships/hyperlink" Target="http://www.sec.gov/Archives/edgar/data/1131554/000095012306005985/y15440a2exv3w2.txt" TargetMode="External"/><Relationship Id="rId29" Type="http://schemas.openxmlformats.org/officeDocument/2006/relationships/hyperlink" Target="http://www.sec.gov/Archives/edgar/data/1131554/000095012306005985/y15440a2exv3w4.txt" TargetMode="External"/><Relationship Id="rId30"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2019-12-28T02:51:57Z</dcterms:created>
  <dcterms:modified xsi:type="dcterms:W3CDTF">2019-12-28T02:51:57Z</dcterms:modified>
</cp:coreProperties>
</file>