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000-52049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6540" w:type="dxa"/>
            <w:vAlign w:val="bottom"/>
          </w:tcPr>
          <w:p>
            <w:pPr>
              <w:jc w:val="center"/>
              <w:ind w:lef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1560" w:type="dxa"/>
            <w:vAlign w:val="bottom"/>
          </w:tcPr>
          <w:p>
            <w:pPr>
              <w:spacing w:after="0"/>
              <w:rPr>
                <w:sz w:val="20"/>
                <w:szCs w:val="20"/>
                <w:color w:val="auto"/>
              </w:rPr>
            </w:pPr>
          </w:p>
        </w:tc>
      </w:tr>
      <w:tr>
        <w:trPr>
          <w:trHeight w:val="402"/>
        </w:trPr>
        <w:tc>
          <w:tcPr>
            <w:tcW w:w="65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750 Route 202 South, Suite 600</w:t>
            </w:r>
          </w:p>
        </w:tc>
        <w:tc>
          <w:tcPr>
            <w:tcW w:w="1560" w:type="dxa"/>
            <w:vAlign w:val="bottom"/>
          </w:tcPr>
          <w:p>
            <w:pPr>
              <w:spacing w:after="0"/>
              <w:rPr>
                <w:sz w:val="24"/>
                <w:szCs w:val="24"/>
                <w:color w:val="auto"/>
              </w:rPr>
            </w:pPr>
          </w:p>
        </w:tc>
      </w:tr>
      <w:tr>
        <w:trPr>
          <w:trHeight w:val="220"/>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Bridgewater, New Jersey</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08807</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(866) 620-3940</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380" w:space="720"/>
            <w:col w:w="1480" w:space="720"/>
            <w:col w:w="3340" w:space="500"/>
            <w:col w:w="2280"/>
          </w:cols>
          <w:pgMar w:left="240" w:top="1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jc w:val="center"/>
              <w:ind w:right="210"/>
              <w:spacing w:after="0"/>
              <w:rPr>
                <w:sz w:val="20"/>
                <w:szCs w:val="20"/>
                <w:color w:val="auto"/>
              </w:rPr>
            </w:pPr>
            <w:r>
              <w:rPr>
                <w:rFonts w:ascii="Arial" w:cs="Arial" w:eastAsia="Arial" w:hAnsi="Arial"/>
                <w:sz w:val="18"/>
                <w:szCs w:val="18"/>
                <w:color w:val="auto"/>
                <w:w w:val="88"/>
              </w:rPr>
              <w:t>Class</w:t>
            </w:r>
          </w:p>
        </w:tc>
        <w:tc>
          <w:tcPr>
            <w:tcW w:w="5680" w:type="dxa"/>
            <w:vAlign w:val="bottom"/>
          </w:tcPr>
          <w:p>
            <w:pPr>
              <w:jc w:val="center"/>
              <w:ind w:left="150"/>
              <w:spacing w:after="0"/>
              <w:rPr>
                <w:sz w:val="20"/>
                <w:szCs w:val="20"/>
                <w:color w:val="auto"/>
              </w:rPr>
            </w:pPr>
            <w:r>
              <w:rPr>
                <w:rFonts w:ascii="Arial" w:cs="Arial" w:eastAsia="Arial" w:hAnsi="Arial"/>
                <w:sz w:val="18"/>
                <w:szCs w:val="18"/>
                <w:color w:val="auto"/>
                <w:w w:val="90"/>
              </w:rPr>
              <w:t>Outstanding at October 31, 2008</w:t>
            </w:r>
          </w:p>
        </w:tc>
      </w:tr>
      <w:tr>
        <w:trPr>
          <w:trHeight w:val="230"/>
        </w:trPr>
        <w:tc>
          <w:tcPr>
            <w:tcW w:w="5740" w:type="dxa"/>
            <w:vAlign w:val="bottom"/>
          </w:tcPr>
          <w:p>
            <w:pPr>
              <w:jc w:val="center"/>
              <w:ind w:right="210"/>
              <w:spacing w:after="0"/>
              <w:rPr>
                <w:sz w:val="20"/>
                <w:szCs w:val="20"/>
                <w:color w:val="auto"/>
              </w:rPr>
            </w:pPr>
            <w:r>
              <w:rPr>
                <w:rFonts w:ascii="Arial" w:cs="Arial" w:eastAsia="Arial" w:hAnsi="Arial"/>
                <w:sz w:val="18"/>
                <w:szCs w:val="18"/>
                <w:color w:val="auto"/>
                <w:w w:val="90"/>
              </w:rPr>
              <w:t>Common stock, $0.0001 par value</w:t>
            </w:r>
          </w:p>
        </w:tc>
        <w:tc>
          <w:tcPr>
            <w:tcW w:w="5680" w:type="dxa"/>
            <w:vAlign w:val="bottom"/>
          </w:tcPr>
          <w:p>
            <w:pPr>
              <w:jc w:val="center"/>
              <w:ind w:left="170"/>
              <w:spacing w:after="0"/>
              <w:rPr>
                <w:sz w:val="20"/>
                <w:szCs w:val="20"/>
                <w:color w:val="auto"/>
              </w:rPr>
            </w:pPr>
            <w:r>
              <w:rPr>
                <w:rFonts w:ascii="Arial" w:cs="Arial" w:eastAsia="Arial" w:hAnsi="Arial"/>
                <w:sz w:val="18"/>
                <w:szCs w:val="18"/>
                <w:color w:val="auto"/>
                <w:w w:val="87"/>
              </w:rPr>
              <w:t>30,795,024 shares</w:t>
            </w:r>
          </w:p>
        </w:tc>
      </w:tr>
      <w:tr>
        <w:trPr>
          <w:trHeight w:val="237"/>
        </w:trPr>
        <w:tc>
          <w:tcPr>
            <w:tcW w:w="574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r>
      <w:tr>
        <w:trPr>
          <w:trHeight w:val="631"/>
        </w:trPr>
        <w:tc>
          <w:tcPr>
            <w:tcW w:w="574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9"/>
              </w:rPr>
              <w:t>SYNCHRONOSS TECHNOLOGIES, INC.</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rPr>
              <w:t>FORM 10-Q INDEX</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9020" w:type="dxa"/>
            <w:vAlign w:val="bottom"/>
            <w:gridSpan w:val="21"/>
            <w:vMerge w:val="restart"/>
          </w:tcPr>
          <w:p>
            <w:pPr>
              <w:spacing w:after="0"/>
              <w:rPr>
                <w:sz w:val="20"/>
                <w:szCs w:val="20"/>
                <w:color w:val="auto"/>
              </w:rPr>
            </w:pPr>
            <w:r>
              <w:rPr>
                <w:rFonts w:ascii="Arial" w:cs="Arial" w:eastAsia="Arial" w:hAnsi="Arial"/>
                <w:sz w:val="18"/>
                <w:szCs w:val="18"/>
                <w:color w:val="auto"/>
              </w:rPr>
              <w:t>PART I. FINANCIAL INFORMATION PAGE NO.</w:t>
            </w:r>
          </w:p>
        </w:tc>
        <w:tc>
          <w:tcPr>
            <w:tcW w:w="2400" w:type="dxa"/>
            <w:vAlign w:val="bottom"/>
          </w:tcPr>
          <w:p>
            <w:pPr>
              <w:jc w:val="right"/>
              <w:ind w:right="11"/>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201"/>
        </w:trPr>
        <w:tc>
          <w:tcPr>
            <w:tcW w:w="9020" w:type="dxa"/>
            <w:vAlign w:val="bottom"/>
            <w:gridSpan w:val="21"/>
            <w:vMerge w:val="continue"/>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020" w:type="dxa"/>
            <w:vAlign w:val="bottom"/>
            <w:gridSpan w:val="21"/>
          </w:tcPr>
          <w:p>
            <w:pPr>
              <w:spacing w:after="0"/>
              <w:rPr>
                <w:sz w:val="20"/>
                <w:szCs w:val="20"/>
                <w:color w:val="auto"/>
              </w:rPr>
            </w:pPr>
            <w:r>
              <w:rPr>
                <w:rFonts w:ascii="Arial" w:cs="Arial" w:eastAsia="Arial" w:hAnsi="Arial"/>
                <w:sz w:val="18"/>
                <w:szCs w:val="18"/>
                <w:color w:val="auto"/>
              </w:rPr>
              <w:t>Item 1. Consolidated Financial Statements and Notes</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(unaudited)</w:t>
              </w:r>
            </w:hyperlink>
          </w:p>
        </w:tc>
        <w:tc>
          <w:tcPr>
            <w:tcW w:w="5840" w:type="dxa"/>
            <w:vAlign w:val="bottom"/>
            <w:gridSpan w:val="8"/>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w:t>
              </w:r>
            </w:hyperlink>
          </w:p>
        </w:tc>
        <w:tc>
          <w:tcPr>
            <w:tcW w:w="5120" w:type="dxa"/>
            <w:vAlign w:val="bottom"/>
            <w:gridSpan w:val="7"/>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(unaudited)</w:t>
              </w:r>
            </w:hyperlink>
          </w:p>
        </w:tc>
        <w:tc>
          <w:tcPr>
            <w:tcW w:w="5060" w:type="dxa"/>
            <w:vAlign w:val="bottom"/>
            <w:gridSpan w:val="6"/>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 (unaudited)</w:t>
              </w:r>
            </w:hyperlink>
          </w:p>
        </w:tc>
        <w:tc>
          <w:tcPr>
            <w:tcW w:w="4780" w:type="dxa"/>
            <w:vAlign w:val="bottom"/>
            <w:gridSpan w:val="5"/>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9020" w:type="dxa"/>
            <w:vAlign w:val="bottom"/>
            <w:gridSpan w:val="2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4. Controls and Procedures</w:t>
              </w:r>
            </w:hyperlink>
          </w:p>
        </w:tc>
        <w:tc>
          <w:tcPr>
            <w:tcW w:w="6680" w:type="dxa"/>
            <w:vAlign w:val="bottom"/>
            <w:gridSpan w:val="11"/>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902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24"/>
                <w:szCs w:val="24"/>
                <w:color w:val="auto"/>
              </w:rPr>
            </w:pPr>
          </w:p>
        </w:tc>
        <w:tc>
          <w:tcPr>
            <w:tcW w:w="6440" w:type="dxa"/>
            <w:vAlign w:val="bottom"/>
            <w:gridSpan w:val="10"/>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1A. Risk Factors</w:t>
              </w:r>
            </w:hyperlink>
          </w:p>
        </w:tc>
        <w:tc>
          <w:tcPr>
            <w:tcW w:w="7420" w:type="dxa"/>
            <w:vAlign w:val="bottom"/>
            <w:gridSpan w:val="14"/>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2. Unregistered Sales of Equity Securities and Use of Proceeds</w:t>
              </w:r>
            </w:hyperlink>
          </w:p>
        </w:tc>
        <w:tc>
          <w:tcPr>
            <w:tcW w:w="4100" w:type="dxa"/>
            <w:vAlign w:val="bottom"/>
            <w:gridSpan w:val="3"/>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90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 Defaults Upon Senior Securities</w:t>
              </w:r>
            </w:hyperlink>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 Submission of Matters to a Vote of Security Holders</w:t>
              </w:r>
            </w:hyperlink>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9"/>
          </w:tcPr>
          <w:p>
            <w:pPr>
              <w:spacing w:after="0"/>
              <w:rPr>
                <w:sz w:val="24"/>
                <w:szCs w:val="24"/>
                <w:color w:val="auto"/>
              </w:rPr>
            </w:pPr>
          </w:p>
        </w:tc>
        <w:tc>
          <w:tcPr>
            <w:tcW w:w="4700" w:type="dxa"/>
            <w:vAlign w:val="bottom"/>
            <w:gridSpan w:val="4"/>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90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 Exhibits</w:t>
              </w:r>
            </w:hyperlink>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1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SIGNATURES</w:t>
              </w:r>
            </w:hyperlink>
          </w:p>
        </w:tc>
        <w:tc>
          <w:tcPr>
            <w:tcW w:w="20" w:type="dxa"/>
            <w:vAlign w:val="bottom"/>
            <w:tcBorders>
              <w:top w:val="single" w:sz="8" w:color="0000EE"/>
            </w:tcBorders>
          </w:tcPr>
          <w:p>
            <w:pPr>
              <w:spacing w:after="0"/>
              <w:rPr>
                <w:sz w:val="24"/>
                <w:szCs w:val="24"/>
                <w:color w:val="auto"/>
              </w:rPr>
            </w:pPr>
          </w:p>
        </w:tc>
        <w:tc>
          <w:tcPr>
            <w:tcW w:w="7860" w:type="dxa"/>
            <w:vAlign w:val="bottom"/>
            <w:gridSpan w:val="15"/>
          </w:tcPr>
          <w:p>
            <w:pPr>
              <w:spacing w:after="0"/>
              <w:rPr>
                <w:sz w:val="24"/>
                <w:szCs w:val="24"/>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31.1</w:t>
            </w:r>
          </w:p>
        </w:tc>
        <w:tc>
          <w:tcPr>
            <w:tcW w:w="7900" w:type="dxa"/>
            <w:vAlign w:val="bottom"/>
            <w:gridSpan w:val="17"/>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31.2</w:t>
            </w:r>
          </w:p>
        </w:tc>
        <w:tc>
          <w:tcPr>
            <w:tcW w:w="7900" w:type="dxa"/>
            <w:vAlign w:val="bottom"/>
            <w:gridSpan w:val="17"/>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32.1</w:t>
            </w:r>
          </w:p>
        </w:tc>
        <w:tc>
          <w:tcPr>
            <w:tcW w:w="7900" w:type="dxa"/>
            <w:vAlign w:val="bottom"/>
            <w:gridSpan w:val="17"/>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960" w:type="dxa"/>
            <w:vAlign w:val="bottom"/>
            <w:gridSpan w:val="20"/>
          </w:tcPr>
          <w:p>
            <w:pPr>
              <w:spacing w:after="0" w:line="196" w:lineRule="exact"/>
              <w:rPr>
                <w:sz w:val="20"/>
                <w:szCs w:val="20"/>
                <w:color w:val="auto"/>
              </w:rPr>
            </w:pPr>
            <w:r>
              <w:rPr>
                <w:rFonts w:ascii="Arial" w:cs="Arial" w:eastAsia="Arial" w:hAnsi="Arial"/>
                <w:sz w:val="18"/>
                <w:szCs w:val="18"/>
                <w:color w:val="0000EE"/>
              </w:rPr>
              <w:t>EXHIBIT 32.2</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1040" w:type="dxa"/>
            <w:vAlign w:val="bottom"/>
            <w:tcBorders>
              <w:top w:val="single" w:sz="8" w:color="0000EE"/>
            </w:tcBorders>
            <w:gridSpan w:val="2"/>
          </w:tcPr>
          <w:p>
            <w:pPr>
              <w:spacing w:after="0"/>
              <w:rPr>
                <w:sz w:val="24"/>
                <w:szCs w:val="24"/>
                <w:color w:val="auto"/>
              </w:rPr>
            </w:pPr>
          </w:p>
        </w:tc>
        <w:tc>
          <w:tcPr>
            <w:tcW w:w="5920" w:type="dxa"/>
            <w:vAlign w:val="bottom"/>
            <w:gridSpan w:val="17"/>
          </w:tcPr>
          <w:p>
            <w:pPr>
              <w:jc w:val="center"/>
              <w:ind w:left="3210"/>
              <w:spacing w:after="0"/>
              <w:rPr>
                <w:sz w:val="20"/>
                <w:szCs w:val="20"/>
                <w:color w:val="auto"/>
              </w:rPr>
            </w:pPr>
            <w:r>
              <w:rPr>
                <w:rFonts w:ascii="Arial" w:cs="Arial" w:eastAsia="Arial" w:hAnsi="Arial"/>
                <w:sz w:val="18"/>
                <w:szCs w:val="18"/>
                <w:color w:val="auto"/>
                <w:w w:val="99"/>
              </w:rPr>
              <w:t>1</w:t>
            </w:r>
          </w:p>
        </w:tc>
        <w:tc>
          <w:tcPr>
            <w:tcW w:w="2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67,970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1,460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$238 and $448 at September 30, 2008 and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2007,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22,984</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6,218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99,703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9,936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5,991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132,112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139,018</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2,701</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Equipment loan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Preferred stock, $0.0001 par value; 10,000 shares authorized, 0 shares issued and outstanding at September 30,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 and December 31, 2007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 100,000 shares authorized, 32,795 and 32,726 shares issued; 30,795 and 32,630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outstanding at September 30, 2008 and December 31, 2007,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(2,000 and 96 shares at September 30, 2008 and December 31, 2007,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(23,713)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106,028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119,703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126,791</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132,112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26,335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34,477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79,760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87,127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services *</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13,547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15,601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38,819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2,683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2,948</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7,493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4,992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15,074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4,581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22,812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24,916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65,967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63,776</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13,793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10,526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15,751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(2,518)</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17,138</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31,047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32,264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31,980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31,439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33,599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32,604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services excludes depreciation which is shown separately.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9,200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4,581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5,568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 exercise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4"/>
        </w:trPr>
        <w:tc>
          <w:tcPr>
            <w:tcW w:w="75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(1,902)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Sale of marketable securities available for sale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2,719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Business acquired, net of cash</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(17,357)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5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(21,500)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(8,667)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 option exercises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(23,694)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loan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(21,337)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(24,786)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92,756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73,905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67,970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82,779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The consolidated financial statements at September 30, 2008 and for the three and nine months ended September 30, 2008 and 2007 are unaudited, but in the opinion of management include all adjustments (consisting only of normal recurring adjustments) necessary for a fair presentation of the results for the interim periods. They do not include all of the information and footnotes required by U.S. generally accepted accounting principles (“GAAP”) for complete financial statements and should be read in conjunction with the financial statements and notes in the Annual Report of Synchronoss Technologies, Inc. (the “Company” or “Synchronoss”) incorporated by reference in the Company’s Form 10-K for calendar year 2007. The financial statements include the accounts of the Company and its wholly owned subsidiaries, Synchronoss Technologies UK Ltd, Wisor Telecom Corporation and Wisor Telecom India Private Limited. All significant intercompany balances and transactions are eliminated in consolidation. The Company has no unconsolidated subsidiaries or investments accounted for under the equity method. The results reported in these consolidated financial statements should not necessarily be taken as indicative of results that may be expected for the entire year. The balance sheet at December 31, 2007 has been derived from the audited financial statements at that date but does not include all of the information and footnotes required by GAAP for complete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Synchronoss Technologies, Inc. is a leading provider of on-demand multi-channel transaction management platforms that enable communication service providers (CSPs) to automate new subscriber activation, order management and service provisioning. The Company conducts its business operations primarily in the United States of America and India, with some aspects of its operations being outsourced to entities located in India and Canada. The ActivationNow</w:t>
      </w:r>
      <w:r>
        <w:rPr>
          <w:rFonts w:ascii="Arial" w:cs="Arial" w:eastAsia="Arial" w:hAnsi="Arial"/>
          <w:sz w:val="14"/>
          <w:szCs w:val="14"/>
          <w:color w:val="auto"/>
        </w:rPr>
        <w:t>®</w:t>
      </w:r>
      <w:r>
        <w:rPr>
          <w:rFonts w:ascii="Arial" w:cs="Arial" w:eastAsia="Arial" w:hAnsi="Arial"/>
          <w:sz w:val="17"/>
          <w:szCs w:val="17"/>
          <w:color w:val="auto"/>
        </w:rPr>
        <w:t xml:space="preserve"> and ConvergenceNow</w:t>
      </w:r>
      <w:r>
        <w:rPr>
          <w:rFonts w:ascii="Arial" w:cs="Arial" w:eastAsia="Arial" w:hAnsi="Arial"/>
          <w:sz w:val="14"/>
          <w:szCs w:val="14"/>
          <w:color w:val="auto"/>
        </w:rPr>
        <w:t>®</w:t>
      </w:r>
      <w:r>
        <w:rPr>
          <w:rFonts w:ascii="Arial" w:cs="Arial" w:eastAsia="Arial" w:hAnsi="Arial"/>
          <w:sz w:val="17"/>
          <w:szCs w:val="17"/>
          <w:color w:val="auto"/>
        </w:rPr>
        <w:t xml:space="preserve"> platforms provide seamless integration between customer-facing applications and “back-office” or infrastructure-related systems and processes. The Company’s CSP customers rely on the Company’s internet based technology to automate the process of activating customers and to deliver additional communications services including new service offerings and ongoing customer care. Synchronoss has designed its platforms to be flexible to enable multiple communication services including wireless, Voice over Internet Protocol (VoIP), wireline and cable to be managed through multiple distribution channels including e-commerce, CSP stores and other retail outlets, etc., allowing the Company to meet the rapidly changing and converging services offered by CSPs. By simplifying the processes associated with managing the customer experience for ordering and activating services through the automation and integration of disparate systems, Synchronoss enables CSPs to acquire, retain and service customers quickly, reliably and cost-effectively. The Company enables service providers to drive growth in new and existing markets while delivering an improved customer experience at lower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In September 2006, the FASB issued Statement 157,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(“Statement 157”). Statement 157 defines fair value, establishes a framework for measuring fair value in generally accepted accounting principles and establishes a hierarchy that categorizes and prioritizes the sources to be used to estimate fair value. Statement 157 also expands financial statement disclosures about fair value measurements. On February 6, 2008, the FASB issued FASB Staff Position (FSP) FAS 157-2 “Effective Date of Statement No. 157” which delays the effective date of Statement 157 for one year for all nonfinancial assets and nonfinancial liabilities, except those that are recognized or disclosed at fair value in the financial statements on a recurring basis (at least annually). Statement 157 and FSP FAS 157-2 are effective for financial statements issued for fiscal years beginning after November 15, 2007. The Company has elected a partial deferral of Statement 157 under the provisions of FSP FAS 157-2 related to the measurement of fair value used when evaluating goodwill, other intangible assets and other long-lived assets for impairment and valuing asset retirement obligations and liabilities for exit or disposal activities. The Company adopted SFAS No. 157 on January 1, 2008.</w:t>
      </w:r>
    </w:p>
    <w:p>
      <w:pPr>
        <w:spacing w:after="0" w:line="74"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Statement 157 defines fair value, establishes a framework for measuring fair value in generally accepted accounting principles and establishes a hierarchy that categorizes and prioritizes the inputs to be used to estimate fair value. The three levels of inputs used are as follows: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The Company does not currently have any Level 3 financial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SFAS 157, the following table represents the fair value hierarchy for the Company’s financial assets: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Level 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67,970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67,970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5,316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5,316</w:t>
            </w:r>
          </w:p>
        </w:tc>
      </w:tr>
      <w:tr>
        <w:trPr>
          <w:trHeight w:val="27"/>
        </w:trPr>
        <w:tc>
          <w:tcPr>
            <w:tcW w:w="4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67,970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73,286</w:t>
            </w:r>
          </w:p>
        </w:tc>
      </w:tr>
      <w:tr>
        <w:trPr>
          <w:trHeight w:val="20"/>
        </w:trPr>
        <w:tc>
          <w:tcPr>
            <w:tcW w:w="47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141 (R)), which replaces SFAS No. 141. SFAS No. 141(R) establishes principles and requirements for how an acquirer recognizes and measures in its financial statements the identifiable assets acquired, the liabilities assumed, any non-controlling interest in the acquiree and the goodwill acquired. SFAS No. 141(R) also establishes disclosure requirements which will enable users to evaluate the nature and financial effects of the business combination. SFAS No. 141(R) is effective for fiscal years beginning after December 15, 2008. Early adoption of this standard is prohibited. The Company does not currently expect SFAS No. 141(R) to have a material impact on its consolidated financial statements.</w:t>
      </w:r>
    </w:p>
    <w:p>
      <w:pPr>
        <w:spacing w:after="0" w:line="85"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In December 2007,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issued Staff Accounting Bulletin No. 110 (“</w:t>
      </w:r>
      <w:r>
        <w:rPr>
          <w:rFonts w:ascii="Arial" w:cs="Arial" w:eastAsia="Arial" w:hAnsi="Arial"/>
          <w:sz w:val="18"/>
          <w:szCs w:val="18"/>
          <w:i w:val="1"/>
          <w:iCs w:val="1"/>
          <w:color w:val="auto"/>
        </w:rPr>
        <w:t>SAB 110</w:t>
      </w:r>
      <w:r>
        <w:rPr>
          <w:rFonts w:ascii="Arial" w:cs="Arial" w:eastAsia="Arial" w:hAnsi="Arial"/>
          <w:sz w:val="18"/>
          <w:szCs w:val="18"/>
          <w:color w:val="auto"/>
        </w:rPr>
        <w:t xml:space="preserve">”). SAB 110 amends and replaces Question 6 of Section D.2 of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SAB 110 expresses the views of the staff regarding the use of the “simplified” method in developing an estimate of expected term of “plain vanilla” share options in accordance with FASB Statement No. 123(R), </w:t>
      </w:r>
      <w:r>
        <w:rPr>
          <w:rFonts w:ascii="Arial" w:cs="Arial" w:eastAsia="Arial" w:hAnsi="Arial"/>
          <w:sz w:val="18"/>
          <w:szCs w:val="18"/>
          <w:i w:val="1"/>
          <w:iCs w:val="1"/>
          <w:color w:val="auto"/>
        </w:rPr>
        <w:t>Share Based Payment.</w:t>
      </w:r>
      <w:r>
        <w:rPr>
          <w:rFonts w:ascii="Arial" w:cs="Arial" w:eastAsia="Arial" w:hAnsi="Arial"/>
          <w:sz w:val="18"/>
          <w:szCs w:val="18"/>
          <w:color w:val="auto"/>
        </w:rPr>
        <w:t xml:space="preserve"> The use of the “simplified” method was scheduled to expire on December 31, 2007. SAB 110 extends the use of the “simplified” method for “plain vanilla” awards in certain situations. The Company currently uses the “simplified” method to estimate the expected term for share option grants as it does not have enough historical experience to provide a reasonable estimate due to the limited period the Company’s equity shares have been publicly traded. The Company will continue to use the “simplified” method until it has enough historical experience to provide a reasonable estimate of expected term in accordance with SAB 110.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 xml:space="preserve">The Company calculates net income per share 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The following table provides a reconciliation of the numerator and denominator used in computing basic and diluted net income attributable to common stockholders per common share. Stock options that are anti-dilutive and excluded from the following table totaled 1,543 and 0 for the three months ended September 30, 2008 and 2007, respectively, and 761 and 0 for the nine months ended September 30, 2008 and 2007,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gridSpan w:val="4"/>
          </w:tcPr>
          <w:p>
            <w:pPr>
              <w:jc w:val="center"/>
              <w:ind w:left="468"/>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5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580" w:type="dxa"/>
            <w:vAlign w:val="bottom"/>
            <w:gridSpan w:val="3"/>
          </w:tcPr>
          <w:p>
            <w:pPr>
              <w:jc w:val="right"/>
              <w:ind w:right="340"/>
              <w:spacing w:after="0"/>
              <w:rPr>
                <w:sz w:val="20"/>
                <w:szCs w:val="20"/>
                <w:color w:val="auto"/>
              </w:rPr>
            </w:pPr>
            <w:r>
              <w:rPr>
                <w:rFonts w:ascii="Arial" w:cs="Arial" w:eastAsia="Arial" w:hAnsi="Arial"/>
                <w:sz w:val="18"/>
                <w:szCs w:val="18"/>
                <w:color w:val="auto"/>
              </w:rPr>
              <w:t>$  2,339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8,008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  9,200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$ 17,138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 basic</w:t>
            </w:r>
          </w:p>
        </w:tc>
        <w:tc>
          <w:tcPr>
            <w:tcW w:w="2580" w:type="dxa"/>
            <w:vAlign w:val="bottom"/>
            <w:gridSpan w:val="3"/>
          </w:tcPr>
          <w:p>
            <w:pPr>
              <w:jc w:val="right"/>
              <w:ind w:right="340"/>
              <w:spacing w:after="0"/>
              <w:rPr>
                <w:sz w:val="20"/>
                <w:szCs w:val="20"/>
                <w:color w:val="auto"/>
              </w:rPr>
            </w:pPr>
            <w:r>
              <w:rPr>
                <w:rFonts w:ascii="Arial" w:cs="Arial" w:eastAsia="Arial" w:hAnsi="Arial"/>
                <w:sz w:val="18"/>
                <w:szCs w:val="18"/>
                <w:color w:val="auto"/>
              </w:rPr>
              <w:t>31,047</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32,264</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31,980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Options and unvested restricted shares</w:t>
            </w:r>
          </w:p>
        </w:tc>
        <w:tc>
          <w:tcPr>
            <w:tcW w:w="2580" w:type="dxa"/>
            <w:vAlign w:val="bottom"/>
            <w:gridSpan w:val="3"/>
          </w:tcPr>
          <w:p>
            <w:pPr>
              <w:jc w:val="right"/>
              <w:ind w:right="340"/>
              <w:spacing w:after="0"/>
              <w:rPr>
                <w:sz w:val="20"/>
                <w:szCs w:val="20"/>
                <w:color w:val="auto"/>
              </w:rPr>
            </w:pPr>
            <w:r>
              <w:rPr>
                <w:rFonts w:ascii="Arial" w:cs="Arial" w:eastAsia="Arial" w:hAnsi="Arial"/>
                <w:sz w:val="18"/>
                <w:szCs w:val="18"/>
                <w:color w:val="auto"/>
              </w:rPr>
              <w:t>392</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1,335</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624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 — diluted</w:t>
            </w:r>
          </w:p>
        </w:tc>
        <w:tc>
          <w:tcPr>
            <w:tcW w:w="2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31,439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33,599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32,604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40" w:type="dxa"/>
            <w:vAlign w:val="bottom"/>
            <w:vMerge w:val="restart"/>
          </w:tcPr>
          <w:p>
            <w:pPr>
              <w:jc w:val="right"/>
              <w:ind w:right="690"/>
              <w:spacing w:after="0"/>
              <w:rPr>
                <w:sz w:val="20"/>
                <w:szCs w:val="20"/>
                <w:color w:val="auto"/>
              </w:rPr>
            </w:pPr>
            <w:r>
              <w:rPr>
                <w:rFonts w:ascii="Arial" w:cs="Arial" w:eastAsia="Arial" w:hAnsi="Arial"/>
                <w:sz w:val="18"/>
                <w:szCs w:val="18"/>
                <w:color w:val="auto"/>
              </w:rPr>
              <w:t>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Wisor Telecom Corporation</w:t>
      </w:r>
    </w:p>
    <w:p>
      <w:pPr>
        <w:spacing w:after="0" w:line="121"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In September 2008, the Company acquired Wisor Telecom Corporation (Wisor) for approximately $17 million including acquisition costs of approximately $490. At September 30, 2008 the Company had approximately $800 reserved for restructuring liabilities pursuant to EITF 95-3 with respect to consolidating facilities and paying severance. The acquisition of Wisor, a provider of software products, software based host services and professional services to telecommunication service providers, expands the Company’s products and services. The acquisition was accounted for as a purchase business combination in accordance with SFAS No. 141 and the results of operations of Wisor have been included in the accompanying consolidated statement of operations since the date of acquisition. The purchase price has been allocated preliminarily pending the finalization of a valuation as follows:</w:t>
      </w:r>
    </w:p>
    <w:p>
      <w:pPr>
        <w:spacing w:after="0" w:line="157"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At September 10, 2008</w:t>
            </w: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$ 2,762</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8"/>
              </w:rPr>
              <w:t>Property, plant, and equipment</w:t>
            </w:r>
          </w:p>
        </w:tc>
        <w:tc>
          <w:tcPr>
            <w:tcW w:w="4380" w:type="dxa"/>
            <w:vAlign w:val="bottom"/>
            <w:gridSpan w:val="3"/>
          </w:tcPr>
          <w:p>
            <w:pPr>
              <w:jc w:val="right"/>
              <w:ind w:right="60"/>
              <w:spacing w:after="0"/>
              <w:rPr>
                <w:sz w:val="20"/>
                <w:szCs w:val="20"/>
                <w:color w:val="auto"/>
              </w:rPr>
            </w:pPr>
            <w:r>
              <w:rPr>
                <w:rFonts w:ascii="Arial" w:cs="Arial" w:eastAsia="Arial" w:hAnsi="Arial"/>
                <w:sz w:val="18"/>
                <w:szCs w:val="18"/>
                <w:color w:val="auto"/>
              </w:rPr>
              <w:t>2,060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Deferred tax assets</w:t>
            </w:r>
          </w:p>
        </w:tc>
        <w:tc>
          <w:tcPr>
            <w:tcW w:w="4380" w:type="dxa"/>
            <w:vAlign w:val="bottom"/>
            <w:gridSpan w:val="3"/>
          </w:tcPr>
          <w:p>
            <w:pPr>
              <w:jc w:val="right"/>
              <w:ind w:right="60"/>
              <w:spacing w:after="0"/>
              <w:rPr>
                <w:sz w:val="20"/>
                <w:szCs w:val="20"/>
                <w:color w:val="auto"/>
              </w:rPr>
            </w:pPr>
            <w:r>
              <w:rPr>
                <w:rFonts w:ascii="Arial" w:cs="Arial" w:eastAsia="Arial" w:hAnsi="Arial"/>
                <w:sz w:val="18"/>
                <w:szCs w:val="18"/>
                <w:color w:val="auto"/>
              </w:rPr>
              <w:t>2,890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6,079</w:t>
            </w: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Goodwill</w:t>
            </w:r>
          </w:p>
        </w:tc>
        <w:tc>
          <w:tcPr>
            <w:tcW w:w="37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21,733</w:t>
            </w:r>
          </w:p>
        </w:tc>
      </w:tr>
      <w:tr>
        <w:trPr>
          <w:trHeight w:val="223"/>
        </w:trPr>
        <w:tc>
          <w:tcPr>
            <w:tcW w:w="2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7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777</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Total liabilities assumed</w:t>
            </w:r>
          </w:p>
        </w:tc>
        <w:tc>
          <w:tcPr>
            <w:tcW w:w="37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17,587</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Definite-lived intangible assets consist of customer relationships and acquired technology. The Company is amortizing the value of the customer relationships on a straight-line basis over an estimated useful life of 4 years.</w:t>
      </w:r>
    </w:p>
    <w:p>
      <w:pPr>
        <w:spacing w:after="0" w:line="62" w:lineRule="exact"/>
        <w:rPr>
          <w:sz w:val="20"/>
          <w:szCs w:val="20"/>
          <w:color w:val="auto"/>
        </w:rPr>
      </w:pPr>
    </w:p>
    <w:p>
      <w:pPr>
        <w:jc w:val="both"/>
        <w:ind w:right="280" w:firstLine="222"/>
        <w:spacing w:after="0" w:line="286" w:lineRule="auto"/>
        <w:rPr>
          <w:sz w:val="20"/>
          <w:szCs w:val="20"/>
          <w:color w:val="auto"/>
        </w:rPr>
      </w:pPr>
      <w:r>
        <w:rPr>
          <w:rFonts w:ascii="Arial" w:cs="Arial" w:eastAsia="Arial" w:hAnsi="Arial"/>
          <w:sz w:val="17"/>
          <w:szCs w:val="17"/>
          <w:color w:val="auto"/>
        </w:rPr>
        <w:t>The Company has currently not identified any material pre-acquisition contingencies where a liability is probable and the amount of the liability can be reasonably estimated. If information becomes available prior to the end of the purchase price allocation period which would indicate that such a liability is probable and the amount can be reasonably estimated, such items will be included in the purchase price allocation.</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change in the carrying amount of goodwill for the nine months ended September 30, 2008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220"/>
              <w:spacing w:after="0"/>
              <w:rPr>
                <w:sz w:val="20"/>
                <w:szCs w:val="20"/>
                <w:color w:val="auto"/>
              </w:rPr>
            </w:pPr>
            <w:r>
              <w:rPr>
                <w:rFonts w:ascii="Arial" w:cs="Arial" w:eastAsia="Arial" w:hAnsi="Arial"/>
                <w:sz w:val="18"/>
                <w:szCs w:val="18"/>
                <w:color w:val="auto"/>
              </w:rPr>
              <w:t>Intangible assets consist of the following (in thousands):</w:t>
            </w: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5"/>
          </w:tcPr>
          <w:p>
            <w:pPr>
              <w:jc w:val="center"/>
              <w:ind w:left="116"/>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7"/>
              </w:rPr>
              <w:t>(In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Customer lists and relationships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amortization</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Customer lists and relationships, net</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technology</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technology, net</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vMerge w:val="restart"/>
          </w:tcPr>
          <w:p>
            <w:pPr>
              <w:ind w:left="20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Amortization expense related to intangible assets, which is included in depreciation and amortization expense, was approximately $88 and $0 for the three and nine months ended September 30, 2008,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 The weighted-average assumptions used in the Black-Scholes option pricing model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476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 2008</w:t>
            </w:r>
          </w:p>
        </w:tc>
        <w:tc>
          <w:tcPr>
            <w:tcW w:w="420" w:type="dxa"/>
            <w:vAlign w:val="bottom"/>
          </w:tcPr>
          <w:p>
            <w:pPr>
              <w:spacing w:after="0"/>
              <w:rPr>
                <w:sz w:val="14"/>
                <w:szCs w:val="14"/>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September 30, 2007</w:t>
            </w:r>
          </w:p>
        </w:tc>
        <w:tc>
          <w:tcPr>
            <w:tcW w:w="420" w:type="dxa"/>
            <w:vAlign w:val="bottom"/>
          </w:tcPr>
          <w:p>
            <w:pPr>
              <w:spacing w:after="0"/>
              <w:rPr>
                <w:sz w:val="14"/>
                <w:szCs w:val="14"/>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September 30, 2008</w:t>
            </w:r>
          </w:p>
        </w:tc>
        <w:tc>
          <w:tcPr>
            <w:tcW w:w="400" w:type="dxa"/>
            <w:vAlign w:val="bottom"/>
          </w:tcPr>
          <w:p>
            <w:pPr>
              <w:spacing w:after="0"/>
              <w:rPr>
                <w:sz w:val="14"/>
                <w:szCs w:val="14"/>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September 30, 2007</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.63</w:t>
            </w:r>
          </w:p>
        </w:tc>
        <w:tc>
          <w:tcPr>
            <w:tcW w:w="17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.68</w:t>
            </w:r>
          </w:p>
        </w:tc>
        <w:tc>
          <w:tcPr>
            <w:tcW w:w="17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.64</w:t>
            </w:r>
          </w:p>
        </w:tc>
        <w:tc>
          <w:tcPr>
            <w:tcW w:w="17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jc w:val="right"/>
              <w:ind w:right="296"/>
              <w:spacing w:after="0"/>
              <w:rPr>
                <w:sz w:val="20"/>
                <w:szCs w:val="20"/>
                <w:color w:val="auto"/>
              </w:rPr>
            </w:pPr>
            <w:r>
              <w:rPr>
                <w:rFonts w:ascii="Arial" w:cs="Arial" w:eastAsia="Arial" w:hAnsi="Arial"/>
                <w:sz w:val="18"/>
                <w:szCs w:val="18"/>
                <w:color w:val="auto"/>
              </w:rPr>
              <w:t>3.79%</w:t>
            </w: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4.85%</w:t>
            </w:r>
          </w:p>
        </w:tc>
        <w:tc>
          <w:tcPr>
            <w:tcW w:w="1780" w:type="dxa"/>
            <w:vAlign w:val="bottom"/>
            <w:gridSpan w:val="2"/>
          </w:tcPr>
          <w:p>
            <w:pPr>
              <w:jc w:val="right"/>
              <w:ind w:right="308"/>
              <w:spacing w:after="0"/>
              <w:rPr>
                <w:sz w:val="20"/>
                <w:szCs w:val="20"/>
                <w:color w:val="auto"/>
              </w:rPr>
            </w:pPr>
            <w:r>
              <w:rPr>
                <w:rFonts w:ascii="Arial" w:cs="Arial" w:eastAsia="Arial" w:hAnsi="Arial"/>
                <w:sz w:val="18"/>
                <w:szCs w:val="18"/>
                <w:color w:val="auto"/>
              </w:rPr>
              <w:t>3.93%</w:t>
            </w: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4.68%</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5.13</w:t>
            </w:r>
          </w:p>
        </w:tc>
        <w:tc>
          <w:tcPr>
            <w:tcW w:w="17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6.25</w:t>
            </w:r>
          </w:p>
        </w:tc>
        <w:tc>
          <w:tcPr>
            <w:tcW w:w="17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5.24</w:t>
            </w:r>
          </w:p>
        </w:tc>
        <w:tc>
          <w:tcPr>
            <w:tcW w:w="17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6.15</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right"/>
              <w:ind w:right="296"/>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0%</w:t>
            </w:r>
          </w:p>
        </w:tc>
        <w:tc>
          <w:tcPr>
            <w:tcW w:w="1780" w:type="dxa"/>
            <w:vAlign w:val="bottom"/>
            <w:gridSpan w:val="2"/>
          </w:tcPr>
          <w:p>
            <w:pPr>
              <w:jc w:val="right"/>
              <w:ind w:right="308"/>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right="60" w:firstLine="222"/>
        <w:spacing w:after="0" w:line="254" w:lineRule="auto"/>
        <w:rPr>
          <w:sz w:val="20"/>
          <w:szCs w:val="20"/>
          <w:color w:val="auto"/>
        </w:rPr>
      </w:pPr>
      <w:r>
        <w:rPr>
          <w:rFonts w:ascii="Arial" w:cs="Arial" w:eastAsia="Arial" w:hAnsi="Arial"/>
          <w:sz w:val="18"/>
          <w:szCs w:val="18"/>
          <w:color w:val="auto"/>
        </w:rPr>
        <w:t>The weighted-average fair value (as of the date of grant) of the options granted was $8.20 and $20.90 per share for the three months ended September 30, 2008 and 2007, respectively, and $8.63 and $14.08 for the nine months ended September 30, 2008 and 2007, respectively. During the three and nine months ended September 30, 2008, the Company recorded total pre-tax stock-based compensation expense of $1.7 million ($1.2 million after tax or $0.04 per diluted share) and $5.1 million ($3.5 million after tax or $0.11 per diluted share), respectively, which includes both intrinsic value for equity awards issued prior to 2006 and fair value for equity awards issued after January 1, 2006. The total stock-based compensation cost related to non-vested equity awards not yet recognized as an expense as of September 30, 2008 was approximately $13.0 million. That cost is expected to be recognized over a weighted-average period of approximately 2.8 years. In May 2008, the Company amended its 2006 Equity Incentive Plan to increase the number of shares available for issuance by 2.0 million.</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132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0"/>
                <w:szCs w:val="10"/>
                <w:color w:val="auto"/>
              </w:rPr>
            </w:pPr>
          </w:p>
        </w:tc>
        <w:tc>
          <w:tcPr>
            <w:tcW w:w="162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3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Available</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640" w:type="dxa"/>
            <w:vAlign w:val="bottom"/>
            <w:gridSpan w:val="2"/>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Range</w:t>
            </w:r>
          </w:p>
        </w:tc>
        <w:tc>
          <w:tcPr>
            <w:tcW w:w="64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2,831</w:t>
            </w:r>
          </w:p>
        </w:tc>
        <w:tc>
          <w:tcPr>
            <w:tcW w:w="194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$ 0.29 - 42.77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(740)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740</w:t>
            </w:r>
          </w:p>
        </w:tc>
        <w:tc>
          <w:tcPr>
            <w:tcW w:w="19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$ 9.07 - 35.62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94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$ 0.29 - 15.44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Options forfeited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6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(327)</w:t>
            </w:r>
          </w:p>
        </w:tc>
        <w:tc>
          <w:tcPr>
            <w:tcW w:w="19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$ 0.29 - 42.77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Expansion of Pool in May 2008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Balance at September 30, 2008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$ 0.29 - 38.62</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A summary of the Company’s non-vested restricted stock at September 30, 2008, and changes during the nine months ended September 30, 2008,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Stock</w:t>
            </w:r>
          </w:p>
        </w:tc>
        <w:tc>
          <w:tcPr>
            <w:tcW w:w="5760" w:type="dxa"/>
            <w:vAlign w:val="bottom"/>
          </w:tcPr>
          <w:p>
            <w:pPr>
              <w:spacing w:after="0"/>
              <w:rPr>
                <w:sz w:val="14"/>
                <w:szCs w:val="14"/>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2008</w:t>
            </w:r>
          </w:p>
        </w:tc>
        <w:tc>
          <w:tcPr>
            <w:tcW w:w="5760" w:type="dxa"/>
            <w:vAlign w:val="bottom"/>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Granted</w:t>
            </w:r>
          </w:p>
        </w:tc>
        <w:tc>
          <w:tcPr>
            <w:tcW w:w="6960" w:type="dxa"/>
            <w:vAlign w:val="bottom"/>
            <w:gridSpan w:val="4"/>
          </w:tcPr>
          <w:p>
            <w:pPr>
              <w:jc w:val="right"/>
              <w:ind w:right="4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69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6200" w:type="dxa"/>
            <w:vAlign w:val="bottom"/>
            <w:gridSpan w:val="2"/>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2008</w:t>
            </w:r>
          </w:p>
        </w:tc>
        <w:tc>
          <w:tcPr>
            <w:tcW w:w="620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760" w:type="dxa"/>
            <w:vAlign w:val="bottom"/>
            <w:vMerge w:val="restart"/>
          </w:tcPr>
          <w:p>
            <w:pPr>
              <w:jc w:val="right"/>
              <w:ind w:right="437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On May 5, 2008, the Company’s board of directors authorized a stock repurchase program to purchase up to $25 million of the Company’s outstanding common stock. The duration of the repurchase program is up to twelve months. Under the program, the Company may purchase shares of its common stock in the open market, through block trades or otherwise at prices deemed appropriate by the Company. The timing and amount of repurchase transactions under the program will depend on market conditions and corporate and regulatory considerations. The purchases will be funded from available working capital. The stock repurchase program may be suspended or discontinued at any time. A total of 2 million shares have been repurchased under the program for an aggregate purchase price of approximately $23.7 million. The Company classifies common stock repurchased as treasury stock on its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Legal Matters</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September 5, 2008, September 18, 2008, and September 23, 2008, three complaints were filed against the Company and certain of its officers and directors in the United States District Court for the District of New Jersey purportedly on behalf of a class of shareholders who purchased our common stock between February 4, 2008 and June 9, 2008. The plaintiffs in each complaint assert claims under Sections 10(b) and 20(a) of the Securities Exchange Act of 1934. They allege that certain of the Company’s public disclosures regarding its financial prospects between February 4, 2008 and May 6, 2008 were false and/or misleading. The principal allegation set forth in each complaint is that the Company issued misleading statements concerning its business prospects relating to the activation of Apple Inc.’s iPhone product. The plaintiffs seek compensatory damages, costs, fees, and other relief within the Court’s discretion. The Company believes that these claims are without merit, and it intends to defend against all of the claims vigorously. Due to the inherent uncertainties of litigation, the Company cannot predict the outcome of the actions at this time, and can give no assurance that these claims will not have a material adverse effect on its financial position or results of operations.</w:t>
      </w:r>
    </w:p>
    <w:p>
      <w:pPr>
        <w:spacing w:after="0" w:line="74"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On October 23, 2008, a complaint was filed in the state court of New Jersey against certain of the Company’s officers and directors, purportedly derivatively on behalf of the Company. This complaint asserts claims for breach of fiduciary duty with respect to the disclosures that also are the subject of the complaints described above. This complaint also asserts that the named officers breached their fiduciary duties when they allegedly sold the Company’s securities on the basis of material non-public information in 2008. The Company is also named as a nominal defendant in this complaint, although the actions are derivative in nature and purportedly asserted on the Company’s behalf. The plaintiffs seek compensatory damages, costs, fees, and other relief within the Court’s discretion. The Company is in the process of evaluating the claims in this complaint. Due to the inherent uncertainties of litigation, the Company cannot predict the outcome of the action at this time, and can give no assurance that the claims in this complaint will not have a material adverse effect on the Company’s financial position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Event-R&amp;D Tax Credit</w:t>
      </w:r>
    </w:p>
    <w:p>
      <w:pPr>
        <w:spacing w:after="0" w:line="121"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On October 3, 2008, the United States Congress passed the Emergency Economic Stabilization Act of 2008. As part of this act, the R&amp;D tax credit has been extended for 2008 and 2009. As a result, the Company expects its effective tax rate will be favorably impacted for 2008. The Company is currently evaluating the impact of this legislation on its financial statements.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218"/>
        <w:spacing w:after="0" w:line="289" w:lineRule="auto"/>
        <w:rPr>
          <w:sz w:val="20"/>
          <w:szCs w:val="20"/>
          <w:color w:val="auto"/>
        </w:rPr>
      </w:pPr>
      <w:r>
        <w:rPr>
          <w:rFonts w:ascii="Arial" w:cs="Arial" w:eastAsia="Arial" w:hAnsi="Arial"/>
          <w:sz w:val="16"/>
          <w:szCs w:val="16"/>
          <w:color w:val="auto"/>
        </w:rPr>
        <w:t>You should read the following discussion and analysis in conjunction with the information set forth in our consolidated financial statements and related notes included elsewhere in this quarterly report on Form 10-Q and in our Form 10-K for the year ended December 31, 2007. This report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These statements speak only as of the date of this report (unless another date is indicated), and we undertake no obligation to update or revise the statements in light of future developments. All numbers are expressed in thousands unless otherwise stated.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are a leading provider of on-demand multi-channel transaction management platforms that enable communications service providers (CSPs) to automate new subscriber activation, order management and service provisioning. Our ActivationNow</w:t>
      </w:r>
      <w:r>
        <w:rPr>
          <w:rFonts w:ascii="Arial" w:cs="Arial" w:eastAsia="Arial" w:hAnsi="Arial"/>
          <w:sz w:val="14"/>
          <w:szCs w:val="14"/>
          <w:color w:val="auto"/>
        </w:rPr>
        <w:t>®</w:t>
      </w:r>
      <w:r>
        <w:rPr>
          <w:rFonts w:ascii="Arial" w:cs="Arial" w:eastAsia="Arial" w:hAnsi="Arial"/>
          <w:sz w:val="17"/>
          <w:szCs w:val="17"/>
          <w:color w:val="auto"/>
        </w:rPr>
        <w:t xml:space="preserve"> and ConvergenceNow</w:t>
      </w:r>
      <w:r>
        <w:rPr>
          <w:rFonts w:ascii="Arial" w:cs="Arial" w:eastAsia="Arial" w:hAnsi="Arial"/>
          <w:sz w:val="14"/>
          <w:szCs w:val="14"/>
          <w:color w:val="auto"/>
        </w:rPr>
        <w:t>®</w:t>
      </w:r>
      <w:r>
        <w:rPr>
          <w:rFonts w:ascii="Arial" w:cs="Arial" w:eastAsia="Arial" w:hAnsi="Arial"/>
          <w:sz w:val="17"/>
          <w:szCs w:val="17"/>
          <w:color w:val="auto"/>
        </w:rPr>
        <w:t xml:space="preserve"> platforms provide seamless integration between customer-facing applications and “back-office” or infrastructure-related systems and processes. Our CSP customers rely on our internet based technology to automate the process of activating customers and to deliver additional communications services including new service offerings and ongoing customer care. We have designed our platforms to be flexible to enable multiple communication services including wireless Voice over Internet Protocol (VoIP), wireline and cable to be managed through multiple distribution channels including e-commerce, CSP stores and other retail outlets, allowing us to meet the rapidly changing and converging services offered by CSPs. By simplifying the processes associated with managing the customer experience for ordering and activating services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w:t>
      </w:r>
    </w:p>
    <w:p>
      <w:pPr>
        <w:spacing w:after="0" w:line="70" w:lineRule="exact"/>
        <w:rPr>
          <w:sz w:val="20"/>
          <w:szCs w:val="20"/>
          <w:color w:val="auto"/>
        </w:rPr>
      </w:pPr>
    </w:p>
    <w:p>
      <w:pPr>
        <w:ind w:right="560" w:firstLine="225"/>
        <w:spacing w:after="0" w:line="259" w:lineRule="auto"/>
        <w:rPr>
          <w:sz w:val="20"/>
          <w:szCs w:val="20"/>
          <w:color w:val="auto"/>
        </w:rPr>
      </w:pPr>
      <w:r>
        <w:rPr>
          <w:rFonts w:ascii="Arial" w:cs="Arial" w:eastAsia="Arial" w:hAnsi="Arial"/>
          <w:sz w:val="18"/>
          <w:szCs w:val="18"/>
          <w:color w:val="auto"/>
        </w:rPr>
        <w:t>Our industry-leading customers include wireline, wireless, VoIP and cable MSO companies including AT&amp;T Inc., Sprint Nextel, Embarq, Vonage Holdings, British Telecom, Cablevision Systems Corporation, Global Crossing, Level 3 Communications, Charter Communications, Verizon Business Solutions, Clearwire, Time Warner Cable and Comcast. These customers use our platforms and technology and services to manage both consumer and business customers, including over 300 of the Fortune 500 companies.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We generate a substantial portion of our revenues on a per-transaction basis, most of which is derived from contracts that extend up to 48 months from execution. For the three months ended September 30, 2008, we derived approximately 80% of our revenues from transactions processed. Most of the remainder of our revenues were generated by professional services.</w:t>
      </w:r>
    </w:p>
    <w:p>
      <w:pPr>
        <w:spacing w:after="0" w:line="7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Historically, our revenues are directly impacted by the number of transactions processed. In recent years, the fourth quarter has had the highest volume of transactions processed due to increased consumer activation activity during the holiday season. The future success of our business depends on the continued growth of consumer and business transactions and, as such, the volume of transactions that we process could fluctuate on a quarterly basis. See “Current Trends Affecting Our Results of Operations” for certain matters regarding future results of operations.</w:t>
      </w:r>
    </w:p>
    <w:p>
      <w:pPr>
        <w:spacing w:after="0" w:line="63"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currently derive a significant portion of our revenues from one customer, AT&amp;T. For the three months ended September 30, 2008, AT&amp;T accounted for approximately 66% of our revenues, compared to 78% for the three months ended September 30, 2007. Our five largest customers, AT&amp;T, Vonage, Level 3 Communications, Comcast and Cablevision, accounted for approximately 89% of our revenues for the three months ended September 30, 2008, compared to 93% of our revenues for the three months ended September 30, 2007. See “Risk Factors” for certain matters bearing risks on our future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costs and expenses consist of cost of services, research and development, selling, general and administrative and depreciation and amortization.</w:t>
      </w:r>
    </w:p>
    <w:p>
      <w:pPr>
        <w:spacing w:after="0" w:line="14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Cost of services includes all direct materials, direct labor, cost of facilities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Research and development costs have been expensed as incurred. Software development costs incurred prior to the establishment of technological feasibility are expensed as incurred.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our existing technology and services.</w:t>
      </w:r>
    </w:p>
    <w:p>
      <w:pPr>
        <w:spacing w:after="0" w:line="6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6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Depreciation relates to our property and equipment and includes our network infrastructure and facilities. Amortization relates to the customer lists and technology acquired from Wisor.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21" w:lineRule="exact"/>
        <w:rPr>
          <w:sz w:val="20"/>
          <w:szCs w:val="20"/>
          <w:color w:val="auto"/>
        </w:rPr>
      </w:pPr>
    </w:p>
    <w:p>
      <w:pPr>
        <w:ind w:right="300" w:firstLine="222"/>
        <w:spacing w:after="0" w:line="302" w:lineRule="auto"/>
        <w:rPr>
          <w:sz w:val="20"/>
          <w:szCs w:val="20"/>
          <w:color w:val="auto"/>
        </w:rPr>
      </w:pPr>
      <w:r>
        <w:rPr>
          <w:rFonts w:ascii="Arial" w:cs="Arial" w:eastAsia="Arial" w:hAnsi="Arial"/>
          <w:sz w:val="16"/>
          <w:szCs w:val="16"/>
          <w:color w:val="auto"/>
        </w:rPr>
        <w:t>We have experienced increased demand for our services, which has been driven by market trends such as various forms of order provisioning, local number portability, the implementation of new technologies, subscriber growth, competitive churn, network changes and consolidations in the industry. In particular, the emergence of order provisioning of e-commerce transactions for wireless, VoIP, LNP, and other communication services surrounding the convergence of bundled services has increased the need for our services and we believe will continue to be a source of growth for our company.</w:t>
      </w:r>
    </w:p>
    <w:p>
      <w:pPr>
        <w:spacing w:after="0" w:line="46"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the second quarter of 2008, we were informed by AT&amp;T that they would be changing their process of activating the iPhone product from a process that utilized our ConvergenceNow</w:t>
      </w:r>
      <w:r>
        <w:rPr>
          <w:rFonts w:ascii="Arial" w:cs="Arial" w:eastAsia="Arial" w:hAnsi="Arial"/>
          <w:sz w:val="14"/>
          <w:szCs w:val="14"/>
          <w:color w:val="auto"/>
        </w:rPr>
        <w:t>®</w:t>
      </w:r>
      <w:r>
        <w:rPr>
          <w:rFonts w:ascii="Arial" w:cs="Arial" w:eastAsia="Arial" w:hAnsi="Arial"/>
          <w:sz w:val="17"/>
          <w:szCs w:val="17"/>
          <w:color w:val="auto"/>
        </w:rPr>
        <w:t xml:space="preserve"> platform to an activation process that occurs at retail stores. This change in process requires customers to activate the iPhone at AT&amp;T or Apple stores to discourage the practice of “unlocking” the device for use on other networks. This activation process is a service that is currently not supported by Synchronoss for AT&amp;T. As a result of this development, we expect our full year revenue related to activations of iPhones on AT&amp;T’s network to be approximately $30 million less for the year ended December 31, 2008 compared to December 31, 2007.</w:t>
      </w:r>
    </w:p>
    <w:p>
      <w:pPr>
        <w:spacing w:after="0" w:line="64"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To support the growth driven by the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 Loss of revenue related to the activation of iPhones on AT&amp;T’s network, which is a higher gross margin transaction because of higher levels of automation, caused total gross margins for the three months ended September 30, 2008 to decline compared to the same period last year. However, as transactions mature and become more automated, we expect gross margins relating to these transactions to grow in the future.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U.S. generally accepted accounting principles (“GAAP”). The preparation of these consolidated financial statements in accordance with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pacing w:after="0" w:line="74"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7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 Recognition and Deferred Revenue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Service Level Standards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There were no significant changes in our critical accounting policies and estimates during the three months ended September 30, 2008. Please refer to Management’s Discussion and Analysis of Financial Condition and Results of Operations contained in Part II, Item 7 of our Annual Report on Form 10-K for our fiscal year ended December 31, 2007 for a more complete discussion of our critical accounting policies and estimates.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2008 compared to the three months ended September 30, 2007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September 30,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left="337"/>
              <w:spacing w:after="0" w:line="142" w:lineRule="exact"/>
              <w:rPr>
                <w:sz w:val="20"/>
                <w:szCs w:val="20"/>
                <w:color w:val="auto"/>
              </w:rPr>
            </w:pPr>
            <w:r>
              <w:rPr>
                <w:rFonts w:ascii="Arial" w:cs="Arial" w:eastAsia="Arial" w:hAnsi="Arial"/>
                <w:sz w:val="14"/>
                <w:szCs w:val="14"/>
                <w:b w:val="1"/>
                <w:bCs w:val="1"/>
                <w:color w:val="auto"/>
                <w:w w:val="91"/>
              </w:rPr>
              <w:t>2008 vs. 2007</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spacing w:after="0"/>
              <w:rPr>
                <w:sz w:val="10"/>
                <w:szCs w:val="10"/>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Revenue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Revenue</w:t>
            </w:r>
          </w:p>
        </w:tc>
        <w:tc>
          <w:tcPr>
            <w:tcW w:w="44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center"/>
              <w:ind w:right="4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34,477</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(8,142)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100" w:type="dxa"/>
            <w:vAlign w:val="bottom"/>
          </w:tcPr>
          <w:p>
            <w:pPr>
              <w:spacing w:after="0"/>
              <w:rPr>
                <w:sz w:val="20"/>
                <w:szCs w:val="20"/>
                <w:color w:val="auto"/>
              </w:rPr>
            </w:pPr>
            <w:r>
              <w:rPr>
                <w:rFonts w:ascii="Arial" w:cs="Arial" w:eastAsia="Arial" w:hAnsi="Arial"/>
                <w:sz w:val="18"/>
                <w:szCs w:val="18"/>
                <w:color w:val="auto"/>
              </w:rPr>
              <w:t>Cost of services*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13,547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51.4%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15,601</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4,946</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4,992</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22,812</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24,916</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72.3%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(2,104)</w:t>
            </w: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services excludes depreciation which is shown separately.</w:t>
      </w:r>
    </w:p>
    <w:p>
      <w:pPr>
        <w:spacing w:after="0" w:line="117"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decreased $8.1 million to $26.3 million for the three months ended September 30, 2008, compared to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2007. This decline was due primarily to decreased revenues associated with the activation of iPhones on AT&amp;T’s network; net revenues related to AT&amp;T decreased $9.4 million to $17.4 million for the three months ended September 30, 2008 compared to the same period in 2007. AT&amp;T represented 66% and 78% of our revenues for the three months ended September 30, 2008 and 2007, respectively. Net revenues outside of AT&amp;T generated $8.9 million of our revenues during the three months ended September 30, 2008 as compared to $7.7 million during the three months ended September 30, 2007. Net revenues outside of AT&amp;T represented 34% and 22% of our revenues during the three months ended September 30, 2008 and 2007, respectively. Transaction revenues recognized for the three months ended September 30, 2008 and 2007 represented 80% or $21.0 million and 88% or $30.5 million of net revenues, respectively. This reduction in transactional revenue is primarily attributed to a decrease in revenues related to activations of iPhones on AT&amp;T’s network. Professional service revenues increased as a percentage of sales to 18% or $4.7 million for the three months ended September 30, 2008, compared to 11% or $3.7 million for the previous three months ended September 30, 2007. This percentage increase is principally due to a lower total revenue base as transaction revenue declined while professional services increased by $1.0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80" w:firstLine="225"/>
        <w:spacing w:after="0" w:line="285"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decreased $2.1 million to $13.5 million for the three months ended September 30, 2008, compared to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2007, due primarily to a decrease of $2.2 million in personnel and related costs and third party consulting service costs required to support transaction volumes submitted to us by our customers. This decrease in cost of services corresponds to the decrease in revenue for the period due primarily to declining volume associated with activation of iPhones on AT&amp;T’s network. This decrease was partially offset by $142 in additional stock-based compensation expense. Cost of services as a percentage of revenues increased to 51.4% for the three months ended September 30, 2008, as compared to</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45.3% for the three months ended September 30, 2007, due to a decline in transaction revenue associated with activation of iPhones on AT&amp;T’s network and lower automation rates experienced as we add new customer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decreased $265 to $2.7 million for the three months ended September 30,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September 30, 2007, due to a reduced use of outside consultants. Research and development expense as a percentage of revenues increased to 10.2% for the three months ended September 30, 2008, as compared to 8.6% for the three months ended September 30, 2007 due to a lower revenue base for comparative purposes.</w:t>
      </w:r>
    </w:p>
    <w:p>
      <w:pPr>
        <w:spacing w:after="0" w:line="7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decreased $46 to $4.9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compared to the three months ended September 30, 2007. Selling, general and administrative expense as a percentage of revenues increased to 18.8% for the three months ended September 30, 2008, as compared to 14.5% for the three months ended September 30, 2007 due to a lower revenue base for comparative purposes and primarily due to increases in stock-based compensation expense of $637, partially offset by a decrease in personnel and related costs of $504.</w:t>
      </w:r>
    </w:p>
    <w:p>
      <w:pPr>
        <w:spacing w:after="0" w:line="80"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$261 to $1.6 million for the three months ended September 30,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2007, due to continued growth in the invested value of our infrastructure and amortization of intangibles related to Wisor acquisition of $88. Depreciation and amortization expense as a percentage of revenues increased to 6.2% for the three months ended September 30, 2008, as compared to 4.0% for the same period in 2007.</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decreased $6.0 million to $3.5 million for the three months ended September 30, 2008,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2007. Income from operations decreased as a percentage of revenues to 13.4% for the three months ended September 30, 2008, as compared to 27.7% for the three months ended September 30, 2007. This decrease was primarily due to lower gross margin due to a decline in transaction revenue and lower automation rates.</w:t>
      </w:r>
    </w:p>
    <w:p>
      <w:pPr>
        <w:spacing w:after="0" w:line="79"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Our effective tax rate was approximately 41.6% and approximately 23.9% during the three months ended September 30, 2008 and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Our effective rate was lower last year due to the recognition of a net cumulative R&amp;D tax credit of approximately $1.2 million during the three months ended September 30, 2007.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September 30, 2008 and 2007, we recognized approximately $1.7 million and $2.5 million in related tax expense, respectively. As a result of the recent passage of the Emergency Economic Stabilization Act of 2008, we expect our effective tax rate will be favorably impacted for the remainder of 2008. We are currently evaluating the impact of this legislation on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2008, compared to the nine months ended September 30, 2007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nine months ended September 30,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left="337"/>
              <w:spacing w:after="0" w:line="142" w:lineRule="exact"/>
              <w:rPr>
                <w:sz w:val="20"/>
                <w:szCs w:val="20"/>
                <w:color w:val="auto"/>
              </w:rPr>
            </w:pPr>
            <w:r>
              <w:rPr>
                <w:rFonts w:ascii="Arial" w:cs="Arial" w:eastAsia="Arial" w:hAnsi="Arial"/>
                <w:sz w:val="14"/>
                <w:szCs w:val="14"/>
                <w:b w:val="1"/>
                <w:bCs w:val="1"/>
                <w:color w:val="auto"/>
                <w:w w:val="91"/>
              </w:rPr>
              <w:t>2008 vs 2007</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26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spacing w:after="0"/>
              <w:rPr>
                <w:sz w:val="10"/>
                <w:szCs w:val="10"/>
                <w:color w:val="auto"/>
              </w:rPr>
            </w:pPr>
          </w:p>
        </w:tc>
        <w:tc>
          <w:tcPr>
            <w:tcW w:w="96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spacing w:after="0"/>
              <w:rPr>
                <w:sz w:val="10"/>
                <w:szCs w:val="10"/>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Revenue</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Revenue</w:t>
            </w:r>
          </w:p>
        </w:tc>
        <w:tc>
          <w:tcPr>
            <w:tcW w:w="44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$ 79,760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$ 87,127</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(7,367)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100" w:type="dxa"/>
            <w:vAlign w:val="bottom"/>
          </w:tcPr>
          <w:p>
            <w:pPr>
              <w:spacing w:after="0"/>
              <w:rPr>
                <w:sz w:val="20"/>
                <w:szCs w:val="20"/>
                <w:color w:val="auto"/>
              </w:rPr>
            </w:pPr>
            <w:r>
              <w:rPr>
                <w:rFonts w:ascii="Arial" w:cs="Arial" w:eastAsia="Arial" w:hAnsi="Arial"/>
                <w:sz w:val="18"/>
                <w:szCs w:val="18"/>
                <w:color w:val="auto"/>
              </w:rPr>
              <w:t>Cost of services*</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38,819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48.7%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39,748</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45.6%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7,493</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7,414</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15,074</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18.9%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12,862</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65,967</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82.7%</w:t>
            </w:r>
          </w:p>
        </w:tc>
        <w:tc>
          <w:tcPr>
            <w:tcW w:w="2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63,776</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2,191</w:t>
            </w: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$ 13,793</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$ 23,351</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(9,558)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services excludes depreciation which is shown separately.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b w:val="1"/>
          <w:bCs w:val="1"/>
          <w:i w:val="1"/>
          <w:iCs w:val="1"/>
          <w:color w:val="auto"/>
        </w:rPr>
        <w:t xml:space="preserve">Net Revenue. </w:t>
      </w:r>
      <w:r>
        <w:rPr>
          <w:rFonts w:ascii="Arial" w:cs="Arial" w:eastAsia="Arial" w:hAnsi="Arial"/>
          <w:sz w:val="17"/>
          <w:szCs w:val="17"/>
          <w:color w:val="auto"/>
        </w:rPr>
        <w:t>Net revenues decreased $7.4 million to $79.8 million for the nine months ended September 30, 2008, compared to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2007. This decline was due primarily to decreased revenues associated with the activation of iPhones on AT&amp;T’s network. Net revenues related to AT&amp;T decreased $12.0 million to $54.7 million for the nine months ended September 30, 2008 compared to the same period in 2007. AT&amp;T represented 69% and 77% of our revenues for the nine months ended September 30, 2008 and 2007, respectively. Net revenues outside of AT&amp;T generated $25.0 million of our revenues during the nine months ended September 30, 2008 as compared to $20.4 million during the nine months ended September 30, 2007. Net revenues outside of AT&amp;T represented 31% and 24% of our revenues during the nine months ended September 30, 2008 and 2007, respectively. Transaction revenues recognized for the nine months ended September 30, 2008 and 2007 represented 82% or $65.4 million and 85% or $74.4 million of net revenues, respectively. Professional service revenues as a percentage of sales were 16% or $13.1 million for the nine months ended September 30, 2008, compared to 14% or $12.0 million for the nine months ended September 30,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decreased $929 to $38.8 million for the nine months ended September 30, 2008, compared to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2007. Personnel and related costs and third party consulting service costs for management of exception handling decreased $2.1 million partially offset by an increase in stock-based compensation expense of $513. Also, additional telecommunication and maintenance expense in our data facilities contributed approximately $454 to the increase in cost of services. Cost of services as a percentage of revenues increased to 48.7% for the nine months ended September 30, 2008, as compared to 45.6% for the nine months ended September 30, 2007, due to a decline in higher margin for the revenue associated with the activation of iPhones on AT&amp;T’s network, and a decrease in automation rates experienced as we add new customer business.</w:t>
      </w:r>
    </w:p>
    <w:p>
      <w:pPr>
        <w:spacing w:after="0" w:line="5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$79 to $7.5 million for the nine months ended September 30, 2008,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nine months ended September 30, 2007, due to increases in stock compensation partially offset by a reduced use of outside consultants. Research and development expense as a percentage of revenues increased to 9.4% for the nine months ended September 30, 2008, as compared to 8.5% for the nine months ended September 30, 2007.</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increased $2.2 million to $15.1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2008, compared to the nine months ended September 30, 2007, due primarily to increased stock-based compensation expense of $2.1 million. Selling, general and administrative expense as a percentage of revenues increased to 18.9% for the nine months ended September 30, 2008, as compared to 14.8% for the nine months ended September 30, 2007.</w:t>
      </w:r>
    </w:p>
    <w:p>
      <w:pPr>
        <w:spacing w:after="0" w:line="79"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$829 to $4.6 million for the nine months ended September 30,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nine months ended September 30, 2007, due to continued growth in the invested value of our infrastructure. Depreciation and amortization expense as a percentage of revenues increased to 5.7% for the nine months ended September 30, 2008, as compared to 4.3% for the nine months ended September 30, 2007.</w:t>
      </w:r>
    </w:p>
    <w:p>
      <w:pPr>
        <w:spacing w:after="0" w:line="79"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decreased $9.6 million to $13.8 million for the nine months ended September 30, 2008,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2007. Income from operations decreased as a percentage of revenues to 17.3% for the nine months ended September 30, 2008, as compared to 26.8% for the nine months ended September 30, 2007. This decrease was primarily due to lower revenues and gross profits.</w:t>
      </w:r>
    </w:p>
    <w:p>
      <w:pPr>
        <w:spacing w:after="0" w:line="79"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Our effective tax rate was approximately 41.6% and approximately 34.6% during the nine months ended September 30, 2008 and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Our effective rate was lower last year due to the recognition of a net cumulative R&amp;D tax credit of approximately $1.2 million during the third quarter.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nine months ended September 30, 2008 and 2007, we recognized approximately $6.6 million and $9.1 million in related tax expense, respectively. As a result of the recent passage of the Emergency Economic Stabilization Act of 2008, we expect our effective tax rate will be favorably impacted for the remainder of 2008. We are currently evaluating the impact of this legislation on our financial statements.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225"/>
        <w:spacing w:after="0" w:line="271" w:lineRule="auto"/>
        <w:rPr>
          <w:sz w:val="20"/>
          <w:szCs w:val="20"/>
          <w:color w:val="auto"/>
        </w:rPr>
      </w:pPr>
      <w:r>
        <w:rPr>
          <w:rFonts w:ascii="Arial" w:cs="Arial" w:eastAsia="Arial" w:hAnsi="Arial"/>
          <w:sz w:val="17"/>
          <w:szCs w:val="17"/>
          <w:color w:val="auto"/>
        </w:rPr>
        <w:t>Our principal source of liquidity has been cash provided by operations and cash provided from our initial public offering (IPO) which was completed on June 20, 2006. The net proceeds from our IPO and the exercise of the over-allotment option by our IPO underwriters were approximately $52.8 million, which enabled us to strengthen our balance sheet. Our cash, cash equivalents and marketable securities balance was $73.3 million at September 30, 2008, a decrease of $22.6 million as compared to the end of 2007. This decrease was due primarily to the repurchase of $23.7 million of our common stock and the acquisition of Wisor for net cash of approximately $17 million partially offset by $18.1 million of cash provided by operating activities for the nine months ended September 30, 2008. We anticipate that our principal uses of cash in the future will be to fund the expansion of our business through both organic growth as well as possible acquisition activities and to expand our customer base internationally. Uses of cash will also include facility expansion, capital expenditures and working capital.</w:t>
      </w:r>
    </w:p>
    <w:p>
      <w:pPr>
        <w:spacing w:after="0" w:line="7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On May 5, 2008, our board of directors authorized a stock repurchase program to purchase up to $25 million of our outstanding common stock. The duration of the repurchase program is up to twelve months. Under the program, we may purchase shares of our common stock in the open market, through block trades or otherwise at prices deemed appropriate by us. The timing and amount of repurchase transactions under the program will depend on market conditions and corporate and regulatory considerations. The purchases will be funded from available working capital. The stock repurchase program may be suspended or discontinued at any time. Under the program, we have repurchased a total of 2 million shares for an aggregate purchase price of approximately $23.7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Cash flows from operations. </w:t>
      </w:r>
      <w:r>
        <w:rPr>
          <w:rFonts w:ascii="Arial" w:cs="Arial" w:eastAsia="Arial" w:hAnsi="Arial"/>
          <w:sz w:val="17"/>
          <w:szCs w:val="17"/>
          <w:color w:val="auto"/>
        </w:rPr>
        <w:t>Net cash provided by operating activities for the nine months ended September 30, 2008 was $18.1 million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$16.9 million for the nine months September 30, 2007. The increase of $1.1 million is primarily due to a decrease to accounts receivable of $14.0 million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lower revenue during the nine months ended September 30, 2008 compared to the same period in 2007 partially offset by a decrease to accrued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$3.5 million, a decrease to accounts payable of $1.9 million and a decrease to net income of $7.9 million from September 30, 2007.</w:t>
      </w:r>
    </w:p>
    <w:p>
      <w:pPr>
        <w:spacing w:after="0" w:line="10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Cash flows from investing. </w:t>
      </w:r>
      <w:r>
        <w:rPr>
          <w:rFonts w:ascii="Arial" w:cs="Arial" w:eastAsia="Arial" w:hAnsi="Arial"/>
          <w:sz w:val="18"/>
          <w:szCs w:val="18"/>
          <w:color w:val="auto"/>
        </w:rPr>
        <w:t>Net cash used in investing activities for the nine months ended September 30, 2008 was $21.5 million compared to $8.7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September 30, 2007. The increase of $12.8 million was primarily due to the $17.4 million net cash outflow for the acquisition of Wisor , partially offset by decreased purchases of fixed assets of $6.9 million offset by a net change in investments of marketable securities of $2.4 million. Expenditures related to fixed assets in 2007 were higher than 2008 due to increased spending to support customer initiatives that required a higher volume of transactions.</w:t>
      </w:r>
    </w:p>
    <w:p>
      <w:pPr>
        <w:spacing w:after="0" w:line="80" w:lineRule="exact"/>
        <w:rPr>
          <w:sz w:val="20"/>
          <w:szCs w:val="20"/>
          <w:color w:val="auto"/>
        </w:rPr>
      </w:pPr>
    </w:p>
    <w:p>
      <w:pPr>
        <w:ind w:right="300" w:firstLine="225"/>
        <w:spacing w:after="0" w:line="257" w:lineRule="auto"/>
        <w:rPr>
          <w:sz w:val="20"/>
          <w:szCs w:val="20"/>
          <w:color w:val="auto"/>
        </w:rPr>
      </w:pPr>
      <w:r>
        <w:rPr>
          <w:rFonts w:ascii="Arial" w:cs="Arial" w:eastAsia="Arial" w:hAnsi="Arial"/>
          <w:sz w:val="18"/>
          <w:szCs w:val="18"/>
          <w:i w:val="1"/>
          <w:iCs w:val="1"/>
          <w:color w:val="auto"/>
        </w:rPr>
        <w:t xml:space="preserve">Cash flows from financing. </w:t>
      </w:r>
      <w:r>
        <w:rPr>
          <w:rFonts w:ascii="Arial" w:cs="Arial" w:eastAsia="Arial" w:hAnsi="Arial"/>
          <w:sz w:val="18"/>
          <w:szCs w:val="18"/>
          <w:color w:val="auto"/>
        </w:rPr>
        <w:t>Net cash used in financing activities for the nine months ended September 30, 2008 was $21.4 million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of $593 for the nine months ended September 30, 2007. In May 2008, we initiated a stock repurchase program and have repurchased 2 million shares for an aggregate purchase price of approximately $23.7 million. The remaining difference was due to decreased net proceeds from the issuance of common stock of $318 through the exercise of stock options, increased tax benefits received from the exercise of stock options of $1.6 million and decreased repayments of an equipment loan of $500.</w:t>
      </w:r>
    </w:p>
    <w:p>
      <w:pPr>
        <w:spacing w:after="0" w:line="8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believe that our existing cash and cash equivalents, the cash generated from our IPO and cash generated from our operations will be sufficient to fund our operations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months ended September 30, 2008 and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 xml:space="preserve">In September 2006, the FASB issued Statement 157,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(“Statement 157”). Statement 157 defines fair value, establishes a framework for measuring fair value in generally accepted accounting principles and establishes a hierarchy that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categorizes and prioritizes the sources to be used to estimate fair value. Statement 157 also expands financial statement disclosures about fair value measurements. On February 6, 2008, the FASB issued FASB Staff Position (FSP) FAS 157-2 “Effective Date of Statement No. 157” which delays the effective date of Statement 157 for one year for all nonfinancial assets and nonfinancial liabilities, except those that are recognized or disclosed at fair value in the financial statements on a recurring basis (at least annually). Statement 157 and FSP FAS 157-2 are effective for financial statements issued for fiscal years beginning after November 15, 2007. We have elected a partial deferral of Statement 157 under the provisions of FSP FAS 157-2 related to the measurement of fair value used when evaluating goodwill, other intangible assets and other long-lived assets for impairment and valuing asset retirement obligations and liabilities for exit or disposal activities. We adopted SFAS No. 157 effective January 1, 2008.</w:t>
      </w:r>
    </w:p>
    <w:p>
      <w:pPr>
        <w:spacing w:after="0" w:line="70"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In December 2007,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issued Staff Accounting Bulletin No. 110 (“ </w:t>
      </w:r>
      <w:r>
        <w:rPr>
          <w:rFonts w:ascii="Arial" w:cs="Arial" w:eastAsia="Arial" w:hAnsi="Arial"/>
          <w:sz w:val="16"/>
          <w:szCs w:val="16"/>
          <w:i w:val="1"/>
          <w:iCs w:val="1"/>
          <w:color w:val="auto"/>
        </w:rPr>
        <w:t>SAB 110</w:t>
      </w:r>
      <w:r>
        <w:rPr>
          <w:rFonts w:ascii="Arial" w:cs="Arial" w:eastAsia="Arial" w:hAnsi="Arial"/>
          <w:sz w:val="16"/>
          <w:szCs w:val="16"/>
          <w:color w:val="auto"/>
        </w:rPr>
        <w:t xml:space="preserve"> ”). SAB 110 amends and replaces Question 6 of Section D.2 of Topic 14,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110 expresses the views of the staff regarding the use of the “simplified” method in developing an estimate of expected term of “plain vanilla” share options in accordance with FASB Statement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The use of the “simplified” method was scheduled to expire on December 31, 2007. SAB 110 extends the use of the “simplified” method for “plain vanilla” awards in certain situations. We currently use the “simplified” method to estimate the expected term for share option grants as it does not have enough historical experience to provide a reasonable estimate due to the limited period our equity shares have been publicly traded. We will continue to use the “simplified” method until we have enough historical experience to provide a reasonable estimate of expected term in accordance with SAB 110.</w:t>
      </w:r>
    </w:p>
    <w:p>
      <w:pPr>
        <w:spacing w:after="0" w:line="5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In December 2007, the Financial Accounting Standards Board, or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or SFAS No. 141 (R), which replaces SFAS No. 141. SFAS No. 141(R) establishes principles and requirements for how an acquirer recognizes and measures in its financial statements the identifiable assets acquired, the liabilities assumed, any non-controlling interest in the acquiree and the goodwill acquired. SFAS No. 141(R) also establishes disclosure requirements which will enable users to evaluate the nature and financial effects of the business combination. SFAS No. 141(R) is effective for fiscal years beginning after December 15, 2008. Early adoption of this standard is prohibited. We do not currently expect SFAS No. 141(R) to have a material impact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no off-balance sheet arrangements as of September 30, 2008 and December 31, 2007.</w:t>
      </w:r>
    </w:p>
    <w:p>
      <w:pPr>
        <w:spacing w:after="0" w:line="221"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Market Risk</w:t>
      </w:r>
    </w:p>
    <w:p>
      <w:pPr>
        <w:ind w:right="80" w:firstLine="222"/>
        <w:spacing w:after="0" w:line="302" w:lineRule="auto"/>
        <w:rPr>
          <w:sz w:val="20"/>
          <w:szCs w:val="20"/>
          <w:color w:val="auto"/>
        </w:rPr>
      </w:pPr>
      <w:r>
        <w:rPr>
          <w:rFonts w:ascii="Arial" w:cs="Arial" w:eastAsia="Arial" w:hAnsi="Arial"/>
          <w:sz w:val="16"/>
          <w:szCs w:val="16"/>
          <w:color w:val="auto"/>
        </w:rPr>
        <w:t>The following discussion about market risk disclosures involves forward-looking statements. Actual results could differ materially from those projected in the forward-looking statements. We deposit our excess cash in high-quality financial instruments, primarily money market funds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46"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debt securities. Our cash and cash equivalents at September 30, 2008 and December 31, 2007 were invested in liquid money market accounts. All market-risk sensitive instruments were entered into for non-trading purposes. We do not expect the current rate of inflation to have a material impact on our business.</w:t>
      </w:r>
    </w:p>
    <w:p>
      <w:pPr>
        <w:spacing w:after="0" w:line="85"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recent decline in the market value of certain securities backed by residential mortgage loans has led to a large liquidity crisis affecting the broader U.S. housing market, the financial services industry and global financial markets. Investors in many industry sectors have experienced substantial decreases in asset valuations and uncertain market liquidity. Furthermore, credit rating authorities have, in many cases, been slow to respond to the rapid changes in the underlying value of certain securities and pervasive market illiquidity, regarding these securities.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215"/>
        <w:spacing w:after="0" w:line="286" w:lineRule="auto"/>
        <w:rPr>
          <w:sz w:val="20"/>
          <w:szCs w:val="20"/>
          <w:color w:val="auto"/>
        </w:rPr>
      </w:pPr>
      <w:r>
        <w:rPr>
          <w:rFonts w:ascii="Arial" w:cs="Arial" w:eastAsia="Arial" w:hAnsi="Arial"/>
          <w:sz w:val="17"/>
          <w:szCs w:val="17"/>
          <w:color w:val="auto"/>
        </w:rPr>
        <w:t>As a result, this “credit crisis” may have a potential impact on the determination of the fair value of financial instruments or possibly require impairments in the future should the value of certain investments suffer a decline in value which is determined to be other than temporary. We currently do not believe any change in the market value of our money market funds or other investments to be material or warrant a change in valuation.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evaluated the effectiveness of the design and operation of our disclosure controls and procedures (as defined in Rules 13a-15(e) and 15d-15(e) under the Securities Exchange Act of 1934, as amended) as of September 30, 2008. Based upon that evaluation, our Chief Executive Officer and Chief Financial Officer concluded that our disclosure controls and procedures are effective as of September 30, 2008, the end of the period covered by this quarterly report, to ensure that the information required to be disclosed by us in the reports that we file or submit under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disclosures.</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 13a-15 that was conducted during the last fiscal quarter that have materially affected, or are reasonably likely to materially affect, our internal control over financial reporting.</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operations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On September 5, 2008, September 18, 2008, and September 23, 2008, three complaints were filed against us and certain of our officers and directors in the United States District Court for the District of New Jersey purportedly on behalf of a class of shareholders who purchased our common stock between February 4, 2008 and June 9, 2008. The plaintiffs in each complaint assert claims under Sections 10(b) and 20(a) of the Securities Exchange Act of 1934. They allege that certain of our public disclosures regarding our financial prospects between February 4, 2008 and May 6, 2008 were false and/or misleading. The principal allegation set forth in each complaint is that we issued misleading statements concerning our business prospects relating to the activation of Apple Inc.’s iPhone product. The plaintiffs seek compensatory damages, costs, fees, and other relief within the Court’s discretion. We believe that these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claims are without merit, and we intend to defend against all of the claims vigorously. Due to the inherent uncertainties of litigation, we cannot predict the outcome of the actions at this time, and can give no assurance that these claims will not have a material adverse effect on our financial position or results of operations.</w:t>
      </w:r>
    </w:p>
    <w:p>
      <w:pPr>
        <w:spacing w:after="0" w:line="7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October 23, 2008, a complaint was filed in the state court of New Jersey against certain of our officers and directors, purportedly derivatively on behalf of us. This complaint asserts claims for breach of fiduciary duty with respect to the disclosures that also are the subject of the complaints described above. This complaint also asserts that the named officers breached their fiduciary duties when they allegedly sold our securities on the basis of material non public information in 2008. We are also named as a nominal defendant in this complaint, although the actions are derivative in nature and purportedly asserted on our behalf. The plaintiffs seek compensatory damages, costs, fees, and other relief within the Court’s discretion. We are in the process of evaluating the claims in the complaint. Due to the inherent uncertainties of litigation, we cannot predict the outcome of the action at this time, and can give no assurance that the claims in this complaint will not have a material adverse effect on our financial position or results of operations.</w:t>
      </w:r>
    </w:p>
    <w:p>
      <w:pPr>
        <w:spacing w:after="0" w:line="7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We are not currently subject to any other legal proceedings that could have a material adverse effect on our operations; however, we may from time to time become a party to various legal proceedings arising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II, “Item 1A. Risk Factors” in our Annual Report on Form 10-K for the year ended December 31, 2007,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negatively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On May 5, 2008, our board of directors authorized a stock repurchase program to purchase up to $25 million of our outstanding common stock. The duration of the repurchase program is up to twelve months. Under the program, we may purchase shares of our common stock in the open market, through block trades or otherwise at prices deemed appropriate under our program. The timing and amount of repurchase transactions under our program will depend on market conditions and corporate and regulatory considerations. The purchases will be funded from available working capital. The stock repurchase program may be suspended or discontinued at any time. As of September 30, 2008, a total of 2,000 shares of our common stock have been repurchased for an aggregate purchase price of approximately $23.7 million. We classify common stock repurchased as treasury stock on our balance sheet.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information with respect to our stock repurchases during the third quarter of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color w:val="auto"/>
                <w:w w:val="93"/>
              </w:rPr>
              <w:t>Total Number of</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9"/>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5"/>
              </w:rPr>
              <w:t>Shares</w:t>
            </w:r>
          </w:p>
        </w:tc>
        <w:tc>
          <w:tcPr>
            <w:tcW w:w="4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Purchased as</w:t>
            </w:r>
          </w:p>
        </w:tc>
        <w:tc>
          <w:tcPr>
            <w:tcW w:w="4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6"/>
              </w:rPr>
              <w:t>Dollar Value</w:t>
            </w:r>
          </w:p>
        </w:tc>
      </w:tr>
      <w:tr>
        <w:trPr>
          <w:trHeight w:val="149"/>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Part of</w:t>
            </w:r>
          </w:p>
        </w:tc>
        <w:tc>
          <w:tcPr>
            <w:tcW w:w="4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That May Yet</w:t>
            </w:r>
          </w:p>
        </w:tc>
      </w:tr>
      <w:tr>
        <w:trPr>
          <w:trHeight w:val="149"/>
        </w:trPr>
        <w:tc>
          <w:tcPr>
            <w:tcW w:w="478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Average Price</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9"/>
              </w:rPr>
              <w:t>Publicly</w:t>
            </w:r>
          </w:p>
        </w:tc>
        <w:tc>
          <w:tcPr>
            <w:tcW w:w="4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7"/>
              </w:rPr>
              <w:t>be Purchased</w:t>
            </w:r>
          </w:p>
        </w:tc>
      </w:tr>
      <w:tr>
        <w:trPr>
          <w:trHeight w:val="149"/>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Shares</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Paid</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Announced</w:t>
            </w:r>
          </w:p>
        </w:tc>
        <w:tc>
          <w:tcPr>
            <w:tcW w:w="4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1"/>
              </w:rPr>
              <w:t>under the</w:t>
            </w:r>
          </w:p>
        </w:tc>
      </w:tr>
      <w:tr>
        <w:trPr>
          <w:trHeight w:val="167"/>
        </w:trPr>
        <w:tc>
          <w:tcPr>
            <w:tcW w:w="47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89"/>
              </w:rPr>
              <w:t>Purchased</w:t>
            </w:r>
          </w:p>
        </w:tc>
        <w:tc>
          <w:tcPr>
            <w:tcW w:w="4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Per Share (1)</w:t>
            </w:r>
          </w:p>
        </w:tc>
        <w:tc>
          <w:tcPr>
            <w:tcW w:w="4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93"/>
              </w:rPr>
              <w:t>Program</w:t>
            </w:r>
          </w:p>
        </w:tc>
        <w:tc>
          <w:tcPr>
            <w:tcW w:w="4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Program</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July 1, 2008 to July 31, 2008</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500,000</w:t>
            </w:r>
          </w:p>
        </w:tc>
        <w:tc>
          <w:tcPr>
            <w:tcW w:w="15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$10.38</w:t>
            </w:r>
          </w:p>
        </w:tc>
        <w:tc>
          <w:tcPr>
            <w:tcW w:w="19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500,000</w:t>
            </w:r>
          </w:p>
        </w:tc>
        <w:tc>
          <w:tcPr>
            <w:tcW w:w="16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$9,365,060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August 1, 2008 to August 31, 2008</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500,000</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12.86</w:t>
            </w:r>
          </w:p>
        </w:tc>
        <w:tc>
          <w:tcPr>
            <w:tcW w:w="1940" w:type="dxa"/>
            <w:vAlign w:val="bottom"/>
            <w:gridSpan w:val="4"/>
          </w:tcPr>
          <w:p>
            <w:pPr>
              <w:jc w:val="right"/>
              <w:ind w:right="400"/>
              <w:spacing w:after="0"/>
              <w:rPr>
                <w:sz w:val="20"/>
                <w:szCs w:val="20"/>
                <w:color w:val="auto"/>
              </w:rPr>
            </w:pPr>
            <w:r>
              <w:rPr>
                <w:rFonts w:ascii="Arial" w:cs="Arial" w:eastAsia="Arial" w:hAnsi="Arial"/>
                <w:sz w:val="18"/>
                <w:szCs w:val="18"/>
                <w:color w:val="auto"/>
              </w:rPr>
              <w:t>500,000</w:t>
            </w:r>
          </w:p>
        </w:tc>
        <w:tc>
          <w:tcPr>
            <w:tcW w:w="1660" w:type="dxa"/>
            <w:vAlign w:val="bottom"/>
            <w:gridSpan w:val="2"/>
          </w:tcPr>
          <w:p>
            <w:pPr>
              <w:jc w:val="right"/>
              <w:ind w:right="188"/>
              <w:spacing w:after="0"/>
              <w:rPr>
                <w:sz w:val="20"/>
                <w:szCs w:val="20"/>
                <w:color w:val="auto"/>
              </w:rPr>
            </w:pPr>
            <w:r>
              <w:rPr>
                <w:rFonts w:ascii="Arial" w:cs="Arial" w:eastAsia="Arial" w:hAnsi="Arial"/>
                <w:sz w:val="18"/>
                <w:szCs w:val="18"/>
                <w:color w:val="auto"/>
              </w:rPr>
              <w:t>$2,933,934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2008 to September 30, 2008</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125,000</w:t>
            </w:r>
          </w:p>
        </w:tc>
        <w:tc>
          <w:tcPr>
            <w:tcW w:w="15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13.17</w:t>
            </w:r>
          </w:p>
        </w:tc>
        <w:tc>
          <w:tcPr>
            <w:tcW w:w="19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125,000</w:t>
            </w:r>
          </w:p>
        </w:tc>
        <w:tc>
          <w:tcPr>
            <w:tcW w:w="16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$1,287,146</w:t>
            </w:r>
          </w:p>
        </w:tc>
      </w:tr>
      <w:tr>
        <w:trPr>
          <w:trHeight w:val="224"/>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1,125,000</w:t>
            </w:r>
          </w:p>
        </w:tc>
        <w:tc>
          <w:tcPr>
            <w:tcW w:w="400" w:type="dxa"/>
            <w:vAlign w:val="bottom"/>
          </w:tcPr>
          <w:p>
            <w:pPr>
              <w:spacing w:after="0"/>
              <w:rPr>
                <w:sz w:val="19"/>
                <w:szCs w:val="19"/>
                <w:color w:val="auto"/>
              </w:rPr>
            </w:pP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$11.86</w:t>
            </w:r>
          </w:p>
        </w:tc>
        <w:tc>
          <w:tcPr>
            <w:tcW w:w="800" w:type="dxa"/>
            <w:vAlign w:val="bottom"/>
            <w:gridSpan w:val="2"/>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1,125,000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3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price paid per share includes commissions paid in connection with our publicly announced share repurchase program and is rounded to the nearest two decimal places.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June 14, 2006, our Registration Statement on Form S-1 (File No. 333-132080) relating to the IPO was declared effective by the SEC. The managing underwriters of our IPO were Goldman, Sachs &amp; Co., Deutsche Bank Securities Inc. and Thomas Weisel Partners LLC. On June 20, 2006, we closed the sale of 6,532,107 shares of common stock in our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Part of our current growth strategy is to further penetrate the North American markets and expand our customer base internationally. We anticipate that a portion of the proceeds of the offering will enable us to finance this expansion. In addition, we could use a portion of the proceeds of our IPO to make strategic investments in, or pursue acquisitions of, other businesses, products or technologies.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200" w:type="dxa"/>
            <w:vAlign w:val="bottom"/>
          </w:tcPr>
          <w:p>
            <w:pPr>
              <w:spacing w:after="0"/>
              <w:rPr>
                <w:sz w:val="14"/>
                <w:szCs w:val="1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92"/>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20</w:t>
            </w:r>
          </w:p>
        </w:tc>
      </w:tr>
      <w:tr>
        <w:trPr>
          <w:trHeight w:val="226"/>
        </w:trPr>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200" w:type="dxa"/>
            <w:vAlign w:val="bottom"/>
          </w:tcPr>
          <w:p>
            <w:pPr>
              <w:spacing w:after="0"/>
              <w:rPr>
                <w:sz w:val="14"/>
                <w:szCs w:val="1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-130810</wp:posOffset>
            </wp:positionV>
            <wp:extent cx="30270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(Principal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20"/>
          </w:cols>
          <w:pgMar w:left="240" w:top="419" w:right="11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1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2008;</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360" w:right="280" w:hanging="447"/>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60" w:right="580" w:hanging="447"/>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10, 2008</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6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6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1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2008;</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360" w:right="280" w:hanging="447"/>
        <w:spacing w:after="0" w:line="264"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60" w:right="580" w:hanging="447"/>
        <w:spacing w:after="0" w:line="342"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Date: November 10, 2008</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28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30"/>
        </w:trPr>
        <w:tc>
          <w:tcPr>
            <w:tcW w:w="52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Executive Vice President, Chief Financial Officer &amp; Treasurer</w:t>
            </w:r>
          </w:p>
        </w:tc>
      </w:tr>
    </w:tbl>
    <w:p>
      <w:pPr>
        <w:sectPr>
          <w:pgSz w:w="11900" w:h="16838" w:orient="portrait"/>
          <w:cols w:equalWidth="0" w:num="1">
            <w:col w:w="11420"/>
          </w:cols>
          <w:pgMar w:left="240" w:top="553"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ending September 30, 2008, as filed with the Securities and Exchange Commission on the date hereof (the “Report”), I, Stephen G. Waldis, the Chairman of the Board of Directors, President</w:t>
      </w:r>
    </w:p>
    <w:p>
      <w:pPr>
        <w:ind w:right="420" w:firstLine="8"/>
        <w:spacing w:after="0" w:line="261" w:lineRule="auto"/>
        <w:tabs>
          <w:tab w:leader="none" w:pos="1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Chief Executive Officer of the Company, hereby certify, pursuant to 18 U.S.C. 1350, as adopted pursuant to Section 906 of the Sarbanes-Oxley Act of 2002, to the best of my knowledge and belief that: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00" w:firstLine="447"/>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10, 2008</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6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6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September 30, 2008,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00" w:firstLine="447"/>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Date: November 10, 2008</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28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30"/>
        </w:trPr>
        <w:tc>
          <w:tcPr>
            <w:tcW w:w="52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Executive Vice President, Chief Financial Officer &amp; Treasurer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amp;"/>
      <w:numFmt w:val="bullet"/>
      <w:start w:val="1"/>
    </w:lvl>
    <w:lvl w:ilvl="1">
      <w:lvlJc w:val="left"/>
      <w:lvlText w:val="(%2)"/>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2019-12-15T03:37:33Z</dcterms:created>
  <dcterms:modified xsi:type="dcterms:W3CDTF">2019-12-15T03:37:33Z</dcterms:modified>
</cp:coreProperties>
</file>