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1017136.xml.htm"/>
      <w:bookmarkStart w:id="1" w:name="kswkform4_177101713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Harris Laurie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CROSSING BOULEVARD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BRIDGEWATER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08807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SYNCHRONOSS TECHNOLOGIES INC</w:t>
              </w:r>
            </w:hyperlink>
            <w:r>
              <w:rPr/>
              <w:t xml:space="preserve"> [ </w:t>
            </w:r>
            <w:r>
              <w:rPr>
                <w:rFonts w:ascii="Times;serif" w:hAnsi="Times;serif"/>
                <w:color w:val="0000FF"/>
                <w:sz w:val="24"/>
                <w:shd w:fill="FFFFFF" w:val="clear"/>
              </w:rPr>
              <w:t>SNCR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1"/>
        <w:gridCol w:w="904"/>
        <w:gridCol w:w="773"/>
        <w:gridCol w:w="600"/>
        <w:gridCol w:w="349"/>
        <w:gridCol w:w="932"/>
        <w:gridCol w:w="455"/>
        <w:gridCol w:w="617"/>
        <w:gridCol w:w="1164"/>
        <w:gridCol w:w="999"/>
        <w:gridCol w:w="10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47,632</w:t>
            </w:r>
          </w:p>
        </w:tc>
        <w:tc>
          <w:tcPr>
            <w:tcW w:w="4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1,889</w:t>
            </w:r>
            <w:r>
              <w:rPr>
                <w:rFonts w:ascii="Times;serif" w:hAnsi="Times;serif"/>
                <w:color w:val="008000"/>
                <w:position w:val="7"/>
                <w:sz w:val="16"/>
                <w:sz w:val="20"/>
                <w:shd w:fill="FFFFFF" w:val="clear"/>
              </w:rPr>
              <w:t>(2)</w:t>
            </w:r>
            <w:r>
              <w:rPr/>
              <w:t xml:space="preserve"> </w:t>
            </w:r>
          </w:p>
        </w:tc>
        <w:tc>
          <w:tcPr>
            <w:tcW w:w="4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bl>
    <w:tbl>
      <w:tblPr>
        <w:tblW w:w="1186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66"/>
        <w:gridCol w:w="906"/>
        <w:gridCol w:w="801"/>
        <w:gridCol w:w="891"/>
        <w:gridCol w:w="681"/>
        <w:gridCol w:w="801"/>
        <w:gridCol w:w="936"/>
        <w:gridCol w:w="831"/>
        <w:gridCol w:w="846"/>
      </w:tblGrid>
      <w:tr>
        <w:trPr>
          <w:tblHeader w:val="true"/>
        </w:trPr>
        <w:tc>
          <w:tcPr>
            <w:tcW w:w="118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72.81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3,334</w:t>
            </w:r>
            <w:r>
              <w:rPr>
                <w:rFonts w:ascii="Times;serif" w:hAnsi="Times;serif"/>
                <w:color w:val="008000"/>
                <w:position w:val="7"/>
                <w:sz w:val="16"/>
                <w:sz w:val="20"/>
                <w:shd w:fill="FFFFFF" w:val="clear"/>
              </w:rPr>
              <w:t>(2)</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26.46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2,056</w:t>
            </w:r>
            <w:r>
              <w:rPr>
                <w:rFonts w:ascii="Times;serif" w:hAnsi="Times;serif"/>
                <w:color w:val="008000"/>
                <w:position w:val="7"/>
                <w:sz w:val="16"/>
                <w:sz w:val="20"/>
                <w:shd w:fill="FFFFFF" w:val="clear"/>
              </w:rPr>
              <w:t>(2)</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06/14/2028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48.87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1,310</w:t>
            </w:r>
            <w:r>
              <w:rPr>
                <w:rFonts w:ascii="Times;serif" w:hAnsi="Times;serif"/>
                <w:color w:val="008000"/>
                <w:position w:val="7"/>
                <w:sz w:val="16"/>
                <w:sz w:val="20"/>
                <w:shd w:fill="FFFFFF" w:val="clear"/>
              </w:rPr>
              <w:t>(2)</w:t>
            </w:r>
            <w:r>
              <w:rPr/>
              <w:t xml:space="preserve"> </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02/20/2027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disposed of pursuant to the Agreement and Plan of Merger, dated as of December 3, 2025 (the "Merger Agreement"), by and among the Issuer, Lumine Group US Holdco Inc., a Delaware corporation, and Skyfall Merger Sub Inc., a Delaware corporation, whereby, at the effective time of the merger contemplated therein (the "Effective Time"), all issued and outstanding shares of Issuer common stock were cancelled and automatically converted into the right to receive $9.00 per share in cash, without interest (the "Merger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number of shares reported in this Form 4 account for the one-for-nine Reverse Stock Split effected by the Issuer on December 11, 2023 (the "Reverse Stock Split"). No fractional shares were issued in connection with the Reverse Stock Split. Any fractional shares that would have resulted from the Reverse Stock Split were rounded up to the nearest whole number.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Indirect shares reported herein are held by Reporting Person's spouse.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As of the Effective Time, all outstanding options have vested and are fully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Pursuant to the Merger Agreement, each vested stock option was cancelled and automatically converted into the right to receive an amount in cash determined by multiplying (x) the excess, if any, of the Merger Consideration over the applicable exercise price of such option by (y) the number of vested shares subject to such option (the "Option Payment"), less all applicable deductions and withholdings required by law to be withheld in respect of such payment; provided, however, that the Option Payment for each option with an exercise price equal to or greater than $9.00 was $0 and such option was cancelled for no consideration.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Laurie L. Harris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3632" TargetMode="External"/><Relationship Id="rId5" Type="http://schemas.openxmlformats.org/officeDocument/2006/relationships/hyperlink" Target="http://www.sec.gov/cgi-bin/browse-edgar?action=getcompany&amp;CIK=00011315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898</Words>
  <Characters>4778</Characters>
  <CharactersWithSpaces>5576</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