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000-52049</w:t>
      </w:r>
    </w:p>
    <w:p>
      <w:pPr>
        <w:spacing w:after="0" w:line="173"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Delaware</w:t>
            </w:r>
          </w:p>
        </w:tc>
        <w:tc>
          <w:tcPr>
            <w:tcW w:w="274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incorporation or organization)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750 Route 202 South, Suite 600</w:t>
            </w:r>
          </w:p>
        </w:tc>
        <w:tc>
          <w:tcPr>
            <w:tcW w:w="2740" w:type="dxa"/>
            <w:vAlign w:val="bottom"/>
          </w:tcPr>
          <w:p>
            <w:pPr>
              <w:jc w:val="right"/>
              <w:ind w:right="370"/>
              <w:spacing w:after="0"/>
              <w:rPr>
                <w:sz w:val="20"/>
                <w:szCs w:val="20"/>
                <w:color w:val="auto"/>
              </w:rPr>
            </w:pPr>
            <w:r>
              <w:rPr>
                <w:rFonts w:ascii="Arial" w:cs="Arial" w:eastAsia="Arial" w:hAnsi="Arial"/>
                <w:sz w:val="18"/>
                <w:szCs w:val="18"/>
                <w:b w:val="1"/>
                <w:bCs w:val="1"/>
                <w:color w:val="auto"/>
              </w:rPr>
              <w:t>08807</w:t>
            </w:r>
          </w:p>
        </w:tc>
      </w:tr>
      <w:tr>
        <w:trPr>
          <w:trHeight w:val="220"/>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Bridgewater, New Jersey</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spacing w:after="0"/>
              <w:rPr>
                <w:sz w:val="20"/>
                <w:szCs w:val="20"/>
                <w:color w:val="auto"/>
              </w:rPr>
            </w:pPr>
          </w:p>
        </w:tc>
      </w:tr>
    </w:tbl>
    <w:p>
      <w:pPr>
        <w:spacing w:after="0" w:line="15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(866) 620-3940</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98" w:lineRule="exact"/>
        <w:rPr>
          <w:sz w:val="20"/>
          <w:szCs w:val="20"/>
          <w:color w:val="auto"/>
        </w:rPr>
      </w:pPr>
    </w:p>
    <w:p>
      <w:pPr>
        <w:jc w:val="both"/>
        <w:ind w:left="340" w:right="1760"/>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25"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340"/>
        <w:spacing w:after="0" w:line="207" w:lineRule="exact"/>
        <w:tabs>
          <w:tab w:leader="none" w:pos="3000" w:val="left"/>
          <w:tab w:leader="none" w:pos="5240" w:val="left"/>
          <w:tab w:leader="none" w:pos="74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98" w:lineRule="exact"/>
        <w:rPr>
          <w:sz w:val="20"/>
          <w:szCs w:val="20"/>
          <w:color w:val="auto"/>
        </w:rPr>
      </w:pPr>
    </w:p>
    <w:p>
      <w:pPr>
        <w:jc w:val="center"/>
        <w:ind w:right="16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2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680" w:type="dxa"/>
            <w:vAlign w:val="bottom"/>
          </w:tcPr>
          <w:p>
            <w:pPr>
              <w:jc w:val="center"/>
              <w:ind w:right="170"/>
              <w:spacing w:after="0"/>
              <w:rPr>
                <w:sz w:val="20"/>
                <w:szCs w:val="20"/>
                <w:color w:val="auto"/>
              </w:rPr>
            </w:pPr>
            <w:r>
              <w:rPr>
                <w:rFonts w:ascii="Arial" w:cs="Arial" w:eastAsia="Arial" w:hAnsi="Arial"/>
                <w:sz w:val="18"/>
                <w:szCs w:val="18"/>
                <w:color w:val="auto"/>
                <w:w w:val="84"/>
              </w:rPr>
              <w:t>Class</w:t>
            </w:r>
          </w:p>
        </w:tc>
        <w:tc>
          <w:tcPr>
            <w:tcW w:w="4640" w:type="dxa"/>
            <w:vAlign w:val="bottom"/>
          </w:tcPr>
          <w:p>
            <w:pPr>
              <w:jc w:val="center"/>
              <w:ind w:left="110"/>
              <w:spacing w:after="0"/>
              <w:rPr>
                <w:sz w:val="20"/>
                <w:szCs w:val="20"/>
                <w:color w:val="auto"/>
              </w:rPr>
            </w:pPr>
            <w:r>
              <w:rPr>
                <w:rFonts w:ascii="Arial" w:cs="Arial" w:eastAsia="Arial" w:hAnsi="Arial"/>
                <w:sz w:val="18"/>
                <w:szCs w:val="18"/>
                <w:color w:val="auto"/>
                <w:w w:val="90"/>
              </w:rPr>
              <w:t>Outstanding at October 30, 2009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680" w:type="dxa"/>
            <w:vAlign w:val="bottom"/>
          </w:tcPr>
          <w:p>
            <w:pPr>
              <w:jc w:val="center"/>
              <w:ind w:right="190"/>
              <w:spacing w:after="0"/>
              <w:rPr>
                <w:sz w:val="20"/>
                <w:szCs w:val="20"/>
                <w:color w:val="auto"/>
              </w:rPr>
            </w:pPr>
            <w:r>
              <w:rPr>
                <w:rFonts w:ascii="Arial" w:cs="Arial" w:eastAsia="Arial" w:hAnsi="Arial"/>
                <w:sz w:val="18"/>
                <w:szCs w:val="18"/>
                <w:color w:val="auto"/>
                <w:w w:val="90"/>
              </w:rPr>
              <w:t>Common stock, $0.0001 par value</w:t>
            </w:r>
          </w:p>
        </w:tc>
        <w:tc>
          <w:tcPr>
            <w:tcW w:w="4640" w:type="dxa"/>
            <w:vAlign w:val="bottom"/>
          </w:tcPr>
          <w:p>
            <w:pPr>
              <w:jc w:val="center"/>
              <w:ind w:left="130"/>
              <w:spacing w:after="0"/>
              <w:rPr>
                <w:sz w:val="20"/>
                <w:szCs w:val="20"/>
                <w:color w:val="auto"/>
              </w:rPr>
            </w:pPr>
            <w:r>
              <w:rPr>
                <w:rFonts w:ascii="Arial" w:cs="Arial" w:eastAsia="Arial" w:hAnsi="Arial"/>
                <w:sz w:val="18"/>
                <w:szCs w:val="18"/>
                <w:color w:val="auto"/>
                <w:w w:val="87"/>
              </w:rPr>
              <w:t>31,034,691 shares</w:t>
            </w:r>
          </w:p>
        </w:tc>
        <w:tc>
          <w:tcPr>
            <w:tcW w:w="176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FORM 10-Q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19"/>
            <w:vMerge w:val="restart"/>
          </w:tcPr>
          <w:p>
            <w:pPr>
              <w:spacing w:after="0"/>
              <w:rPr>
                <w:sz w:val="20"/>
                <w:szCs w:val="20"/>
                <w:color w:val="auto"/>
              </w:rPr>
            </w:pPr>
            <w:r>
              <w:rPr>
                <w:rFonts w:ascii="Arial" w:cs="Arial" w:eastAsia="Arial" w:hAnsi="Arial"/>
                <w:sz w:val="18"/>
                <w:szCs w:val="18"/>
                <w:color w:val="auto"/>
              </w:rPr>
              <w:t>PART I. FINANCIAL INFORMATION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PAGE NO.</w:t>
            </w:r>
          </w:p>
        </w:tc>
        <w:tc>
          <w:tcPr>
            <w:tcW w:w="0" w:type="dxa"/>
            <w:vAlign w:val="bottom"/>
          </w:tcPr>
          <w:p>
            <w:pPr>
              <w:spacing w:after="0"/>
              <w:rPr>
                <w:sz w:val="1"/>
                <w:szCs w:val="1"/>
                <w:color w:val="auto"/>
              </w:rPr>
            </w:pPr>
          </w:p>
        </w:tc>
      </w:tr>
      <w:tr>
        <w:trPr>
          <w:trHeight w:val="210"/>
        </w:trPr>
        <w:tc>
          <w:tcPr>
            <w:tcW w:w="8260" w:type="dxa"/>
            <w:vAlign w:val="bottom"/>
            <w:gridSpan w:val="19"/>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color w:val="auto"/>
              </w:rPr>
              <w:t>Item 1. Consolidated Financial Statements and Notes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8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6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4. Controls and Procedures</w:t>
              </w:r>
            </w:hyperlink>
          </w:p>
        </w:tc>
        <w:tc>
          <w:tcPr>
            <w:tcW w:w="594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26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6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57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638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2. Unregistered Sales of Equity Securities and Use of Proceeds</w:t>
              </w:r>
            </w:hyperlink>
          </w:p>
        </w:tc>
        <w:tc>
          <w:tcPr>
            <w:tcW w:w="33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236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Defaults Upon Senior Securities</w:t>
              </w:r>
            </w:hyperlink>
          </w:p>
        </w:tc>
        <w:tc>
          <w:tcPr>
            <w:tcW w:w="538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3800" w:type="dxa"/>
            <w:vAlign w:val="bottom"/>
            <w:tcBorders>
              <w:bottom w:val="single" w:sz="8" w:color="0000EE"/>
            </w:tcBorders>
            <w:gridSpan w:val="13"/>
          </w:tcPr>
          <w:p>
            <w:pPr>
              <w:ind w:left="2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Submission of Matters to a Vote of Security Holders</w:t>
              </w:r>
            </w:hyperlink>
          </w:p>
        </w:tc>
        <w:tc>
          <w:tcPr>
            <w:tcW w:w="39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7740" w:type="dxa"/>
            <w:vAlign w:val="bottom"/>
            <w:gridSpan w:val="17"/>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34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40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12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SYNCHRONOSS TECHNOLOGIES,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78,783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$293 and $193 at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September 30, 2009 and December 31, 2008, respectively</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28,616</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3,454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24,316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3,785</w:t>
            </w:r>
          </w:p>
        </w:tc>
        <w:tc>
          <w:tcPr>
            <w:tcW w:w="3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Lease Financing Obligation — Long Term</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9,135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10,000 shares authorized, 0 shares issued and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2009 and December 31, 2008</w:t>
            </w:r>
          </w:p>
        </w:tc>
        <w:tc>
          <w:tcPr>
            <w:tcW w:w="2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w w:val="94"/>
              </w:rPr>
              <w:t>Common stock, $0.0001 par value; 100,000 shares authorized, 33,032 and 32,878 shares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w w:val="93"/>
              </w:rPr>
              <w:t>issued; 31,032 and 30,878 outstanding at September 30, 2009 and December 31, 2008,</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Treasury stock, at cost (2,000 shares at September 30, 2009 and December 31, 2008)</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115,000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107,895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40,087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124,338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163,931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418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99"/>
              </w:rPr>
              <w:t>SYNCHRONOSS TECHNOLOGIES, INC.</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90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3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33,097</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26,335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16,790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3,243</w:t>
            </w:r>
          </w:p>
        </w:tc>
        <w:tc>
          <w:tcPr>
            <w:tcW w:w="4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9,359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Selling, general and administrative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17,218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6,264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80,020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3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13,184</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Interest income and other income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(2,076)</w:t>
            </w:r>
          </w:p>
        </w:tc>
        <w:tc>
          <w:tcPr>
            <w:tcW w:w="4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(1,668)</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(5,305)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3,129</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80" w:type="dxa"/>
            <w:vAlign w:val="bottom"/>
          </w:tcPr>
          <w:p>
            <w:pPr>
              <w:spacing w:after="0"/>
              <w:rPr>
                <w:sz w:val="18"/>
                <w:szCs w:val="18"/>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30,865</w:t>
            </w:r>
          </w:p>
        </w:tc>
        <w:tc>
          <w:tcPr>
            <w:tcW w:w="4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31,047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30,767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31,355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31,439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20" w:right="3539" w:hanging="3288"/>
        <w:spacing w:after="0" w:line="589" w:lineRule="auto"/>
        <w:tabs>
          <w:tab w:leader="none" w:pos="69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 of services excludes depreciation and amortization which is shown separately. See accompanying consolidated notes.</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SYNCHRONOSS TECHNOLOGIES,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7,791</w:t>
            </w: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9,200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6,264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4,581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fixed assets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on leased facility</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5,075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(3,320)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5,568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(2,336)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from the exercise of stock options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(1,582)</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r>
      <w:tr>
        <w:trPr>
          <w:trHeight w:val="224"/>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fixed assets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(10,590)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(1,902)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sale of fixed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(4,960)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marketable securities available for sale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2,719</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Business acquired, net of cash</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(17,357)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w:t>
            </w:r>
          </w:p>
        </w:tc>
      </w:tr>
      <w:tr>
        <w:trPr>
          <w:trHeight w:val="43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Excess tax benefit from the exercise of stock options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1,582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(23,694)</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Payments on capital obligations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(21,337)</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(24,786)</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92,756</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67,970</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4,328</w:t>
            </w: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5,637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Non-cash increase in building and related lease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3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The consolidated financial statements at September 30, 2009 and for the three and nine months ended September 30, 2009 and 2008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the Annual Report of Synchronoss Technologies, Inc. (the “Company” or “Synchronoss”) incorporated by reference in the Company’s annual report on Form 10-K for the year ended December 31, 2008. The consolidated financial statements include the accounts of the Company and its wholly owned subsidiaries, Synchronoss Technologies UK Ltd., Wisor Telecom Corporation (“Wisor”) and Wisor Telecom India Private Ltd.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2008 has been derived from the audited financial statements at that date but does not include all of the information and footnotes required by GAAP for complete financial statements.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Description of Business</w:t>
      </w:r>
    </w:p>
    <w:p>
      <w:pPr>
        <w:spacing w:after="0" w:line="202"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Synchronoss Technologies, Inc. (the “Company” or “Synchronoss”) is a leading provider of on-demand transaction management platforms that enable communications service providers (CSPs), equipment manufacturers with embedded connectivity (e.g.,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The Company’s business model enables delivery of its proprietary solutions over the Web as a service. The Company’s ConvergenceNow</w:t>
      </w:r>
      <w:r>
        <w:rPr>
          <w:rFonts w:ascii="Arial" w:cs="Arial" w:eastAsia="Arial" w:hAnsi="Arial"/>
          <w:sz w:val="13"/>
          <w:szCs w:val="13"/>
          <w:color w:val="auto"/>
        </w:rPr>
        <w:t>®</w:t>
      </w:r>
      <w:r>
        <w:rPr>
          <w:rFonts w:ascii="Arial" w:cs="Arial" w:eastAsia="Arial" w:hAnsi="Arial"/>
          <w:sz w:val="16"/>
          <w:szCs w:val="16"/>
          <w:color w:val="auto"/>
        </w:rPr>
        <w:t xml:space="preserve"> platforms (including ConvergenceNow</w:t>
      </w:r>
      <w:r>
        <w:rPr>
          <w:rFonts w:ascii="Arial" w:cs="Arial" w:eastAsia="Arial" w:hAnsi="Arial"/>
          <w:sz w:val="13"/>
          <w:szCs w:val="13"/>
          <w:color w:val="auto"/>
        </w:rPr>
        <w:t>®</w:t>
      </w:r>
      <w:r>
        <w:rPr>
          <w:rFonts w:ascii="Arial" w:cs="Arial" w:eastAsia="Arial" w:hAnsi="Arial"/>
          <w:sz w:val="16"/>
          <w:szCs w:val="16"/>
          <w:color w:val="auto"/>
        </w:rPr>
        <w:t xml:space="preserve"> Plus</w:t>
      </w:r>
      <w:r>
        <w:rPr>
          <w:rFonts w:ascii="Arial" w:cs="Arial" w:eastAsia="Arial" w:hAnsi="Arial"/>
          <w:sz w:val="13"/>
          <w:szCs w:val="13"/>
          <w:color w:val="auto"/>
        </w:rPr>
        <w:t>+</w:t>
      </w:r>
      <w:r>
        <w:rPr>
          <w:rFonts w:ascii="Arial" w:cs="Arial" w:eastAsia="Arial" w:hAnsi="Arial"/>
          <w:sz w:val="16"/>
          <w:szCs w:val="16"/>
          <w:color w:val="auto"/>
        </w:rPr>
        <w:t>™ and InterconnectNow™) provide end-to-end seamless integration between customer-facing channels/applications, communication services, devices and “back-office” infrastructure-related systems and processes. The Company’s customers rely on the Company’s Web-based solutions and technology to automate the process of activating customers while delivering additional communication services, including new service offerings and ongoing customer care. Synchronoss has designed its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be flexible and scalable to enable multiple converged communication services to be managed across multiple distribution channels, including e-commerce, telesales, customer stores and other retail outlets, etc., allowing the Company to meet the rapidly changing and converging services offered by its customers. By simplifying the processes associated with managing the Company’s customers’ subscribers’ experience for ordering and activating services through the use of the Company’s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automate and integrate their disparate systems, Synchronoss enables its customers to acquire, retain, and service subscribers quickly, reliably and cost-effectively.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For further information about the Company’s basis of presentation or its significant accounting policies, refer to the financial statements and footnotes thereto included in the Company’s annual report on Form 10-K for the year ended December 31, 2008.</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Recent Accounting Pronouncements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October 2009, the FASB issued Accounting Standard Update (“ASU”) No. 2009-13 “Multiple Deliverable Revenue Arrangements — a consensus of the FASB Emerging Issues Task Force.” This standard provides principles for allocation of consideration among its multiple-elements, allowing more flexibility in identifying and accounting for separate deliverables under an arrangement. ASU No. 2009-13 introduces an estimated selling price method for valuing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Alternatively, adoption may be on a retrospective basis, and early application is permitted. The Company does not expect the adoption of this statement to have a material effect on its consolidated financial statements or disclosures.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June 2009, the FASB issued SFAS 168, “The FASB Accounting Standards Codification and the Hierarchy of Generally Accepted Accounting Principles — a replacement of FASB Statement No. 162” (the “Codification”). The Codification does not change current GAAP but reorganizes all authoritative literature in one place. SFAS 168, now referred to as Codification, is effective for financial statements issued for interim and annual periods ending after September 15, 2009. The Codification supersedes all existing GAAP and has become the source of authoritative accounting principles recognized by the FASB. The Company adopted the Codification during the quarter-ended September 30, 2009. The adoption of the Codification did not have an impact on the Company’s results of operations, financial condition or cash flows.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Earnings per Common Share</w:t>
      </w:r>
    </w:p>
    <w:p>
      <w:pPr>
        <w:spacing w:after="0" w:line="20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calculates basic and diluted per share amounts based on net earnings for the periods presented. The Company uses the weighted average number of common shares outstanding during the period to calculate basic earnings per share. The weighted average number of common shares used in the Company’s calculation of diluted per share amounts includes the dilutive effects of stock options and restricted stock awards based on the treasury stock method</w:t>
      </w:r>
      <w:r>
        <w:rPr>
          <w:rFonts w:ascii="Arial" w:cs="Arial" w:eastAsia="Arial" w:hAnsi="Arial"/>
          <w:sz w:val="17"/>
          <w:szCs w:val="17"/>
          <w:i w:val="1"/>
          <w:iCs w:val="1"/>
          <w:color w:val="auto"/>
        </w:rPr>
        <w:t>.</w:t>
      </w:r>
      <w:r>
        <w:rPr>
          <w:rFonts w:ascii="Arial" w:cs="Arial" w:eastAsia="Arial" w:hAnsi="Arial"/>
          <w:sz w:val="17"/>
          <w:szCs w:val="17"/>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1,460 and 1,543 for the three months ended September 30, 2009 and 2008, respectively, and 1,462 and 761 for the nine months ended September 30, 2009 and 2008, respectively.</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September 30,</w:t>
            </w: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3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3,129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9,200</w:t>
            </w:r>
          </w:p>
        </w:tc>
      </w:tr>
      <w:tr>
        <w:trPr>
          <w:trHeight w:val="20"/>
        </w:trPr>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outstanding — basic</w:t>
            </w:r>
          </w:p>
        </w:tc>
        <w:tc>
          <w:tcPr>
            <w:tcW w:w="2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30,865</w:t>
            </w: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31,047</w:t>
            </w: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30,767</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31,980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Options and unvested restricted shares</w:t>
            </w:r>
          </w:p>
        </w:tc>
        <w:tc>
          <w:tcPr>
            <w:tcW w:w="2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 diluted</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31,355</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31,439</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31,282</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32,604</w:t>
            </w:r>
          </w:p>
        </w:tc>
      </w:tr>
      <w:tr>
        <w:trPr>
          <w:trHeight w:val="20"/>
        </w:trPr>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Comprehensive Income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comprehensive income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0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35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7,791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(loss) on securities, (net of</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Net total comprehensive income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9,206</w:t>
            </w: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Fair Value Measurements</w:t>
      </w:r>
    </w:p>
    <w:p>
      <w:pPr>
        <w:spacing w:after="0" w:line="189"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The Company records its financial instruments at fair value. Due to their short-term nature, the carrying amounts reported in the financial statements approximate the fair value for cash and cash equivalents, accounts receivable and accounts payable.</w:t>
      </w:r>
    </w:p>
    <w:p>
      <w:pPr>
        <w:spacing w:after="0" w:line="8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classifies marketable securities as available-for-sale. The fair value hierarchy established in the standard prioritizes the inputs used in valuation techniques into three levels as follows:</w:t>
      </w:r>
    </w:p>
    <w:p>
      <w:pPr>
        <w:spacing w:after="0" w:line="143"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Observable inputs — quoted prices in active markets for identical assets and liabilities;</w:t>
      </w:r>
    </w:p>
    <w:p>
      <w:pPr>
        <w:spacing w:after="0" w:line="184" w:lineRule="exact"/>
        <w:rPr>
          <w:rFonts w:ascii="Arial" w:cs="Arial" w:eastAsia="Arial" w:hAnsi="Arial"/>
          <w:sz w:val="18"/>
          <w:szCs w:val="18"/>
          <w:b w:val="1"/>
          <w:bCs w:val="1"/>
          <w:color w:val="auto"/>
        </w:rPr>
      </w:pPr>
    </w:p>
    <w:p>
      <w:pPr>
        <w:jc w:val="both"/>
        <w:ind w:left="1040" w:right="559" w:hanging="343"/>
        <w:spacing w:after="0" w:line="286" w:lineRule="auto"/>
        <w:tabs>
          <w:tab w:leader="none" w:pos="10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Level 2 — Observable inputs other than the quoted prices in active markets for identical assets and liabilities — includes quoted prices for similar instruments, quoted prices for identical or similar instruments in inactive markets, and amounts derived from valuation models where all significant inputs are observable in active markets; and</w:t>
      </w:r>
    </w:p>
    <w:p>
      <w:pPr>
        <w:spacing w:after="0" w:line="125"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us to develop relevant assumptions.</w:t>
      </w:r>
    </w:p>
    <w:p>
      <w:pPr>
        <w:sectPr>
          <w:pgSz w:w="11900" w:h="16838" w:orient="portrait"/>
          <w:cols w:equalWidth="0" w:num="1">
            <w:col w:w="10219"/>
          </w:cols>
          <w:pgMar w:left="240" w:top="419" w:right="1440" w:bottom="929"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29"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is a summary of cash, cash equivalents and marketable securities held by the Company and their related classifications under the fair value hierarchy.</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2"/>
              </w:rPr>
              <w:t>Level 1</w:t>
            </w:r>
          </w:p>
        </w:tc>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78,783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72,203</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2"/>
              </w:rPr>
              <w:t>Level 2</w:t>
            </w:r>
          </w:p>
        </w:tc>
        <w:tc>
          <w:tcPr>
            <w:tcW w:w="6200" w:type="dxa"/>
            <w:vAlign w:val="bottom"/>
          </w:tcPr>
          <w:p>
            <w:pPr>
              <w:ind w:left="2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6,560</w:t>
            </w:r>
          </w:p>
        </w:tc>
      </w:tr>
      <w:tr>
        <w:trPr>
          <w:trHeight w:val="27"/>
        </w:trPr>
        <w:tc>
          <w:tcPr>
            <w:tcW w:w="5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78,763</w:t>
            </w:r>
          </w:p>
        </w:tc>
      </w:tr>
      <w:tr>
        <w:trPr>
          <w:trHeight w:val="20"/>
        </w:trPr>
        <w:tc>
          <w:tcPr>
            <w:tcW w:w="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assets include money market funds which are classified as cash equivalents.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assets include certificates of deposit which are classified as marketable securities.</w:t>
      </w:r>
    </w:p>
    <w:p>
      <w:pPr>
        <w:spacing w:after="0" w:line="185"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aggregate fair value of available for sale securities and aggregate amount of unrealized gains and losses for available for sale securities at September 30, 2009 were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Aggregate Amount of</w:t>
            </w:r>
          </w:p>
        </w:tc>
      </w:tr>
      <w:tr>
        <w:trPr>
          <w:trHeight w:val="230"/>
        </w:trPr>
        <w:tc>
          <w:tcPr>
            <w:tcW w:w="57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5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0"/>
              </w:rPr>
              <w:t>Unrealized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Fair Value</w:t>
            </w:r>
          </w:p>
        </w:tc>
        <w:tc>
          <w:tcPr>
            <w:tcW w:w="380" w:type="dxa"/>
            <w:vAlign w:val="bottom"/>
          </w:tcPr>
          <w:p>
            <w:pPr>
              <w:spacing w:after="0"/>
              <w:rPr>
                <w:sz w:val="18"/>
                <w:szCs w:val="18"/>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Gains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940" w:type="dxa"/>
            <w:vAlign w:val="bottom"/>
          </w:tcPr>
          <w:p>
            <w:pPr>
              <w:jc w:val="right"/>
              <w:spacing w:after="0"/>
              <w:rPr>
                <w:sz w:val="20"/>
                <w:szCs w:val="20"/>
                <w:color w:val="auto"/>
              </w:rPr>
            </w:pPr>
            <w:r>
              <w:rPr>
                <w:rFonts w:ascii="Arial" w:cs="Arial" w:eastAsia="Arial" w:hAnsi="Arial"/>
                <w:sz w:val="18"/>
                <w:szCs w:val="18"/>
                <w:color w:val="auto"/>
              </w:rPr>
              <w:t>4,153</w:t>
            </w:r>
          </w:p>
        </w:tc>
        <w:tc>
          <w:tcPr>
            <w:tcW w:w="3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7"/>
        </w:trPr>
        <w:tc>
          <w:tcPr>
            <w:tcW w:w="5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5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aggregate fair value of available for sale securities and aggregate amount of unrealized gains and losses for available for sale securities at December 31, 2008 were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Aggregate Amount of</w:t>
            </w:r>
          </w:p>
        </w:tc>
      </w:tr>
      <w:tr>
        <w:trPr>
          <w:trHeight w:val="230"/>
        </w:trPr>
        <w:tc>
          <w:tcPr>
            <w:tcW w:w="57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5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0"/>
              </w:rPr>
              <w:t>Unrealized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Fair Value</w:t>
            </w:r>
          </w:p>
        </w:tc>
        <w:tc>
          <w:tcPr>
            <w:tcW w:w="380" w:type="dxa"/>
            <w:vAlign w:val="bottom"/>
          </w:tcPr>
          <w:p>
            <w:pPr>
              <w:spacing w:after="0"/>
              <w:rPr>
                <w:sz w:val="18"/>
                <w:szCs w:val="18"/>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Gains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940" w:type="dxa"/>
            <w:vAlign w:val="bottom"/>
          </w:tcPr>
          <w:p>
            <w:pPr>
              <w:jc w:val="right"/>
              <w:spacing w:after="0"/>
              <w:rPr>
                <w:sz w:val="20"/>
                <w:szCs w:val="20"/>
                <w:color w:val="auto"/>
              </w:rPr>
            </w:pPr>
            <w:r>
              <w:rPr>
                <w:rFonts w:ascii="Arial" w:cs="Arial" w:eastAsia="Arial" w:hAnsi="Arial"/>
                <w:sz w:val="18"/>
                <w:szCs w:val="18"/>
                <w:color w:val="auto"/>
              </w:rPr>
              <w:t>4,283</w:t>
            </w:r>
          </w:p>
        </w:tc>
        <w:tc>
          <w:tcPr>
            <w:tcW w:w="3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available for sale securities have been in a continuous unrealized loss position for twelve months or longer.</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Acquisition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Wisor Telecom Corporation</w:t>
      </w:r>
    </w:p>
    <w:p>
      <w:pPr>
        <w:spacing w:after="0" w:line="20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September 2008, the Company acquired Wisor Telecom Corporation (Wisor) for approximately $17 million including acquisition costs of approximately $490 thousand. The acquisition of Wisor, a provider of software products, software based host services and professional services to telecommunication service providers, expands the Company’s products and services. The acquisition was accounted for as a purchase business combination and the results of operations of Wisor have been included in the accompanying consolidated statement of operations since the date of acquisition. Goodwill associated with the acquisition of Wisor is not tax deductible. The preliminary purchase price allocation was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4"/>
              </w:rPr>
              <w:t>At September 30,</w:t>
            </w:r>
          </w:p>
        </w:tc>
      </w:tr>
      <w:tr>
        <w:trPr>
          <w:trHeight w:val="230"/>
        </w:trPr>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1,543</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6,110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4,049</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6,862</w:t>
            </w:r>
          </w:p>
        </w:tc>
      </w:tr>
      <w:tr>
        <w:trPr>
          <w:trHeight w:val="27"/>
        </w:trPr>
        <w:tc>
          <w:tcPr>
            <w:tcW w:w="7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18,564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17,787</w:t>
            </w:r>
          </w:p>
        </w:tc>
      </w:tr>
      <w:tr>
        <w:trPr>
          <w:trHeight w:val="20"/>
        </w:trPr>
        <w:tc>
          <w:tcPr>
            <w:tcW w:w="7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Definite-lived intangible assets consist of customer relationships and acquired technology. Intangible assets consist of the following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1"/>
              </w:rPr>
              <w:t>September 30,</w:t>
            </w:r>
          </w:p>
        </w:tc>
      </w:tr>
      <w:tr>
        <w:trPr>
          <w:trHeight w:val="230"/>
        </w:trPr>
        <w:tc>
          <w:tcPr>
            <w:tcW w:w="8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Customer lists and relationships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3,249</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Customer lists and relationships, net</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technology</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technology,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 is amortizing the value of the customer relationships on a straight-line basis over an estimated useful life of 4 years. Amortization expense related to intangible assets, which is included in depreciation and amortization expense, was approximately $253 thousand and $88 thousand for the three months ended September 30, 2009 and 2008, respectively and $600 thousand and $88 thousand for the nine months ended September 30, 2009 and 2008, respectively.</w:t>
      </w:r>
    </w:p>
    <w:p>
      <w:pPr>
        <w:spacing w:after="0" w:line="14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As of September 30, 2009, prior to the end of the purchase price allocation period, the Company finalized its purchase price allocation which impacted goodwill. The change in the carrying amount of goodwill for the nine months ended September 30, 2009 is as follows: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7"/>
        </w:trPr>
        <w:tc>
          <w:tcPr>
            <w:tcW w:w="8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6,911</w:t>
            </w:r>
          </w:p>
        </w:tc>
      </w:tr>
      <w:tr>
        <w:trPr>
          <w:trHeight w:val="20"/>
        </w:trPr>
        <w:tc>
          <w:tcPr>
            <w:tcW w:w="8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The change in restructuring liabilities for the nine months ended September 30, 2009 is as follows:</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Less: payments</w:t>
            </w: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r>
      <w:tr>
        <w:trPr>
          <w:trHeight w:val="27"/>
        </w:trPr>
        <w:tc>
          <w:tcPr>
            <w:tcW w:w="8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r>
      <w:tr>
        <w:trPr>
          <w:trHeight w:val="20"/>
        </w:trPr>
        <w:tc>
          <w:tcPr>
            <w:tcW w:w="8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no acquisitions during 2009.</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Stockholders’ Equity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2"/>
              </w:rPr>
              <w:t>Nine Months Ended</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2260" w:type="dxa"/>
            <w:vAlign w:val="bottom"/>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September 30, 2009</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September 30, 2008</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September 30, 2008</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September 30, 2008</w:t>
            </w:r>
          </w:p>
        </w:tc>
      </w:tr>
      <w:tr>
        <w:trPr>
          <w:trHeight w:val="195"/>
        </w:trPr>
        <w:tc>
          <w:tcPr>
            <w:tcW w:w="2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Expected stock price</w:t>
            </w:r>
          </w:p>
        </w:tc>
        <w:tc>
          <w:tcPr>
            <w:tcW w:w="1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volatility</w:t>
            </w:r>
          </w:p>
        </w:tc>
        <w:tc>
          <w:tcPr>
            <w:tcW w:w="1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63%</w:t>
            </w:r>
          </w:p>
        </w:tc>
        <w:tc>
          <w:tcPr>
            <w:tcW w:w="18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63%</w:t>
            </w:r>
          </w:p>
        </w:tc>
        <w:tc>
          <w:tcPr>
            <w:tcW w:w="1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62%</w:t>
            </w:r>
          </w:p>
        </w:tc>
        <w:tc>
          <w:tcPr>
            <w:tcW w:w="1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64%</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2.76%</w:t>
            </w:r>
          </w:p>
        </w:tc>
        <w:tc>
          <w:tcPr>
            <w:tcW w:w="1860" w:type="dxa"/>
            <w:vAlign w:val="bottom"/>
            <w:gridSpan w:val="2"/>
          </w:tcPr>
          <w:p>
            <w:pPr>
              <w:jc w:val="right"/>
              <w:ind w:right="470"/>
              <w:spacing w:after="0"/>
              <w:rPr>
                <w:sz w:val="20"/>
                <w:szCs w:val="20"/>
                <w:color w:val="auto"/>
              </w:rPr>
            </w:pPr>
            <w:r>
              <w:rPr>
                <w:rFonts w:ascii="Arial" w:cs="Arial" w:eastAsia="Arial" w:hAnsi="Arial"/>
                <w:sz w:val="18"/>
                <w:szCs w:val="18"/>
                <w:color w:val="auto"/>
              </w:rPr>
              <w:t>3.79%</w:t>
            </w:r>
          </w:p>
        </w:tc>
        <w:tc>
          <w:tcPr>
            <w:tcW w:w="1740" w:type="dxa"/>
            <w:vAlign w:val="bottom"/>
            <w:gridSpan w:val="2"/>
          </w:tcPr>
          <w:p>
            <w:pPr>
              <w:jc w:val="right"/>
              <w:ind w:right="410"/>
              <w:spacing w:after="0"/>
              <w:rPr>
                <w:sz w:val="20"/>
                <w:szCs w:val="20"/>
                <w:color w:val="auto"/>
              </w:rPr>
            </w:pPr>
            <w:r>
              <w:rPr>
                <w:rFonts w:ascii="Arial" w:cs="Arial" w:eastAsia="Arial" w:hAnsi="Arial"/>
                <w:sz w:val="18"/>
                <w:szCs w:val="18"/>
                <w:color w:val="auto"/>
              </w:rPr>
              <w:t>2.85%</w:t>
            </w:r>
          </w:p>
        </w:tc>
        <w:tc>
          <w:tcPr>
            <w:tcW w:w="1740" w:type="dxa"/>
            <w:vAlign w:val="bottom"/>
            <w:gridSpan w:val="2"/>
          </w:tcPr>
          <w:p>
            <w:pPr>
              <w:jc w:val="right"/>
              <w:ind w:right="410"/>
              <w:spacing w:after="0"/>
              <w:rPr>
                <w:sz w:val="20"/>
                <w:szCs w:val="20"/>
                <w:color w:val="auto"/>
              </w:rPr>
            </w:pPr>
            <w:r>
              <w:rPr>
                <w:rFonts w:ascii="Arial" w:cs="Arial" w:eastAsia="Arial" w:hAnsi="Arial"/>
                <w:sz w:val="18"/>
                <w:szCs w:val="18"/>
                <w:color w:val="auto"/>
              </w:rPr>
              <w:t>3.93%</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life of options (in</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years)</w:t>
            </w:r>
          </w:p>
        </w:tc>
        <w:tc>
          <w:tcPr>
            <w:tcW w:w="17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4.89</w:t>
            </w:r>
          </w:p>
        </w:tc>
        <w:tc>
          <w:tcPr>
            <w:tcW w:w="1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5.13</w:t>
            </w:r>
          </w:p>
        </w:tc>
        <w:tc>
          <w:tcPr>
            <w:tcW w:w="17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4.91</w:t>
            </w:r>
          </w:p>
        </w:tc>
        <w:tc>
          <w:tcPr>
            <w:tcW w:w="17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5.24</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ind w:right="47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41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410"/>
              <w:spacing w:after="0"/>
              <w:rPr>
                <w:sz w:val="20"/>
                <w:szCs w:val="20"/>
                <w:color w:val="auto"/>
              </w:rPr>
            </w:pPr>
            <w:r>
              <w:rPr>
                <w:rFonts w:ascii="Arial" w:cs="Arial" w:eastAsia="Arial" w:hAnsi="Arial"/>
                <w:sz w:val="18"/>
                <w:szCs w:val="18"/>
                <w:color w:val="auto"/>
              </w:rPr>
              <w:t>0%</w:t>
            </w:r>
          </w:p>
        </w:tc>
      </w:tr>
    </w:tbl>
    <w:p>
      <w:pPr>
        <w:spacing w:after="0" w:line="160" w:lineRule="exact"/>
        <w:rPr>
          <w:sz w:val="20"/>
          <w:szCs w:val="20"/>
          <w:color w:val="auto"/>
        </w:rPr>
      </w:pPr>
    </w:p>
    <w:p>
      <w:pPr>
        <w:jc w:val="both"/>
        <w:ind w:left="340" w:right="1760" w:firstLine="373"/>
        <w:spacing w:after="0" w:line="287" w:lineRule="auto"/>
        <w:rPr>
          <w:sz w:val="20"/>
          <w:szCs w:val="20"/>
          <w:color w:val="auto"/>
        </w:rPr>
      </w:pPr>
      <w:r>
        <w:rPr>
          <w:rFonts w:ascii="Arial" w:cs="Arial" w:eastAsia="Arial" w:hAnsi="Arial"/>
          <w:sz w:val="16"/>
          <w:szCs w:val="16"/>
          <w:color w:val="auto"/>
        </w:rPr>
        <w:t>The weighted-average fair value (as of the date of grant) of the options granted was $6.11 and $8.20 per share for the three months ended September 30, 2009 and 2008, respectively, and $6.09 and $8.63 for the nine months ended September 30, 2009 and 2008, respectively. During the three months ended September 30, 2009 and 2008, the Company recorded total pre-tax stock-based compensation expense of $2.1 million ($1.5 million after tax or $0.05 per diluted share) and $1.7 million ($1.2 million after tax or $0.04 per diluted share), respectively, which includes both intrinsic value for equity awards issued prior to 2006 and fair value for equity awards issued after January 1, 2006. During the nine months ended September 30, 2009 and 2008, the Company recorded total pre-tax stock-based compensation expense of $6.0 million ($4.2 million after tax or $0.14 per diluted share) and $5.1 million ($3.5 million after tax or $0.11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September 30, 2009 was approximately $12.0 million. That cost is expected to be recognized over a weighted-average period of approximately 2.48 years.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Options Outstanding</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Option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Weighted-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Available</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of</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Average</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for Grant</w:t>
            </w:r>
          </w:p>
        </w:tc>
        <w:tc>
          <w:tcPr>
            <w:tcW w:w="3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Range</w:t>
            </w:r>
          </w:p>
        </w:tc>
        <w:tc>
          <w:tcPr>
            <w:tcW w:w="26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2"/>
              </w:rPr>
              <w:t>Exercise Price</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$0.29 – 38.62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$8.67 – 13.28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$0.29 – 12.68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$6.95 – 38.62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17.47</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$0.29 – 38.62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 summary of the Company’s non-vested restricted stock at September 30, 2009, and changes during the nine months ended September 30, 2009, is presented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Non-Vested Restricted Stock</w:t>
            </w:r>
          </w:p>
        </w:tc>
        <w:tc>
          <w:tcPr>
            <w:tcW w:w="2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Number of Awards</w:t>
            </w:r>
          </w:p>
        </w:tc>
      </w:tr>
      <w:tr>
        <w:trPr>
          <w:trHeight w:val="20"/>
        </w:trPr>
        <w:tc>
          <w:tcPr>
            <w:tcW w:w="7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r>
      <w:tr>
        <w:trPr>
          <w:trHeight w:val="20"/>
        </w:trPr>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9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2008, the Company’s board of directors authorized a stock repurchase program to purchase up to $25.0 million of the Company’s outstanding common stock. The duration of the repurchase program was up to twelve months. Under the program, the Company was entitled to purchase shares of its common stock in the open market, through block trades or otherwise at prices deemed appropriate by the Company. The timing and amount of repurchase transactions under the program were dependent on market conditions and corporate and regulatory considerations. A total of 2.0 million shares were repurchased under the program for an aggregate purchase price of approximately $23.7 million. The purchases were funded from available working capital. The Company classifies common stock repurchased as treasury stock on its balance sheet. As of September 30, 2009, the Company has no plans to repurchase additional shares of the Company’s common stock under the program.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Lease Accounting</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In May 2008, the Company entered into an agreement to lease space for its Pennsylvania offices and data center in a newly constructed facility. The lease has a term of 10 years and 5 months with an option to extend the term of the lease for two consecutive five year periods. In August 2008, the Company amended its lease whereby the Company agreed to reimburse the landlord for certain leasehold improvements the Company had requested. The construction phase of the building was complete as of June 30, 2009. Since the tenant improvements, under the lease amendment, are considered structural in nature and the Company is primarily responsible for reimbursement to the landlord for the cost of these improvements, the Company is considered to be the owner of the construction project for accounting purposes. The Company recorded assets on its balance sheet for all of the costs paid by the lessor to construct the Pennsylvania facility through September 30, 2009, along with corresponding financing liabilities for amounts equal to these lessor-paid construction costs through September 30, 2009. As of September 30, 2009, the Company recorded $8.8 million of construction costs funded by the landlord, with an offsetting amount recorded as financing liabilities. The lease did not qualify for sale leaseback treatment and therefore the lease is treated as a financing lease. For the three and nine months ended September 30, 2009 the Company recorded $220 thousand and $447 thousand, respectively, of interest expense. For the three and nine months ended September 30, 2009 the Company recorded $73 thousand and $147 thousand, respectively, of depreciation expense related to the lease agreement.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Legal Matters</w:t>
      </w:r>
    </w:p>
    <w:p>
      <w:pPr>
        <w:spacing w:after="0" w:line="189"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Motion to Dismiss has been fully briefed by the parties and the Company is awaiting the Court’s decision.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October 23, 2008 and November 3, 2008, complaints were filed in the state court of New Jersey and the United States District Court for the District of New Jersey against certain of the Company’s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plaintiffs in the Derivative Suits have agreed to stay their claims pending the court’s decision in the Defendant’s Motion to Dismiss in the Securities Laws Actions. Due to the inherent uncertainties of litigation, the Company cannot predict the outcome of the Derivative Suits at this time, and the Company can give no assurance that the claims in these complaints will not have a material adverse effect on its financial position or results of operations.</w:t>
      </w:r>
    </w:p>
    <w:p>
      <w:pPr>
        <w:spacing w:after="0" w:line="14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Except for the above claims, the Company is not currently subject to any legal proceedings that could have a material adverse effect on its operations; however, it may from time to time become a party to various legal proceedings arising in the ordinary course of its business.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Subsequent Events Review</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Company has evaluated all subsequent events and transactions through November 4, 2009. On October 16, 2009, the Compensation Committee of the Company’s Board of Directors approved amendments to stock options held by certain employees to permit transferability of such options to family members. As a result of the amendments, options to purchase an aggregate of 401,962 shares of the Company’s common stock no longer qualify as “incentive stock options” under Section 422 of the Internal Revenue Code of 1986, as amended. Accordingly, the Company will treat the amended stock options as if they were non-qualified stock options since inception, with the result that all previously recorded compensation cost related to such stock options will be treated as a Deferred Tax Asset. The immediate increase in the Company’s Deferred Tax Asset will cause an immediate tax rate benefit to the Company. Also, incremental compensation cost associated with each amended stock option shall be measured as the excess, if any, of the fair value of the stock option immediately following its amendment over the fair value of the stock option immediately prior to its amendment based on the share price and other pertinent factors at that date. The Company expects that this stock option amendment will decrease its effective tax rate to approximately 36% to 37% for the year ending December 31, 2009.</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080" w:right="559" w:hanging="742"/>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following discussion and analysis should be read in conjunction with the information set forth in our consolidated financial statements and related notes included elsewhere in this quarterly report on Form 10-Q and in our annual report Form 10-K for the year ended December 31, 2008.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We are a leading provider of on-demand transaction management platforms that enable communications service providers (CSPs) and equipment manufacturers with embedded connectivity (i.e.,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Our business model enables delivery of our proprietary solutions over the Web as a service. Our ConvergenceNow</w:t>
      </w:r>
      <w:r>
        <w:rPr>
          <w:rFonts w:ascii="Arial" w:cs="Arial" w:eastAsia="Arial" w:hAnsi="Arial"/>
          <w:sz w:val="13"/>
          <w:szCs w:val="13"/>
          <w:color w:val="auto"/>
        </w:rPr>
        <w:t>®</w:t>
      </w:r>
      <w:r>
        <w:rPr>
          <w:rFonts w:ascii="Arial" w:cs="Arial" w:eastAsia="Arial" w:hAnsi="Arial"/>
          <w:sz w:val="16"/>
          <w:szCs w:val="16"/>
          <w:color w:val="auto"/>
        </w:rPr>
        <w:t xml:space="preserve"> platforms (including ConvergenceNow</w:t>
      </w:r>
      <w:r>
        <w:rPr>
          <w:rFonts w:ascii="Arial" w:cs="Arial" w:eastAsia="Arial" w:hAnsi="Arial"/>
          <w:sz w:val="13"/>
          <w:szCs w:val="13"/>
          <w:color w:val="auto"/>
        </w:rPr>
        <w:t>®</w:t>
      </w:r>
      <w:r>
        <w:rPr>
          <w:rFonts w:ascii="Arial" w:cs="Arial" w:eastAsia="Arial" w:hAnsi="Arial"/>
          <w:sz w:val="16"/>
          <w:szCs w:val="16"/>
          <w:color w:val="auto"/>
        </w:rPr>
        <w:t xml:space="preserve"> Plus</w:t>
      </w:r>
      <w:r>
        <w:rPr>
          <w:rFonts w:ascii="Arial" w:cs="Arial" w:eastAsia="Arial" w:hAnsi="Arial"/>
          <w:sz w:val="13"/>
          <w:szCs w:val="13"/>
          <w:color w:val="auto"/>
        </w:rPr>
        <w:t>+</w:t>
      </w:r>
      <w:r>
        <w:rPr>
          <w:rFonts w:ascii="Arial" w:cs="Arial" w:eastAsia="Arial" w:hAnsi="Arial"/>
          <w:sz w:val="16"/>
          <w:szCs w:val="16"/>
          <w:color w:val="auto"/>
        </w:rPr>
        <w:t>™ and InterconnectNow</w:t>
      </w:r>
      <w:r>
        <w:rPr>
          <w:rFonts w:ascii="Arial" w:cs="Arial" w:eastAsia="Arial" w:hAnsi="Arial"/>
          <w:sz w:val="13"/>
          <w:szCs w:val="13"/>
          <w:color w:val="auto"/>
        </w:rPr>
        <w:t>TM</w:t>
      </w:r>
      <w:r>
        <w:rPr>
          <w:rFonts w:ascii="Arial" w:cs="Arial" w:eastAsia="Arial" w:hAnsi="Arial"/>
          <w:sz w:val="16"/>
          <w:szCs w:val="16"/>
          <w:color w:val="auto"/>
        </w:rPr>
        <w:t>) provide seamless integration between customer-facing channels/applications, communication services, devices and “back-office” infrastructure-related systems and processes. Our customers rely on our Web-based solutions and technology to automate the process of activating customers while delivering additional communications services including new service offerings and ongoing customer care. We have designed our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be flexible and scalable to enable multiple converged communication services to be managed across multiple distribution channels including e-commerce, telesales, customer stores and other retail outlets, allowing us to meet the rapidly changing and converging services offered by our customers. By simplifying the processes associated with managing our customers’ subscribers’ experience for ordering and activating services through the use of our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automate and integrate their disparate systems, we enable our customers to acquire, retain and service subscribers quickly, reliably and cost-effectively.</w:t>
      </w:r>
    </w:p>
    <w:p>
      <w:pPr>
        <w:spacing w:after="0" w:line="142"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Our industry-leading customers include Apple Inc., AT&amp;T Inc., British Telecom, Cablevision, Charter Communications, Clearwire, Comcast, Cox Communications, Embarq, Fairpoint, Frontier, Global Crossing, Level 3 Communications, Sprint Nextel, Time Warner Cable, Time Warner Telecom, Verizon Business Solutions, Verizon Wireless, Vodafone, Vonage Network, and XO Communications. These customers utilize a combination of our platforms, technology and services enabling them to provide services to both their consumer and business customers, including over 300 of the Fortune 500 companies.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We generate a substantial portion of our revenues on a per-transaction basis, most of which is derived from contracts that extend up to 48 months from execution. For the three months ended September 30, 2009, we derived approximately 83% of our revenues from transactions processed. Most of the remainder of our revenues were generated by professional services.</w:t>
      </w:r>
    </w:p>
    <w:p>
      <w:pPr>
        <w:spacing w:after="0" w:line="12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Historically, our revenues have been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currently derive a significant portion of our revenues from one customer, AT&amp;T. For the three months ended September 30, 2009, AT&amp;T accounted for approximately 67% of our revenues, compared to 66% for the three months ended September 30, 2008. Our five largest customers, AT&amp;T, Vonage, Level 3 Communications, Time Warner Cable and Comcast, accounted for approximately 87% of our revenues for the three months ended September 30, 2009, compared to 89% of our revenues for the three months ended September 30, 2008. See “Risk Factors” for certain matters bearing risks on our future results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costs and expenses consist of cost of services, research and development, selling, general and administrative and depreciation and amortization.</w:t>
      </w:r>
    </w:p>
    <w:p>
      <w:pPr>
        <w:spacing w:after="0" w:line="13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15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and amortization relates to our property and equipment and includes our network infrastructure and facilities.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relates to the customer lists and technology acquired from Wisor in 2008.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growth of the emerging device market (i.e., smartphone devices, netbooks, etc.) and consolidations in the industry. In particular, the emergence of order provisioning of e-commerce transactions for smartphone devices, wireless, VoIP, LNP, and other communication services surrounding the convergence of bundled services has increased the need for our services and we believe will continue to be a source of growth for us.</w:t>
      </w:r>
    </w:p>
    <w:p>
      <w:pPr>
        <w:spacing w:after="0" w:line="12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Our cost of services can fluctuate from period to period based upon the level of automation and the onboarding of new transaction types.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We believe that of our significant accounting policies, which are described in Note 2 in our Annual Report on Form 10-K for the year ended December 31, 2008, the following accounting policies involve a greater degree of judgment and complexity. Accordingly, these are the policies we believe are the most critical to aid in fully understanding and evaluating our consolidated financial condition and results of operations.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51" w:lineRule="exact"/>
        <w:rPr>
          <w:sz w:val="20"/>
          <w:szCs w:val="20"/>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Goodwill and Impairment of Long-Lived Assets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There were no significant changes in our critical accounting policies and estimates during the three months ended September 30, 2009. Please refer to Management’s Discussion and Analysis of Financial Condition and Results of Operations contained in Part II, Item 7 of our Annual Report on Form 10-K for the year ended December 31, 2008 for a more complete discussion of our critical accounting policies and estimates.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September 30, 2009 compared to the three months ended September 30, 2008</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an overview of our results of operations for the three months ended September 30, 2009 and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97"/>
              </w:rPr>
              <w:t>Three Months Ended</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b w:val="1"/>
                <w:bCs w:val="1"/>
                <w:color w:val="auto"/>
                <w:w w:val="84"/>
              </w:rPr>
              <w:t>2008</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88"/>
              </w:rPr>
              <w:t>2009 vs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8"/>
              </w:rPr>
              <w:t>26,335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40" w:type="dxa"/>
            <w:vAlign w:val="bottom"/>
          </w:tcPr>
          <w:p>
            <w:pPr>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16,790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4"/>
                <w:szCs w:val="24"/>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w w:val="98"/>
              </w:rPr>
              <w:t>13,547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3,243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2,683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5,561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4,946</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1,636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27,748</w:t>
            </w:r>
          </w:p>
        </w:tc>
        <w:tc>
          <w:tcPr>
            <w:tcW w:w="340" w:type="dxa"/>
            <w:vAlign w:val="bottom"/>
            <w:vMerge w:val="continue"/>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22,812</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4,936</w:t>
            </w:r>
          </w:p>
        </w:tc>
        <w:tc>
          <w:tcPr>
            <w:tcW w:w="360" w:type="dxa"/>
            <w:vAlign w:val="bottom"/>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3,523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900" w:right="3539" w:hanging="4568"/>
        <w:spacing w:after="0" w:line="951" w:lineRule="auto"/>
        <w:tabs>
          <w:tab w:leader="none" w:pos="67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$6.8 million to $33.1 million for the three months ended September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three months ended September 30, 2008. This increase was due primarily to increased revenues from our AT&amp;T relationship and our other customers. Net revenues related to AT&amp;T increased $4.7 million to $22.2 million for the three months ended September 30, 2009 compared to the same period in 2008. This increase was primarily due to increased revenues associated with the expansion of our relationship with AT&amp;T across new business channels. AT&amp;T represented 67% and 66% of our revenues for the three months ended September 30, 2009 and 2008, respectively. Net revenues outside of AT&amp;T generated $10.9 million of our revenues during the three months ended September 30, 2009 as compared to $8.9 million during the three months ended September 30, 2008. Net revenues outside of AT&amp;T represented 33% and 34% of our revenues during the three months ended September 30, 2009 and 2008, respectively. Transaction revenues recognized for the three months ended September 30, 2009 and 2008 represented 83% or $27.5 million and 80% or $21.0 million of net revenues, respectively. Professional service revenues decreased as a percentage of sales to 16% or $5.4 million for the three months ended September 30, 2009, compared to 18% or $4.7 million for the previous three months ended September 30, 2008.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$3.2 million to $16.8 million for the three months ended September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three months ended September 30, 2008, due primarily to an increase of $1.4 million in personnel and related costs and an increase of $186 thousand in stock-based compensation. The increase in personnel and related costs was due primarily to an increase in headcount. In addition, there was an increase of $461 thousand in telecommunication and facility costs related to the transition to our new facility. There was an increase of $1.1 million for outside consultants related to new programs with existing customers. Cost of services as a percentage of revenues decreased to 50.7% for the three months ended September 30, 2009, as compared to 51.4% for the three months ended September 30, 2008.</w:t>
      </w:r>
    </w:p>
    <w:p>
      <w:pPr>
        <w:spacing w:after="0" w:line="12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$560 thousand to $3.2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2009, compared to the three months ended September 30, 2008, due to the addition of our Indian subsidiary and its employees offset by reduced use of outside consultants. Research and development expense as a percentage of revenues decreased to 9.8% for the three months ended September 30, 2009 as compared to 10.2% for the three months ended September 30, 2008.</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$615 thousand to $5.6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September 30, 2009, compared to the three months ended September 30, 2008 due to an increase in personnel and related costs and stock-based compensation expense of $680 thousand. The increase in personnel and related costs was primarily due to an increase in headcount offset by reduced use of outside consultants. Selling, general and administrative expense as a percentage of revenues decreased to 16.8% for the three months ended September 30, 2009, compared to 18.8% for the three months ended September 30, 2008. The decrease in percentage was a result of a higher revenue base as compared to the same period 2008.</w:t>
      </w:r>
    </w:p>
    <w:p>
      <w:pPr>
        <w:spacing w:after="0" w:line="14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expense increased $518 thousand to $2.2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2009, compared to the same period in 2008, related to investments in the new facility and the amortization of intangibles related to the Wisor acquisition of $253 thousand. Depreciation and amortization expense as a percentage of revenues increased to 6.5% for the three months ended September 30, 2009, as compared to 6.2% for the same period in 2008.</w:t>
      </w:r>
    </w:p>
    <w:p>
      <w:pPr>
        <w:spacing w:after="0" w:line="148"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$1.8 million to $5.3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compared to the same period in 2008. Income from operations increased as a percentage of revenues to 16.2% for the three months ended September 30, 2009, as compared to 13.4% for the three months ended September 30, 2008.</w:t>
      </w:r>
    </w:p>
    <w:p>
      <w:pPr>
        <w:spacing w:after="0" w:line="12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39.9% and approximately 41.6%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2009 and 2008, 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September 30, 2009 and 2008, we recognized approximately $2.1 million and $1.7 million in related tax expense, respectively.</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2009, compared to the nine months ended September 30, 2008</w:t>
      </w:r>
    </w:p>
    <w:p>
      <w:pPr>
        <w:spacing w:after="0" w:line="19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presents an overview of our results of operations for the nine months ended September 30, 2009 and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 of</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7"/>
              </w:rPr>
              <w:t>2009 vs 2008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7"/>
              </w:rPr>
              <w:t>Revenue</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93,204</w:t>
            </w:r>
          </w:p>
        </w:tc>
        <w:tc>
          <w:tcPr>
            <w:tcW w:w="340" w:type="dxa"/>
            <w:vAlign w:val="bottom"/>
            <w:shd w:val="clear" w:color="auto" w:fill="CCEEFF"/>
          </w:tcPr>
          <w:p>
            <w:pPr>
              <w:spacing w:after="0"/>
              <w:rPr>
                <w:sz w:val="18"/>
                <w:szCs w:val="18"/>
                <w:color w:val="auto"/>
              </w:rPr>
            </w:pPr>
          </w:p>
        </w:tc>
        <w:tc>
          <w:tcPr>
            <w:tcW w:w="11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8"/>
              </w:rPr>
              <w:t>79,760</w:t>
            </w:r>
          </w:p>
        </w:tc>
        <w:tc>
          <w:tcPr>
            <w:tcW w:w="116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13,444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40" w:type="dxa"/>
            <w:vAlign w:val="bottom"/>
          </w:tcPr>
          <w:p>
            <w:pPr>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47,179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4"/>
                <w:szCs w:val="24"/>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w w:val="98"/>
              </w:rPr>
              <w:t>38,819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8,360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9,359</w:t>
            </w:r>
          </w:p>
        </w:tc>
        <w:tc>
          <w:tcPr>
            <w:tcW w:w="11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7,493</w:t>
            </w:r>
          </w:p>
        </w:tc>
        <w:tc>
          <w:tcPr>
            <w:tcW w:w="116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17,218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0"/>
                <w:szCs w:val="20"/>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w w:val="98"/>
              </w:rPr>
              <w:t>15,074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340" w:type="dxa"/>
            <w:vAlign w:val="bottom"/>
            <w:shd w:val="clear" w:color="auto" w:fill="CCEEFF"/>
          </w:tcPr>
          <w:p>
            <w:pPr>
              <w:spacing w:after="0"/>
              <w:rPr>
                <w:sz w:val="18"/>
                <w:szCs w:val="18"/>
                <w:color w:val="auto"/>
              </w:rPr>
            </w:pPr>
          </w:p>
        </w:tc>
        <w:tc>
          <w:tcPr>
            <w:tcW w:w="11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4,581</w:t>
            </w:r>
          </w:p>
        </w:tc>
        <w:tc>
          <w:tcPr>
            <w:tcW w:w="116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80,020</w:t>
            </w:r>
          </w:p>
        </w:tc>
        <w:tc>
          <w:tcPr>
            <w:tcW w:w="340" w:type="dxa"/>
            <w:vAlign w:val="bottom"/>
            <w:vMerge w:val="continue"/>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65,967</w:t>
            </w:r>
          </w:p>
        </w:tc>
        <w:tc>
          <w:tcPr>
            <w:tcW w:w="340" w:type="dxa"/>
            <w:vAlign w:val="bottom"/>
            <w:vMerge w:val="continue"/>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14,053</w:t>
            </w:r>
          </w:p>
        </w:tc>
        <w:tc>
          <w:tcPr>
            <w:tcW w:w="360" w:type="dxa"/>
            <w:vAlign w:val="bottom"/>
            <w:vMerge w:val="continue"/>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13,184</w:t>
            </w:r>
          </w:p>
        </w:tc>
        <w:tc>
          <w:tcPr>
            <w:tcW w:w="11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8"/>
              </w:rPr>
              <w:t>13,793</w:t>
            </w:r>
          </w:p>
        </w:tc>
        <w:tc>
          <w:tcPr>
            <w:tcW w:w="116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185"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$13.4 million to $93.2 million for the nine months ended September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30, 2008. This increase was primarily due to increased revenues from existing customers. Net revenues related to AT&amp;T increased $6.1 million to $60.8 million for the nine months ended September 30, 2009, as compared to $54.7 million during the nine months ended September 30, 2008. AT&amp;T represented 65% and 69% of our revenues for the nine months ended September 30, 2009 and 2008, respectively. Net revenues outside of AT&amp;T increased $7.4 million to $32.4 million during the nine months ended September 30, 2009 as compared to $25.0 million during the nine months ended September 30, 2008. Net revenues outside of AT&amp;T represented 35% and 31% of our revenues during the nine months ended September 30, 2009 and 2008, respectively. Transaction revenues recognized for the nine months ended September 30, 2009 and 2008 represented 84% or $77.8 million and 82% or $65.4 million of net revenues, respectively. Professional service revenues as a percentage of sales were 16% or $14.7 million for the nine months ended September 30, 2009, compared to 16% or $13.1 million for the nine months ended September 30, 2008.</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w:t>
      </w:r>
    </w:p>
    <w:p>
      <w:pPr>
        <w:spacing w:after="0" w:line="19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increased $8.4 million to $47.2 million for the nine months ended September 30, 2009,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nine months ended September 30, 2008, due primarily to an increase of $3.7 million in personnel and related costs and an increase of $544 thousand in stock-based compensation. The increase in personnel and related costs was due primarily to an increase in headcount. In addition, there was an increase of $1.0 million in telecommunication and facility costs related to the transition to our new facility. There was an increase of $3.1 million for outside consultants related to new programs with existing customers. Cost of services as a percentage of revenues increased to 50.6% for the nine months ended September 30, 2009, as compared to 48.7% for the nine months ended September 30, 2008.</w:t>
      </w:r>
    </w:p>
    <w:p>
      <w:pPr>
        <w:spacing w:after="0" w:line="13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$1.9 million to $9.4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2009, compared to the nine months ended September 30, 2008, due primarily to an increase of $2.4 million in personnel and related costs. The increase in personnel and related costs was due primarily to the addition of our Indian subsidiary and its employees. Also, an increase of $262 thousand in additional telecommunication, and facility costs related to our data facilities offset by a decrease of $1.0 million in outside consulting costs. Research and development expense as a percentage of revenues increased to 10.0% for the nine months ended September 30, 2009, as compared to 9.4% for the nine months ended September 30, 2008.</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$2.1 million to $17.2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September 30, 2009, compared to the nine months ended September 30, 2008, due primarily to an increase of $1.4 million in personnel and related costs and an increase in stock-based compensation expense of $389 thousand offset by a decrease of $293 thousand in consulting service costs. The increase in personnel and related costs was primarily due to an increase in headcount offset by reduced use of outside consultants. Also, legal and accounting professional services increased approximately $432 thousand and additional telecommunication, and facility expenses related to our data facilities, contributed approximately $264 thousand to the increase. Selling, general and administrative expense as a percentage of revenues decreased to 18.5% for the nine months ended September 30, 2009, as compared to 18.9% for the nine months ended September 30, 2008.</w:t>
      </w:r>
    </w:p>
    <w:p>
      <w:pPr>
        <w:spacing w:after="0" w:line="15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$1.7 million to $6.3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2009, as compared to the nine months ended September 30, 2008, related to investments in the new facility and the amortization of intangibles related to the Wisor acquisition of $600 thousand. Depreciation and amortization expense as a percentage of revenues increased to 6.7% for the nine months ended September 30, 2009, as compared to 5.7% for the nine months ended September 30, 2008.</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$609 thousand to $13.2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2009, as compared to the nine months ended September 30, 2008. Income from operations decreased as a percentage of revenues to 14.1% for the nine months ended September 30, 2009, as compared to 17.3% for the nine months ended September 30, 2008. This decrease was primarily due to increases in cost of services, research and development and depreciation and amortization.</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40.5% and approximately 41.6%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2009 and 2008, 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nine months ended September 30, 2009 and 2008, we recognized approximately $5.3 million and $6.6 million in related tax expense, respectively.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Our principal source of liquidity has been cash provided by operations. Our cash, cash equivalents and marketable securities balance was $86.1 million at September 30, 2009, an increase of $7.3 million as compared to the end of 2008. This increase was due to cash provided by operations offset by purchases of fixed assets associated with our new facility in Pennsylvania. We anticipate that our principal uses of cash in the future will be to fund the expansion of our business through both organic growth as well as possible acquisition activities and to expand our customer base internationally. Uses of cash will also include facility expansion, capital expenditures and working capital.</w:t>
      </w:r>
    </w:p>
    <w:p>
      <w:pPr>
        <w:spacing w:after="0" w:line="138"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In May 2008, we entered into an agreement to lease space for our Pennsylvania offices and data center in a newly constructed facility. The lease has a term of 10 years and 5 months with an option to extend the term of the lease for two consecutive five year periods. In August 2008, we amended the lease whereby we agreed to reimburse the landlord for certain leasehold improvements we had requested. The construction phase of the building was complete as of June 30, 2009. Since the tenant improvements, under the lease amendment, are considered structural in nature and we are responsible for reimbursement to the landlord for the cost of these improvements we are considered to be the owner of the construction project for accounting purposes. We recorded assets on our balance sheet for all of the costs paid by the lessor to construct the Pennsylvania facility through September 30, 2009, along with corresponding financing liabilities for amounts equal to these lessor-paid construction costs through September 30, 2009. Post construction-period accounting requires determination of a portion of the monthly lease payments to be construed as interest, depreciation, and principal payments. At September 30, 2009, we had recorded $8.8 million of construction costs funded by the landlord, with an offsetting amount recorded as financing liabilities. The lease did not qualify for a sale lease back treatment and therefore the lease was treated as a financing lease. For the three and nine months ended September 30, 2009, we recorded $220 thousand and $447 thousand, respectively, of interest expense. For the three and nine months ended September 30, 2009 we recorded $73 thousand and $147 thousand, respectively, of depreciation expense related to the lease agreement.</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Net cash provided by operating activities for the nine months ended September 30, 2009 was</w:t>
      </w:r>
      <w:r>
        <w:rPr>
          <w:rFonts w:ascii="Arial" w:cs="Arial" w:eastAsia="Arial" w:hAnsi="Arial"/>
          <w:sz w:val="18"/>
          <w:szCs w:val="18"/>
          <w:i w:val="1"/>
          <w:iCs w:val="1"/>
          <w:color w:val="auto"/>
        </w:rPr>
        <w:t xml:space="preserve"> </w:t>
      </w:r>
      <w:r>
        <w:rPr>
          <w:rFonts w:ascii="Arial" w:cs="Arial" w:eastAsia="Arial" w:hAnsi="Arial"/>
          <w:sz w:val="18"/>
          <w:szCs w:val="18"/>
          <w:color w:val="auto"/>
        </w:rPr>
        <w:t>$17.0 million, as compared to $18.1 million for the nine months ended September 30, 2008. The decrease of $1.0 million is primarily due to an increase in accounts receivable of $3.3 million offset by an increase in deferred revenue of $1.2 million, as compared to the nine months ended September 30, 2008.</w:t>
      </w:r>
    </w:p>
    <w:p>
      <w:pPr>
        <w:spacing w:after="0" w:line="14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Cash flows from investing. </w:t>
      </w:r>
      <w:r>
        <w:rPr>
          <w:rFonts w:ascii="Arial" w:cs="Arial" w:eastAsia="Arial" w:hAnsi="Arial"/>
          <w:sz w:val="16"/>
          <w:szCs w:val="16"/>
          <w:color w:val="auto"/>
        </w:rPr>
        <w:t>Net cash used in investing activities for the nine months ended September 30, 2009 was</w:t>
      </w:r>
      <w:r>
        <w:rPr>
          <w:rFonts w:ascii="Arial" w:cs="Arial" w:eastAsia="Arial" w:hAnsi="Arial"/>
          <w:sz w:val="16"/>
          <w:szCs w:val="16"/>
          <w:i w:val="1"/>
          <w:iCs w:val="1"/>
          <w:color w:val="auto"/>
        </w:rPr>
        <w:t xml:space="preserve"> </w:t>
      </w:r>
      <w:r>
        <w:rPr>
          <w:rFonts w:ascii="Arial" w:cs="Arial" w:eastAsia="Arial" w:hAnsi="Arial"/>
          <w:sz w:val="16"/>
          <w:szCs w:val="16"/>
          <w:color w:val="auto"/>
        </w:rPr>
        <w:t>$11.4 million, as compared to $21.5 million for the nine months September 30, 2008. The decrease was primarily due to cash outflows for acquisitions of $49 thousand for the completion of the purchase price allocation in the nine months ending September 30, 2009, as compared to $17.4 million net cash outflow for the acquisition of Wisor in the nine months ending September 30, 2008. The decrease was offset by an increase in net cash outflow for leasehold improvements and fixed asset purchases associated with the move to our new facility in Pennsylvania in the nine months ended September 30, 2009.</w:t>
      </w:r>
    </w:p>
    <w:p>
      <w:pPr>
        <w:spacing w:after="0" w:line="12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nine months ended September 30, 2009 was</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 compared to cash used by financing activities of $21.3 million for the nine months ended September 30, 2008. In May 2008, we initiated a stock repurchase program that, as of September 30, 2008, repurchased 2 million shares for an aggregate purchase price of approximately $23.7 million. There were no shares repurchased for the nine months ended September 30, 2009.</w:t>
      </w:r>
    </w:p>
    <w:p>
      <w:pPr>
        <w:spacing w:after="0" w:line="16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believe that our existing cash and cash equivalents, and cash generated from our operations will be sufficient to fund our operations for the next twelve months.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Although inflation generally affects us by increasing our cost of labor and equipment, we do not believe that inflation has had any material effect on our results of operations for the three and nine months ended September 30, 2009 and 2008.</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October 2009, the FASB issued Accounting Standard Update (“ASU”) No. 2009-13 “Multiple Deliverable Revenue Arrangements — a consensus of the FASB Emerging Issues Task Force.” This standard provides principles for allocation of consideration among its multiple-elements, allowing more flexibility in identifying and accounting for separate deliverables under an arrangement. ASU No. 2009-13 introduces an estimated selling price method for valuing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Alternatively, adoption may be on a retrospective basis, and early application is permitted. We do not expect the adoption of this statement to have a material effect on its consolidated financial statements or disclosures.</w:t>
      </w:r>
    </w:p>
    <w:p>
      <w:pPr>
        <w:spacing w:after="0" w:line="14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June 2009, the FASB issued SFAS 168, “The FASB Accounting Standards Codification and the Hierarchy of Generally Accepted Accounting Principles — a replacement of FASB Statement No. 162” (the “Codification”). The Codification does not change current GAAP but reorganizes all authoritative literature in one place. SFAS 168, now referred to as Codification is effective for financial statements issued for interim and annual periods ending after September 15, 2009. The Codification will supersede existing GAAP and has become the source of authoritative accounting principles recognized by the FASB. We adopted the Codification during the quarter-ended September 30, 2009. The adoption of the Codification did not have an impact on our results of operations, financial condition or cash flows.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had no off-balance sheet arrangements as of September 30, 2009 and December 31, 2008.</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Risk</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We do not expect the current rate of inflation to have a material impact on our business. These investments are denominated in United States dollars.</w:t>
      </w:r>
    </w:p>
    <w:p>
      <w:pPr>
        <w:spacing w:after="0" w:line="13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cash equivalents and marketable securities at September 30, 2009 and December 31, 2008 were invested in liquid money market accounts and certificates of deposit. All market-risk sensitive instruments were entered into for non-trading purposes.</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recent severe tightening of the credit markets, disruptions in the financial markets and challenging economic conditions have adversely affected the United States and world economies.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September 30, 2009. Based upon that evaluation, our Chief Executive Officer and Chief Financial Officer concluded that our disclosure controls and procedures are effective as of September 30, 2009,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9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On September 5, 2008, September 18, 2008, and September 23, 2008, three complaints were filed against us and certain of our officers and directors in the United States District Court for the District of New Jersey purportedly on behalf of a class of shareholders who purchased it’s common stock between February 4, 2008 and June 9, 2008 (the “Securities Law Actions”). The complaints were consolidated and an amended complaint was filed by the plaintiffs on March 13, 2009. We filed a Motion to Dismiss all of the claims under the complaint on April 24, 2009. The Motion to Dismiss has been fully briefed by the parties and we are awaiting the Court’s decision. The plaintiffs in each complaint assert claims under Sections 10(b) and 20(a) of the Securities Exchange Act of 1934. They allege that certain of our public disclosures regarding its financial prospects during the proposed class period were false and/or misleading. The principal allegation set forth in each complaint is that we issued misleading statements concerning our business prospects relating to the activation of Apple Inc.’s iPhone product. The plaintiffs seek compensatory damages, costs, fees, and other relief within the Court’s discretion. We believe that the claims described above are without merit, and we intend to defend against all of the claims vigorously. Due to the inherent uncertainties of litigation, we cannot predict the outcome of the actions at this time, and we can give no assurance that these claims will not have a material adverse effect on our financial position or results of operations.</w:t>
      </w:r>
    </w:p>
    <w:p>
      <w:pPr>
        <w:spacing w:after="0" w:line="134"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October 23, 2008 and November 3, 2008, complaints were filed in the state court of New Jersey and the United States District Court for the District of New Jersey against certain of our officers and directors, purportedly derivatively on our behalf (the “Derivative Suits”). The Complaints in the Derivative Suits assert that the named officers and directors breached their fiduciary duties and other obligations in connection with the disclosures that also are the subject of the Securities Law Actions described above. We are also named as a nominal defendant in the Derivative Suits, although the lawsuits are derivative in nature and purportedly asserted on our behalf. The plaintiffs seek compensatory damages, costs, fees, and other relief within the Court’s discretion. We are in the process of evaluating the claims in the Derivative Suits. The plaintiffs in the Derivative Suits have agreed to stay their claims pending the court’s decision in the Defendant’s Motion to Dismiss in the Securities Laws Actions.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14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Except for the above claims, we are not currently subject to any legal proceedings that could have a material adverse effect on our operations; however, we may from time to time become a party to various legal proceedings arising in the ordinary course of our business.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center"/>
        <w:ind w:right="8379"/>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8379"/>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302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906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107" w:lineRule="exact"/>
        <w:rPr>
          <w:sz w:val="20"/>
          <w:szCs w:val="20"/>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Chairman of the Board of Directors,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Lawrence R. Irving</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November 4, 2009</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80" w:type="dxa"/>
            <w:vAlign w:val="bottom"/>
            <w:gridSpan w:val="2"/>
          </w:tcPr>
          <w:p>
            <w:pPr>
              <w:spacing w:after="0"/>
              <w:rPr>
                <w:sz w:val="17"/>
                <w:szCs w:val="17"/>
                <w:color w:val="auto"/>
              </w:rPr>
            </w:pPr>
          </w:p>
        </w:tc>
        <w:tc>
          <w:tcPr>
            <w:tcW w:w="782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78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 No.</w:t>
            </w:r>
          </w:p>
        </w:tc>
        <w:tc>
          <w:tcPr>
            <w:tcW w:w="78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340" w:type="dxa"/>
            <w:vAlign w:val="bottom"/>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302 of the Sarbanes-Oxley Act of 2002</w:t>
            </w:r>
          </w:p>
        </w:tc>
      </w:tr>
      <w:tr>
        <w:trPr>
          <w:trHeight w:val="432"/>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906 of the Sarbanes-Oxley Act of 2002</w:t>
            </w:r>
          </w:p>
        </w:tc>
      </w:tr>
      <w:tr>
        <w:trPr>
          <w:trHeight w:val="432"/>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107" w:lineRule="exact"/>
        <w:rPr>
          <w:sz w:val="20"/>
          <w:szCs w:val="20"/>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05" w:right="1440" w:bottom="1440" w:gutter="0" w:footer="0" w:header="0"/>
        </w:sectPr>
      </w:pPr>
    </w:p>
    <w:bookmarkStart w:id="25" w:name="page26"/>
    <w:bookmarkEnd w:id="25"/>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2009;</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4,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9879"/>
          </w:cols>
          <w:pgMar w:left="580" w:top="121" w:right="1440" w:bottom="1440" w:gutter="0" w:footer="0" w:header="0"/>
        </w:sectPr>
      </w:pPr>
    </w:p>
    <w:bookmarkStart w:id="26" w:name="page27"/>
    <w:bookmarkEnd w:id="26"/>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2009;</w:t>
      </w:r>
    </w:p>
    <w:p>
      <w:pPr>
        <w:spacing w:after="0" w:line="14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4,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ectPr>
          <w:pgSz w:w="11900" w:h="16838" w:orient="portrait"/>
          <w:cols w:equalWidth="0" w:num="1">
            <w:col w:w="9879"/>
          </w:cols>
          <w:pgMar w:left="580" w:top="513"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ended September 30, 2009,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148" w:lineRule="exact"/>
        <w:rPr>
          <w:sz w:val="20"/>
          <w:szCs w:val="20"/>
          <w:color w:val="auto"/>
        </w:rPr>
      </w:pPr>
    </w:p>
    <w:p>
      <w:pPr>
        <w:ind w:left="700" w:right="559" w:hanging="343"/>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43"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4,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6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513"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2009,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700" w:right="559" w:hanging="343"/>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4,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pacing w:after="0" w:line="16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2019-12-10T19:33:05Z</dcterms:created>
  <dcterms:modified xsi:type="dcterms:W3CDTF">2019-12-10T19:33:05Z</dcterms:modified>
</cp:coreProperties>
</file>