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343535</wp:posOffset>
            </wp:positionV>
            <wp:extent cx="71215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line="236" w:lineRule="auto"/>
        <w:rPr>
          <w:sz w:val="20"/>
          <w:szCs w:val="20"/>
          <w:color w:val="auto"/>
        </w:rPr>
      </w:pPr>
      <w:r>
        <w:rPr>
          <w:rFonts w:ascii="Arial" w:cs="Arial" w:eastAsia="Arial" w:hAnsi="Arial"/>
          <w:sz w:val="16"/>
          <w:szCs w:val="16"/>
          <w:color w:val="auto"/>
        </w:rPr>
        <w:t>Washington, D.C. 20549</w:t>
      </w:r>
    </w:p>
    <w:p>
      <w:pPr>
        <w:jc w:val="center"/>
        <w:spacing w:after="0" w:line="236" w:lineRule="auto"/>
        <w:rPr>
          <w:sz w:val="20"/>
          <w:szCs w:val="20"/>
          <w:color w:val="auto"/>
        </w:rPr>
      </w:pPr>
      <w:r>
        <w:rPr>
          <w:rFonts w:ascii="Arial" w:cs="Arial" w:eastAsia="Arial" w:hAnsi="Arial"/>
          <w:sz w:val="16"/>
          <w:szCs w:val="16"/>
          <w:b w:val="1"/>
          <w:bCs w:val="1"/>
          <w:color w:val="auto"/>
        </w:rPr>
        <w:t>FORM 10-Q</w:t>
      </w:r>
    </w:p>
    <w:p>
      <w:pPr>
        <w:jc w:val="center"/>
        <w:spacing w:after="0"/>
        <w:rPr>
          <w:sz w:val="20"/>
          <w:szCs w:val="20"/>
          <w:color w:val="auto"/>
        </w:rPr>
      </w:pPr>
      <w:r>
        <w:rPr>
          <w:rFonts w:ascii="Arial" w:cs="Arial" w:eastAsia="Arial" w:hAnsi="Arial"/>
          <w:sz w:val="16"/>
          <w:szCs w:val="16"/>
          <w:color w:val="auto"/>
        </w:rPr>
        <w:t>(Mark One)</w:t>
      </w:r>
    </w:p>
    <w:p>
      <w:pPr>
        <w:spacing w:after="0" w:line="18" w:lineRule="exact"/>
        <w:rPr>
          <w:sz w:val="24"/>
          <w:szCs w:val="24"/>
          <w:color w:val="auto"/>
        </w:rPr>
      </w:pPr>
    </w:p>
    <w:p>
      <w:pPr>
        <w:ind w:left="1000" w:hanging="576"/>
        <w:spacing w:after="0"/>
        <w:tabs>
          <w:tab w:leader="none" w:pos="10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1000" w:hanging="576"/>
        <w:spacing w:after="0"/>
        <w:tabs>
          <w:tab w:leader="none" w:pos="10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231" w:right="339" w:bottom="1440" w:gutter="0" w:footer="0" w:header="0"/>
        </w:sectPr>
      </w:pPr>
    </w:p>
    <w:p>
      <w:pPr>
        <w:spacing w:after="0" w:line="305"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60" w:space="400"/>
            <w:col w:w="4480"/>
          </w:cols>
          <w:pgMar w:left="320" w:top="231"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001-40574</w:t>
      </w:r>
    </w:p>
    <w:p>
      <w:pPr>
        <w:sectPr>
          <w:pgSz w:w="11900" w:h="16838" w:orient="portrait"/>
          <w:cols w:equalWidth="0" w:num="1">
            <w:col w:w="11240"/>
          </w:cols>
          <w:pgMar w:left="320" w:top="231"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 w:lineRule="exact"/>
        <w:rPr>
          <w:sz w:val="24"/>
          <w:szCs w:val="24"/>
          <w:color w:val="auto"/>
        </w:rPr>
      </w:pPr>
    </w:p>
    <w:tbl>
      <w:tblPr>
        <w:tblLayout w:type="fixed"/>
        <w:tblInd w:w="1600" w:type="dxa"/>
        <w:tblCellMar>
          <w:top w:w="0" w:type="dxa"/>
          <w:left w:w="0" w:type="dxa"/>
          <w:bottom w:w="0" w:type="dxa"/>
          <w:right w:w="0" w:type="dxa"/>
        </w:tblCellMar>
      </w:tblPr>
      <w:tr>
        <w:trPr>
          <w:trHeight w:val="202"/>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8"/>
              </w:rPr>
              <w:t>Delaware</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6"/>
        </w:trPr>
        <w:tc>
          <w:tcPr>
            <w:tcW w:w="5940" w:type="dxa"/>
            <w:vAlign w:val="bottom"/>
          </w:tcPr>
          <w:p>
            <w:pPr>
              <w:jc w:val="center"/>
              <w:ind w:right="3422"/>
              <w:spacing w:after="0" w:line="166" w:lineRule="exact"/>
              <w:rPr>
                <w:sz w:val="20"/>
                <w:szCs w:val="20"/>
                <w:color w:val="auto"/>
              </w:rPr>
            </w:pPr>
            <w:r>
              <w:rPr>
                <w:rFonts w:ascii="Arial" w:cs="Arial" w:eastAsia="Arial" w:hAnsi="Arial"/>
                <w:sz w:val="16"/>
                <w:szCs w:val="16"/>
                <w:color w:val="auto"/>
                <w:w w:val="89"/>
              </w:rPr>
              <w:t>(State or other jurisdiction of</w:t>
            </w:r>
          </w:p>
        </w:tc>
        <w:tc>
          <w:tcPr>
            <w:tcW w:w="1460" w:type="dxa"/>
            <w:vAlign w:val="bottom"/>
          </w:tcPr>
          <w:p>
            <w:pPr>
              <w:jc w:val="center"/>
              <w:ind w:left="242"/>
              <w:spacing w:after="0" w:line="166" w:lineRule="exact"/>
              <w:rPr>
                <w:sz w:val="20"/>
                <w:szCs w:val="20"/>
                <w:color w:val="auto"/>
              </w:rPr>
            </w:pPr>
            <w:r>
              <w:rPr>
                <w:rFonts w:ascii="Arial" w:cs="Arial" w:eastAsia="Arial" w:hAnsi="Arial"/>
                <w:sz w:val="16"/>
                <w:szCs w:val="16"/>
                <w:color w:val="auto"/>
                <w:w w:val="90"/>
              </w:rPr>
              <w:t>(I.R.S. Employer</w:t>
            </w:r>
          </w:p>
        </w:tc>
        <w:tc>
          <w:tcPr>
            <w:tcW w:w="0" w:type="dxa"/>
            <w:vAlign w:val="bottom"/>
          </w:tcPr>
          <w:p>
            <w:pPr>
              <w:spacing w:after="0"/>
              <w:rPr>
                <w:sz w:val="1"/>
                <w:szCs w:val="1"/>
                <w:color w:val="auto"/>
              </w:rPr>
            </w:pPr>
          </w:p>
        </w:tc>
      </w:tr>
      <w:tr>
        <w:trPr>
          <w:trHeight w:val="196"/>
        </w:trPr>
        <w:tc>
          <w:tcPr>
            <w:tcW w:w="5940" w:type="dxa"/>
            <w:vAlign w:val="bottom"/>
          </w:tcPr>
          <w:p>
            <w:pPr>
              <w:jc w:val="center"/>
              <w:ind w:right="3422"/>
              <w:spacing w:after="0"/>
              <w:rPr>
                <w:sz w:val="20"/>
                <w:szCs w:val="20"/>
                <w:color w:val="auto"/>
              </w:rPr>
            </w:pPr>
            <w:r>
              <w:rPr>
                <w:rFonts w:ascii="Arial" w:cs="Arial" w:eastAsia="Arial" w:hAnsi="Arial"/>
                <w:sz w:val="16"/>
                <w:szCs w:val="16"/>
                <w:color w:val="auto"/>
                <w:w w:val="90"/>
              </w:rPr>
              <w:t>incorporation or organization)</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93"/>
              </w:rPr>
              <w:t>Identification No.)</w:t>
            </w:r>
          </w:p>
        </w:tc>
        <w:tc>
          <w:tcPr>
            <w:tcW w:w="0" w:type="dxa"/>
            <w:vAlign w:val="bottom"/>
          </w:tcPr>
          <w:p>
            <w:pPr>
              <w:spacing w:after="0"/>
              <w:rPr>
                <w:sz w:val="1"/>
                <w:szCs w:val="1"/>
                <w:color w:val="auto"/>
              </w:rPr>
            </w:pPr>
          </w:p>
        </w:tc>
      </w:tr>
      <w:tr>
        <w:trPr>
          <w:trHeight w:val="368"/>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7"/>
              </w:rPr>
              <w:t>200 Crossing Boulevard, 3rd Floor</w:t>
            </w:r>
          </w:p>
        </w:tc>
        <w:tc>
          <w:tcPr>
            <w:tcW w:w="14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2"/>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6"/>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jc w:val="center"/>
              <w:ind w:right="3402"/>
              <w:spacing w:after="0"/>
              <w:rPr>
                <w:sz w:val="20"/>
                <w:szCs w:val="20"/>
                <w:color w:val="auto"/>
              </w:rPr>
            </w:pPr>
            <w:r>
              <w:rPr>
                <w:rFonts w:ascii="Arial" w:cs="Arial" w:eastAsia="Arial" w:hAnsi="Arial"/>
                <w:sz w:val="16"/>
                <w:szCs w:val="16"/>
                <w:color w:val="auto"/>
                <w:w w:val="89"/>
              </w:rPr>
              <w:t>(Address of principal executive offices)</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89"/>
              </w:rPr>
              <w:t>(Zip Code)</w:t>
            </w:r>
          </w:p>
        </w:tc>
        <w:tc>
          <w:tcPr>
            <w:tcW w:w="0" w:type="dxa"/>
            <w:vAlign w:val="bottom"/>
          </w:tcPr>
          <w:p>
            <w:pPr>
              <w:spacing w:after="0"/>
              <w:rPr>
                <w:sz w:val="1"/>
                <w:szCs w:val="1"/>
                <w:color w:val="auto"/>
              </w:rPr>
            </w:pPr>
          </w:p>
        </w:tc>
      </w:tr>
      <w:tr>
        <w:trPr>
          <w:trHeight w:val="450"/>
        </w:trPr>
        <w:tc>
          <w:tcPr>
            <w:tcW w:w="5940" w:type="dxa"/>
            <w:vAlign w:val="bottom"/>
          </w:tcPr>
          <w:p>
            <w:pPr>
              <w:jc w:val="right"/>
              <w:ind w:right="1362"/>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jc w:val="center"/>
              <w:ind w:left="1982"/>
              <w:spacing w:after="0"/>
              <w:rPr>
                <w:sz w:val="20"/>
                <w:szCs w:val="20"/>
                <w:color w:val="auto"/>
              </w:rPr>
            </w:pPr>
            <w:r>
              <w:rPr>
                <w:rFonts w:ascii="Arial" w:cs="Arial" w:eastAsia="Arial" w:hAnsi="Arial"/>
                <w:sz w:val="16"/>
                <w:szCs w:val="16"/>
                <w:color w:val="auto"/>
                <w:w w:val="87"/>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30"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92"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57"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700" w:type="dxa"/>
        <w:tblCellMar>
          <w:top w:w="0" w:type="dxa"/>
          <w:left w:w="0" w:type="dxa"/>
          <w:bottom w:w="0" w:type="dxa"/>
          <w:right w:w="0" w:type="dxa"/>
        </w:tblCellMar>
      </w:tblPr>
      <w:tr>
        <w:trPr>
          <w:trHeight w:val="201"/>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8"/>
              </w:rPr>
              <w:t>Large 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102"/>
              <w:spacing w:after="0"/>
              <w:rPr>
                <w:sz w:val="20"/>
                <w:szCs w:val="20"/>
                <w:color w:val="auto"/>
              </w:rPr>
            </w:pPr>
            <w:r>
              <w:rPr>
                <w:rFonts w:ascii="Arial" w:cs="Arial" w:eastAsia="Arial" w:hAnsi="Arial"/>
                <w:sz w:val="16"/>
                <w:szCs w:val="16"/>
                <w:color w:val="auto"/>
                <w:w w:val="90"/>
              </w:rPr>
              <w:t>Accelerated filer</w:t>
            </w:r>
          </w:p>
        </w:tc>
        <w:tc>
          <w:tcPr>
            <w:tcW w:w="520" w:type="dxa"/>
            <w:vAlign w:val="bottom"/>
          </w:tcPr>
          <w:p>
            <w:pPr>
              <w:jc w:val="center"/>
              <w:ind w:left="307"/>
              <w:spacing w:after="0"/>
              <w:rPr>
                <w:sz w:val="20"/>
                <w:szCs w:val="20"/>
                <w:color w:val="auto"/>
              </w:rPr>
            </w:pPr>
            <w:r>
              <w:rPr>
                <w:rFonts w:ascii="Arial" w:cs="Arial" w:eastAsia="Arial" w:hAnsi="Arial"/>
                <w:sz w:val="14"/>
                <w:szCs w:val="14"/>
                <w:color w:val="auto"/>
                <w:w w:val="85"/>
              </w:rPr>
              <w:t>x</w:t>
            </w:r>
          </w:p>
        </w:tc>
      </w:tr>
      <w:tr>
        <w:trPr>
          <w:trHeight w:val="207"/>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9"/>
              </w:rPr>
              <w:t>Non-accelerated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Arial" w:cs="Arial" w:eastAsia="Arial" w:hAnsi="Arial"/>
                <w:sz w:val="16"/>
                <w:szCs w:val="16"/>
                <w:color w:val="auto"/>
                <w:w w:val="88"/>
              </w:rPr>
              <w:t>Smaller Reporting Company</w:t>
            </w:r>
          </w:p>
        </w:tc>
        <w:tc>
          <w:tcPr>
            <w:tcW w:w="520" w:type="dxa"/>
            <w:vAlign w:val="bottom"/>
          </w:tcPr>
          <w:p>
            <w:pPr>
              <w:jc w:val="center"/>
              <w:ind w:left="307"/>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4"/>
        </w:trPr>
        <w:tc>
          <w:tcPr>
            <w:tcW w:w="2080" w:type="dxa"/>
            <w:vAlign w:val="bottom"/>
          </w:tcPr>
          <w:p>
            <w:pPr>
              <w:jc w:val="center"/>
              <w:ind w:right="302"/>
              <w:spacing w:after="0"/>
              <w:rPr>
                <w:sz w:val="20"/>
                <w:szCs w:val="20"/>
                <w:color w:val="auto"/>
              </w:rPr>
            </w:pPr>
            <w:r>
              <w:rPr>
                <w:rFonts w:ascii="Arial" w:cs="Arial" w:eastAsia="Arial" w:hAnsi="Arial"/>
                <w:sz w:val="16"/>
                <w:szCs w:val="16"/>
                <w:color w:val="auto"/>
                <w:w w:val="89"/>
              </w:rPr>
              <w:t>Emerging growth company</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122" w:lineRule="exact"/>
        <w:rPr>
          <w:sz w:val="24"/>
          <w:szCs w:val="24"/>
          <w:color w:val="auto"/>
        </w:rPr>
      </w:pPr>
    </w:p>
    <w:p>
      <w:pPr>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3"/>
          <w:szCs w:val="13"/>
          <w:color w:val="auto"/>
        </w:rPr>
        <w:t>x</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8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23"/>
        </w:trPr>
        <w:tc>
          <w:tcPr>
            <w:tcW w:w="430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87"/>
              </w:rPr>
              <w:t>Title of each class</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Trading Symbol(s)</w:t>
            </w:r>
          </w:p>
        </w:tc>
        <w:tc>
          <w:tcPr>
            <w:tcW w:w="434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color w:val="auto"/>
                <w:w w:val="86"/>
              </w:rPr>
              <w:t>Name of each exchange on which registered</w:t>
            </w:r>
          </w:p>
        </w:tc>
      </w:tr>
      <w:tr>
        <w:trPr>
          <w:trHeight w:val="197"/>
        </w:trPr>
        <w:tc>
          <w:tcPr>
            <w:tcW w:w="4300" w:type="dxa"/>
            <w:vAlign w:val="bottom"/>
          </w:tcPr>
          <w:p>
            <w:pPr>
              <w:jc w:val="center"/>
              <w:ind w:left="222"/>
              <w:spacing w:after="0"/>
              <w:rPr>
                <w:sz w:val="20"/>
                <w:szCs w:val="20"/>
                <w:color w:val="auto"/>
              </w:rPr>
            </w:pPr>
            <w:r>
              <w:rPr>
                <w:rFonts w:ascii="Arial" w:cs="Arial" w:eastAsia="Arial" w:hAnsi="Arial"/>
                <w:sz w:val="16"/>
                <w:szCs w:val="16"/>
                <w:color w:val="auto"/>
                <w:w w:val="87"/>
              </w:rPr>
              <w:t>Common Stock, $.0001 par value</w:t>
            </w:r>
          </w:p>
        </w:tc>
        <w:tc>
          <w:tcPr>
            <w:tcW w:w="2580" w:type="dxa"/>
            <w:vAlign w:val="bottom"/>
          </w:tcPr>
          <w:p>
            <w:pPr>
              <w:jc w:val="center"/>
              <w:spacing w:after="0"/>
              <w:rPr>
                <w:sz w:val="20"/>
                <w:szCs w:val="20"/>
                <w:color w:val="auto"/>
              </w:rPr>
            </w:pPr>
            <w:r>
              <w:rPr>
                <w:rFonts w:ascii="Arial" w:cs="Arial" w:eastAsia="Arial" w:hAnsi="Arial"/>
                <w:sz w:val="16"/>
                <w:szCs w:val="16"/>
                <w:color w:val="auto"/>
                <w:w w:val="88"/>
              </w:rPr>
              <w:t>SNCR</w:t>
            </w:r>
          </w:p>
        </w:tc>
        <w:tc>
          <w:tcPr>
            <w:tcW w:w="4340" w:type="dxa"/>
            <w:vAlign w:val="bottom"/>
          </w:tcPr>
          <w:p>
            <w:pPr>
              <w:jc w:val="center"/>
              <w:ind w:right="202"/>
              <w:spacing w:after="0"/>
              <w:rPr>
                <w:sz w:val="20"/>
                <w:szCs w:val="20"/>
                <w:color w:val="auto"/>
              </w:rPr>
            </w:pPr>
            <w:r>
              <w:rPr>
                <w:rFonts w:ascii="Arial" w:cs="Arial" w:eastAsia="Arial" w:hAnsi="Arial"/>
                <w:sz w:val="16"/>
                <w:szCs w:val="16"/>
                <w:color w:val="auto"/>
                <w:w w:val="88"/>
              </w:rPr>
              <w:t>The Nasdaq Stock Market, LLC</w:t>
            </w:r>
          </w:p>
        </w:tc>
      </w:tr>
      <w:tr>
        <w:trPr>
          <w:trHeight w:val="207"/>
        </w:trPr>
        <w:tc>
          <w:tcPr>
            <w:tcW w:w="4300" w:type="dxa"/>
            <w:vAlign w:val="bottom"/>
          </w:tcPr>
          <w:p>
            <w:pPr>
              <w:jc w:val="center"/>
              <w:ind w:left="242"/>
              <w:spacing w:after="0"/>
              <w:rPr>
                <w:sz w:val="20"/>
                <w:szCs w:val="20"/>
                <w:color w:val="auto"/>
              </w:rPr>
            </w:pPr>
            <w:r>
              <w:rPr>
                <w:rFonts w:ascii="Arial" w:cs="Arial" w:eastAsia="Arial" w:hAnsi="Arial"/>
                <w:sz w:val="16"/>
                <w:szCs w:val="16"/>
                <w:color w:val="auto"/>
                <w:w w:val="87"/>
              </w:rPr>
              <w:t>8.375% Senior Notes due 2026</w:t>
            </w:r>
          </w:p>
        </w:tc>
        <w:tc>
          <w:tcPr>
            <w:tcW w:w="2580" w:type="dxa"/>
            <w:vAlign w:val="bottom"/>
          </w:tcPr>
          <w:p>
            <w:pPr>
              <w:ind w:left="840"/>
              <w:spacing w:after="0"/>
              <w:rPr>
                <w:sz w:val="20"/>
                <w:szCs w:val="20"/>
                <w:color w:val="auto"/>
              </w:rPr>
            </w:pPr>
            <w:r>
              <w:rPr>
                <w:rFonts w:ascii="Arial" w:cs="Arial" w:eastAsia="Arial" w:hAnsi="Arial"/>
                <w:sz w:val="16"/>
                <w:szCs w:val="16"/>
                <w:color w:val="auto"/>
              </w:rPr>
              <w:t>SNCRL</w:t>
            </w:r>
          </w:p>
        </w:tc>
        <w:tc>
          <w:tcPr>
            <w:tcW w:w="4340" w:type="dxa"/>
            <w:vAlign w:val="bottom"/>
          </w:tcPr>
          <w:p>
            <w:pPr>
              <w:jc w:val="center"/>
              <w:ind w:right="202"/>
              <w:spacing w:after="0"/>
              <w:rPr>
                <w:sz w:val="20"/>
                <w:szCs w:val="20"/>
                <w:color w:val="auto"/>
              </w:rPr>
            </w:pPr>
            <w:r>
              <w:rPr>
                <w:rFonts w:ascii="Arial" w:cs="Arial" w:eastAsia="Arial" w:hAnsi="Arial"/>
                <w:sz w:val="16"/>
                <w:szCs w:val="16"/>
                <w:color w:val="auto"/>
                <w:w w:val="88"/>
              </w:rPr>
              <w:t>The Nasdaq Stock Market, LLC</w:t>
            </w:r>
          </w:p>
        </w:tc>
      </w:tr>
    </w:tbl>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As of May 05, 2022, there were 88,301,312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499745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4"/>
          </w:tcPr>
          <w:p>
            <w:pPr>
              <w:jc w:val="center"/>
              <w:ind w:right="1734"/>
              <w:spacing w:after="0"/>
              <w:rPr>
                <w:sz w:val="20"/>
                <w:szCs w:val="20"/>
                <w:color w:val="auto"/>
              </w:rPr>
            </w:pPr>
            <w:r>
              <w:rPr>
                <w:rFonts w:ascii="Arial" w:cs="Arial" w:eastAsia="Arial" w:hAnsi="Arial"/>
                <w:sz w:val="17"/>
                <w:szCs w:val="17"/>
                <w:b w:val="1"/>
                <w:bCs w:val="1"/>
                <w:color w:val="auto"/>
              </w:rPr>
              <w:t>SYNCHRONOSS TECHNOLOGIES, INC.</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40" w:type="dxa"/>
            <w:vAlign w:val="bottom"/>
            <w:gridSpan w:val="3"/>
          </w:tcPr>
          <w:p>
            <w:pPr>
              <w:jc w:val="center"/>
              <w:ind w:right="3894"/>
              <w:spacing w:after="0"/>
              <w:rPr>
                <w:sz w:val="20"/>
                <w:szCs w:val="20"/>
                <w:color w:val="auto"/>
              </w:rPr>
            </w:pPr>
            <w:r>
              <w:rPr>
                <w:rFonts w:ascii="Arial" w:cs="Arial" w:eastAsia="Arial" w:hAnsi="Arial"/>
                <w:sz w:val="17"/>
                <w:szCs w:val="17"/>
                <w:b w:val="1"/>
                <w:bCs w:val="1"/>
                <w:color w:val="auto"/>
              </w:rPr>
              <w:t>FORM 10-Q INDEX</w:t>
            </w: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440"/>
              <w:spacing w:after="0" w:line="161" w:lineRule="exact"/>
              <w:rPr>
                <w:rFonts w:ascii="Arial" w:cs="Arial" w:eastAsia="Arial" w:hAnsi="Arial"/>
                <w:sz w:val="17"/>
                <w:szCs w:val="17"/>
                <w:color w:val="0000FF"/>
              </w:rPr>
            </w:pPr>
            <w:hyperlink w:anchor="page2">
              <w:r>
                <w:rPr>
                  <w:rFonts w:ascii="Arial" w:cs="Arial" w:eastAsia="Arial" w:hAnsi="Arial"/>
                  <w:sz w:val="17"/>
                  <w:szCs w:val="17"/>
                  <w:color w:val="0000FF"/>
                </w:rPr>
                <w:t>PART</w:t>
              </w:r>
            </w:hyperlink>
          </w:p>
        </w:tc>
        <w:tc>
          <w:tcPr>
            <w:tcW w:w="8440" w:type="dxa"/>
            <w:vAlign w:val="bottom"/>
            <w:gridSpan w:val="3"/>
          </w:tcPr>
          <w:p>
            <w:pPr>
              <w:spacing w:after="0" w:line="161"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 w:type="dxa"/>
            <w:vAlign w:val="bottom"/>
            <w:gridSpan w:val="3"/>
          </w:tcPr>
          <w:p>
            <w:pPr>
              <w:spacing w:after="0" w:line="148" w:lineRule="exact"/>
              <w:rPr>
                <w:rFonts w:ascii="Arial" w:cs="Arial" w:eastAsia="Arial" w:hAnsi="Arial"/>
                <w:sz w:val="17"/>
                <w:szCs w:val="17"/>
                <w:color w:val="0000FF"/>
              </w:rPr>
            </w:pPr>
            <w:hyperlink w:anchor="page2">
              <w:r>
                <w:rPr>
                  <w:rFonts w:ascii="Arial" w:cs="Arial" w:eastAsia="Arial" w:hAnsi="Arial"/>
                  <w:sz w:val="17"/>
                  <w:szCs w:val="17"/>
                  <w:color w:val="0000FF"/>
                </w:rPr>
                <w:t>I.</w:t>
              </w:r>
            </w:hyperlink>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1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4"/>
            <w:vMerge w:val="restart"/>
          </w:tcPr>
          <w:p>
            <w:pPr>
              <w:ind w:left="440"/>
              <w:spacing w:after="0"/>
              <w:rPr>
                <w:rFonts w:ascii="Arial" w:cs="Arial" w:eastAsia="Arial" w:hAnsi="Arial"/>
                <w:sz w:val="17"/>
                <w:szCs w:val="17"/>
                <w:color w:val="0000FF"/>
              </w:rPr>
            </w:pPr>
            <w:hyperlink w:anchor="page3">
              <w:r>
                <w:rPr>
                  <w:rFonts w:ascii="Arial" w:cs="Arial" w:eastAsia="Arial" w:hAnsi="Arial"/>
                  <w:sz w:val="17"/>
                  <w:szCs w:val="17"/>
                  <w:color w:val="0000FF"/>
                </w:rPr>
                <w:t>Item</w:t>
              </w:r>
            </w:hyperlink>
          </w:p>
        </w:tc>
        <w:tc>
          <w:tcPr>
            <w:tcW w:w="9000" w:type="dxa"/>
            <w:vAlign w:val="bottom"/>
            <w:gridSpan w:val="4"/>
            <w:vMerge w:val="restart"/>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Financial Statements and Notes</w:t>
              </w:r>
            </w:hyperlink>
          </w:p>
        </w:tc>
        <w:tc>
          <w:tcPr>
            <w:tcW w:w="0" w:type="dxa"/>
            <w:vAlign w:val="bottom"/>
          </w:tcPr>
          <w:p>
            <w:pPr>
              <w:spacing w:after="0" w:line="20" w:lineRule="exact"/>
              <w:rPr>
                <w:sz w:val="1"/>
                <w:szCs w:val="1"/>
                <w:color w:val="auto"/>
              </w:rPr>
            </w:pPr>
          </w:p>
        </w:tc>
      </w:tr>
      <w:tr>
        <w:trPr>
          <w:trHeight w:val="420"/>
        </w:trPr>
        <w:tc>
          <w:tcPr>
            <w:tcW w:w="180" w:type="dxa"/>
            <w:vAlign w:val="bottom"/>
            <w:gridSpan w:val="2"/>
            <w:vMerge w:val="restart"/>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1.</w:t>
              </w:r>
            </w:hyperlink>
          </w:p>
        </w:tc>
        <w:tc>
          <w:tcPr>
            <w:tcW w:w="1520" w:type="dxa"/>
            <w:vAlign w:val="bottom"/>
            <w:gridSpan w:val="4"/>
            <w:vMerge w:val="continue"/>
          </w:tcPr>
          <w:p>
            <w:pPr>
              <w:spacing w:after="0"/>
              <w:rPr>
                <w:sz w:val="24"/>
                <w:szCs w:val="24"/>
                <w:color w:val="auto"/>
              </w:rPr>
            </w:pPr>
          </w:p>
        </w:tc>
        <w:tc>
          <w:tcPr>
            <w:tcW w:w="90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0" w:type="dxa"/>
            <w:vAlign w:val="bottom"/>
            <w:tcBorders>
              <w:bottom w:val="single" w:sz="8" w:color="0000FF"/>
            </w:tcBorders>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234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Balance Sheets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Statements of Operations (unaudited)</w:t>
        </w:r>
      </w:hyperlink>
    </w:p>
    <w:p>
      <w:pPr>
        <w:spacing w:after="0" w:line="270" w:lineRule="exact"/>
        <w:rPr>
          <w:sz w:val="20"/>
          <w:szCs w:val="20"/>
          <w:color w:val="auto"/>
        </w:rPr>
      </w:pPr>
    </w:p>
    <w:p>
      <w:pPr>
        <w:ind w:left="234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Condensed Consolidated Statements of Comprehensive (Loss) Income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Condensed Consolidated Statements of Stockholders’ Equity (unaudited)</w:t>
        </w:r>
      </w:hyperlink>
    </w:p>
    <w:p>
      <w:pPr>
        <w:spacing w:after="0" w:line="283" w:lineRule="exact"/>
        <w:rPr>
          <w:sz w:val="20"/>
          <w:szCs w:val="20"/>
          <w:color w:val="auto"/>
        </w:rPr>
      </w:pPr>
    </w:p>
    <w:p>
      <w:pPr>
        <w:ind w:left="2340"/>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Condensed Consolidated Statements of Cash Flows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Notes to Condensed Consolidated Financial Statements (unaudited)</w:t>
        </w:r>
      </w:hyperlink>
    </w:p>
    <w:p>
      <w:pPr>
        <w:spacing w:after="0" w:line="200" w:lineRule="exact"/>
        <w:rPr>
          <w:sz w:val="20"/>
          <w:szCs w:val="20"/>
          <w:color w:val="auto"/>
        </w:rPr>
      </w:pPr>
    </w:p>
    <w:p>
      <w:pPr>
        <w:spacing w:after="0" w:line="24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140" w:type="dxa"/>
            <w:vAlign w:val="bottom"/>
            <w:vMerge w:val="restart"/>
          </w:tcPr>
          <w:p>
            <w:pPr>
              <w:spacing w:after="0"/>
              <w:rPr>
                <w:rFonts w:ascii="Arial" w:cs="Arial" w:eastAsia="Arial" w:hAnsi="Arial"/>
                <w:sz w:val="17"/>
                <w:szCs w:val="17"/>
                <w:color w:val="0000FF"/>
                <w:w w:val="84"/>
              </w:rPr>
            </w:pPr>
            <w:hyperlink w:anchor="page26">
              <w:r>
                <w:rPr>
                  <w:rFonts w:ascii="Arial" w:cs="Arial" w:eastAsia="Arial" w:hAnsi="Arial"/>
                  <w:sz w:val="17"/>
                  <w:szCs w:val="17"/>
                  <w:color w:val="0000FF"/>
                  <w:w w:val="84"/>
                </w:rPr>
                <w:t>2.</w:t>
              </w:r>
            </w:hyperlink>
          </w:p>
        </w:tc>
        <w:tc>
          <w:tcPr>
            <w:tcW w:w="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bottom w:val="single" w:sz="8" w:color="0000FF"/>
            </w:tcBorders>
          </w:tcPr>
          <w:p>
            <w:pPr>
              <w:spacing w:after="0"/>
              <w:rPr>
                <w:rFonts w:ascii="Arial" w:cs="Arial" w:eastAsia="Arial" w:hAnsi="Arial"/>
                <w:sz w:val="17"/>
                <w:szCs w:val="17"/>
                <w:color w:val="0000FF"/>
                <w:w w:val="90"/>
              </w:rPr>
            </w:pPr>
            <w:hyperlink w:anchor="page26">
              <w:r>
                <w:rPr>
                  <w:rFonts w:ascii="Arial" w:cs="Arial" w:eastAsia="Arial" w:hAnsi="Arial"/>
                  <w:sz w:val="17"/>
                  <w:szCs w:val="17"/>
                  <w:color w:val="0000FF"/>
                  <w:w w:val="90"/>
                </w:rPr>
                <w:t>Item</w:t>
              </w:r>
            </w:hyperlink>
          </w:p>
        </w:tc>
        <w:tc>
          <w:tcPr>
            <w:tcW w:w="760" w:type="dxa"/>
            <w:vAlign w:val="bottom"/>
            <w:gridSpan w:val="2"/>
          </w:tcPr>
          <w:p>
            <w:pPr>
              <w:spacing w:after="0"/>
              <w:rPr>
                <w:sz w:val="16"/>
                <w:szCs w:val="16"/>
                <w:color w:val="auto"/>
              </w:rPr>
            </w:pPr>
          </w:p>
        </w:tc>
        <w:tc>
          <w:tcPr>
            <w:tcW w:w="6180" w:type="dxa"/>
            <w:vAlign w:val="bottom"/>
            <w:tcBorders>
              <w:bottom w:val="single" w:sz="8" w:color="0000FF"/>
            </w:tcBorders>
            <w:gridSpan w:val="10"/>
          </w:tcPr>
          <w:p>
            <w:pPr>
              <w:spacing w:after="0"/>
              <w:rPr>
                <w:rFonts w:ascii="Arial" w:cs="Arial" w:eastAsia="Arial" w:hAnsi="Arial"/>
                <w:sz w:val="17"/>
                <w:szCs w:val="17"/>
                <w:color w:val="0000FF"/>
                <w:w w:val="92"/>
              </w:rPr>
            </w:pPr>
            <w:hyperlink w:anchor="page26">
              <w:r>
                <w:rPr>
                  <w:rFonts w:ascii="Arial" w:cs="Arial" w:eastAsia="Arial" w:hAnsi="Arial"/>
                  <w:sz w:val="17"/>
                  <w:szCs w:val="17"/>
                  <w:color w:val="0000FF"/>
                  <w:w w:val="92"/>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32">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4180" w:type="dxa"/>
            <w:vAlign w:val="bottom"/>
            <w:gridSpan w:val="9"/>
            <w:vMerge w:val="restart"/>
          </w:tcPr>
          <w:p>
            <w:pPr>
              <w:spacing w:after="0"/>
              <w:rPr>
                <w:rFonts w:ascii="Arial" w:cs="Arial" w:eastAsia="Arial" w:hAnsi="Arial"/>
                <w:sz w:val="17"/>
                <w:szCs w:val="17"/>
                <w:color w:val="0000FF"/>
                <w:w w:val="93"/>
              </w:rPr>
            </w:pPr>
            <w:hyperlink w:anchor="page32">
              <w:r>
                <w:rPr>
                  <w:rFonts w:ascii="Arial" w:cs="Arial" w:eastAsia="Arial" w:hAnsi="Arial"/>
                  <w:sz w:val="17"/>
                  <w:szCs w:val="17"/>
                  <w:color w:val="0000FF"/>
                  <w:w w:val="93"/>
                </w:rPr>
                <w:t>Quantitative and Qualitative Disclosures About Market Risk</w:t>
              </w:r>
            </w:hyperlink>
          </w:p>
        </w:tc>
        <w:tc>
          <w:tcPr>
            <w:tcW w:w="20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40" w:type="dxa"/>
            <w:vAlign w:val="bottom"/>
            <w:vMerge w:val="restart"/>
          </w:tcPr>
          <w:p>
            <w:pPr>
              <w:spacing w:after="0"/>
              <w:rPr>
                <w:rFonts w:ascii="Arial" w:cs="Arial" w:eastAsia="Arial" w:hAnsi="Arial"/>
                <w:sz w:val="17"/>
                <w:szCs w:val="17"/>
                <w:color w:val="0000FF"/>
                <w:w w:val="84"/>
              </w:rPr>
            </w:pPr>
            <w:hyperlink w:anchor="page32">
              <w:r>
                <w:rPr>
                  <w:rFonts w:ascii="Arial" w:cs="Arial" w:eastAsia="Arial" w:hAnsi="Arial"/>
                  <w:sz w:val="17"/>
                  <w:szCs w:val="17"/>
                  <w:color w:val="0000FF"/>
                  <w:w w:val="84"/>
                </w:rPr>
                <w:t>3.</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180" w:type="dxa"/>
            <w:vAlign w:val="bottom"/>
            <w:tcBorders>
              <w:bottom w:val="single" w:sz="8" w:color="0000FF"/>
            </w:tcBorders>
            <w:gridSpan w:val="9"/>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32">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700" w:type="dxa"/>
            <w:vAlign w:val="bottom"/>
            <w:gridSpan w:val="5"/>
            <w:vMerge w:val="restart"/>
          </w:tcPr>
          <w:p>
            <w:pPr>
              <w:spacing w:after="0"/>
              <w:rPr>
                <w:rFonts w:ascii="Arial" w:cs="Arial" w:eastAsia="Arial" w:hAnsi="Arial"/>
                <w:sz w:val="17"/>
                <w:szCs w:val="17"/>
                <w:color w:val="0000FF"/>
                <w:w w:val="89"/>
              </w:rPr>
            </w:pPr>
            <w:hyperlink w:anchor="page32">
              <w:r>
                <w:rPr>
                  <w:rFonts w:ascii="Arial" w:cs="Arial" w:eastAsia="Arial" w:hAnsi="Arial"/>
                  <w:sz w:val="17"/>
                  <w:szCs w:val="17"/>
                  <w:color w:val="0000FF"/>
                  <w:w w:val="89"/>
                </w:rPr>
                <w:t>Controls and Procedures</w:t>
              </w:r>
            </w:hyperlink>
          </w:p>
        </w:tc>
        <w:tc>
          <w:tcPr>
            <w:tcW w:w="4480" w:type="dxa"/>
            <w:vAlign w:val="bottom"/>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60" w:type="dxa"/>
            <w:vAlign w:val="bottom"/>
            <w:gridSpan w:val="2"/>
            <w:vMerge w:val="restart"/>
          </w:tcPr>
          <w:p>
            <w:pPr>
              <w:spacing w:after="0"/>
              <w:rPr>
                <w:rFonts w:ascii="Arial" w:cs="Arial" w:eastAsia="Arial" w:hAnsi="Arial"/>
                <w:sz w:val="17"/>
                <w:szCs w:val="17"/>
                <w:color w:val="0000FF"/>
                <w:w w:val="98"/>
              </w:rPr>
            </w:pPr>
            <w:hyperlink w:anchor="page32">
              <w:r>
                <w:rPr>
                  <w:rFonts w:ascii="Arial" w:cs="Arial" w:eastAsia="Arial" w:hAnsi="Arial"/>
                  <w:sz w:val="17"/>
                  <w:szCs w:val="17"/>
                  <w:color w:val="0000FF"/>
                  <w:w w:val="98"/>
                </w:rPr>
                <w:t>4.</w:t>
              </w:r>
            </w:hyperlink>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700" w:type="dxa"/>
            <w:vAlign w:val="bottom"/>
            <w:tcBorders>
              <w:bottom w:val="single" w:sz="8" w:color="0000FF"/>
            </w:tcBorders>
            <w:gridSpan w:val="5"/>
            <w:vMerge w:val="continue"/>
          </w:tcPr>
          <w:p>
            <w:pPr>
              <w:spacing w:after="0"/>
              <w:rPr>
                <w:sz w:val="24"/>
                <w:szCs w:val="24"/>
                <w:color w:val="auto"/>
              </w:rPr>
            </w:pPr>
          </w:p>
        </w:tc>
        <w:tc>
          <w:tcPr>
            <w:tcW w:w="44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33">
              <w:r>
                <w:rPr>
                  <w:rFonts w:ascii="Arial" w:cs="Arial" w:eastAsia="Arial" w:hAnsi="Arial"/>
                  <w:sz w:val="17"/>
                  <w:szCs w:val="17"/>
                  <w:color w:val="0000FF"/>
                </w:rPr>
                <w:t>PART</w:t>
              </w:r>
            </w:hyperlink>
          </w:p>
        </w:tc>
        <w:tc>
          <w:tcPr>
            <w:tcW w:w="6180" w:type="dxa"/>
            <w:vAlign w:val="bottom"/>
            <w:gridSpan w:val="10"/>
            <w:vMerge w:val="restart"/>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OTHER INFORMATION</w:t>
              </w:r>
            </w:hyperlink>
          </w:p>
        </w:tc>
        <w:tc>
          <w:tcPr>
            <w:tcW w:w="0" w:type="dxa"/>
            <w:vAlign w:val="bottom"/>
          </w:tcPr>
          <w:p>
            <w:pPr>
              <w:spacing w:after="0"/>
              <w:rPr>
                <w:sz w:val="1"/>
                <w:szCs w:val="1"/>
                <w:color w:val="auto"/>
              </w:rPr>
            </w:pPr>
          </w:p>
        </w:tc>
      </w:tr>
      <w:tr>
        <w:trPr>
          <w:trHeight w:val="640"/>
        </w:trPr>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0" w:type="dxa"/>
            <w:vAlign w:val="bottom"/>
            <w:gridSpan w:val="4"/>
          </w:tcPr>
          <w:p>
            <w:pPr>
              <w:spacing w:after="0" w:line="148" w:lineRule="exact"/>
              <w:rPr>
                <w:rFonts w:ascii="Arial" w:cs="Arial" w:eastAsia="Arial" w:hAnsi="Arial"/>
                <w:sz w:val="17"/>
                <w:szCs w:val="17"/>
                <w:color w:val="0000FF"/>
              </w:rPr>
            </w:pPr>
            <w:hyperlink w:anchor="page33">
              <w:r>
                <w:rPr>
                  <w:rFonts w:ascii="Arial" w:cs="Arial" w:eastAsia="Arial" w:hAnsi="Arial"/>
                  <w:sz w:val="17"/>
                  <w:szCs w:val="17"/>
                  <w:color w:val="0000FF"/>
                </w:rPr>
                <w:t>II.</w:t>
              </w:r>
            </w:hyperlink>
          </w:p>
        </w:tc>
        <w:tc>
          <w:tcPr>
            <w:tcW w:w="420" w:type="dxa"/>
            <w:vAlign w:val="bottom"/>
            <w:tcBorders>
              <w:top w:val="single" w:sz="8" w:color="0000FF"/>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60" w:type="dxa"/>
            <w:vAlign w:val="bottom"/>
            <w:tcBorders>
              <w:top w:val="single" w:sz="8" w:color="0000FF"/>
              <w:bottom w:val="single" w:sz="8" w:color="0000FF"/>
            </w:tcBorders>
            <w:gridSpan w:val="2"/>
            <w:vMerge w:val="restart"/>
          </w:tcPr>
          <w:p>
            <w:pPr>
              <w:spacing w:after="0"/>
              <w:rPr>
                <w:rFonts w:ascii="Arial" w:cs="Arial" w:eastAsia="Arial" w:hAnsi="Arial"/>
                <w:sz w:val="17"/>
                <w:szCs w:val="17"/>
                <w:color w:val="0000FF"/>
                <w:w w:val="98"/>
              </w:rPr>
            </w:pPr>
            <w:hyperlink w:anchor="page34">
              <w:r>
                <w:rPr>
                  <w:rFonts w:ascii="Arial" w:cs="Arial" w:eastAsia="Arial" w:hAnsi="Arial"/>
                  <w:sz w:val="17"/>
                  <w:szCs w:val="17"/>
                  <w:color w:val="0000FF"/>
                  <w:w w:val="98"/>
                </w:rPr>
                <w:t>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7"/>
                <w:szCs w:val="17"/>
                <w:color w:val="0000FF"/>
                <w:w w:val="90"/>
              </w:rPr>
            </w:pPr>
            <w:hyperlink w:anchor="page34">
              <w:r>
                <w:rPr>
                  <w:rFonts w:ascii="Arial" w:cs="Arial" w:eastAsia="Arial" w:hAnsi="Arial"/>
                  <w:sz w:val="17"/>
                  <w:szCs w:val="17"/>
                  <w:color w:val="0000FF"/>
                  <w:w w:val="90"/>
                </w:rPr>
                <w:t>Item</w:t>
              </w:r>
            </w:hyperlink>
          </w:p>
        </w:tc>
        <w:tc>
          <w:tcPr>
            <w:tcW w:w="760" w:type="dxa"/>
            <w:vAlign w:val="bottom"/>
            <w:gridSpan w:val="2"/>
          </w:tcPr>
          <w:p>
            <w:pPr>
              <w:spacing w:after="0"/>
              <w:rPr>
                <w:sz w:val="24"/>
                <w:szCs w:val="24"/>
                <w:color w:val="auto"/>
              </w:rPr>
            </w:pPr>
          </w:p>
        </w:tc>
        <w:tc>
          <w:tcPr>
            <w:tcW w:w="1280" w:type="dxa"/>
            <w:vAlign w:val="bottom"/>
            <w:tcBorders>
              <w:bottom w:val="single" w:sz="8" w:color="0000FF"/>
            </w:tcBorders>
            <w:gridSpan w:val="4"/>
          </w:tcPr>
          <w:p>
            <w:pPr>
              <w:spacing w:after="0"/>
              <w:rPr>
                <w:rFonts w:ascii="Arial" w:cs="Arial" w:eastAsia="Arial" w:hAnsi="Arial"/>
                <w:sz w:val="17"/>
                <w:szCs w:val="17"/>
                <w:color w:val="0000FF"/>
                <w:w w:val="89"/>
              </w:rPr>
            </w:pPr>
            <w:hyperlink w:anchor="page34">
              <w:r>
                <w:rPr>
                  <w:rFonts w:ascii="Arial" w:cs="Arial" w:eastAsia="Arial" w:hAnsi="Arial"/>
                  <w:sz w:val="17"/>
                  <w:szCs w:val="17"/>
                  <w:color w:val="0000FF"/>
                  <w:w w:val="89"/>
                </w:rPr>
                <w:t>Legal Proceedings</w:t>
              </w:r>
            </w:hyperlink>
          </w:p>
        </w:tc>
        <w:tc>
          <w:tcPr>
            <w:tcW w:w="49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34">
              <w:r>
                <w:rPr>
                  <w:rFonts w:ascii="Arial" w:cs="Arial" w:eastAsia="Arial" w:hAnsi="Arial"/>
                  <w:sz w:val="17"/>
                  <w:szCs w:val="17"/>
                  <w:color w:val="0000FF"/>
                </w:rPr>
                <w:t>Item</w:t>
              </w:r>
            </w:hyperlink>
          </w:p>
        </w:tc>
        <w:tc>
          <w:tcPr>
            <w:tcW w:w="6180" w:type="dxa"/>
            <w:vAlign w:val="bottom"/>
            <w:gridSpan w:val="10"/>
            <w:vMerge w:val="restart"/>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Risk Factors</w:t>
              </w:r>
            </w:hyperlink>
          </w:p>
        </w:tc>
        <w:tc>
          <w:tcPr>
            <w:tcW w:w="0" w:type="dxa"/>
            <w:vAlign w:val="bottom"/>
          </w:tcPr>
          <w:p>
            <w:pPr>
              <w:spacing w:after="0"/>
              <w:rPr>
                <w:sz w:val="1"/>
                <w:szCs w:val="1"/>
                <w:color w:val="auto"/>
              </w:rPr>
            </w:pPr>
          </w:p>
        </w:tc>
      </w:tr>
      <w:tr>
        <w:trPr>
          <w:trHeight w:val="420"/>
        </w:trPr>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0" w:type="dxa"/>
            <w:vAlign w:val="bottom"/>
            <w:gridSpan w:val="4"/>
          </w:tcPr>
          <w:p>
            <w:pPr>
              <w:spacing w:after="0" w:line="148" w:lineRule="exact"/>
              <w:rPr>
                <w:rFonts w:ascii="Arial" w:cs="Arial" w:eastAsia="Arial" w:hAnsi="Arial"/>
                <w:sz w:val="17"/>
                <w:szCs w:val="17"/>
                <w:color w:val="0000FF"/>
              </w:rPr>
            </w:pPr>
            <w:hyperlink w:anchor="page34">
              <w:r>
                <w:rPr>
                  <w:rFonts w:ascii="Arial" w:cs="Arial" w:eastAsia="Arial" w:hAnsi="Arial"/>
                  <w:sz w:val="17"/>
                  <w:szCs w:val="17"/>
                  <w:color w:val="0000FF"/>
                </w:rPr>
                <w:t>1A.</w:t>
              </w:r>
            </w:hyperlink>
          </w:p>
        </w:tc>
        <w:tc>
          <w:tcPr>
            <w:tcW w:w="320" w:type="dxa"/>
            <w:vAlign w:val="bottom"/>
            <w:tcBorders>
              <w:top w:val="single" w:sz="8" w:color="0000FF"/>
            </w:tcBorders>
          </w:tcPr>
          <w:p>
            <w:pPr>
              <w:spacing w:after="0"/>
              <w:rPr>
                <w:sz w:val="12"/>
                <w:szCs w:val="12"/>
                <w:color w:val="auto"/>
              </w:rPr>
            </w:pPr>
          </w:p>
        </w:tc>
        <w:tc>
          <w:tcPr>
            <w:tcW w:w="760" w:type="dxa"/>
            <w:vAlign w:val="bottom"/>
            <w:gridSpan w:val="2"/>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tcBorders>
              <w:top w:val="single" w:sz="8" w:color="0000FF"/>
            </w:tcBorders>
            <w:vMerge w:val="restart"/>
          </w:tcPr>
          <w:p>
            <w:pPr>
              <w:spacing w:after="0"/>
              <w:rPr>
                <w:rFonts w:ascii="Arial" w:cs="Arial" w:eastAsia="Arial" w:hAnsi="Arial"/>
                <w:sz w:val="17"/>
                <w:szCs w:val="17"/>
                <w:color w:val="0000FF"/>
                <w:w w:val="84"/>
              </w:rPr>
            </w:pPr>
            <w:hyperlink w:anchor="page36">
              <w:r>
                <w:rPr>
                  <w:rFonts w:ascii="Arial" w:cs="Arial" w:eastAsia="Arial" w:hAnsi="Arial"/>
                  <w:sz w:val="17"/>
                  <w:szCs w:val="17"/>
                  <w:color w:val="0000FF"/>
                  <w:w w:val="84"/>
                </w:rPr>
                <w:t>2.</w:t>
              </w:r>
            </w:hyperlink>
          </w:p>
        </w:tc>
        <w:tc>
          <w:tcPr>
            <w:tcW w:w="20" w:type="dxa"/>
            <w:vAlign w:val="bottom"/>
            <w:tcBorders>
              <w:top w:val="single" w:sz="8" w:color="0000FF"/>
            </w:tcBorders>
            <w:vMerge w:val="restart"/>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rFonts w:ascii="Arial" w:cs="Arial" w:eastAsia="Arial" w:hAnsi="Arial"/>
                <w:sz w:val="17"/>
                <w:szCs w:val="17"/>
                <w:color w:val="0000FF"/>
                <w:w w:val="90"/>
              </w:rPr>
            </w:pPr>
            <w:hyperlink w:anchor="page36">
              <w:r>
                <w:rPr>
                  <w:rFonts w:ascii="Arial" w:cs="Arial" w:eastAsia="Arial" w:hAnsi="Arial"/>
                  <w:sz w:val="17"/>
                  <w:szCs w:val="17"/>
                  <w:color w:val="0000FF"/>
                  <w:w w:val="90"/>
                </w:rPr>
                <w:t>Item</w:t>
              </w:r>
            </w:hyperlink>
          </w:p>
        </w:tc>
        <w:tc>
          <w:tcPr>
            <w:tcW w:w="760" w:type="dxa"/>
            <w:vAlign w:val="bottom"/>
            <w:gridSpan w:val="2"/>
          </w:tcPr>
          <w:p>
            <w:pPr>
              <w:spacing w:after="0"/>
              <w:rPr>
                <w:sz w:val="24"/>
                <w:szCs w:val="24"/>
                <w:color w:val="auto"/>
              </w:rPr>
            </w:pPr>
          </w:p>
        </w:tc>
        <w:tc>
          <w:tcPr>
            <w:tcW w:w="6180" w:type="dxa"/>
            <w:vAlign w:val="bottom"/>
            <w:gridSpan w:val="10"/>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Unregistered Sales of Equity Securities and Use of Proceeds</w:t>
              </w:r>
            </w:hyperlink>
          </w:p>
        </w:tc>
        <w:tc>
          <w:tcPr>
            <w:tcW w:w="0" w:type="dxa"/>
            <w:vAlign w:val="bottom"/>
          </w:tcPr>
          <w:p>
            <w:pPr>
              <w:spacing w:after="0"/>
              <w:rPr>
                <w:sz w:val="1"/>
                <w:szCs w:val="1"/>
                <w:color w:val="auto"/>
              </w:rPr>
            </w:pPr>
          </w:p>
        </w:tc>
      </w:tr>
      <w:tr>
        <w:trPr>
          <w:trHeight w:val="153"/>
        </w:trPr>
        <w:tc>
          <w:tcPr>
            <w:tcW w:w="140" w:type="dxa"/>
            <w:vAlign w:val="bottom"/>
            <w:tcBorders>
              <w:top w:val="single" w:sz="8" w:color="0000FF"/>
              <w:bottom w:val="single" w:sz="8" w:color="0000FF"/>
            </w:tcBorders>
            <w:vMerge w:val="continue"/>
          </w:tcPr>
          <w:p>
            <w:pPr>
              <w:spacing w:after="0"/>
              <w:rPr>
                <w:sz w:val="12"/>
                <w:szCs w:val="12"/>
                <w:color w:val="auto"/>
              </w:rPr>
            </w:pPr>
          </w:p>
        </w:tc>
        <w:tc>
          <w:tcPr>
            <w:tcW w:w="20" w:type="dxa"/>
            <w:vAlign w:val="bottom"/>
            <w:tcBorders>
              <w:top w:val="single" w:sz="8" w:color="0000FF"/>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tcBorders>
              <w:top w:val="single" w:sz="8" w:color="0000FF"/>
              <w:bottom w:val="single" w:sz="8" w:color="0000FF"/>
            </w:tcBorders>
            <w:vMerge w:val="restart"/>
          </w:tcPr>
          <w:p>
            <w:pPr>
              <w:spacing w:after="0"/>
              <w:rPr>
                <w:rFonts w:ascii="Arial" w:cs="Arial" w:eastAsia="Arial" w:hAnsi="Arial"/>
                <w:sz w:val="17"/>
                <w:szCs w:val="17"/>
                <w:color w:val="0000FF"/>
                <w:w w:val="90"/>
              </w:rPr>
            </w:pPr>
            <w:hyperlink w:anchor="page36">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4160" w:type="dxa"/>
            <w:vAlign w:val="bottom"/>
            <w:tcBorders>
              <w:top w:val="single" w:sz="8" w:color="0000FF"/>
              <w:bottom w:val="single" w:sz="8" w:color="0000FF"/>
            </w:tcBorders>
            <w:gridSpan w:val="8"/>
            <w:vMerge w:val="restart"/>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Defaults Upon Senior Securities</w:t>
              </w:r>
            </w:hyperlink>
          </w:p>
        </w:tc>
        <w:tc>
          <w:tcPr>
            <w:tcW w:w="20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36">
              <w:r>
                <w:rPr>
                  <w:rFonts w:ascii="Arial" w:cs="Arial" w:eastAsia="Arial" w:hAnsi="Arial"/>
                  <w:sz w:val="17"/>
                  <w:szCs w:val="17"/>
                  <w:color w:val="0000FF"/>
                  <w:w w:val="84"/>
                </w:rPr>
                <w:t>3.</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160" w:type="dxa"/>
            <w:vAlign w:val="bottom"/>
            <w:gridSpan w:val="8"/>
            <w:vMerge w:val="continue"/>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tcBorders>
              <w:top w:val="single" w:sz="8" w:color="0000FF"/>
              <w:bottom w:val="single" w:sz="8" w:color="0000FF"/>
            </w:tcBorders>
            <w:vMerge w:val="restart"/>
          </w:tcPr>
          <w:p>
            <w:pPr>
              <w:spacing w:after="0"/>
              <w:rPr>
                <w:rFonts w:ascii="Arial" w:cs="Arial" w:eastAsia="Arial" w:hAnsi="Arial"/>
                <w:sz w:val="17"/>
                <w:szCs w:val="17"/>
                <w:color w:val="0000FF"/>
                <w:w w:val="90"/>
              </w:rPr>
            </w:pPr>
            <w:hyperlink w:anchor="page36">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700" w:type="dxa"/>
            <w:vAlign w:val="bottom"/>
            <w:tcBorders>
              <w:top w:val="single" w:sz="8" w:color="0000FF"/>
              <w:bottom w:val="single" w:sz="8" w:color="0000FF"/>
            </w:tcBorders>
            <w:gridSpan w:val="5"/>
            <w:vMerge w:val="restart"/>
          </w:tcPr>
          <w:p>
            <w:pPr>
              <w:spacing w:after="0"/>
              <w:rPr>
                <w:rFonts w:ascii="Arial" w:cs="Arial" w:eastAsia="Arial" w:hAnsi="Arial"/>
                <w:sz w:val="17"/>
                <w:szCs w:val="17"/>
                <w:color w:val="0000FF"/>
                <w:w w:val="92"/>
              </w:rPr>
            </w:pPr>
            <w:hyperlink w:anchor="page36">
              <w:r>
                <w:rPr>
                  <w:rFonts w:ascii="Arial" w:cs="Arial" w:eastAsia="Arial" w:hAnsi="Arial"/>
                  <w:sz w:val="17"/>
                  <w:szCs w:val="17"/>
                  <w:color w:val="0000FF"/>
                  <w:w w:val="92"/>
                </w:rPr>
                <w:t>Mine Safety Disclosures</w:t>
              </w:r>
            </w:hyperlink>
          </w:p>
        </w:tc>
        <w:tc>
          <w:tcPr>
            <w:tcW w:w="520" w:type="dxa"/>
            <w:vAlign w:val="bottom"/>
            <w:tcBorders>
              <w:top w:val="single" w:sz="8" w:color="0000FF"/>
              <w:bottom w:val="single" w:sz="8" w:color="0000FF"/>
            </w:tcBorders>
            <w:gridSpan w:val="2"/>
            <w:vMerge w:val="restart"/>
          </w:tcPr>
          <w:p>
            <w:pPr>
              <w:spacing w:after="0"/>
              <w:rPr>
                <w:sz w:val="12"/>
                <w:szCs w:val="12"/>
                <w:color w:val="auto"/>
              </w:rPr>
            </w:pPr>
          </w:p>
        </w:tc>
        <w:tc>
          <w:tcPr>
            <w:tcW w:w="396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36">
              <w:r>
                <w:rPr>
                  <w:rFonts w:ascii="Arial" w:cs="Arial" w:eastAsia="Arial" w:hAnsi="Arial"/>
                  <w:sz w:val="17"/>
                  <w:szCs w:val="17"/>
                  <w:color w:val="0000FF"/>
                  <w:w w:val="84"/>
                </w:rPr>
                <w:t>4.</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700" w:type="dxa"/>
            <w:vAlign w:val="bottom"/>
            <w:tcBorders>
              <w:bottom w:val="single" w:sz="8" w:color="0000FF"/>
            </w:tcBorders>
            <w:gridSpan w:val="5"/>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39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37">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260" w:type="dxa"/>
            <w:vAlign w:val="bottom"/>
            <w:gridSpan w:val="3"/>
            <w:vMerge w:val="restart"/>
          </w:tcPr>
          <w:p>
            <w:pPr>
              <w:spacing w:after="0"/>
              <w:rPr>
                <w:rFonts w:ascii="Arial" w:cs="Arial" w:eastAsia="Arial" w:hAnsi="Arial"/>
                <w:sz w:val="17"/>
                <w:szCs w:val="17"/>
                <w:color w:val="0000FF"/>
                <w:w w:val="93"/>
              </w:rPr>
            </w:pPr>
            <w:hyperlink w:anchor="page37">
              <w:r>
                <w:rPr>
                  <w:rFonts w:ascii="Arial" w:cs="Arial" w:eastAsia="Arial" w:hAnsi="Arial"/>
                  <w:sz w:val="17"/>
                  <w:szCs w:val="17"/>
                  <w:color w:val="0000FF"/>
                  <w:w w:val="93"/>
                </w:rPr>
                <w:t>Other Information</w:t>
              </w:r>
            </w:hyperlink>
          </w:p>
        </w:tc>
        <w:tc>
          <w:tcPr>
            <w:tcW w:w="4920" w:type="dxa"/>
            <w:vAlign w:val="bottom"/>
            <w:gridSpan w:val="7"/>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40" w:type="dxa"/>
            <w:vAlign w:val="bottom"/>
            <w:vMerge w:val="restart"/>
          </w:tcPr>
          <w:p>
            <w:pPr>
              <w:spacing w:after="0"/>
              <w:rPr>
                <w:rFonts w:ascii="Arial" w:cs="Arial" w:eastAsia="Arial" w:hAnsi="Arial"/>
                <w:sz w:val="17"/>
                <w:szCs w:val="17"/>
                <w:color w:val="0000FF"/>
                <w:w w:val="84"/>
              </w:rPr>
            </w:pPr>
            <w:hyperlink w:anchor="page37">
              <w:r>
                <w:rPr>
                  <w:rFonts w:ascii="Arial" w:cs="Arial" w:eastAsia="Arial" w:hAnsi="Arial"/>
                  <w:sz w:val="17"/>
                  <w:szCs w:val="17"/>
                  <w:color w:val="0000FF"/>
                  <w:w w:val="84"/>
                </w:rPr>
                <w:t>5.</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260" w:type="dxa"/>
            <w:vAlign w:val="bottom"/>
            <w:tcBorders>
              <w:bottom w:val="single" w:sz="8" w:color="0000FF"/>
            </w:tcBorders>
            <w:gridSpan w:val="3"/>
            <w:vMerge w:val="continue"/>
          </w:tcPr>
          <w:p>
            <w:pPr>
              <w:spacing w:after="0"/>
              <w:rPr>
                <w:sz w:val="24"/>
                <w:szCs w:val="24"/>
                <w:color w:val="auto"/>
              </w:rPr>
            </w:pPr>
          </w:p>
        </w:tc>
        <w:tc>
          <w:tcPr>
            <w:tcW w:w="49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37">
              <w:r>
                <w:rPr>
                  <w:rFonts w:ascii="Arial" w:cs="Arial" w:eastAsia="Arial" w:hAnsi="Arial"/>
                  <w:sz w:val="17"/>
                  <w:szCs w:val="17"/>
                  <w:color w:val="0000FF"/>
                </w:rPr>
                <w:t>Item</w:t>
              </w:r>
            </w:hyperlink>
          </w:p>
        </w:tc>
        <w:tc>
          <w:tcPr>
            <w:tcW w:w="6180" w:type="dxa"/>
            <w:vAlign w:val="bottom"/>
            <w:gridSpan w:val="10"/>
            <w:vMerge w:val="restart"/>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Exhibits</w:t>
              </w:r>
            </w:hyperlink>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37">
              <w:r>
                <w:rPr>
                  <w:rFonts w:ascii="Arial" w:cs="Arial" w:eastAsia="Arial" w:hAnsi="Arial"/>
                  <w:sz w:val="17"/>
                  <w:szCs w:val="17"/>
                  <w:color w:val="0000FF"/>
                  <w:w w:val="84"/>
                </w:rPr>
                <w:t>6.</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260"/>
        <w:spacing w:after="0"/>
        <w:rPr>
          <w:rFonts w:ascii="Arial" w:cs="Arial" w:eastAsia="Arial" w:hAnsi="Arial"/>
          <w:sz w:val="17"/>
          <w:szCs w:val="17"/>
          <w:u w:val="single" w:color="auto"/>
          <w:color w:val="0000FF"/>
        </w:rPr>
      </w:pPr>
      <w:hyperlink w:anchor="page38">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1070610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Pr>
          <w:p>
            <w:pPr>
              <w:spacing w:after="0"/>
              <w:rPr>
                <w:sz w:val="17"/>
                <w:szCs w:val="17"/>
                <w:color w:val="auto"/>
              </w:rPr>
            </w:pPr>
          </w:p>
        </w:tc>
        <w:tc>
          <w:tcPr>
            <w:tcW w:w="1580" w:type="dxa"/>
            <w:vAlign w:val="bottom"/>
          </w:tcPr>
          <w:p>
            <w:pPr>
              <w:jc w:val="right"/>
              <w:ind w:right="162"/>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190"/>
        </w:trPr>
        <w:tc>
          <w:tcPr>
            <w:tcW w:w="7640" w:type="dxa"/>
            <w:vAlign w:val="bottom"/>
            <w:tcBorders>
              <w:top w:val="single" w:sz="8" w:color="CCEEFF"/>
            </w:tcBorders>
            <w:shd w:val="clear" w:color="auto" w:fill="CCEEFF"/>
          </w:tcPr>
          <w:p>
            <w:pPr>
              <w:ind w:left="350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31,504</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48,172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47,586</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&amp;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46,738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42,901</w:t>
            </w:r>
          </w:p>
        </w:tc>
        <w:tc>
          <w:tcPr>
            <w:tcW w:w="0" w:type="dxa"/>
            <w:vAlign w:val="bottom"/>
          </w:tcPr>
          <w:p>
            <w:pPr>
              <w:spacing w:after="0"/>
              <w:rPr>
                <w:sz w:val="1"/>
                <w:szCs w:val="1"/>
                <w:color w:val="auto"/>
              </w:rPr>
            </w:pPr>
          </w:p>
        </w:tc>
      </w:tr>
      <w:tr>
        <w:trPr>
          <w:trHeight w:val="197"/>
        </w:trPr>
        <w:tc>
          <w:tcPr>
            <w:tcW w:w="7640" w:type="dxa"/>
            <w:vAlign w:val="bottom"/>
          </w:tcPr>
          <w:p>
            <w:pPr>
              <w:ind w:left="20"/>
              <w:spacing w:after="0" w:line="181" w:lineRule="exact"/>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116,637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121,991</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26,399</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223,712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224,577</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60,335</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Loan receivable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non-current</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5,619</w:t>
            </w:r>
          </w:p>
        </w:tc>
        <w:tc>
          <w:tcPr>
            <w:tcW w:w="0" w:type="dxa"/>
            <w:vAlign w:val="bottom"/>
          </w:tcPr>
          <w:p>
            <w:pPr>
              <w:spacing w:after="0"/>
              <w:rPr>
                <w:sz w:val="1"/>
                <w:szCs w:val="1"/>
                <w:color w:val="auto"/>
              </w:rPr>
            </w:pPr>
          </w:p>
        </w:tc>
      </w:tr>
      <w:tr>
        <w:trPr>
          <w:trHeight w:val="197"/>
        </w:trPr>
        <w:tc>
          <w:tcPr>
            <w:tcW w:w="76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322,447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328,743</w:t>
            </w:r>
          </w:p>
        </w:tc>
        <w:tc>
          <w:tcPr>
            <w:tcW w:w="0" w:type="dxa"/>
            <w:vAlign w:val="bottom"/>
          </w:tcPr>
          <w:p>
            <w:pPr>
              <w:spacing w:after="0"/>
              <w:rPr>
                <w:sz w:val="1"/>
                <w:szCs w:val="1"/>
                <w:color w:val="auto"/>
              </w:rPr>
            </w:pPr>
          </w:p>
        </w:tc>
      </w:tr>
      <w:tr>
        <w:trPr>
          <w:trHeight w:val="22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439,084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450,734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18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12,095</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11,097</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61,916</w:t>
            </w:r>
          </w:p>
        </w:tc>
        <w:tc>
          <w:tcPr>
            <w:tcW w:w="0" w:type="dxa"/>
            <w:vAlign w:val="bottom"/>
          </w:tcPr>
          <w:p>
            <w:pPr>
              <w:spacing w:after="0"/>
              <w:rPr>
                <w:sz w:val="1"/>
                <w:szCs w:val="1"/>
                <w:color w:val="auto"/>
              </w:rPr>
            </w:pPr>
          </w:p>
        </w:tc>
      </w:tr>
      <w:tr>
        <w:trPr>
          <w:trHeight w:val="204"/>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revenues, current</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22,368</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95,381</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Long-term debt, net of debt issuance costs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133,462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133,104</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Deferred revenues, non-current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Leases, non-current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36,095</w:t>
            </w:r>
          </w:p>
        </w:tc>
        <w:tc>
          <w:tcPr>
            <w:tcW w:w="0" w:type="dxa"/>
            <w:vAlign w:val="bottom"/>
          </w:tcPr>
          <w:p>
            <w:pPr>
              <w:spacing w:after="0"/>
              <w:rPr>
                <w:sz w:val="1"/>
                <w:szCs w:val="1"/>
                <w:color w:val="auto"/>
              </w:rPr>
            </w:pPr>
          </w:p>
        </w:tc>
      </w:tr>
      <w:tr>
        <w:trPr>
          <w:trHeight w:val="204"/>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9,218</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270,095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274,906</w:t>
            </w:r>
          </w:p>
        </w:tc>
        <w:tc>
          <w:tcPr>
            <w:tcW w:w="0" w:type="dxa"/>
            <w:vAlign w:val="bottom"/>
          </w:tcPr>
          <w:p>
            <w:pPr>
              <w:spacing w:after="0"/>
              <w:rPr>
                <w:sz w:val="1"/>
                <w:szCs w:val="1"/>
                <w:color w:val="auto"/>
              </w:rPr>
            </w:pPr>
          </w:p>
        </w:tc>
      </w:tr>
      <w:tr>
        <w:trPr>
          <w:trHeight w:val="184"/>
        </w:trPr>
        <w:tc>
          <w:tcPr>
            <w:tcW w:w="7640" w:type="dxa"/>
            <w:vAlign w:val="bottom"/>
          </w:tcPr>
          <w:p>
            <w:pPr>
              <w:ind w:left="20"/>
              <w:spacing w:after="0" w:line="181" w:lineRule="exact"/>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1"/>
              </w:rPr>
              <w:t>Series B Non-Convertible Perpetual Preferred Stock, $0.0001 par value; 150 shares authorized, 75 and 75 shares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issued and outstanding at March 31, 2022 and December 31, 2021, respectively</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72,505</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12,500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640" w:type="dxa"/>
            <w:vAlign w:val="bottom"/>
          </w:tcPr>
          <w:p>
            <w:pPr>
              <w:ind w:left="220"/>
              <w:spacing w:after="0" w:line="160" w:lineRule="exact"/>
              <w:rPr>
                <w:sz w:val="20"/>
                <w:szCs w:val="20"/>
                <w:color w:val="auto"/>
              </w:rPr>
            </w:pPr>
            <w:r>
              <w:rPr>
                <w:rFonts w:ascii="Arial" w:cs="Arial" w:eastAsia="Arial" w:hAnsi="Arial"/>
                <w:sz w:val="16"/>
                <w:szCs w:val="16"/>
                <w:color w:val="auto"/>
                <w:w w:val="90"/>
              </w:rPr>
              <w:t>Common stock, $0.0001 par value; 100,000 shares authorized, 88,244 and 88,305 issued and outstanding at March</w:t>
            </w:r>
          </w:p>
        </w:tc>
        <w:tc>
          <w:tcPr>
            <w:tcW w:w="22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7640" w:type="dxa"/>
            <w:vAlign w:val="bottom"/>
          </w:tcPr>
          <w:p>
            <w:pPr>
              <w:ind w:left="220"/>
              <w:spacing w:after="0"/>
              <w:rPr>
                <w:sz w:val="20"/>
                <w:szCs w:val="20"/>
                <w:color w:val="auto"/>
              </w:rPr>
            </w:pPr>
            <w:r>
              <w:rPr>
                <w:rFonts w:ascii="Arial" w:cs="Arial" w:eastAsia="Arial" w:hAnsi="Arial"/>
                <w:sz w:val="16"/>
                <w:szCs w:val="16"/>
                <w:color w:val="auto"/>
              </w:rPr>
              <w:t>31, 2022 and December 31, 2021, respectively</w:t>
            </w:r>
          </w:p>
        </w:tc>
        <w:tc>
          <w:tcPr>
            <w:tcW w:w="2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492,512</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(36,126)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(32,985)</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(371,865)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(368,713)</w:t>
            </w:r>
          </w:p>
        </w:tc>
        <w:tc>
          <w:tcPr>
            <w:tcW w:w="0" w:type="dxa"/>
            <w:vAlign w:val="bottom"/>
          </w:tcPr>
          <w:p>
            <w:pPr>
              <w:spacing w:after="0"/>
              <w:rPr>
                <w:sz w:val="1"/>
                <w:szCs w:val="1"/>
                <w:color w:val="auto"/>
              </w:rPr>
            </w:pPr>
          </w:p>
        </w:tc>
      </w:tr>
      <w:tr>
        <w:trPr>
          <w:trHeight w:val="197"/>
        </w:trPr>
        <w:tc>
          <w:tcPr>
            <w:tcW w:w="76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83,984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90,823</w:t>
            </w:r>
          </w:p>
        </w:tc>
        <w:tc>
          <w:tcPr>
            <w:tcW w:w="0" w:type="dxa"/>
            <w:vAlign w:val="bottom"/>
          </w:tcPr>
          <w:p>
            <w:pPr>
              <w:spacing w:after="0"/>
              <w:rPr>
                <w:sz w:val="1"/>
                <w:szCs w:val="1"/>
                <w:color w:val="auto"/>
              </w:rPr>
            </w:pPr>
          </w:p>
        </w:tc>
      </w:tr>
      <w:tr>
        <w:trPr>
          <w:trHeight w:val="22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439,084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450,734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764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1220" w:type="dxa"/>
            <w:vAlign w:val="bottom"/>
            <w:tcBorders>
              <w:top w:val="single" w:sz="8" w:color="0000FF"/>
            </w:tcBorders>
          </w:tcPr>
          <w:p>
            <w:pPr>
              <w:spacing w:after="0"/>
              <w:rPr>
                <w:sz w:val="24"/>
                <w:szCs w:val="24"/>
                <w:color w:val="auto"/>
              </w:rPr>
            </w:pPr>
          </w:p>
        </w:tc>
        <w:tc>
          <w:tcPr>
            <w:tcW w:w="6420" w:type="dxa"/>
            <w:vAlign w:val="bottom"/>
          </w:tcPr>
          <w:p>
            <w:pPr>
              <w:jc w:val="center"/>
              <w:ind w:left="2294"/>
              <w:spacing w:after="0"/>
              <w:rPr>
                <w:sz w:val="20"/>
                <w:szCs w:val="20"/>
                <w:color w:val="auto"/>
              </w:rPr>
            </w:pPr>
            <w:r>
              <w:rPr>
                <w:rFonts w:ascii="Arial" w:cs="Arial" w:eastAsia="Arial" w:hAnsi="Arial"/>
                <w:sz w:val="17"/>
                <w:szCs w:val="17"/>
                <w:b w:val="1"/>
                <w:bCs w:val="1"/>
                <w:color w:val="auto"/>
              </w:rPr>
              <w:t>SYNCHRONOSS TECHNOLOGIES, INC.</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7540" w:type="dxa"/>
            <w:vAlign w:val="bottom"/>
            <w:gridSpan w:val="2"/>
          </w:tcPr>
          <w:p>
            <w:pPr>
              <w:jc w:val="center"/>
              <w:ind w:left="1174"/>
              <w:spacing w:after="0"/>
              <w:rPr>
                <w:sz w:val="20"/>
                <w:szCs w:val="20"/>
                <w:color w:val="auto"/>
              </w:rPr>
            </w:pPr>
            <w:r>
              <w:rPr>
                <w:rFonts w:ascii="Arial" w:cs="Arial" w:eastAsia="Arial" w:hAnsi="Arial"/>
                <w:sz w:val="17"/>
                <w:szCs w:val="17"/>
                <w:b w:val="1"/>
                <w:bCs w:val="1"/>
                <w:color w:val="auto"/>
              </w:rPr>
              <w:t>CONDENSED CONSOLIDATED STATEMENTS OF OPERATIONS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18"/>
                <w:szCs w:val="18"/>
                <w:color w:val="auto"/>
              </w:rPr>
            </w:pPr>
          </w:p>
        </w:tc>
        <w:tc>
          <w:tcPr>
            <w:tcW w:w="6420" w:type="dxa"/>
            <w:vAlign w:val="bottom"/>
          </w:tcPr>
          <w:p>
            <w:pPr>
              <w:ind w:left="4260"/>
              <w:spacing w:after="0"/>
              <w:rPr>
                <w:sz w:val="20"/>
                <w:szCs w:val="20"/>
                <w:color w:val="auto"/>
              </w:rPr>
            </w:pPr>
            <w:r>
              <w:rPr>
                <w:rFonts w:ascii="Arial" w:cs="Arial" w:eastAsia="Arial" w:hAnsi="Arial"/>
                <w:sz w:val="17"/>
                <w:szCs w:val="17"/>
                <w:b w:val="1"/>
                <w:bCs w:val="1"/>
                <w:color w:val="auto"/>
              </w:rPr>
              <w:t>(Unaudited)</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6420" w:type="dxa"/>
            <w:vAlign w:val="bottom"/>
          </w:tcPr>
          <w:p>
            <w:pPr>
              <w:jc w:val="center"/>
              <w:ind w:left="2294"/>
              <w:spacing w:after="0"/>
              <w:rPr>
                <w:sz w:val="20"/>
                <w:szCs w:val="20"/>
                <w:color w:val="auto"/>
              </w:rPr>
            </w:pPr>
            <w:r>
              <w:rPr>
                <w:rFonts w:ascii="Arial" w:cs="Arial" w:eastAsia="Arial" w:hAnsi="Arial"/>
                <w:sz w:val="17"/>
                <w:szCs w:val="17"/>
                <w:b w:val="1"/>
                <w:bCs w:val="1"/>
                <w:color w:val="auto"/>
                <w:w w:val="90"/>
              </w:rPr>
              <w:t>(In thousands, except per share data)</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64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65,866</w:t>
            </w:r>
          </w:p>
        </w:tc>
        <w:tc>
          <w:tcPr>
            <w:tcW w:w="1220" w:type="dxa"/>
            <w:vAlign w:val="bottom"/>
            <w:gridSpan w:val="2"/>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65,499</w:t>
            </w:r>
          </w:p>
        </w:tc>
        <w:tc>
          <w:tcPr>
            <w:tcW w:w="0" w:type="dxa"/>
            <w:vAlign w:val="bottom"/>
          </w:tcPr>
          <w:p>
            <w:pPr>
              <w:spacing w:after="0"/>
              <w:rPr>
                <w:sz w:val="1"/>
                <w:szCs w:val="1"/>
                <w:color w:val="auto"/>
              </w:rPr>
            </w:pPr>
          </w:p>
        </w:tc>
      </w:tr>
      <w:tr>
        <w:trPr>
          <w:trHeight w:val="220"/>
        </w:trPr>
        <w:tc>
          <w:tcPr>
            <w:tcW w:w="7640" w:type="dxa"/>
            <w:vAlign w:val="bottom"/>
            <w:gridSpan w:val="2"/>
          </w:tcPr>
          <w:p>
            <w:pPr>
              <w:ind w:left="220"/>
              <w:spacing w:after="0"/>
              <w:rPr>
                <w:sz w:val="20"/>
                <w:szCs w:val="20"/>
                <w:color w:val="auto"/>
              </w:rPr>
            </w:pPr>
            <w:r>
              <w:rPr>
                <w:rFonts w:ascii="Arial" w:cs="Arial" w:eastAsia="Arial" w:hAnsi="Arial"/>
                <w:sz w:val="17"/>
                <w:szCs w:val="17"/>
                <w:color w:val="auto"/>
              </w:rPr>
              <w:t>Costs and expenses: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28,637</w:t>
            </w:r>
          </w:p>
        </w:tc>
        <w:tc>
          <w:tcPr>
            <w:tcW w:w="0" w:type="dxa"/>
            <w:vAlign w:val="bottom"/>
          </w:tcPr>
          <w:p>
            <w:pPr>
              <w:spacing w:after="0"/>
              <w:rPr>
                <w:sz w:val="1"/>
                <w:szCs w:val="1"/>
                <w:color w:val="auto"/>
              </w:rPr>
            </w:pPr>
          </w:p>
        </w:tc>
      </w:tr>
      <w:tr>
        <w:trPr>
          <w:trHeight w:val="220"/>
        </w:trPr>
        <w:tc>
          <w:tcPr>
            <w:tcW w:w="7640" w:type="dxa"/>
            <w:vAlign w:val="bottom"/>
            <w:gridSpan w:val="2"/>
          </w:tcPr>
          <w:p>
            <w:pPr>
              <w:ind w:left="420"/>
              <w:spacing w:after="0"/>
              <w:rPr>
                <w:sz w:val="20"/>
                <w:szCs w:val="20"/>
                <w:color w:val="auto"/>
              </w:rPr>
            </w:pPr>
            <w:r>
              <w:rPr>
                <w:rFonts w:ascii="Arial" w:cs="Arial" w:eastAsia="Arial" w:hAnsi="Arial"/>
                <w:sz w:val="17"/>
                <w:szCs w:val="17"/>
                <w:color w:val="auto"/>
              </w:rPr>
              <w:t>Research and development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15,791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17,397</w:t>
            </w:r>
          </w:p>
        </w:tc>
        <w:tc>
          <w:tcPr>
            <w:tcW w:w="0" w:type="dxa"/>
            <w:vAlign w:val="bottom"/>
          </w:tcPr>
          <w:p>
            <w:pPr>
              <w:spacing w:after="0"/>
              <w:rPr>
                <w:sz w:val="1"/>
                <w:szCs w:val="1"/>
                <w:color w:val="auto"/>
              </w:rPr>
            </w:pPr>
          </w:p>
        </w:tc>
      </w:tr>
      <w:tr>
        <w:trPr>
          <w:trHeight w:val="220"/>
        </w:trPr>
        <w:tc>
          <w:tcPr>
            <w:tcW w:w="7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Selling, general and administrative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17,928</w:t>
            </w:r>
          </w:p>
        </w:tc>
        <w:tc>
          <w:tcPr>
            <w:tcW w:w="0" w:type="dxa"/>
            <w:vAlign w:val="bottom"/>
          </w:tcPr>
          <w:p>
            <w:pPr>
              <w:spacing w:after="0"/>
              <w:rPr>
                <w:sz w:val="1"/>
                <w:szCs w:val="1"/>
                <w:color w:val="auto"/>
              </w:rPr>
            </w:pPr>
          </w:p>
        </w:tc>
      </w:tr>
      <w:tr>
        <w:trPr>
          <w:trHeight w:val="220"/>
        </w:trPr>
        <w:tc>
          <w:tcPr>
            <w:tcW w:w="7640" w:type="dxa"/>
            <w:vAlign w:val="bottom"/>
            <w:gridSpan w:val="2"/>
          </w:tcPr>
          <w:p>
            <w:pPr>
              <w:ind w:left="420"/>
              <w:spacing w:after="0"/>
              <w:rPr>
                <w:sz w:val="20"/>
                <w:szCs w:val="20"/>
                <w:color w:val="auto"/>
              </w:rPr>
            </w:pPr>
            <w:r>
              <w:rPr>
                <w:rFonts w:ascii="Arial" w:cs="Arial" w:eastAsia="Arial" w:hAnsi="Arial"/>
                <w:sz w:val="17"/>
                <w:szCs w:val="17"/>
                <w:color w:val="auto"/>
              </w:rPr>
              <w:t>Restructuring charges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713</w:t>
            </w:r>
          </w:p>
        </w:tc>
        <w:tc>
          <w:tcPr>
            <w:tcW w:w="0" w:type="dxa"/>
            <w:vAlign w:val="bottom"/>
          </w:tcPr>
          <w:p>
            <w:pPr>
              <w:spacing w:after="0"/>
              <w:rPr>
                <w:sz w:val="1"/>
                <w:szCs w:val="1"/>
                <w:color w:val="auto"/>
              </w:rPr>
            </w:pPr>
          </w:p>
        </w:tc>
      </w:tr>
      <w:tr>
        <w:trPr>
          <w:trHeight w:val="220"/>
        </w:trPr>
        <w:tc>
          <w:tcPr>
            <w:tcW w:w="7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8,034</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9,867</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costs and expenses</w:t>
            </w: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67,246</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74,542</w:t>
            </w: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(9,043)</w:t>
            </w:r>
          </w:p>
        </w:tc>
        <w:tc>
          <w:tcPr>
            <w:tcW w:w="0" w:type="dxa"/>
            <w:vAlign w:val="bottom"/>
          </w:tcPr>
          <w:p>
            <w:pPr>
              <w:spacing w:after="0"/>
              <w:rPr>
                <w:sz w:val="1"/>
                <w:szCs w:val="1"/>
                <w:color w:val="auto"/>
              </w:rPr>
            </w:pPr>
          </w:p>
        </w:tc>
      </w:tr>
      <w:tr>
        <w:trPr>
          <w:trHeight w:val="220"/>
        </w:trPr>
        <w:tc>
          <w:tcPr>
            <w:tcW w:w="7640" w:type="dxa"/>
            <w:vAlign w:val="bottom"/>
            <w:gridSpan w:val="2"/>
          </w:tcPr>
          <w:p>
            <w:pPr>
              <w:ind w:left="220"/>
              <w:spacing w:after="0"/>
              <w:rPr>
                <w:sz w:val="20"/>
                <w:szCs w:val="20"/>
                <w:color w:val="auto"/>
              </w:rPr>
            </w:pPr>
            <w:r>
              <w:rPr>
                <w:rFonts w:ascii="Arial" w:cs="Arial" w:eastAsia="Arial" w:hAnsi="Arial"/>
                <w:sz w:val="17"/>
                <w:szCs w:val="17"/>
                <w:color w:val="auto"/>
              </w:rPr>
              <w:t>Interest income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0"/>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0"/>
        </w:trPr>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Other income (expense), net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1,704</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(3,396)</w:t>
            </w: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 before taxes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(12,529)</w:t>
            </w:r>
          </w:p>
        </w:tc>
        <w:tc>
          <w:tcPr>
            <w:tcW w:w="0" w:type="dxa"/>
            <w:vAlign w:val="bottom"/>
          </w:tcPr>
          <w:p>
            <w:pPr>
              <w:spacing w:after="0"/>
              <w:rPr>
                <w:sz w:val="1"/>
                <w:szCs w:val="1"/>
                <w:color w:val="auto"/>
              </w:rPr>
            </w:pPr>
          </w:p>
        </w:tc>
      </w:tr>
      <w:tr>
        <w:trPr>
          <w:trHeight w:val="220"/>
        </w:trPr>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(Provision) benefit for income taxes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(12,366)</w:t>
            </w:r>
          </w:p>
        </w:tc>
        <w:tc>
          <w:tcPr>
            <w:tcW w:w="0" w:type="dxa"/>
            <w:vAlign w:val="bottom"/>
          </w:tcPr>
          <w:p>
            <w:pPr>
              <w:spacing w:after="0"/>
              <w:rPr>
                <w:sz w:val="1"/>
                <w:szCs w:val="1"/>
                <w:color w:val="auto"/>
              </w:rPr>
            </w:pPr>
          </w:p>
        </w:tc>
      </w:tr>
      <w:tr>
        <w:trPr>
          <w:trHeight w:val="220"/>
        </w:trPr>
        <w:tc>
          <w:tcPr>
            <w:tcW w:w="7640" w:type="dxa"/>
            <w:vAlign w:val="bottom"/>
            <w:gridSpan w:val="2"/>
          </w:tcPr>
          <w:p>
            <w:pPr>
              <w:ind w:left="220"/>
              <w:spacing w:after="0"/>
              <w:rPr>
                <w:sz w:val="20"/>
                <w:szCs w:val="20"/>
                <w:color w:val="auto"/>
              </w:rPr>
            </w:pPr>
            <w:r>
              <w:rPr>
                <w:rFonts w:ascii="Arial" w:cs="Arial" w:eastAsia="Arial" w:hAnsi="Arial"/>
                <w:sz w:val="17"/>
                <w:szCs w:val="17"/>
                <w:color w:val="auto"/>
              </w:rPr>
              <w:t>Net (loss) income attributable to redeemable noncontrolling interests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20"/>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Preferred stock dividend</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(10,530)</w:t>
            </w:r>
          </w:p>
        </w:tc>
        <w:tc>
          <w:tcPr>
            <w:tcW w:w="0" w:type="dxa"/>
            <w:vAlign w:val="bottom"/>
          </w:tcPr>
          <w:p>
            <w:pPr>
              <w:spacing w:after="0"/>
              <w:rPr>
                <w:sz w:val="1"/>
                <w:szCs w:val="1"/>
                <w:color w:val="auto"/>
              </w:rPr>
            </w:pPr>
          </w:p>
        </w:tc>
      </w:tr>
      <w:tr>
        <w:trPr>
          <w:trHeight w:val="187"/>
        </w:trPr>
        <w:tc>
          <w:tcPr>
            <w:tcW w:w="764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Net loss attributable to Synchronoss</w:t>
            </w:r>
          </w:p>
        </w:tc>
        <w:tc>
          <w:tcPr>
            <w:tcW w:w="1120" w:type="dxa"/>
            <w:vAlign w:val="bottom"/>
          </w:tcPr>
          <w:p>
            <w:pPr>
              <w:jc w:val="right"/>
              <w:ind w:right="934"/>
              <w:spacing w:after="0" w:line="187" w:lineRule="exact"/>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line="187" w:lineRule="exact"/>
              <w:rPr>
                <w:sz w:val="20"/>
                <w:szCs w:val="20"/>
                <w:color w:val="auto"/>
              </w:rPr>
            </w:pPr>
            <w:r>
              <w:rPr>
                <w:rFonts w:ascii="Arial" w:cs="Arial" w:eastAsia="Arial" w:hAnsi="Arial"/>
                <w:sz w:val="17"/>
                <w:szCs w:val="17"/>
                <w:color w:val="auto"/>
              </w:rPr>
              <w:t>(5,590)</w:t>
            </w:r>
          </w:p>
        </w:tc>
        <w:tc>
          <w:tcPr>
            <w:tcW w:w="1220" w:type="dxa"/>
            <w:vAlign w:val="bottom"/>
            <w:gridSpan w:val="2"/>
          </w:tcPr>
          <w:p>
            <w:pPr>
              <w:jc w:val="right"/>
              <w:ind w:right="954"/>
              <w:spacing w:after="0" w:line="187"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87" w:lineRule="exact"/>
              <w:rPr>
                <w:sz w:val="20"/>
                <w:szCs w:val="20"/>
                <w:color w:val="auto"/>
              </w:rPr>
            </w:pPr>
            <w:r>
              <w:rPr>
                <w:rFonts w:ascii="Arial" w:cs="Arial" w:eastAsia="Arial" w:hAnsi="Arial"/>
                <w:sz w:val="17"/>
                <w:szCs w:val="17"/>
                <w:color w:val="auto"/>
                <w:w w:val="91"/>
              </w:rPr>
              <w:t>(22,560)</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Earnings (loss) per share:</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40" w:type="dxa"/>
            <w:vAlign w:val="bottom"/>
            <w:tcBorders>
              <w:bottom w:val="single" w:sz="8" w:color="CCEEFF"/>
            </w:tcBorders>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Basic</w:t>
            </w:r>
          </w:p>
        </w:tc>
        <w:tc>
          <w:tcPr>
            <w:tcW w:w="1120" w:type="dxa"/>
            <w:vAlign w:val="bottom"/>
            <w:tcBorders>
              <w:bottom w:val="single" w:sz="8" w:color="auto"/>
            </w:tcBorders>
            <w:shd w:val="clear" w:color="auto" w:fill="BFE4FF"/>
          </w:tcPr>
          <w:p>
            <w:pPr>
              <w:jc w:val="right"/>
              <w:ind w:right="934"/>
              <w:spacing w:after="0" w:line="194"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BFE4FF"/>
          </w:tcPr>
          <w:p>
            <w:pPr>
              <w:jc w:val="right"/>
              <w:spacing w:after="0" w:line="194" w:lineRule="exact"/>
              <w:rPr>
                <w:sz w:val="20"/>
                <w:szCs w:val="20"/>
                <w:color w:val="auto"/>
              </w:rPr>
            </w:pPr>
            <w:r>
              <w:rPr>
                <w:rFonts w:ascii="Arial" w:cs="Arial" w:eastAsia="Arial" w:hAnsi="Arial"/>
                <w:sz w:val="17"/>
                <w:szCs w:val="17"/>
                <w:color w:val="auto"/>
              </w:rPr>
              <w:t>(0.07)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4"/>
              <w:spacing w:after="0" w:line="194"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ind w:left="220"/>
              <w:spacing w:after="0"/>
              <w:rPr>
                <w:sz w:val="20"/>
                <w:szCs w:val="20"/>
                <w:color w:val="auto"/>
              </w:rPr>
            </w:pPr>
            <w:r>
              <w:rPr>
                <w:rFonts w:ascii="Arial" w:cs="Arial" w:eastAsia="Arial" w:hAnsi="Arial"/>
                <w:sz w:val="17"/>
                <w:szCs w:val="17"/>
                <w:color w:val="auto"/>
              </w:rPr>
              <w:t>Diluted</w:t>
            </w: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40" w:type="dxa"/>
            <w:vAlign w:val="bottom"/>
            <w:gridSpan w:val="2"/>
            <w:vMerge w:val="continue"/>
          </w:tcPr>
          <w:p>
            <w:pPr>
              <w:spacing w:after="0"/>
              <w:rPr>
                <w:sz w:val="16"/>
                <w:szCs w:val="16"/>
                <w:color w:val="auto"/>
              </w:rPr>
            </w:pPr>
          </w:p>
        </w:tc>
        <w:tc>
          <w:tcPr>
            <w:tcW w:w="1120" w:type="dxa"/>
            <w:vAlign w:val="bottom"/>
          </w:tcPr>
          <w:p>
            <w:pPr>
              <w:jc w:val="right"/>
              <w:ind w:right="934"/>
              <w:spacing w:after="0" w:line="192" w:lineRule="exact"/>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line="192" w:lineRule="exact"/>
              <w:rPr>
                <w:sz w:val="20"/>
                <w:szCs w:val="20"/>
                <w:color w:val="auto"/>
              </w:rPr>
            </w:pPr>
            <w:r>
              <w:rPr>
                <w:rFonts w:ascii="Arial" w:cs="Arial" w:eastAsia="Arial" w:hAnsi="Arial"/>
                <w:sz w:val="17"/>
                <w:szCs w:val="17"/>
                <w:color w:val="auto"/>
              </w:rPr>
              <w:t>(0.07)</w:t>
            </w:r>
          </w:p>
        </w:tc>
        <w:tc>
          <w:tcPr>
            <w:tcW w:w="1220" w:type="dxa"/>
            <w:vAlign w:val="bottom"/>
            <w:gridSpan w:val="2"/>
          </w:tcPr>
          <w:p>
            <w:pPr>
              <w:jc w:val="right"/>
              <w:ind w:right="954"/>
              <w:spacing w:after="0" w:line="192"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92" w:lineRule="exact"/>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7"/>
                <w:szCs w:val="17"/>
                <w:color w:val="auto"/>
              </w:rPr>
              <w:t>Weighted-average common shares outstanding:</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640" w:type="dxa"/>
            <w:vAlign w:val="bottom"/>
            <w:gridSpan w:val="2"/>
          </w:tcPr>
          <w:p>
            <w:pPr>
              <w:ind w:left="220"/>
              <w:spacing w:after="0"/>
              <w:rPr>
                <w:sz w:val="20"/>
                <w:szCs w:val="20"/>
                <w:color w:val="auto"/>
              </w:rPr>
            </w:pPr>
            <w:r>
              <w:rPr>
                <w:rFonts w:ascii="Arial" w:cs="Arial" w:eastAsia="Arial" w:hAnsi="Arial"/>
                <w:sz w:val="17"/>
                <w:szCs w:val="17"/>
                <w:color w:val="auto"/>
              </w:rPr>
              <w:t>Basic</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85,866</w:t>
            </w:r>
          </w:p>
        </w:tc>
        <w:tc>
          <w:tcPr>
            <w:tcW w:w="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42,737</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85,866</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42,737</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50" w:lineRule="exact"/>
        <w:rPr>
          <w:sz w:val="20"/>
          <w:szCs w:val="20"/>
          <w:color w:val="auto"/>
        </w:rPr>
      </w:pPr>
    </w:p>
    <w:p>
      <w:pPr>
        <w:ind w:left="4940" w:right="2140" w:hanging="2781"/>
        <w:spacing w:after="0" w:line="322" w:lineRule="auto"/>
        <w:rPr>
          <w:sz w:val="20"/>
          <w:szCs w:val="20"/>
          <w:color w:val="auto"/>
        </w:rPr>
      </w:pPr>
      <w:r>
        <w:rPr>
          <w:rFonts w:ascii="Arial" w:cs="Arial" w:eastAsia="Arial" w:hAnsi="Arial"/>
          <w:sz w:val="17"/>
          <w:szCs w:val="17"/>
          <w:b w:val="1"/>
          <w:bCs w:val="1"/>
          <w:color w:val="auto"/>
        </w:rPr>
        <w:t>CONDENSED CONSOLIDATED STATEMENTS OF COMPREHENSIVE (LOSS) INCOME (Unaudited)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spacing w:after="0"/>
              <w:rPr>
                <w:sz w:val="19"/>
                <w:szCs w:val="19"/>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r>
      <w:tr>
        <w:trPr>
          <w:trHeight w:val="213"/>
        </w:trPr>
        <w:tc>
          <w:tcPr>
            <w:tcW w:w="76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(12,366)</w:t>
            </w:r>
          </w:p>
        </w:tc>
      </w:tr>
      <w:tr>
        <w:trPr>
          <w:trHeight w:val="220"/>
        </w:trPr>
        <w:tc>
          <w:tcPr>
            <w:tcW w:w="7640" w:type="dxa"/>
            <w:vAlign w:val="bottom"/>
          </w:tcPr>
          <w:p>
            <w:pPr>
              <w:ind w:left="220"/>
              <w:spacing w:after="0"/>
              <w:rPr>
                <w:sz w:val="20"/>
                <w:szCs w:val="20"/>
                <w:color w:val="auto"/>
              </w:rPr>
            </w:pPr>
            <w:r>
              <w:rPr>
                <w:rFonts w:ascii="Arial" w:cs="Arial" w:eastAsia="Arial" w:hAnsi="Arial"/>
                <w:sz w:val="17"/>
                <w:szCs w:val="17"/>
                <w:color w:val="auto"/>
              </w:rPr>
              <w:t>Other comprehensive loss, net of tax:</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7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r>
      <w:tr>
        <w:trPr>
          <w:trHeight w:val="220"/>
        </w:trPr>
        <w:tc>
          <w:tcPr>
            <w:tcW w:w="764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Net income on inter-company foreign currency transactions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r>
      <w:tr>
        <w:trPr>
          <w:trHeight w:val="213"/>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other comprehensive loss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w:t>
            </w:r>
          </w:p>
        </w:tc>
      </w:tr>
      <w:tr>
        <w:trPr>
          <w:trHeight w:val="213"/>
        </w:trPr>
        <w:tc>
          <w:tcPr>
            <w:tcW w:w="764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(6,178)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(13,502)</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 income attributable to redeemable noncontrolling interests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13"/>
        </w:trPr>
        <w:tc>
          <w:tcPr>
            <w:tcW w:w="7640" w:type="dxa"/>
            <w:vAlign w:val="bottom"/>
          </w:tcPr>
          <w:p>
            <w:pPr>
              <w:ind w:left="20"/>
              <w:spacing w:after="0"/>
              <w:rPr>
                <w:sz w:val="20"/>
                <w:szCs w:val="20"/>
                <w:color w:val="auto"/>
              </w:rPr>
            </w:pPr>
            <w:r>
              <w:rPr>
                <w:rFonts w:ascii="Arial" w:cs="Arial" w:eastAsia="Arial" w:hAnsi="Arial"/>
                <w:sz w:val="17"/>
                <w:szCs w:val="17"/>
                <w:color w:val="auto"/>
              </w:rPr>
              <w:t>Comprehensive loss attributable to Synchronoss</w:t>
            </w:r>
          </w:p>
        </w:tc>
        <w:tc>
          <w:tcPr>
            <w:tcW w:w="114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(6,293)</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(13,166)</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left="340" w:right="2480"/>
        <w:spacing w:after="0" w:line="283" w:lineRule="auto"/>
        <w:rPr>
          <w:sz w:val="20"/>
          <w:szCs w:val="20"/>
          <w:color w:val="auto"/>
        </w:rPr>
      </w:pPr>
      <w:r>
        <w:rPr>
          <w:rFonts w:ascii="Arial" w:cs="Arial" w:eastAsia="Arial" w:hAnsi="Arial"/>
          <w:sz w:val="17"/>
          <w:szCs w:val="17"/>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w w:val="97"/>
              </w:rPr>
              <w:t>Three Months Ended March 31, 2022</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Arial" w:cs="Arial" w:eastAsia="Arial" w:hAnsi="Arial"/>
                <w:sz w:val="9"/>
                <w:szCs w:val="9"/>
                <w:b w:val="1"/>
                <w:bCs w:val="1"/>
                <w:color w:val="auto"/>
                <w:w w:val="82"/>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2"/>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88,305</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492,512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(32,985)</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(368,713)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90,823</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1,777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1,777</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(2,438)</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(3,037)</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(3,141)</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(3,141)</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2022</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88,244</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491,966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(36,126)</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(371,865)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83,984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w w:val="97"/>
              </w:rPr>
              <w:t>Three Months Ended March 31, 2021</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Arial" w:cs="Arial" w:eastAsia="Arial" w:hAnsi="Arial"/>
                <w:sz w:val="9"/>
                <w:szCs w:val="9"/>
                <w:b w:val="1"/>
                <w:bCs w:val="1"/>
                <w:color w:val="auto"/>
                <w:w w:val="82"/>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51,177</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499,348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(28,213)</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(345,771)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43,282</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2,813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2,813</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(9,407)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(9,407)</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Net income attributable to Synchronoss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(12,366)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(12,366)</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(1,136)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93"/>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491,295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(357,801)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22,063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200"/>
        </w:trPr>
        <w:tc>
          <w:tcPr>
            <w:tcW w:w="76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Net loss continuing operations</w:t>
            </w:r>
          </w:p>
        </w:tc>
        <w:tc>
          <w:tcPr>
            <w:tcW w:w="1160" w:type="dxa"/>
            <w:vAlign w:val="bottom"/>
          </w:tcPr>
          <w:p>
            <w:pPr>
              <w:jc w:val="right"/>
              <w:ind w:right="9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(3,037)</w:t>
            </w:r>
          </w:p>
        </w:tc>
        <w:tc>
          <w:tcPr>
            <w:tcW w:w="80" w:type="dxa"/>
            <w:vAlign w:val="bottom"/>
          </w:tcPr>
          <w:p>
            <w:pPr>
              <w:spacing w:after="0"/>
              <w:rPr>
                <w:sz w:val="17"/>
                <w:szCs w:val="17"/>
                <w:color w:val="auto"/>
              </w:rPr>
            </w:pP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(12,366)</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8,034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9,867</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debt issuance costs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Loss on Disposals of fixed assets</w:t>
            </w:r>
          </w:p>
        </w:tc>
        <w:tc>
          <w:tcPr>
            <w:tcW w:w="1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bond discount (premium)</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(1,037)</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2,721</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Operating lease impairment, net</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555</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3,214</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3,752</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(2,617)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(6,648)</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6,419</w:t>
            </w:r>
          </w:p>
        </w:tc>
      </w:tr>
      <w:tr>
        <w:trPr>
          <w:trHeight w:val="197"/>
        </w:trPr>
        <w:tc>
          <w:tcPr>
            <w:tcW w:w="76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(used in) provided by operating activities</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(2,693)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2,261</w:t>
            </w:r>
          </w:p>
        </w:tc>
      </w:tr>
      <w:tr>
        <w:trPr>
          <w:trHeight w:val="210"/>
        </w:trPr>
        <w:tc>
          <w:tcPr>
            <w:tcW w:w="7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5"/>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fixed assets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r>
      <w:tr>
        <w:trPr>
          <w:trHeight w:val="204"/>
        </w:trPr>
        <w:tc>
          <w:tcPr>
            <w:tcW w:w="7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Additions to capitalized software</w:t>
            </w: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(5,763)</w:t>
            </w:r>
          </w:p>
        </w:tc>
      </w:tr>
      <w:tr>
        <w:trPr>
          <w:trHeight w:val="207"/>
        </w:trPr>
        <w:tc>
          <w:tcPr>
            <w:tcW w:w="7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4"/>
        </w:trPr>
        <w:tc>
          <w:tcPr>
            <w:tcW w:w="7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Series B preferred dividend paid in the form of cash</w:t>
            </w: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7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7"/>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changes on cash</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07"/>
        </w:trPr>
        <w:tc>
          <w:tcPr>
            <w:tcW w:w="76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00"/>
        </w:trPr>
        <w:tc>
          <w:tcPr>
            <w:tcW w:w="76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Net decrease in cash and cash equivalents</w:t>
            </w:r>
          </w:p>
        </w:tc>
        <w:tc>
          <w:tcPr>
            <w:tcW w:w="1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(9,777)</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(3,853)</w:t>
            </w:r>
          </w:p>
        </w:tc>
      </w:tr>
      <w:tr>
        <w:trPr>
          <w:trHeight w:val="197"/>
        </w:trPr>
        <w:tc>
          <w:tcPr>
            <w:tcW w:w="762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Cash and cash equivalents, beginning of period</w:t>
            </w: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31,504</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33,671</w:t>
            </w:r>
          </w:p>
        </w:tc>
      </w:tr>
      <w:tr>
        <w:trPr>
          <w:trHeight w:val="202"/>
        </w:trPr>
        <w:tc>
          <w:tcPr>
            <w:tcW w:w="76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Cash and cash equivalents, end of period</w:t>
            </w:r>
          </w:p>
        </w:tc>
        <w:tc>
          <w:tcPr>
            <w:tcW w:w="1160" w:type="dxa"/>
            <w:vAlign w:val="bottom"/>
            <w:tcBorders>
              <w:bottom w:val="single" w:sz="8" w:color="auto"/>
            </w:tcBorders>
            <w:shd w:val="clear" w:color="auto" w:fill="CCEEFF"/>
          </w:tcPr>
          <w:p>
            <w:pPr>
              <w:jc w:val="right"/>
              <w:ind w:right="982"/>
              <w:spacing w:after="0" w:line="177"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21,727</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42"/>
              <w:spacing w:after="0" w:line="177"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
              <w:spacing w:after="0" w:line="177" w:lineRule="exact"/>
              <w:rPr>
                <w:sz w:val="20"/>
                <w:szCs w:val="20"/>
                <w:color w:val="auto"/>
              </w:rPr>
            </w:pPr>
            <w:r>
              <w:rPr>
                <w:rFonts w:ascii="Arial" w:cs="Arial" w:eastAsia="Arial" w:hAnsi="Arial"/>
                <w:sz w:val="16"/>
                <w:szCs w:val="16"/>
                <w:color w:val="auto"/>
              </w:rPr>
              <w:t>29,818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7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7620" w:type="dxa"/>
            <w:vAlign w:val="bottom"/>
          </w:tcPr>
          <w:p>
            <w:pPr>
              <w:ind w:left="200"/>
              <w:spacing w:after="0"/>
              <w:rPr>
                <w:sz w:val="20"/>
                <w:szCs w:val="20"/>
                <w:color w:val="auto"/>
              </w:rPr>
            </w:pPr>
            <w:r>
              <w:rPr>
                <w:rFonts w:ascii="Arial" w:cs="Arial" w:eastAsia="Arial" w:hAnsi="Arial"/>
                <w:sz w:val="16"/>
                <w:szCs w:val="16"/>
                <w:color w:val="auto"/>
              </w:rPr>
              <w:t>Paid in kind dividends on Series A Preferred Stock</w:t>
            </w:r>
          </w:p>
        </w:tc>
        <w:tc>
          <w:tcPr>
            <w:tcW w:w="1160" w:type="dxa"/>
            <w:vAlign w:val="bottom"/>
          </w:tcPr>
          <w:p>
            <w:pPr>
              <w:jc w:val="right"/>
              <w:ind w:right="982"/>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10,201</w:t>
            </w:r>
          </w:p>
        </w:tc>
      </w:tr>
    </w:tbl>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Synchronoss Technologies, Inc. (“Synchronoss” or the “Company”) is a leading provider of white label cloud, messaging, digital and network management solutions that enable our customers to keep subscribers, systems, networks and content in sync.</w:t>
      </w:r>
    </w:p>
    <w:p>
      <w:pPr>
        <w:spacing w:after="0" w:line="95"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Synchronoss Personal Cloud™ platform is specifically designed to support smartphones, tablets and wirelessly enabled consumer electronics such as wearables for health and wellness, cameras, tablets, e-readers, personal navigation devices, and GPS enabled devices, as well as connected automobiles and homes.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Synchronoss Messaging Platform powers mobile messaging and mailboxes for hundreds of millions of telecommunication subscribers. The Advanced Messaging platform is a powerful, secure, intelligent, white-label messaging platform that expands capabilities for communications service provider and multi-service providers to offer P2P messaging via Rich Communications Services (“RCS”). The Mobile Messaging Platform (“MMP”) provides a single standard ecosystem for onboarding and management to brands, advertisers and message wholesalers.</w:t>
      </w:r>
    </w:p>
    <w:p>
      <w:pPr>
        <w:spacing w:after="0" w:line="201"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The Synchronoss Digital Platform is a suite of technology, tools and solutions that includes digital experience creation and management, automated provisioning, artificial intelligence and financial analytics that service a broad swatch of our target markets. The platform equips customers with the tools to design, deploy and manage end user customer journeys and workflows from one central platform that also integrates across front end customer engagement channels as well as enterprise business systems (e.g. CRM, POS) allowing citizen developers to configure rather than code experiences. The platform sits between customer-facing touch points and a customer’s existing back-office systems to orchestrate data, workflows and processes into digital customer journeys that interface with end user channels creating user experiences that can be centrally managed and coordinated with less resources than is typical in a traditional IT environment.</w:t>
      </w:r>
    </w:p>
    <w:p>
      <w:pPr>
        <w:spacing w:after="0" w:line="20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Synchronoss Total Network Management application provides operators with the tools and software to design their physical network, streamline their infrastructure purchases, and manage and optimize comprehensive network expense for leading top tier carriers around the globe.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2021. The results of operations for the three months ended March 31, 2022 are not necessarily indicative of the results to be expected for the year ending December 31, 2022.</w:t>
      </w:r>
    </w:p>
    <w:p>
      <w:pPr>
        <w:spacing w:after="0" w:line="204"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policies of the investee are accounted for using the cost method. All material intercompany transactions and accounts are eliminated in consolidation.</w:t>
      </w:r>
    </w:p>
    <w:p>
      <w:pPr>
        <w:spacing w:after="0" w:line="244" w:lineRule="exact"/>
        <w:rPr>
          <w:sz w:val="20"/>
          <w:szCs w:val="20"/>
          <w:color w:val="auto"/>
        </w:rPr>
      </w:pPr>
    </w:p>
    <w:p>
      <w:pPr>
        <w:jc w:val="both"/>
        <w:ind w:right="100" w:firstLine="311"/>
        <w:spacing w:after="0" w:line="316"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31" w:lineRule="exact"/>
        <w:rPr>
          <w:sz w:val="20"/>
          <w:szCs w:val="20"/>
          <w:color w:val="auto"/>
        </w:rPr>
      </w:pPr>
    </w:p>
    <w:p>
      <w:pPr>
        <w:jc w:val="both"/>
        <w:ind w:right="100" w:firstLine="311"/>
        <w:spacing w:after="0" w:line="264" w:lineRule="auto"/>
        <w:rPr>
          <w:sz w:val="20"/>
          <w:szCs w:val="20"/>
          <w:color w:val="auto"/>
        </w:rPr>
      </w:pPr>
      <w:r>
        <w:rPr>
          <w:rFonts w:ascii="Arial" w:cs="Arial" w:eastAsia="Arial" w:hAnsi="Arial"/>
          <w:sz w:val="16"/>
          <w:szCs w:val="16"/>
          <w:color w:val="auto"/>
        </w:rPr>
        <w:t>There continue to be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three months ended March 31, 2022,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1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rPr>
              <w:t>Standard</w:t>
            </w:r>
          </w:p>
        </w:tc>
        <w:tc>
          <w:tcPr>
            <w:tcW w:w="6260" w:type="dxa"/>
            <w:vAlign w:val="bottom"/>
            <w:tcBorders>
              <w:top w:val="single" w:sz="8" w:color="auto"/>
              <w:bottom w:val="single" w:sz="8" w:color="auto"/>
            </w:tcBorders>
          </w:tcPr>
          <w:p>
            <w:pPr>
              <w:jc w:val="right"/>
              <w:ind w:right="4994"/>
              <w:spacing w:after="0"/>
              <w:rPr>
                <w:sz w:val="20"/>
                <w:szCs w:val="20"/>
                <w:color w:val="auto"/>
              </w:rPr>
            </w:pPr>
            <w:r>
              <w:rPr>
                <w:rFonts w:ascii="Arial" w:cs="Arial" w:eastAsia="Arial" w:hAnsi="Arial"/>
                <w:sz w:val="17"/>
                <w:szCs w:val="17"/>
                <w:color w:val="auto"/>
              </w:rPr>
              <w:t>Description</w:t>
            </w:r>
          </w:p>
        </w:tc>
        <w:tc>
          <w:tcPr>
            <w:tcW w:w="2800" w:type="dxa"/>
            <w:vAlign w:val="bottom"/>
            <w:tcBorders>
              <w:top w:val="single" w:sz="8" w:color="auto"/>
              <w:bottom w:val="single" w:sz="8" w:color="auto"/>
            </w:tcBorders>
            <w:gridSpan w:val="3"/>
          </w:tcPr>
          <w:p>
            <w:pPr>
              <w:ind w:left="380"/>
              <w:spacing w:after="0"/>
              <w:rPr>
                <w:sz w:val="20"/>
                <w:szCs w:val="20"/>
                <w:color w:val="auto"/>
              </w:rPr>
            </w:pPr>
            <w:r>
              <w:rPr>
                <w:rFonts w:ascii="Arial" w:cs="Arial" w:eastAsia="Arial" w:hAnsi="Arial"/>
                <w:sz w:val="17"/>
                <w:szCs w:val="17"/>
                <w:color w:val="auto"/>
                <w:w w:val="95"/>
              </w:rPr>
              <w:t>Effect on the financial statements</w:t>
            </w:r>
          </w:p>
        </w:tc>
        <w:tc>
          <w:tcPr>
            <w:tcW w:w="0" w:type="dxa"/>
            <w:vAlign w:val="bottom"/>
          </w:tcPr>
          <w:p>
            <w:pPr>
              <w:spacing w:after="0"/>
              <w:rPr>
                <w:sz w:val="1"/>
                <w:szCs w:val="1"/>
                <w:color w:val="auto"/>
              </w:rPr>
            </w:pPr>
          </w:p>
        </w:tc>
      </w:tr>
      <w:tr>
        <w:trPr>
          <w:trHeight w:val="175"/>
        </w:trPr>
        <w:tc>
          <w:tcPr>
            <w:tcW w:w="1960" w:type="dxa"/>
            <w:vAlign w:val="bottom"/>
          </w:tcPr>
          <w:p>
            <w:pPr>
              <w:ind w:left="320"/>
              <w:spacing w:after="0" w:line="175" w:lineRule="exact"/>
              <w:rPr>
                <w:sz w:val="20"/>
                <w:szCs w:val="20"/>
                <w:color w:val="auto"/>
              </w:rPr>
            </w:pPr>
            <w:r>
              <w:rPr>
                <w:rFonts w:ascii="Arial" w:cs="Arial" w:eastAsia="Arial" w:hAnsi="Arial"/>
                <w:sz w:val="17"/>
                <w:szCs w:val="17"/>
                <w:color w:val="auto"/>
              </w:rPr>
              <w:t>ASU 2021-04</w:t>
            </w:r>
          </w:p>
        </w:tc>
        <w:tc>
          <w:tcPr>
            <w:tcW w:w="6260" w:type="dxa"/>
            <w:vAlign w:val="bottom"/>
          </w:tcPr>
          <w:p>
            <w:pPr>
              <w:jc w:val="right"/>
              <w:spacing w:after="0" w:line="175" w:lineRule="exact"/>
              <w:rPr>
                <w:sz w:val="20"/>
                <w:szCs w:val="20"/>
                <w:color w:val="auto"/>
              </w:rPr>
            </w:pPr>
            <w:r>
              <w:rPr>
                <w:rFonts w:ascii="Arial" w:cs="Arial" w:eastAsia="Arial" w:hAnsi="Arial"/>
                <w:sz w:val="17"/>
                <w:szCs w:val="17"/>
                <w:color w:val="auto"/>
                <w:w w:val="97"/>
              </w:rPr>
              <w:t>The amendments in this Update provide guidance for a modification or an exchange</w:t>
            </w:r>
          </w:p>
        </w:tc>
        <w:tc>
          <w:tcPr>
            <w:tcW w:w="2800" w:type="dxa"/>
            <w:vAlign w:val="bottom"/>
            <w:gridSpan w:val="3"/>
          </w:tcPr>
          <w:p>
            <w:pPr>
              <w:jc w:val="center"/>
              <w:ind w:left="294"/>
              <w:spacing w:after="0" w:line="175" w:lineRule="exact"/>
              <w:rPr>
                <w:sz w:val="20"/>
                <w:szCs w:val="20"/>
                <w:color w:val="auto"/>
              </w:rPr>
            </w:pPr>
            <w:r>
              <w:rPr>
                <w:rFonts w:ascii="Arial" w:cs="Arial" w:eastAsia="Arial" w:hAnsi="Arial"/>
                <w:sz w:val="17"/>
                <w:szCs w:val="17"/>
                <w:color w:val="auto"/>
                <w:w w:val="90"/>
              </w:rPr>
              <w:t>We adopted this standard on Janua</w:t>
            </w:r>
          </w:p>
        </w:tc>
        <w:tc>
          <w:tcPr>
            <w:tcW w:w="0" w:type="dxa"/>
            <w:vAlign w:val="bottom"/>
          </w:tcPr>
          <w:p>
            <w:pPr>
              <w:spacing w:after="0"/>
              <w:rPr>
                <w:sz w:val="1"/>
                <w:szCs w:val="1"/>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7"/>
                <w:szCs w:val="17"/>
                <w:color w:val="auto"/>
                <w:w w:val="95"/>
              </w:rPr>
              <w:t>Earnings Per Share (Topic</w:t>
            </w:r>
          </w:p>
        </w:tc>
        <w:tc>
          <w:tcPr>
            <w:tcW w:w="6260" w:type="dxa"/>
            <w:vAlign w:val="bottom"/>
          </w:tcPr>
          <w:p>
            <w:pPr>
              <w:jc w:val="right"/>
              <w:spacing w:after="0"/>
              <w:rPr>
                <w:sz w:val="20"/>
                <w:szCs w:val="20"/>
                <w:color w:val="auto"/>
              </w:rPr>
            </w:pPr>
            <w:r>
              <w:rPr>
                <w:rFonts w:ascii="Arial" w:cs="Arial" w:eastAsia="Arial" w:hAnsi="Arial"/>
                <w:sz w:val="17"/>
                <w:szCs w:val="17"/>
                <w:color w:val="auto"/>
              </w:rPr>
              <w:t>of a freestanding equity-classified written call option that is not within the scope of</w:t>
            </w:r>
          </w:p>
        </w:tc>
        <w:tc>
          <w:tcPr>
            <w:tcW w:w="2800" w:type="dxa"/>
            <w:vAlign w:val="bottom"/>
            <w:gridSpan w:val="3"/>
          </w:tcPr>
          <w:p>
            <w:pPr>
              <w:ind w:left="60"/>
              <w:spacing w:after="0"/>
              <w:rPr>
                <w:sz w:val="20"/>
                <w:szCs w:val="20"/>
                <w:color w:val="auto"/>
              </w:rPr>
            </w:pPr>
            <w:r>
              <w:rPr>
                <w:rFonts w:ascii="Arial" w:cs="Arial" w:eastAsia="Arial" w:hAnsi="Arial"/>
                <w:sz w:val="17"/>
                <w:szCs w:val="17"/>
                <w:color w:val="auto"/>
                <w:w w:val="97"/>
              </w:rPr>
              <w:t>1, 2022. The Company evaluated the</w:t>
            </w:r>
          </w:p>
        </w:tc>
        <w:tc>
          <w:tcPr>
            <w:tcW w:w="0" w:type="dxa"/>
            <w:vAlign w:val="bottom"/>
          </w:tcPr>
          <w:p>
            <w:pPr>
              <w:spacing w:after="0"/>
              <w:rPr>
                <w:sz w:val="1"/>
                <w:szCs w:val="1"/>
                <w:color w:val="auto"/>
              </w:rPr>
            </w:pPr>
          </w:p>
        </w:tc>
      </w:tr>
      <w:tr>
        <w:trPr>
          <w:trHeight w:val="156"/>
        </w:trPr>
        <w:tc>
          <w:tcPr>
            <w:tcW w:w="1960" w:type="dxa"/>
            <w:vAlign w:val="bottom"/>
          </w:tcPr>
          <w:p>
            <w:pPr>
              <w:ind w:left="20"/>
              <w:spacing w:after="0" w:line="156" w:lineRule="exact"/>
              <w:rPr>
                <w:sz w:val="20"/>
                <w:szCs w:val="20"/>
                <w:color w:val="auto"/>
              </w:rPr>
            </w:pPr>
            <w:r>
              <w:rPr>
                <w:rFonts w:ascii="Arial" w:cs="Arial" w:eastAsia="Arial" w:hAnsi="Arial"/>
                <w:sz w:val="17"/>
                <w:szCs w:val="17"/>
                <w:color w:val="auto"/>
              </w:rPr>
              <w:t>260), Debt—</w:t>
            </w:r>
          </w:p>
        </w:tc>
        <w:tc>
          <w:tcPr>
            <w:tcW w:w="6260" w:type="dxa"/>
            <w:vAlign w:val="bottom"/>
            <w:vMerge w:val="restart"/>
          </w:tcPr>
          <w:p>
            <w:pPr>
              <w:jc w:val="right"/>
              <w:ind w:right="5114"/>
              <w:spacing w:after="0"/>
              <w:rPr>
                <w:sz w:val="20"/>
                <w:szCs w:val="20"/>
                <w:color w:val="auto"/>
              </w:rPr>
            </w:pPr>
            <w:r>
              <w:rPr>
                <w:rFonts w:ascii="Arial" w:cs="Arial" w:eastAsia="Arial" w:hAnsi="Arial"/>
                <w:sz w:val="17"/>
                <w:szCs w:val="17"/>
                <w:color w:val="auto"/>
                <w:w w:val="95"/>
              </w:rPr>
              <w:t>another Topic.</w:t>
            </w:r>
          </w:p>
        </w:tc>
        <w:tc>
          <w:tcPr>
            <w:tcW w:w="2800" w:type="dxa"/>
            <w:vAlign w:val="bottom"/>
            <w:gridSpan w:val="3"/>
            <w:vMerge w:val="restart"/>
          </w:tcPr>
          <w:p>
            <w:pPr>
              <w:ind w:left="60"/>
              <w:spacing w:after="0"/>
              <w:rPr>
                <w:sz w:val="20"/>
                <w:szCs w:val="20"/>
                <w:color w:val="auto"/>
              </w:rPr>
            </w:pPr>
            <w:r>
              <w:rPr>
                <w:rFonts w:ascii="Arial" w:cs="Arial" w:eastAsia="Arial" w:hAnsi="Arial"/>
                <w:sz w:val="17"/>
                <w:szCs w:val="17"/>
                <w:color w:val="auto"/>
                <w:w w:val="93"/>
              </w:rPr>
              <w:t>changes and concluded that they did n</w:t>
            </w:r>
          </w:p>
        </w:tc>
        <w:tc>
          <w:tcPr>
            <w:tcW w:w="0" w:type="dxa"/>
            <w:vAlign w:val="bottom"/>
          </w:tcPr>
          <w:p>
            <w:pPr>
              <w:spacing w:after="0"/>
              <w:rPr>
                <w:sz w:val="1"/>
                <w:szCs w:val="1"/>
                <w:color w:val="auto"/>
              </w:rPr>
            </w:pPr>
          </w:p>
        </w:tc>
      </w:tr>
      <w:tr>
        <w:trPr>
          <w:trHeight w:val="91"/>
        </w:trPr>
        <w:tc>
          <w:tcPr>
            <w:tcW w:w="1960" w:type="dxa"/>
            <w:vAlign w:val="bottom"/>
            <w:vMerge w:val="restart"/>
          </w:tcPr>
          <w:p>
            <w:pPr>
              <w:ind w:left="20"/>
              <w:spacing w:after="0" w:line="181" w:lineRule="exact"/>
              <w:rPr>
                <w:sz w:val="20"/>
                <w:szCs w:val="20"/>
                <w:color w:val="auto"/>
              </w:rPr>
            </w:pPr>
            <w:r>
              <w:rPr>
                <w:rFonts w:ascii="Arial" w:cs="Arial" w:eastAsia="Arial" w:hAnsi="Arial"/>
                <w:sz w:val="17"/>
                <w:szCs w:val="17"/>
                <w:color w:val="auto"/>
              </w:rPr>
              <w:t>Modifications and</w:t>
            </w:r>
          </w:p>
        </w:tc>
        <w:tc>
          <w:tcPr>
            <w:tcW w:w="6260" w:type="dxa"/>
            <w:vAlign w:val="bottom"/>
            <w:vMerge w:val="continue"/>
          </w:tcPr>
          <w:p>
            <w:pPr>
              <w:spacing w:after="0"/>
              <w:rPr>
                <w:sz w:val="7"/>
                <w:szCs w:val="7"/>
                <w:color w:val="auto"/>
              </w:rPr>
            </w:pPr>
          </w:p>
        </w:tc>
        <w:tc>
          <w:tcPr>
            <w:tcW w:w="2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6260" w:type="dxa"/>
            <w:vAlign w:val="bottom"/>
          </w:tcPr>
          <w:p>
            <w:pPr>
              <w:spacing w:after="0"/>
              <w:rPr>
                <w:sz w:val="7"/>
                <w:szCs w:val="7"/>
                <w:color w:val="auto"/>
              </w:rPr>
            </w:pP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rPr>
              <w:t>have  any</w:t>
            </w:r>
          </w:p>
        </w:tc>
        <w:tc>
          <w:tcPr>
            <w:tcW w:w="1340" w:type="dxa"/>
            <w:vAlign w:val="bottom"/>
            <w:vMerge w:val="restart"/>
          </w:tcPr>
          <w:p>
            <w:pPr>
              <w:jc w:val="center"/>
              <w:spacing w:after="0"/>
              <w:rPr>
                <w:sz w:val="20"/>
                <w:szCs w:val="20"/>
                <w:color w:val="auto"/>
              </w:rPr>
            </w:pPr>
            <w:r>
              <w:rPr>
                <w:rFonts w:ascii="Arial" w:cs="Arial" w:eastAsia="Arial" w:hAnsi="Arial"/>
                <w:sz w:val="17"/>
                <w:szCs w:val="17"/>
                <w:color w:val="auto"/>
                <w:w w:val="99"/>
              </w:rPr>
              <w:t>material  impact</w:t>
            </w:r>
          </w:p>
        </w:tc>
        <w:tc>
          <w:tcPr>
            <w:tcW w:w="540" w:type="dxa"/>
            <w:vAlign w:val="bottom"/>
            <w:vMerge w:val="restart"/>
          </w:tcPr>
          <w:p>
            <w:pPr>
              <w:jc w:val="center"/>
              <w:ind w:left="14"/>
              <w:spacing w:after="0"/>
              <w:rPr>
                <w:sz w:val="20"/>
                <w:szCs w:val="20"/>
                <w:color w:val="auto"/>
              </w:rPr>
            </w:pPr>
            <w:r>
              <w:rPr>
                <w:rFonts w:ascii="Arial" w:cs="Arial" w:eastAsia="Arial" w:hAnsi="Arial"/>
                <w:sz w:val="17"/>
                <w:szCs w:val="17"/>
                <w:color w:val="auto"/>
              </w:rPr>
              <w:t>on  t</w:t>
            </w:r>
          </w:p>
        </w:tc>
        <w:tc>
          <w:tcPr>
            <w:tcW w:w="0" w:type="dxa"/>
            <w:vAlign w:val="bottom"/>
          </w:tcPr>
          <w:p>
            <w:pPr>
              <w:spacing w:after="0"/>
              <w:rPr>
                <w:sz w:val="1"/>
                <w:szCs w:val="1"/>
                <w:color w:val="auto"/>
              </w:rPr>
            </w:pPr>
          </w:p>
        </w:tc>
      </w:tr>
      <w:tr>
        <w:trPr>
          <w:trHeight w:val="116"/>
        </w:trPr>
        <w:tc>
          <w:tcPr>
            <w:tcW w:w="1960" w:type="dxa"/>
            <w:vAlign w:val="bottom"/>
            <w:vMerge w:val="restart"/>
          </w:tcPr>
          <w:p>
            <w:pPr>
              <w:ind w:left="20"/>
              <w:spacing w:after="0" w:line="181" w:lineRule="exact"/>
              <w:rPr>
                <w:sz w:val="20"/>
                <w:szCs w:val="20"/>
                <w:color w:val="auto"/>
              </w:rPr>
            </w:pPr>
            <w:r>
              <w:rPr>
                <w:rFonts w:ascii="Arial" w:cs="Arial" w:eastAsia="Arial" w:hAnsi="Arial"/>
                <w:sz w:val="17"/>
                <w:szCs w:val="17"/>
                <w:color w:val="auto"/>
                <w:w w:val="95"/>
              </w:rPr>
              <w:t>Extinguishments (Subtopic</w:t>
            </w:r>
          </w:p>
        </w:tc>
        <w:tc>
          <w:tcPr>
            <w:tcW w:w="62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960" w:type="dxa"/>
            <w:vAlign w:val="bottom"/>
            <w:vMerge w:val="continue"/>
          </w:tcPr>
          <w:p>
            <w:pPr>
              <w:spacing w:after="0"/>
              <w:rPr>
                <w:sz w:val="5"/>
                <w:szCs w:val="5"/>
                <w:color w:val="auto"/>
              </w:rPr>
            </w:pPr>
          </w:p>
        </w:tc>
        <w:tc>
          <w:tcPr>
            <w:tcW w:w="626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w w:val="98"/>
              </w:rPr>
              <w:t>Company’s</w:t>
            </w:r>
          </w:p>
        </w:tc>
        <w:tc>
          <w:tcPr>
            <w:tcW w:w="1340" w:type="dxa"/>
            <w:vAlign w:val="bottom"/>
            <w:vMerge w:val="restart"/>
          </w:tcPr>
          <w:p>
            <w:pPr>
              <w:jc w:val="center"/>
              <w:spacing w:after="0"/>
              <w:rPr>
                <w:sz w:val="20"/>
                <w:szCs w:val="20"/>
                <w:color w:val="auto"/>
              </w:rPr>
            </w:pPr>
            <w:r>
              <w:rPr>
                <w:rFonts w:ascii="Arial" w:cs="Arial" w:eastAsia="Arial" w:hAnsi="Arial"/>
                <w:sz w:val="17"/>
                <w:szCs w:val="17"/>
                <w:color w:val="auto"/>
                <w:w w:val="90"/>
              </w:rPr>
              <w:t>consolidated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3"/>
              </w:rPr>
              <w:t>financi</w:t>
            </w:r>
          </w:p>
        </w:tc>
        <w:tc>
          <w:tcPr>
            <w:tcW w:w="0" w:type="dxa"/>
            <w:vAlign w:val="bottom"/>
          </w:tcPr>
          <w:p>
            <w:pPr>
              <w:spacing w:after="0"/>
              <w:rPr>
                <w:sz w:val="1"/>
                <w:szCs w:val="1"/>
                <w:color w:val="auto"/>
              </w:rPr>
            </w:pPr>
          </w:p>
        </w:tc>
      </w:tr>
      <w:tr>
        <w:trPr>
          <w:trHeight w:val="142"/>
        </w:trPr>
        <w:tc>
          <w:tcPr>
            <w:tcW w:w="1960" w:type="dxa"/>
            <w:vAlign w:val="bottom"/>
            <w:vMerge w:val="restart"/>
          </w:tcPr>
          <w:p>
            <w:pPr>
              <w:ind w:left="20"/>
              <w:spacing w:after="0" w:line="181" w:lineRule="exact"/>
              <w:rPr>
                <w:sz w:val="20"/>
                <w:szCs w:val="20"/>
                <w:color w:val="auto"/>
              </w:rPr>
            </w:pPr>
            <w:r>
              <w:rPr>
                <w:rFonts w:ascii="Arial" w:cs="Arial" w:eastAsia="Arial" w:hAnsi="Arial"/>
                <w:sz w:val="17"/>
                <w:szCs w:val="17"/>
                <w:color w:val="auto"/>
                <w:w w:val="98"/>
              </w:rPr>
              <w:t>470-50), Compensation—</w:t>
            </w:r>
          </w:p>
        </w:tc>
        <w:tc>
          <w:tcPr>
            <w:tcW w:w="6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960" w:type="dxa"/>
            <w:vAlign w:val="bottom"/>
            <w:vMerge w:val="continue"/>
          </w:tcPr>
          <w:p>
            <w:pPr>
              <w:spacing w:after="0"/>
              <w:rPr>
                <w:sz w:val="3"/>
                <w:szCs w:val="3"/>
                <w:color w:val="auto"/>
              </w:rPr>
            </w:pPr>
          </w:p>
        </w:tc>
        <w:tc>
          <w:tcPr>
            <w:tcW w:w="6260" w:type="dxa"/>
            <w:vAlign w:val="bottom"/>
          </w:tcPr>
          <w:p>
            <w:pPr>
              <w:spacing w:after="0"/>
              <w:rPr>
                <w:sz w:val="3"/>
                <w:szCs w:val="3"/>
                <w:color w:val="auto"/>
              </w:rPr>
            </w:pPr>
          </w:p>
        </w:tc>
        <w:tc>
          <w:tcPr>
            <w:tcW w:w="2800" w:type="dxa"/>
            <w:vAlign w:val="bottom"/>
            <w:gridSpan w:val="3"/>
            <w:vMerge w:val="restart"/>
          </w:tcPr>
          <w:p>
            <w:pPr>
              <w:ind w:left="60"/>
              <w:spacing w:after="0"/>
              <w:rPr>
                <w:sz w:val="20"/>
                <w:szCs w:val="20"/>
                <w:color w:val="auto"/>
              </w:rPr>
            </w:pPr>
            <w:r>
              <w:rPr>
                <w:rFonts w:ascii="Arial" w:cs="Arial" w:eastAsia="Arial" w:hAnsi="Arial"/>
                <w:sz w:val="17"/>
                <w:szCs w:val="17"/>
                <w:color w:val="auto"/>
              </w:rPr>
              <w:t>position or results of operations up</w:t>
            </w:r>
          </w:p>
        </w:tc>
        <w:tc>
          <w:tcPr>
            <w:tcW w:w="0" w:type="dxa"/>
            <w:vAlign w:val="bottom"/>
          </w:tcPr>
          <w:p>
            <w:pPr>
              <w:spacing w:after="0" w:line="20" w:lineRule="exact"/>
              <w:rPr>
                <w:sz w:val="1"/>
                <w:szCs w:val="1"/>
                <w:color w:val="auto"/>
              </w:rPr>
            </w:pPr>
          </w:p>
        </w:tc>
      </w:tr>
      <w:tr>
        <w:trPr>
          <w:trHeight w:val="168"/>
        </w:trPr>
        <w:tc>
          <w:tcPr>
            <w:tcW w:w="1960" w:type="dxa"/>
            <w:vAlign w:val="bottom"/>
          </w:tcPr>
          <w:p>
            <w:pPr>
              <w:ind w:left="20"/>
              <w:spacing w:after="0" w:line="168" w:lineRule="exact"/>
              <w:rPr>
                <w:sz w:val="20"/>
                <w:szCs w:val="20"/>
                <w:color w:val="auto"/>
              </w:rPr>
            </w:pPr>
            <w:r>
              <w:rPr>
                <w:rFonts w:ascii="Arial" w:cs="Arial" w:eastAsia="Arial" w:hAnsi="Arial"/>
                <w:sz w:val="17"/>
                <w:szCs w:val="17"/>
                <w:color w:val="auto"/>
              </w:rPr>
              <w:t>Stock Compensation</w:t>
            </w:r>
          </w:p>
        </w:tc>
        <w:tc>
          <w:tcPr>
            <w:tcW w:w="6260" w:type="dxa"/>
            <w:vAlign w:val="bottom"/>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960" w:type="dxa"/>
            <w:vAlign w:val="bottom"/>
          </w:tcPr>
          <w:p>
            <w:pPr>
              <w:ind w:left="20"/>
              <w:spacing w:after="0"/>
              <w:rPr>
                <w:sz w:val="20"/>
                <w:szCs w:val="20"/>
                <w:color w:val="auto"/>
              </w:rPr>
            </w:pPr>
            <w:r>
              <w:rPr>
                <w:rFonts w:ascii="Arial" w:cs="Arial" w:eastAsia="Arial" w:hAnsi="Arial"/>
                <w:sz w:val="17"/>
                <w:szCs w:val="17"/>
                <w:color w:val="auto"/>
              </w:rPr>
              <w:t>(Topic 718), and</w:t>
            </w:r>
          </w:p>
        </w:tc>
        <w:tc>
          <w:tcPr>
            <w:tcW w:w="626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7"/>
                <w:szCs w:val="17"/>
                <w:color w:val="auto"/>
              </w:rPr>
              <w:t>adoption.</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spacing w:after="0" w:line="222" w:lineRule="auto"/>
        <w:rPr>
          <w:sz w:val="20"/>
          <w:szCs w:val="20"/>
          <w:color w:val="auto"/>
        </w:rPr>
      </w:pPr>
      <w:r>
        <w:rPr>
          <w:rFonts w:ascii="Arial" w:cs="Arial" w:eastAsia="Arial" w:hAnsi="Arial"/>
          <w:sz w:val="17"/>
          <w:szCs w:val="17"/>
          <w:color w:val="auto"/>
        </w:rPr>
        <w:t>Derivatives and Hedging</w:t>
      </w:r>
    </w:p>
    <w:p>
      <w:pPr>
        <w:ind w:left="340"/>
        <w:spacing w:after="0" w:line="222" w:lineRule="auto"/>
        <w:rPr>
          <w:sz w:val="20"/>
          <w:szCs w:val="20"/>
          <w:color w:val="auto"/>
        </w:rPr>
      </w:pPr>
      <w:r>
        <w:rPr>
          <w:rFonts w:ascii="Arial" w:cs="Arial" w:eastAsia="Arial" w:hAnsi="Arial"/>
          <w:sz w:val="17"/>
          <w:szCs w:val="17"/>
          <w:color w:val="auto"/>
        </w:rPr>
        <w:t>— Contracts in Entity’s</w:t>
      </w:r>
    </w:p>
    <w:p>
      <w:pPr>
        <w:ind w:left="340"/>
        <w:spacing w:after="0" w:line="223" w:lineRule="auto"/>
        <w:rPr>
          <w:sz w:val="20"/>
          <w:szCs w:val="20"/>
          <w:color w:val="auto"/>
        </w:rPr>
      </w:pPr>
      <w:r>
        <w:rPr>
          <w:rFonts w:ascii="Arial" w:cs="Arial" w:eastAsia="Arial" w:hAnsi="Arial"/>
          <w:sz w:val="17"/>
          <w:szCs w:val="17"/>
          <w:color w:val="auto"/>
        </w:rPr>
        <w:t>Own Equity (Subtopic</w:t>
      </w:r>
    </w:p>
    <w:p>
      <w:pPr>
        <w:ind w:left="340"/>
        <w:spacing w:after="0"/>
        <w:rPr>
          <w:sz w:val="20"/>
          <w:szCs w:val="20"/>
          <w:color w:val="auto"/>
        </w:rPr>
      </w:pPr>
      <w:r>
        <w:rPr>
          <w:rFonts w:ascii="Arial" w:cs="Arial" w:eastAsia="Arial" w:hAnsi="Arial"/>
          <w:sz w:val="17"/>
          <w:szCs w:val="17"/>
          <w:color w:val="auto"/>
        </w:rPr>
        <w:t>815-40)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14605</wp:posOffset>
            </wp:positionV>
            <wp:extent cx="1215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 of adoption:</w:t>
      </w:r>
    </w:p>
    <w:p>
      <w:pPr>
        <w:ind w:left="340"/>
        <w:spacing w:after="0"/>
        <w:rPr>
          <w:sz w:val="20"/>
          <w:szCs w:val="20"/>
          <w:color w:val="auto"/>
        </w:rPr>
      </w:pPr>
      <w:r>
        <w:rPr>
          <w:rFonts w:ascii="Arial" w:cs="Arial" w:eastAsia="Arial" w:hAnsi="Arial"/>
          <w:sz w:val="17"/>
          <w:szCs w:val="17"/>
          <w:color w:val="auto"/>
        </w:rPr>
        <w:t>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6350</wp:posOffset>
            </wp:positionV>
            <wp:extent cx="1215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tables in thousands, except for per share data or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7105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0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0" w:right="120"/>
        <w:spacing w:after="0" w:line="273" w:lineRule="auto"/>
        <w:rPr>
          <w:sz w:val="20"/>
          <w:szCs w:val="20"/>
          <w:color w:val="auto"/>
        </w:rPr>
      </w:pPr>
      <w:r>
        <w:rPr>
          <w:rFonts w:ascii="Arial" w:cs="Arial" w:eastAsia="Arial" w:hAnsi="Arial"/>
          <w:sz w:val="15"/>
          <w:szCs w:val="15"/>
          <w:color w:val="auto"/>
        </w:rPr>
        <w:t>ASU 2021-05 Leases (Topic 842). Lessors— Certain Leases with Variable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12153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right="80"/>
        <w:spacing w:after="0" w:line="252" w:lineRule="auto"/>
        <w:rPr>
          <w:sz w:val="20"/>
          <w:szCs w:val="20"/>
          <w:color w:val="auto"/>
        </w:rPr>
      </w:pPr>
      <w:r>
        <w:rPr>
          <w:rFonts w:ascii="Arial" w:cs="Arial" w:eastAsia="Arial" w:hAnsi="Arial"/>
          <w:sz w:val="17"/>
          <w:szCs w:val="17"/>
          <w:color w:val="auto"/>
        </w:rPr>
        <w:t>Date of adoption: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2153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ind w:left="20"/>
        <w:spacing w:after="0" w:line="225" w:lineRule="auto"/>
        <w:rPr>
          <w:sz w:val="20"/>
          <w:szCs w:val="20"/>
          <w:color w:val="auto"/>
        </w:rPr>
      </w:pPr>
      <w:r>
        <w:rPr>
          <w:rFonts w:ascii="Arial" w:cs="Arial" w:eastAsia="Arial" w:hAnsi="Arial"/>
          <w:sz w:val="17"/>
          <w:szCs w:val="17"/>
          <w:color w:val="auto"/>
        </w:rPr>
        <w:t>ASU 2021-08 Business Combinations (Topic 805). Accounting for Contract Assets and Contract Liabilities</w:t>
      </w:r>
    </w:p>
    <w:p>
      <w:pPr>
        <w:spacing w:after="0" w:line="3" w:lineRule="exact"/>
        <w:rPr>
          <w:sz w:val="20"/>
          <w:szCs w:val="20"/>
          <w:color w:val="auto"/>
        </w:rPr>
      </w:pPr>
    </w:p>
    <w:p>
      <w:pPr>
        <w:ind w:left="20" w:right="480"/>
        <w:spacing w:after="0" w:line="237" w:lineRule="auto"/>
        <w:rPr>
          <w:sz w:val="20"/>
          <w:szCs w:val="20"/>
          <w:color w:val="auto"/>
        </w:rPr>
      </w:pPr>
      <w:r>
        <w:rPr>
          <w:rFonts w:ascii="Arial" w:cs="Arial" w:eastAsia="Arial" w:hAnsi="Arial"/>
          <w:sz w:val="17"/>
          <w:szCs w:val="17"/>
          <w:color w:val="auto"/>
        </w:rPr>
        <w:t>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1215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7" w:lineRule="exact"/>
        <w:rPr>
          <w:sz w:val="20"/>
          <w:szCs w:val="20"/>
          <w:color w:val="auto"/>
        </w:rPr>
      </w:pPr>
    </w:p>
    <w:p>
      <w:pPr>
        <w:ind w:left="20" w:right="80"/>
        <w:spacing w:after="0" w:line="252" w:lineRule="auto"/>
        <w:rPr>
          <w:sz w:val="20"/>
          <w:szCs w:val="20"/>
          <w:color w:val="auto"/>
        </w:rPr>
      </w:pPr>
      <w:r>
        <w:rPr>
          <w:rFonts w:ascii="Arial" w:cs="Arial" w:eastAsia="Arial" w:hAnsi="Arial"/>
          <w:sz w:val="17"/>
          <w:szCs w:val="17"/>
          <w:color w:val="auto"/>
        </w:rPr>
        <w:t>Date of adoption: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2153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amendments in this Update affect lessors with lease contracts that (1) have variable lease payments that do not depend on a reference index or a rate and (2) would have resulted in the recognition of a selling loss at lease commencement if classified as sales-type or direct financing. FASB amends lessor classification guidance to prevent selling losses on leases with variable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507365</wp:posOffset>
            </wp:positionV>
            <wp:extent cx="3909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amendments in this Update primarily address the accounting for contract assets and contract liabilities from revenue contracts with customers in a business combination. However, the amendments also apply to contract assets and contract liabilities from other contracts to which the provisions of Topic 606 apply, such as contract liabilities from the sale of nonfinancial assets within the scope of Subtopic 610-20, Other Income —Gains and Losses from the Derecognition of Nonfinancial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ind w:right="60"/>
        <w:spacing w:after="0" w:line="229" w:lineRule="auto"/>
        <w:rPr>
          <w:sz w:val="20"/>
          <w:szCs w:val="20"/>
          <w:color w:val="auto"/>
        </w:rPr>
      </w:pPr>
      <w:r>
        <w:rPr>
          <w:rFonts w:ascii="Arial" w:cs="Arial" w:eastAsia="Arial" w:hAnsi="Arial"/>
          <w:sz w:val="17"/>
          <w:szCs w:val="17"/>
          <w:color w:val="auto"/>
        </w:rPr>
        <w:t>We adopted this standard on January 1, 2022. The Company evaluated these changes and concluded that they did not have any material impact on the Company’s consolidated financial position or results of operations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279400</wp:posOffset>
            </wp:positionV>
            <wp:extent cx="1848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4848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right="60"/>
        <w:spacing w:after="0" w:line="229" w:lineRule="auto"/>
        <w:rPr>
          <w:sz w:val="20"/>
          <w:szCs w:val="20"/>
          <w:color w:val="auto"/>
        </w:rPr>
      </w:pPr>
      <w:r>
        <w:rPr>
          <w:rFonts w:ascii="Arial" w:cs="Arial" w:eastAsia="Arial" w:hAnsi="Arial"/>
          <w:sz w:val="17"/>
          <w:szCs w:val="17"/>
          <w:color w:val="auto"/>
        </w:rPr>
        <w:t>We adopted this standard on January 1, 2022. The Company evaluated these changes and concluded that they did not have any material impact on the Company’s consolidated financial position or results of operations upon adoption.</w:t>
      </w:r>
    </w:p>
    <w:p>
      <w:pPr>
        <w:spacing w:after="0" w:line="637" w:lineRule="exact"/>
        <w:rPr>
          <w:sz w:val="20"/>
          <w:szCs w:val="20"/>
          <w:color w:val="auto"/>
        </w:rPr>
      </w:pPr>
    </w:p>
    <w:p>
      <w:pPr>
        <w:sectPr>
          <w:pgSz w:w="11900" w:h="16838" w:orient="portrait"/>
          <w:cols w:equalWidth="0" w:num="3">
            <w:col w:w="1880" w:space="160"/>
            <w:col w:w="6120" w:space="140"/>
            <w:col w:w="2940"/>
          </w:cols>
          <w:pgMar w:left="320" w:top="127" w:right="3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Digital Experience Platform and Activation Solutions Sale</w:t>
      </w:r>
    </w:p>
    <w:p>
      <w:pPr>
        <w:spacing w:after="0" w:line="231" w:lineRule="exact"/>
        <w:rPr>
          <w:sz w:val="20"/>
          <w:szCs w:val="20"/>
          <w:color w:val="auto"/>
        </w:rPr>
      </w:pPr>
    </w:p>
    <w:p>
      <w:pPr>
        <w:ind w:firstLine="311"/>
        <w:spacing w:after="0" w:line="299" w:lineRule="auto"/>
        <w:rPr>
          <w:sz w:val="20"/>
          <w:szCs w:val="20"/>
          <w:color w:val="auto"/>
        </w:rPr>
      </w:pPr>
      <w:r>
        <w:rPr>
          <w:rFonts w:ascii="Arial" w:cs="Arial" w:eastAsia="Arial" w:hAnsi="Arial"/>
          <w:sz w:val="16"/>
          <w:szCs w:val="16"/>
          <w:color w:val="auto"/>
        </w:rPr>
        <w:t>On March 8, 2022, the Company announced that it has entered into a definitive agreement to sell its Digital Experience Platform as well as its Activation Solutions to iQmetrix. The transaction value is up to $14 million and is expected to close in the second quarter, subject to customary closing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Revenue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44"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92"/>
              </w:rPr>
              <w:t>Three Months Ended March 31, 2022</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w w:val="91"/>
              </w:rPr>
              <w:t>Three Months Ended March 31, 2021</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41"/>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242"/>
              <w:spacing w:after="0" w:line="141" w:lineRule="exact"/>
              <w:rPr>
                <w:sz w:val="20"/>
                <w:szCs w:val="20"/>
                <w:color w:val="auto"/>
              </w:rPr>
            </w:pPr>
            <w:r>
              <w:rPr>
                <w:rFonts w:ascii="Arial" w:cs="Arial" w:eastAsia="Arial" w:hAnsi="Arial"/>
                <w:sz w:val="14"/>
                <w:szCs w:val="14"/>
                <w:b w:val="1"/>
                <w:bCs w:val="1"/>
                <w:color w:val="auto"/>
                <w:w w:val="85"/>
              </w:rPr>
              <w:t>Cloud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2"/>
                <w:szCs w:val="12"/>
                <w:color w:val="auto"/>
              </w:rPr>
            </w:pPr>
          </w:p>
        </w:tc>
        <w:tc>
          <w:tcPr>
            <w:tcW w:w="960" w:type="dxa"/>
            <w:vAlign w:val="bottom"/>
            <w:gridSpan w:val="4"/>
          </w:tcPr>
          <w:p>
            <w:pPr>
              <w:ind w:left="40"/>
              <w:spacing w:after="0" w:line="141" w:lineRule="exact"/>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2"/>
                <w:szCs w:val="12"/>
                <w:color w:val="auto"/>
              </w:rPr>
            </w:pPr>
          </w:p>
        </w:tc>
        <w:tc>
          <w:tcPr>
            <w:tcW w:w="64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right"/>
              <w:ind w:right="242"/>
              <w:spacing w:after="0" w:line="141" w:lineRule="exact"/>
              <w:rPr>
                <w:sz w:val="20"/>
                <w:szCs w:val="20"/>
                <w:color w:val="auto"/>
              </w:rPr>
            </w:pPr>
            <w:r>
              <w:rPr>
                <w:rFonts w:ascii="Arial" w:cs="Arial" w:eastAsia="Arial" w:hAnsi="Arial"/>
                <w:sz w:val="14"/>
                <w:szCs w:val="14"/>
                <w:b w:val="1"/>
                <w:bCs w:val="1"/>
                <w:color w:val="auto"/>
              </w:rPr>
              <w:t>Cloud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100"/>
              <w:spacing w:after="0" w:line="141" w:lineRule="exact"/>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2"/>
                <w:szCs w:val="12"/>
                <w:color w:val="auto"/>
              </w:rPr>
            </w:pPr>
          </w:p>
        </w:tc>
        <w:tc>
          <w:tcPr>
            <w:tcW w:w="9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2"/>
                <w:szCs w:val="12"/>
                <w:color w:val="auto"/>
              </w:rPr>
            </w:pPr>
          </w:p>
        </w:tc>
        <w:tc>
          <w:tcPr>
            <w:tcW w:w="78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rPr>
              <w:t>Total</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6"/>
        </w:trPr>
        <w:tc>
          <w:tcPr>
            <w:tcW w:w="25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Geography:</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4"/>
        </w:trPr>
        <w:tc>
          <w:tcPr>
            <w:tcW w:w="2580" w:type="dxa"/>
            <w:vAlign w:val="bottom"/>
          </w:tcPr>
          <w:p>
            <w:pPr>
              <w:ind w:left="220"/>
              <w:spacing w:after="0"/>
              <w:rPr>
                <w:sz w:val="20"/>
                <w:szCs w:val="20"/>
                <w:color w:val="auto"/>
              </w:rPr>
            </w:pPr>
            <w:r>
              <w:rPr>
                <w:rFonts w:ascii="Arial" w:cs="Arial" w:eastAsia="Arial" w:hAnsi="Arial"/>
                <w:sz w:val="16"/>
                <w:szCs w:val="16"/>
                <w:color w:val="auto"/>
              </w:rPr>
              <w:t>Americas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39,715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10,455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2,692</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52,862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37,031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11,240</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51,787</w:t>
            </w:r>
          </w:p>
        </w:tc>
      </w:tr>
      <w:tr>
        <w:trPr>
          <w:trHeight w:val="210"/>
        </w:trPr>
        <w:tc>
          <w:tcPr>
            <w:tcW w:w="2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6,816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7,828</w:t>
            </w:r>
          </w:p>
        </w:tc>
      </w:tr>
      <w:tr>
        <w:trPr>
          <w:trHeight w:val="204"/>
        </w:trPr>
        <w:tc>
          <w:tcPr>
            <w:tcW w:w="2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2,693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5,373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color w:val="auto"/>
              </w:rPr>
              <w:t>1,865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3,410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5,884</w:t>
            </w: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41,501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12,201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38,896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12,977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65,499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4"/>
        </w:trPr>
        <w:tc>
          <w:tcPr>
            <w:tcW w:w="258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3,354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1,636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8,131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3,925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2,611</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8,647</w:t>
            </w:r>
          </w:p>
        </w:tc>
      </w:tr>
      <w:tr>
        <w:trPr>
          <w:trHeight w:val="210"/>
        </w:trPr>
        <w:tc>
          <w:tcPr>
            <w:tcW w:w="2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4,244</w:t>
            </w:r>
          </w:p>
        </w:tc>
      </w:tr>
      <w:tr>
        <w:trPr>
          <w:trHeight w:val="204"/>
        </w:trPr>
        <w:tc>
          <w:tcPr>
            <w:tcW w:w="2580" w:type="dxa"/>
            <w:vAlign w:val="bottom"/>
          </w:tcPr>
          <w:p>
            <w:pPr>
              <w:ind w:left="220"/>
              <w:spacing w:after="0"/>
              <w:rPr>
                <w:sz w:val="20"/>
                <w:szCs w:val="20"/>
                <w:color w:val="auto"/>
              </w:rPr>
            </w:pPr>
            <w:r>
              <w:rPr>
                <w:rFonts w:ascii="Arial" w:cs="Arial" w:eastAsia="Arial" w:hAnsi="Arial"/>
                <w:sz w:val="16"/>
                <w:szCs w:val="16"/>
                <w:color w:val="auto"/>
              </w:rPr>
              <w:t>Subscription Services</w:t>
            </w:r>
          </w:p>
        </w:tc>
        <w:tc>
          <w:tcPr>
            <w:tcW w:w="3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37,811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8,210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8,515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54,536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32,996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8,433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10,614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52,043</w:t>
            </w:r>
          </w:p>
        </w:tc>
      </w:tr>
      <w:tr>
        <w:trPr>
          <w:trHeight w:val="207"/>
        </w:trPr>
        <w:tc>
          <w:tcPr>
            <w:tcW w:w="2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3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565</w:t>
            </w:r>
          </w:p>
        </w:tc>
      </w:tr>
      <w:tr>
        <w:trPr>
          <w:trHeight w:val="20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41,501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12,164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12,201</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65,866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38,896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12,977</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13,626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65,499</w:t>
            </w:r>
          </w:p>
        </w:tc>
      </w:tr>
      <w:tr>
        <w:trPr>
          <w:trHeight w:val="20"/>
        </w:trPr>
        <w:tc>
          <w:tcPr>
            <w:tcW w:w="2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Accounts Receivable and Contract balances</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economic indicators.</w:t>
      </w:r>
    </w:p>
    <w:p>
      <w:pPr>
        <w:spacing w:after="0" w:line="20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March 31, 2022 is $12.5 million.</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contract assets and liabilities are reported in a net position on a customer basis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0" w:type="dxa"/>
            <w:vAlign w:val="bottom"/>
          </w:tcPr>
          <w:p>
            <w:pPr>
              <w:ind w:left="32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w:t>
            </w: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46"/>
        </w:trPr>
        <w:tc>
          <w:tcPr>
            <w:tcW w:w="92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w w:val="99"/>
              </w:rPr>
              <w:t>Contract Liabilities</w:t>
            </w:r>
            <w:r>
              <w:rPr>
                <w:rFonts w:ascii="Arial" w:cs="Arial" w:eastAsia="Arial" w:hAnsi="Arial"/>
                <w:sz w:val="22"/>
                <w:szCs w:val="22"/>
                <w:b w:val="1"/>
                <w:bCs w:val="1"/>
                <w:color w:val="auto"/>
                <w:w w:val="99"/>
                <w:vertAlign w:val="superscript"/>
              </w:rPr>
              <w:t>1</w:t>
            </w:r>
          </w:p>
        </w:tc>
      </w:tr>
      <w:tr>
        <w:trPr>
          <w:trHeight w:val="213"/>
        </w:trPr>
        <w:tc>
          <w:tcPr>
            <w:tcW w:w="9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Balance - January 1, 2022</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center"/>
              <w:ind w:left="934"/>
              <w:spacing w:after="0"/>
              <w:rPr>
                <w:sz w:val="20"/>
                <w:szCs w:val="20"/>
                <w:color w:val="auto"/>
              </w:rPr>
            </w:pPr>
            <w:r>
              <w:rPr>
                <w:rFonts w:ascii="Arial" w:cs="Arial" w:eastAsia="Arial" w:hAnsi="Arial"/>
                <w:sz w:val="17"/>
                <w:szCs w:val="17"/>
                <w:color w:val="auto"/>
                <w:w w:val="92"/>
              </w:rPr>
              <w:t>22,916</w:t>
            </w:r>
          </w:p>
        </w:tc>
      </w:tr>
      <w:tr>
        <w:trPr>
          <w:trHeight w:val="220"/>
        </w:trPr>
        <w:tc>
          <w:tcPr>
            <w:tcW w:w="9200" w:type="dxa"/>
            <w:vAlign w:val="bottom"/>
          </w:tcPr>
          <w:p>
            <w:pPr>
              <w:ind w:left="440"/>
              <w:spacing w:after="0"/>
              <w:rPr>
                <w:sz w:val="20"/>
                <w:szCs w:val="20"/>
                <w:color w:val="auto"/>
              </w:rPr>
            </w:pPr>
            <w:r>
              <w:rPr>
                <w:rFonts w:ascii="Arial" w:cs="Arial" w:eastAsia="Arial" w:hAnsi="Arial"/>
                <w:sz w:val="17"/>
                <w:szCs w:val="17"/>
                <w:color w:val="auto"/>
              </w:rPr>
              <w:t>Revenue recognized in the period</w:t>
            </w:r>
          </w:p>
        </w:tc>
        <w:tc>
          <w:tcPr>
            <w:tcW w:w="420" w:type="dxa"/>
            <w:vAlign w:val="bottom"/>
          </w:tcPr>
          <w:p>
            <w:pPr>
              <w:spacing w:after="0"/>
              <w:rPr>
                <w:sz w:val="19"/>
                <w:szCs w:val="19"/>
                <w:color w:val="auto"/>
              </w:rPr>
            </w:pPr>
          </w:p>
        </w:tc>
        <w:tc>
          <w:tcPr>
            <w:tcW w:w="1620" w:type="dxa"/>
            <w:vAlign w:val="bottom"/>
          </w:tcPr>
          <w:p>
            <w:pPr>
              <w:jc w:val="center"/>
              <w:ind w:left="894"/>
              <w:spacing w:after="0"/>
              <w:rPr>
                <w:sz w:val="20"/>
                <w:szCs w:val="20"/>
                <w:color w:val="auto"/>
              </w:rPr>
            </w:pPr>
            <w:r>
              <w:rPr>
                <w:rFonts w:ascii="Arial" w:cs="Arial" w:eastAsia="Arial" w:hAnsi="Arial"/>
                <w:sz w:val="17"/>
                <w:szCs w:val="17"/>
                <w:color w:val="auto"/>
                <w:w w:val="94"/>
              </w:rPr>
              <w:t>(65,860)</w:t>
            </w:r>
          </w:p>
        </w:tc>
      </w:tr>
      <w:tr>
        <w:trPr>
          <w:trHeight w:val="220"/>
        </w:trPr>
        <w:tc>
          <w:tcPr>
            <w:tcW w:w="92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Amounts billed but not recognized as revenue</w:t>
            </w:r>
          </w:p>
        </w:tc>
        <w:tc>
          <w:tcPr>
            <w:tcW w:w="4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934"/>
              <w:spacing w:after="0"/>
              <w:rPr>
                <w:sz w:val="20"/>
                <w:szCs w:val="20"/>
                <w:color w:val="auto"/>
              </w:rPr>
            </w:pPr>
            <w:r>
              <w:rPr>
                <w:rFonts w:ascii="Arial" w:cs="Arial" w:eastAsia="Arial" w:hAnsi="Arial"/>
                <w:sz w:val="17"/>
                <w:szCs w:val="17"/>
                <w:color w:val="auto"/>
                <w:w w:val="92"/>
              </w:rPr>
              <w:t>63,181</w:t>
            </w:r>
          </w:p>
        </w:tc>
      </w:tr>
      <w:tr>
        <w:trPr>
          <w:trHeight w:val="213"/>
        </w:trPr>
        <w:tc>
          <w:tcPr>
            <w:tcW w:w="9200" w:type="dxa"/>
            <w:vAlign w:val="bottom"/>
          </w:tcPr>
          <w:p>
            <w:pPr>
              <w:ind w:left="340"/>
              <w:spacing w:after="0"/>
              <w:rPr>
                <w:sz w:val="20"/>
                <w:szCs w:val="20"/>
                <w:color w:val="auto"/>
              </w:rPr>
            </w:pPr>
            <w:r>
              <w:rPr>
                <w:rFonts w:ascii="Arial" w:cs="Arial" w:eastAsia="Arial" w:hAnsi="Arial"/>
                <w:sz w:val="17"/>
                <w:szCs w:val="17"/>
                <w:color w:val="auto"/>
              </w:rPr>
              <w:t>Balance - March 31, 2022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center"/>
              <w:ind w:left="934"/>
              <w:spacing w:after="0"/>
              <w:rPr>
                <w:sz w:val="20"/>
                <w:szCs w:val="20"/>
                <w:color w:val="auto"/>
              </w:rPr>
            </w:pPr>
            <w:r>
              <w:rPr>
                <w:rFonts w:ascii="Arial" w:cs="Arial" w:eastAsia="Arial" w:hAnsi="Arial"/>
                <w:sz w:val="17"/>
                <w:szCs w:val="17"/>
                <w:color w:val="auto"/>
                <w:w w:val="92"/>
              </w:rPr>
              <w:t>20,237</w:t>
            </w:r>
          </w:p>
        </w:tc>
      </w:tr>
      <w:tr>
        <w:trPr>
          <w:trHeight w:val="20"/>
        </w:trPr>
        <w:tc>
          <w:tcPr>
            <w:tcW w:w="9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9" w:lineRule="auto"/>
        <w:tabs>
          <w:tab w:leader="none" w:pos="20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Comprised of Deferred Revenue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44" w:lineRule="exact"/>
        <w:rPr>
          <w:sz w:val="20"/>
          <w:szCs w:val="20"/>
          <w:color w:val="auto"/>
        </w:rPr>
      </w:pPr>
    </w:p>
    <w:p>
      <w:pPr>
        <w:ind w:firstLine="311"/>
        <w:spacing w:after="0" w:line="316"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March 31, 2022. The Company has elected not to disclose transaction price allocated to remaining performance obligations for:</w:t>
      </w:r>
    </w:p>
    <w:p>
      <w:pPr>
        <w:spacing w:after="0" w:line="162" w:lineRule="exact"/>
        <w:rPr>
          <w:sz w:val="20"/>
          <w:szCs w:val="20"/>
          <w:color w:val="auto"/>
        </w:rPr>
      </w:pPr>
    </w:p>
    <w:p>
      <w:pPr>
        <w:ind w:left="620" w:hanging="306"/>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5" w:lineRule="exact"/>
        <w:rPr>
          <w:rFonts w:ascii="Arial" w:cs="Arial" w:eastAsia="Arial" w:hAnsi="Arial"/>
          <w:sz w:val="16"/>
          <w:szCs w:val="16"/>
          <w:color w:val="auto"/>
        </w:rPr>
      </w:pPr>
    </w:p>
    <w:p>
      <w:pPr>
        <w:ind w:left="620" w:hanging="306"/>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11" w:lineRule="exact"/>
        <w:rPr>
          <w:rFonts w:ascii="Arial" w:cs="Arial" w:eastAsia="Arial" w:hAnsi="Arial"/>
          <w:sz w:val="17"/>
          <w:szCs w:val="17"/>
          <w:color w:val="auto"/>
        </w:rPr>
      </w:pPr>
    </w:p>
    <w:p>
      <w:pPr>
        <w:jc w:val="both"/>
        <w:ind w:left="620" w:hanging="306"/>
        <w:spacing w:after="0" w:line="258"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Company’s remaining performance obligations, all of which will be resolved in the period in which amounts are known:</w:t>
      </w:r>
    </w:p>
    <w:p>
      <w:pPr>
        <w:spacing w:after="0" w:line="11" w:lineRule="exact"/>
        <w:rPr>
          <w:sz w:val="20"/>
          <w:szCs w:val="20"/>
          <w:color w:val="auto"/>
        </w:rPr>
      </w:pPr>
    </w:p>
    <w:p>
      <w:pPr>
        <w:ind w:left="1240" w:hanging="30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consideration for future transactions, above any contractual minimums</w:t>
      </w:r>
    </w:p>
    <w:p>
      <w:pPr>
        <w:spacing w:after="0" w:line="11" w:lineRule="exact"/>
        <w:rPr>
          <w:rFonts w:ascii="Arial" w:cs="Arial" w:eastAsia="Arial" w:hAnsi="Arial"/>
          <w:sz w:val="17"/>
          <w:szCs w:val="17"/>
          <w:color w:val="auto"/>
        </w:rPr>
      </w:pPr>
    </w:p>
    <w:p>
      <w:pPr>
        <w:ind w:left="1240" w:hanging="30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consideration for success-based transactions contingent on third party data</w:t>
      </w:r>
    </w:p>
    <w:p>
      <w:pPr>
        <w:spacing w:after="0" w:line="11" w:lineRule="exact"/>
        <w:rPr>
          <w:rFonts w:ascii="Arial" w:cs="Arial" w:eastAsia="Arial" w:hAnsi="Arial"/>
          <w:sz w:val="17"/>
          <w:szCs w:val="17"/>
          <w:color w:val="auto"/>
        </w:rPr>
      </w:pPr>
    </w:p>
    <w:p>
      <w:pPr>
        <w:ind w:left="1240" w:hanging="30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credits for failure to meet future service level requirements</w:t>
      </w:r>
    </w:p>
    <w:p>
      <w:pPr>
        <w:spacing w:after="0" w:line="232"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As of March 31, 2022, the aggregate amount of transaction price allocated to remaining performance obligations, other than those meeting the exclusion criteria above, was $184.4 million, of which approximately 91.5 percent is expected to be recognized as revenues within 2 years, and the remainder thereafter.</w:t>
      </w:r>
    </w:p>
    <w:p>
      <w:pPr>
        <w:spacing w:after="0" w:line="162"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99"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24" w:lineRule="exact"/>
        <w:rPr>
          <w:rFonts w:ascii="Arial" w:cs="Arial" w:eastAsia="Arial" w:hAnsi="Arial"/>
          <w:sz w:val="17"/>
          <w:szCs w:val="17"/>
          <w:color w:val="auto"/>
        </w:rPr>
      </w:pPr>
    </w:p>
    <w:p>
      <w:pPr>
        <w:jc w:val="both"/>
        <w:ind w:left="320" w:hanging="317"/>
        <w:spacing w:after="0" w:line="254"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ind w:left="320" w:hanging="317"/>
        <w:spacing w:after="0" w:line="268"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7"/>
                <w:szCs w:val="17"/>
                <w:b w:val="1"/>
                <w:bCs w:val="1"/>
                <w:color w:val="auto"/>
              </w:rPr>
              <w:t>March 31, 2022</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1)</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0"/>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21,727</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21,727</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jc w:val="right"/>
              <w:ind w:right="94"/>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21,727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21,727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4"/>
              <w:spacing w:after="0" w:line="194" w:lineRule="exact"/>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7"/>
                <w:szCs w:val="17"/>
                <w:color w:val="auto"/>
              </w:rPr>
              <w:t>Total temporary equity</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12,500</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7"/>
                <w:szCs w:val="17"/>
                <w:b w:val="1"/>
                <w:bCs w:val="1"/>
                <w:color w:val="auto"/>
              </w:rPr>
              <w:t>December 31, 2021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1)</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0"/>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31,504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802"/>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Total assets</w:t>
            </w:r>
          </w:p>
        </w:tc>
        <w:tc>
          <w:tcPr>
            <w:tcW w:w="260" w:type="dxa"/>
            <w:vAlign w:val="bottom"/>
            <w:shd w:val="clear" w:color="auto" w:fill="CCEEFF"/>
          </w:tcPr>
          <w:p>
            <w:pPr>
              <w:jc w:val="right"/>
              <w:ind w:right="74"/>
              <w:spacing w:after="0" w:line="187"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31,504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4"/>
              <w:spacing w:after="0" w:line="187"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31,504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line="187"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1</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Arial" w:cs="Arial" w:eastAsia="Arial" w:hAnsi="Arial"/>
                <w:sz w:val="17"/>
                <w:szCs w:val="17"/>
                <w:color w:val="auto"/>
              </w:rPr>
              <w:t>Total temporary equity</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01" w:lineRule="auto"/>
        <w:tabs>
          <w:tab w:leader="none" w:pos="10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Put arrangements held by the noncontrolling interests in certain of the Company’s joint venture.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4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three months ended March 31, 2022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center"/>
              <w:ind w:right="114"/>
              <w:spacing w:after="0"/>
              <w:rPr>
                <w:sz w:val="20"/>
                <w:szCs w:val="20"/>
                <w:color w:val="auto"/>
              </w:rPr>
            </w:pPr>
            <w:r>
              <w:rPr>
                <w:rFonts w:ascii="Arial" w:cs="Arial" w:eastAsia="Arial" w:hAnsi="Arial"/>
                <w:sz w:val="17"/>
                <w:szCs w:val="17"/>
                <w:b w:val="1"/>
                <w:bCs w:val="1"/>
                <w:color w:val="auto"/>
                <w:w w:val="89"/>
              </w:rPr>
              <w:t>Redeemable</w:t>
            </w:r>
          </w:p>
        </w:tc>
      </w:tr>
      <w:tr>
        <w:trPr>
          <w:trHeight w:val="168"/>
        </w:trPr>
        <w:tc>
          <w:tcPr>
            <w:tcW w:w="9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34"/>
              <w:spacing w:after="0" w:line="168" w:lineRule="exact"/>
              <w:rPr>
                <w:sz w:val="20"/>
                <w:szCs w:val="20"/>
                <w:color w:val="auto"/>
              </w:rPr>
            </w:pPr>
            <w:r>
              <w:rPr>
                <w:rFonts w:ascii="Arial" w:cs="Arial" w:eastAsia="Arial" w:hAnsi="Arial"/>
                <w:sz w:val="17"/>
                <w:szCs w:val="17"/>
                <w:b w:val="1"/>
                <w:bCs w:val="1"/>
                <w:color w:val="auto"/>
                <w:w w:val="90"/>
              </w:rPr>
              <w:t>noncontrolling</w:t>
            </w:r>
          </w:p>
        </w:tc>
      </w:tr>
      <w:tr>
        <w:trPr>
          <w:trHeight w:val="220"/>
        </w:trPr>
        <w:tc>
          <w:tcPr>
            <w:tcW w:w="9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87"/>
              </w:rPr>
              <w:t>interests</w:t>
            </w:r>
          </w:p>
        </w:tc>
      </w:tr>
      <w:tr>
        <w:trPr>
          <w:trHeight w:val="21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r>
      <w:tr>
        <w:trPr>
          <w:trHeight w:val="220"/>
        </w:trPr>
        <w:tc>
          <w:tcPr>
            <w:tcW w:w="9480" w:type="dxa"/>
            <w:vAlign w:val="bottom"/>
          </w:tcPr>
          <w:p>
            <w:pPr>
              <w:ind w:left="220"/>
              <w:spacing w:after="0"/>
              <w:rPr>
                <w:sz w:val="20"/>
                <w:szCs w:val="20"/>
                <w:color w:val="auto"/>
              </w:rPr>
            </w:pPr>
            <w:r>
              <w:rPr>
                <w:rFonts w:ascii="Arial" w:cs="Arial" w:eastAsia="Arial" w:hAnsi="Arial"/>
                <w:sz w:val="17"/>
                <w:szCs w:val="17"/>
                <w:color w:val="auto"/>
              </w:rPr>
              <w:t>Fair value adjustment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 attributable to 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13"/>
        </w:trPr>
        <w:tc>
          <w:tcPr>
            <w:tcW w:w="9480" w:type="dxa"/>
            <w:vAlign w:val="bottom"/>
          </w:tcPr>
          <w:p>
            <w:pPr>
              <w:ind w:left="20"/>
              <w:spacing w:after="0"/>
              <w:rPr>
                <w:sz w:val="20"/>
                <w:szCs w:val="20"/>
                <w:color w:val="auto"/>
              </w:rPr>
            </w:pPr>
            <w:r>
              <w:rPr>
                <w:rFonts w:ascii="Arial" w:cs="Arial" w:eastAsia="Arial" w:hAnsi="Arial"/>
                <w:sz w:val="17"/>
                <w:szCs w:val="17"/>
                <w:color w:val="auto"/>
              </w:rPr>
              <w:t>Balance at March 31, 2022</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Leases</w:t>
      </w:r>
    </w:p>
    <w:p>
      <w:pPr>
        <w:spacing w:after="0" w:line="250"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7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is party to certain sublease arrangements, primarily related to the Company’s real estate leases, where it acts as the lessee and intermediate lessor.</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reflects finance leases as a component of Leases, non-current on the Condensed Consolidated Balance Sheet. The finance leases were not material for the period ended March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80" w:type="dxa"/>
            <w:vAlign w:val="bottom"/>
          </w:tcPr>
          <w:p>
            <w:pPr>
              <w:ind w:left="320"/>
              <w:spacing w:after="0"/>
              <w:rPr>
                <w:sz w:val="20"/>
                <w:szCs w:val="20"/>
                <w:color w:val="auto"/>
              </w:rPr>
            </w:pPr>
            <w:r>
              <w:rPr>
                <w:rFonts w:ascii="Arial" w:cs="Arial" w:eastAsia="Arial" w:hAnsi="Arial"/>
                <w:sz w:val="17"/>
                <w:szCs w:val="17"/>
                <w:color w:val="auto"/>
                <w:w w:val="94"/>
              </w:rPr>
              <w:t>The following table presents information about the Company's Right of Use (ROU) assets and lease liabilities at March 31, 2022:</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9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80" w:type="dxa"/>
            <w:vAlign w:val="bottom"/>
          </w:tcPr>
          <w:p>
            <w:pPr>
              <w:ind w:left="140"/>
              <w:spacing w:after="0"/>
              <w:rPr>
                <w:sz w:val="20"/>
                <w:szCs w:val="20"/>
                <w:color w:val="auto"/>
              </w:rPr>
            </w:pPr>
            <w:r>
              <w:rPr>
                <w:rFonts w:ascii="Arial" w:cs="Arial" w:eastAsia="Arial" w:hAnsi="Arial"/>
                <w:sz w:val="17"/>
                <w:szCs w:val="17"/>
                <w:color w:val="auto"/>
              </w:rPr>
              <w:t>Non-current operating lease ROU assets</w:t>
            </w: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24,606</w:t>
            </w:r>
          </w:p>
        </w:tc>
        <w:tc>
          <w:tcPr>
            <w:tcW w:w="0" w:type="dxa"/>
            <w:vAlign w:val="bottom"/>
          </w:tcPr>
          <w:p>
            <w:pPr>
              <w:spacing w:after="0"/>
              <w:rPr>
                <w:sz w:val="1"/>
                <w:szCs w:val="1"/>
                <w:color w:val="auto"/>
              </w:rPr>
            </w:pPr>
          </w:p>
        </w:tc>
      </w:tr>
      <w:tr>
        <w:trPr>
          <w:trHeight w:val="259"/>
        </w:trPr>
        <w:tc>
          <w:tcPr>
            <w:tcW w:w="9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Current operating lease liabilities</w:t>
            </w:r>
            <w:r>
              <w:rPr>
                <w:rFonts w:ascii="Arial" w:cs="Arial" w:eastAsia="Arial" w:hAnsi="Arial"/>
                <w:sz w:val="22"/>
                <w:szCs w:val="22"/>
                <w:color w:val="auto"/>
                <w:vertAlign w:val="superscript"/>
              </w:rPr>
              <w:t>1</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7,026</w:t>
            </w:r>
          </w:p>
        </w:tc>
        <w:tc>
          <w:tcPr>
            <w:tcW w:w="0" w:type="dxa"/>
            <w:vAlign w:val="bottom"/>
          </w:tcPr>
          <w:p>
            <w:pPr>
              <w:spacing w:after="0"/>
              <w:rPr>
                <w:sz w:val="1"/>
                <w:szCs w:val="1"/>
                <w:color w:val="auto"/>
              </w:rPr>
            </w:pPr>
          </w:p>
        </w:tc>
      </w:tr>
      <w:tr>
        <w:trPr>
          <w:trHeight w:val="220"/>
        </w:trPr>
        <w:tc>
          <w:tcPr>
            <w:tcW w:w="94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Non-current operating lease liabilities</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34,014</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lease liabilities</w:t>
            </w: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41,040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80" w:type="dxa"/>
            <w:vAlign w:val="bottom"/>
          </w:tcPr>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Amounts are included in Accrued Expenses on the Condensed Consolidated Balance Sheet.</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9"/>
        </w:trPr>
        <w:tc>
          <w:tcPr>
            <w:tcW w:w="9480" w:type="dxa"/>
            <w:vAlign w:val="bottom"/>
          </w:tcPr>
          <w:p>
            <w:pPr>
              <w:ind w:left="320"/>
              <w:spacing w:after="0"/>
              <w:rPr>
                <w:sz w:val="20"/>
                <w:szCs w:val="20"/>
                <w:color w:val="auto"/>
              </w:rPr>
            </w:pPr>
            <w:r>
              <w:rPr>
                <w:rFonts w:ascii="Arial" w:cs="Arial" w:eastAsia="Arial" w:hAnsi="Arial"/>
                <w:sz w:val="17"/>
                <w:szCs w:val="17"/>
                <w:color w:val="auto"/>
                <w:w w:val="94"/>
              </w:rPr>
              <w:t>The following table presents information about lease expense and sublease income for the three months ended March 31, 2022:</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Other lease costs and income:</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2"/>
                <w:szCs w:val="22"/>
                <w:color w:val="auto"/>
                <w:vertAlign w:val="superscript"/>
              </w:rPr>
              <w:t>1</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20"/>
        </w:trPr>
        <w:tc>
          <w:tcPr>
            <w:tcW w:w="9480" w:type="dxa"/>
            <w:vAlign w:val="bottom"/>
          </w:tcPr>
          <w:p>
            <w:pPr>
              <w:ind w:left="220"/>
              <w:spacing w:after="0" w:line="220" w:lineRule="exact"/>
              <w:rPr>
                <w:sz w:val="20"/>
                <w:szCs w:val="20"/>
                <w:color w:val="auto"/>
              </w:rPr>
            </w:pPr>
            <w:r>
              <w:rPr>
                <w:rFonts w:ascii="Arial" w:cs="Arial" w:eastAsia="Arial" w:hAnsi="Arial"/>
                <w:sz w:val="17"/>
                <w:szCs w:val="17"/>
                <w:color w:val="auto"/>
              </w:rPr>
              <w:t>Operating lease impairments</w:t>
            </w:r>
            <w:r>
              <w:rPr>
                <w:rFonts w:ascii="Arial" w:cs="Arial" w:eastAsia="Arial" w:hAnsi="Arial"/>
                <w:sz w:val="22"/>
                <w:szCs w:val="22"/>
                <w:color w:val="auto"/>
                <w:vertAlign w:val="superscript"/>
              </w:rPr>
              <w:t>1, 2</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Sublease income</w:t>
            </w:r>
            <w:r>
              <w:rPr>
                <w:rFonts w:ascii="Arial" w:cs="Arial" w:eastAsia="Arial" w:hAnsi="Arial"/>
                <w:sz w:val="22"/>
                <w:szCs w:val="22"/>
                <w:color w:val="auto"/>
                <w:vertAlign w:val="superscript"/>
              </w:rPr>
              <w:t>1</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3"/>
        </w:trPr>
        <w:tc>
          <w:tcPr>
            <w:tcW w:w="9480" w:type="dxa"/>
            <w:vAlign w:val="bottom"/>
          </w:tcPr>
          <w:p>
            <w:pPr>
              <w:ind w:left="20"/>
              <w:spacing w:after="0"/>
              <w:rPr>
                <w:sz w:val="20"/>
                <w:szCs w:val="20"/>
                <w:color w:val="auto"/>
              </w:rPr>
            </w:pPr>
            <w:r>
              <w:rPr>
                <w:rFonts w:ascii="Arial" w:cs="Arial" w:eastAsia="Arial" w:hAnsi="Arial"/>
                <w:sz w:val="17"/>
                <w:szCs w:val="17"/>
                <w:color w:val="auto"/>
              </w:rPr>
              <w:t>Total net lease cost</w:t>
            </w: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ind w:left="320" w:hanging="317"/>
        <w:spacing w:after="0" w:line="210" w:lineRule="auto"/>
        <w:tabs>
          <w:tab w:leader="none" w:pos="225"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ind w:left="320" w:hanging="317"/>
        <w:spacing w:after="0" w:line="241" w:lineRule="auto"/>
        <w:tabs>
          <w:tab w:leader="none" w:pos="23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As part of the Company’s continued cost savings initiatives, the Company closed certain office spaces and terminated various lease agreements. These actions resulted in $0.4 million ROU asset impairment charge for the period, which was determined by the present value of the forecasted future cash flows for the remaining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 following table provides the undiscounted amount of future cash flows included in our lease liabilities at March 31, 2022 for each of the five years subsequent to December 31, 2021 and thereafter, as well as a reconciliation of such undiscounted cash flows to our lease liabilities at March 31, 2022:</w:t>
      </w:r>
    </w:p>
    <w:tbl>
      <w:tblPr>
        <w:tblLayout w:type="fixed"/>
        <w:tblInd w:w="0" w:type="dxa"/>
        <w:tblCellMar>
          <w:top w:w="0" w:type="dxa"/>
          <w:left w:w="0" w:type="dxa"/>
          <w:bottom w:w="0" w:type="dxa"/>
          <w:right w:w="0" w:type="dxa"/>
        </w:tblCellMar>
      </w:tblPr>
      <w:tr>
        <w:trPr>
          <w:trHeight w:val="205"/>
        </w:trPr>
        <w:tc>
          <w:tcPr>
            <w:tcW w:w="94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2"/>
              </w:rPr>
              <w:t>Operating Leases</w:t>
            </w:r>
          </w:p>
        </w:tc>
      </w:tr>
      <w:tr>
        <w:trPr>
          <w:trHeight w:val="216"/>
        </w:trPr>
        <w:tc>
          <w:tcPr>
            <w:tcW w:w="9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2022</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7,809</w:t>
            </w:r>
          </w:p>
        </w:tc>
      </w:tr>
      <w:tr>
        <w:trPr>
          <w:trHeight w:val="220"/>
        </w:trPr>
        <w:tc>
          <w:tcPr>
            <w:tcW w:w="9480" w:type="dxa"/>
            <w:vAlign w:val="bottom"/>
          </w:tcPr>
          <w:p>
            <w:pPr>
              <w:ind w:left="1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8,450</w:t>
            </w:r>
          </w:p>
        </w:tc>
      </w:tr>
      <w:tr>
        <w:trPr>
          <w:trHeight w:val="220"/>
        </w:trPr>
        <w:tc>
          <w:tcPr>
            <w:tcW w:w="9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8,302</w:t>
            </w:r>
          </w:p>
        </w:tc>
      </w:tr>
      <w:tr>
        <w:trPr>
          <w:trHeight w:val="220"/>
        </w:trPr>
        <w:tc>
          <w:tcPr>
            <w:tcW w:w="9480" w:type="dxa"/>
            <w:vAlign w:val="bottom"/>
          </w:tcPr>
          <w:p>
            <w:pPr>
              <w:ind w:left="1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8,134</w:t>
            </w:r>
          </w:p>
        </w:tc>
      </w:tr>
      <w:tr>
        <w:trPr>
          <w:trHeight w:val="220"/>
        </w:trPr>
        <w:tc>
          <w:tcPr>
            <w:tcW w:w="9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7,957</w:t>
            </w:r>
          </w:p>
        </w:tc>
      </w:tr>
      <w:tr>
        <w:trPr>
          <w:trHeight w:val="220"/>
        </w:trPr>
        <w:tc>
          <w:tcPr>
            <w:tcW w:w="94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10,501</w:t>
            </w:r>
          </w:p>
        </w:tc>
      </w:tr>
      <w:tr>
        <w:trPr>
          <w:trHeight w:val="213"/>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future lease payments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51,153</w:t>
            </w:r>
          </w:p>
        </w:tc>
      </w:tr>
      <w:tr>
        <w:trPr>
          <w:trHeight w:val="220"/>
        </w:trPr>
        <w:tc>
          <w:tcPr>
            <w:tcW w:w="94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Less: amount representing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(10,113)</w:t>
            </w:r>
          </w:p>
        </w:tc>
      </w:tr>
      <w:tr>
        <w:trPr>
          <w:trHeight w:val="238"/>
        </w:trPr>
        <w:tc>
          <w:tcPr>
            <w:tcW w:w="9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Present value of future lease payments (lease liability)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41,040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2"/>
        </w:trPr>
        <w:tc>
          <w:tcPr>
            <w:tcW w:w="11240" w:type="dxa"/>
            <w:vAlign w:val="bottom"/>
            <w:gridSpan w:val="3"/>
          </w:tcPr>
          <w:p>
            <w:pPr>
              <w:ind w:left="320"/>
              <w:spacing w:after="0"/>
              <w:rPr>
                <w:sz w:val="20"/>
                <w:szCs w:val="20"/>
                <w:color w:val="auto"/>
              </w:rPr>
            </w:pPr>
            <w:r>
              <w:rPr>
                <w:rFonts w:ascii="Arial" w:cs="Arial" w:eastAsia="Arial" w:hAnsi="Arial"/>
                <w:sz w:val="17"/>
                <w:szCs w:val="17"/>
                <w:color w:val="auto"/>
                <w:w w:val="98"/>
              </w:rPr>
              <w:t>The following table provides the weighted-average remaining lease term and weighted-average discount rates for our leases as of March 31, 2022:</w:t>
            </w:r>
          </w:p>
        </w:tc>
      </w:tr>
      <w:tr>
        <w:trPr>
          <w:trHeight w:val="258"/>
        </w:trPr>
        <w:tc>
          <w:tcPr>
            <w:tcW w:w="9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9480" w:type="dxa"/>
            <w:vAlign w:val="bottom"/>
          </w:tcPr>
          <w:p>
            <w:pPr>
              <w:ind w:left="140"/>
              <w:spacing w:after="0"/>
              <w:rPr>
                <w:sz w:val="20"/>
                <w:szCs w:val="20"/>
                <w:color w:val="auto"/>
              </w:rPr>
            </w:pPr>
            <w:r>
              <w:rPr>
                <w:rFonts w:ascii="Arial" w:cs="Arial" w:eastAsia="Arial" w:hAnsi="Arial"/>
                <w:sz w:val="17"/>
                <w:szCs w:val="17"/>
                <w:color w:val="auto"/>
              </w:rPr>
              <w:t>Weighted-average remaining lease term (years), weighted based on lease liability balances</w:t>
            </w:r>
          </w:p>
        </w:tc>
        <w:tc>
          <w:tcPr>
            <w:tcW w:w="200" w:type="dxa"/>
            <w:vAlign w:val="bottom"/>
          </w:tcPr>
          <w:p>
            <w:pPr>
              <w:spacing w:after="0"/>
              <w:rPr>
                <w:sz w:val="19"/>
                <w:szCs w:val="19"/>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auto"/>
              </w:rPr>
              <w:t>5.69</w:t>
            </w:r>
          </w:p>
        </w:tc>
      </w:tr>
      <w:tr>
        <w:trPr>
          <w:trHeight w:val="220"/>
        </w:trPr>
        <w:tc>
          <w:tcPr>
            <w:tcW w:w="9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Weighted-average discount rate (percentages), weighted based on the remaining balance of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8.2%</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 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138035"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Leases:</w:t>
      </w:r>
    </w:p>
    <w:p>
      <w:pPr>
        <w:spacing w:after="0" w:line="24" w:lineRule="exact"/>
        <w:rPr>
          <w:sz w:val="20"/>
          <w:szCs w:val="20"/>
          <w:color w:val="auto"/>
        </w:rPr>
      </w:pPr>
    </w:p>
    <w:p>
      <w:pPr>
        <w:ind w:left="140"/>
        <w:spacing w:after="0"/>
        <w:tabs>
          <w:tab w:leader="none" w:pos="9480" w:val="left"/>
          <w:tab w:leader="none" w:pos="10760" w:val="left"/>
        </w:tabs>
        <w:rPr>
          <w:sz w:val="20"/>
          <w:szCs w:val="20"/>
          <w:color w:val="auto"/>
        </w:rPr>
      </w:pPr>
      <w:r>
        <w:rPr>
          <w:rFonts w:ascii="Arial" w:cs="Arial" w:eastAsia="Arial" w:hAnsi="Arial"/>
          <w:sz w:val="17"/>
          <w:szCs w:val="17"/>
          <w:color w:val="auto"/>
        </w:rPr>
        <w:t>Cash paid for amounts included in the measurement of lease liabilities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2,603</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Investments in Affiliates and Related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199" w:lineRule="exact"/>
        <w:rPr>
          <w:sz w:val="20"/>
          <w:szCs w:val="20"/>
          <w:color w:val="auto"/>
        </w:rPr>
      </w:pPr>
    </w:p>
    <w:p>
      <w:pPr>
        <w:jc w:val="both"/>
        <w:ind w:firstLine="311"/>
        <w:spacing w:after="0" w:line="244" w:lineRule="auto"/>
        <w:rPr>
          <w:sz w:val="20"/>
          <w:szCs w:val="20"/>
          <w:color w:val="auto"/>
        </w:rPr>
      </w:pPr>
      <w:r>
        <w:rPr>
          <w:rFonts w:ascii="Arial" w:cs="Arial" w:eastAsia="Arial" w:hAnsi="Arial"/>
          <w:sz w:val="17"/>
          <w:szCs w:val="17"/>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No gain or loss was recognized as a result of the transaction. As of March 31, 2022, the Company reassessed the fair value of the Note and there were no material changes.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of Senior Notes</w:t>
      </w:r>
    </w:p>
    <w:p>
      <w:pPr>
        <w:spacing w:after="0" w:line="24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99"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4"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1"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19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amounts of the Company’s borrowings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Senior Notes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w w:val="98"/>
              </w:rPr>
              <w:t>March 31, 2022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1"/>
              </w:rPr>
              <w:t>December 31, 2021</w:t>
            </w: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8.375% Senior Notes due 2026</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r>
      <w:tr>
        <w:trPr>
          <w:trHeight w:val="220"/>
        </w:trPr>
        <w:tc>
          <w:tcPr>
            <w:tcW w:w="7640" w:type="dxa"/>
            <w:vAlign w:val="bottom"/>
            <w:tcBorders>
              <w:bottom w:val="single" w:sz="8" w:color="CCEEFF"/>
            </w:tcBorders>
            <w:gridSpan w:val="2"/>
          </w:tcPr>
          <w:p>
            <w:pPr>
              <w:ind w:left="220"/>
              <w:spacing w:after="0" w:line="220" w:lineRule="exact"/>
              <w:rPr>
                <w:sz w:val="20"/>
                <w:szCs w:val="20"/>
                <w:color w:val="auto"/>
              </w:rPr>
            </w:pPr>
            <w:r>
              <w:rPr>
                <w:rFonts w:ascii="Arial" w:cs="Arial" w:eastAsia="Arial" w:hAnsi="Arial"/>
                <w:sz w:val="17"/>
                <w:szCs w:val="17"/>
                <w:color w:val="auto"/>
              </w:rPr>
              <w:t>Unamortized discount and debt issuance cost</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(7,973)</w:t>
            </w:r>
          </w:p>
        </w:tc>
      </w:tr>
      <w:tr>
        <w:trPr>
          <w:trHeight w:val="23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Carrying value of Senior Notes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133,462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133,104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09" w:lineRule="auto"/>
        <w:tabs>
          <w:tab w:leader="none" w:pos="1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Debt issuance costs are deferred and amortized into interest expense using the effective interest method.</w:t>
      </w:r>
    </w:p>
    <w:p>
      <w:pPr>
        <w:spacing w:after="0" w:line="21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fair value of the outstanding Senior Notes was $119.9 million as of March 31, 2022. The Company is in compliance with its debt covenants as of March 31, 2022.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Revolving Credit Facility</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0.5%.</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June 30, 2021, the Company paid off the outstanding balance and closed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80" w:type="dxa"/>
            <w:vAlign w:val="bottom"/>
          </w:tcPr>
          <w:p>
            <w:pPr>
              <w:spacing w:after="0"/>
              <w:rPr>
                <w:sz w:val="20"/>
                <w:szCs w:val="20"/>
                <w:color w:val="auto"/>
              </w:rPr>
            </w:pPr>
            <w:r>
              <w:rPr>
                <w:rFonts w:ascii="Arial" w:cs="Arial" w:eastAsia="Arial" w:hAnsi="Arial"/>
                <w:sz w:val="17"/>
                <w:szCs w:val="17"/>
                <w:b w:val="1"/>
                <w:bCs w:val="1"/>
                <w:i w:val="1"/>
                <w:iCs w:val="1"/>
                <w:color w:val="auto"/>
              </w:rPr>
              <w:t>Interest expense</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40"/>
        </w:trPr>
        <w:tc>
          <w:tcPr>
            <w:tcW w:w="7980" w:type="dxa"/>
            <w:vAlign w:val="bottom"/>
          </w:tcPr>
          <w:p>
            <w:pPr>
              <w:ind w:left="320"/>
              <w:spacing w:after="0"/>
              <w:rPr>
                <w:sz w:val="20"/>
                <w:szCs w:val="20"/>
                <w:color w:val="auto"/>
              </w:rPr>
            </w:pPr>
            <w:r>
              <w:rPr>
                <w:rFonts w:ascii="Arial" w:cs="Arial" w:eastAsia="Arial" w:hAnsi="Arial"/>
                <w:sz w:val="17"/>
                <w:szCs w:val="17"/>
                <w:color w:val="auto"/>
              </w:rPr>
              <w:t>The following table summarizes the Company’s interest expense:</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6"/>
        </w:trPr>
        <w:tc>
          <w:tcPr>
            <w:tcW w:w="7980" w:type="dxa"/>
            <w:vAlign w:val="bottom"/>
          </w:tcPr>
          <w:p>
            <w:pPr>
              <w:spacing w:after="0"/>
              <w:rPr>
                <w:sz w:val="21"/>
                <w:szCs w:val="21"/>
                <w:color w:val="auto"/>
              </w:rPr>
            </w:pPr>
          </w:p>
        </w:tc>
        <w:tc>
          <w:tcPr>
            <w:tcW w:w="292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Three Months Ended March 31,</w:t>
            </w:r>
          </w:p>
        </w:tc>
        <w:tc>
          <w:tcPr>
            <w:tcW w:w="340" w:type="dxa"/>
            <w:vAlign w:val="bottom"/>
            <w:tcBorders>
              <w:bottom w:val="single" w:sz="8" w:color="auto"/>
            </w:tcBorders>
          </w:tcPr>
          <w:p>
            <w:pPr>
              <w:spacing w:after="0"/>
              <w:rPr>
                <w:sz w:val="21"/>
                <w:szCs w:val="21"/>
                <w:color w:val="auto"/>
              </w:rPr>
            </w:pPr>
          </w:p>
        </w:tc>
      </w:tr>
      <w:tr>
        <w:trPr>
          <w:trHeight w:val="213"/>
        </w:trPr>
        <w:tc>
          <w:tcPr>
            <w:tcW w:w="79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bottom w:val="single" w:sz="8" w:color="auto"/>
            </w:tcBorders>
          </w:tcPr>
          <w:p>
            <w:pPr>
              <w:spacing w:after="0"/>
              <w:rPr>
                <w:sz w:val="18"/>
                <w:szCs w:val="18"/>
                <w:color w:val="auto"/>
              </w:rPr>
            </w:pPr>
          </w:p>
        </w:tc>
      </w:tr>
      <w:tr>
        <w:trPr>
          <w:trHeight w:val="20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Non-Convertible Senior Notes due 2026:</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20"/>
        </w:trPr>
        <w:tc>
          <w:tcPr>
            <w:tcW w:w="798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040" w:type="dxa"/>
            <w:vAlign w:val="bottom"/>
          </w:tcPr>
          <w:p>
            <w:pPr>
              <w:jc w:val="right"/>
              <w:ind w:right="854"/>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9"/>
                <w:szCs w:val="19"/>
                <w:color w:val="auto"/>
              </w:rPr>
            </w:pPr>
          </w:p>
        </w:tc>
        <w:tc>
          <w:tcPr>
            <w:tcW w:w="1240" w:type="dxa"/>
            <w:vAlign w:val="bottom"/>
          </w:tcPr>
          <w:p>
            <w:pPr>
              <w:jc w:val="right"/>
              <w:ind w:right="1054"/>
              <w:spacing w:after="0"/>
              <w:rPr>
                <w:sz w:val="20"/>
                <w:szCs w:val="20"/>
                <w:color w:val="auto"/>
              </w:rPr>
            </w:pPr>
            <w:r>
              <w:rPr>
                <w:rFonts w:ascii="Arial" w:cs="Arial" w:eastAsia="Arial" w:hAnsi="Arial"/>
                <w:sz w:val="17"/>
                <w:szCs w:val="17"/>
                <w:color w:val="auto"/>
                <w:w w:val="84"/>
              </w:rPr>
              <w:t>$</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r>
      <w:tr>
        <w:trPr>
          <w:trHeight w:val="220"/>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r>
      <w:tr>
        <w:trPr>
          <w:trHeight w:val="220"/>
        </w:trPr>
        <w:tc>
          <w:tcPr>
            <w:tcW w:w="7980" w:type="dxa"/>
            <w:vAlign w:val="bottom"/>
          </w:tcPr>
          <w:p>
            <w:pPr>
              <w:ind w:left="220"/>
              <w:spacing w:after="0"/>
              <w:rPr>
                <w:sz w:val="20"/>
                <w:szCs w:val="20"/>
                <w:color w:val="auto"/>
              </w:rPr>
            </w:pPr>
            <w:r>
              <w:rPr>
                <w:rFonts w:ascii="Arial" w:cs="Arial" w:eastAsia="Arial" w:hAnsi="Arial"/>
                <w:sz w:val="17"/>
                <w:szCs w:val="17"/>
                <w:color w:val="auto"/>
              </w:rPr>
              <w:t>Amortization of debt discount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r>
      <w:tr>
        <w:trPr>
          <w:trHeight w:val="22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 Revolving Credit Facility:</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0"/>
        </w:trPr>
        <w:tc>
          <w:tcPr>
            <w:tcW w:w="798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0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12</w:t>
            </w:r>
          </w:p>
        </w:tc>
      </w:tr>
      <w:tr>
        <w:trPr>
          <w:trHeight w:val="220"/>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63</w:t>
            </w:r>
          </w:p>
        </w:tc>
      </w:tr>
      <w:tr>
        <w:trPr>
          <w:trHeight w:val="22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5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20</w:t>
            </w: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Accumulated Other Comprehensive (Loss) / Income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accumulated other comprehensive (loss) income during the three months ended March 31, 2022 were as follows:</w:t>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Arial" w:cs="Arial" w:eastAsia="Arial" w:hAnsi="Arial"/>
                <w:sz w:val="16"/>
                <w:szCs w:val="16"/>
                <w:b w:val="1"/>
                <w:bCs w:val="1"/>
                <w:color w:val="auto"/>
                <w:w w:val="92"/>
              </w:rPr>
              <w:t>Balance at December 31,</w:t>
            </w:r>
          </w:p>
        </w:tc>
        <w:tc>
          <w:tcPr>
            <w:tcW w:w="22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Other comprehensive</w:t>
            </w:r>
          </w:p>
        </w:tc>
        <w:tc>
          <w:tcPr>
            <w:tcW w:w="400" w:type="dxa"/>
            <w:vAlign w:val="bottom"/>
          </w:tcPr>
          <w:p>
            <w:pPr>
              <w:spacing w:after="0"/>
              <w:rPr>
                <w:sz w:val="16"/>
                <w:szCs w:val="16"/>
                <w:color w:val="auto"/>
              </w:rPr>
            </w:pPr>
          </w:p>
        </w:tc>
        <w:tc>
          <w:tcPr>
            <w:tcW w:w="13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Tax effect</w:t>
            </w:r>
          </w:p>
        </w:tc>
        <w:tc>
          <w:tcPr>
            <w:tcW w:w="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57"/>
              <w:spacing w:after="0"/>
              <w:rPr>
                <w:sz w:val="20"/>
                <w:szCs w:val="20"/>
                <w:color w:val="auto"/>
              </w:rPr>
            </w:pPr>
            <w:r>
              <w:rPr>
                <w:rFonts w:ascii="Arial" w:cs="Arial" w:eastAsia="Arial" w:hAnsi="Arial"/>
                <w:sz w:val="16"/>
                <w:szCs w:val="16"/>
                <w:b w:val="1"/>
                <w:bCs w:val="1"/>
                <w:color w:val="auto"/>
                <w:w w:val="88"/>
              </w:rPr>
              <w:t>Balance at March 31,</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(loss) income</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37"/>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w:t>
            </w:r>
          </w:p>
        </w:tc>
        <w:tc>
          <w:tcPr>
            <w:tcW w:w="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center"/>
              <w:ind w:left="91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(32,509)</w:t>
            </w:r>
          </w:p>
        </w:tc>
        <w:tc>
          <w:tcPr>
            <w:tcW w:w="0" w:type="dxa"/>
            <w:vAlign w:val="bottom"/>
          </w:tcPr>
          <w:p>
            <w:pPr>
              <w:spacing w:after="0"/>
              <w:rPr>
                <w:sz w:val="1"/>
                <w:szCs w:val="1"/>
                <w:color w:val="auto"/>
              </w:rPr>
            </w:pPr>
          </w:p>
        </w:tc>
      </w:tr>
      <w:tr>
        <w:trPr>
          <w:trHeight w:val="169"/>
        </w:trPr>
        <w:tc>
          <w:tcPr>
            <w:tcW w:w="3840" w:type="dxa"/>
            <w:vAlign w:val="bottom"/>
          </w:tcPr>
          <w:p>
            <w:pPr>
              <w:ind w:left="100"/>
              <w:spacing w:after="0" w:line="169" w:lineRule="exact"/>
              <w:rPr>
                <w:sz w:val="20"/>
                <w:szCs w:val="20"/>
                <w:color w:val="auto"/>
              </w:rPr>
            </w:pPr>
            <w:r>
              <w:rPr>
                <w:rFonts w:ascii="Arial" w:cs="Arial" w:eastAsia="Arial" w:hAnsi="Arial"/>
                <w:sz w:val="17"/>
                <w:szCs w:val="17"/>
                <w:color w:val="auto"/>
              </w:rPr>
              <w:t>Unrealized loss on intra-entity foreign currency</w:t>
            </w:r>
          </w:p>
        </w:tc>
        <w:tc>
          <w:tcPr>
            <w:tcW w:w="4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(3,635)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restart"/>
          </w:tcPr>
          <w:p>
            <w:pPr>
              <w:jc w:val="center"/>
              <w:ind w:left="976"/>
              <w:spacing w:after="0"/>
              <w:rPr>
                <w:sz w:val="20"/>
                <w:szCs w:val="20"/>
                <w:color w:val="auto"/>
              </w:rPr>
            </w:pPr>
            <w:r>
              <w:rPr>
                <w:rFonts w:ascii="Arial" w:cs="Arial" w:eastAsia="Arial" w:hAnsi="Arial"/>
                <w:sz w:val="17"/>
                <w:szCs w:val="17"/>
                <w:color w:val="auto"/>
                <w:w w:val="92"/>
              </w:rPr>
              <w:t>(11)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color w:val="auto"/>
              </w:rPr>
              <w:t>(3,617)</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transactions</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center"/>
              <w:ind w:left="976"/>
              <w:spacing w:after="0"/>
              <w:rPr>
                <w:sz w:val="20"/>
                <w:szCs w:val="20"/>
                <w:color w:val="auto"/>
              </w:rPr>
            </w:pPr>
            <w:r>
              <w:rPr>
                <w:rFonts w:ascii="Arial" w:cs="Arial" w:eastAsia="Arial" w:hAnsi="Arial"/>
                <w:sz w:val="17"/>
                <w:szCs w:val="17"/>
                <w:color w:val="auto"/>
                <w:w w:val="92"/>
              </w:rPr>
              <w:t>(11)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(36,126)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Capital Structure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4" w:lineRule="exact"/>
        <w:rPr>
          <w:sz w:val="20"/>
          <w:szCs w:val="20"/>
          <w:color w:val="auto"/>
        </w:rPr>
      </w:pPr>
    </w:p>
    <w:p>
      <w:pPr>
        <w:jc w:val="both"/>
        <w:ind w:right="80" w:firstLine="311"/>
        <w:spacing w:after="0" w:line="283"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Offering</w:t>
      </w:r>
    </w:p>
    <w:p>
      <w:pPr>
        <w:spacing w:after="0" w:line="244" w:lineRule="exact"/>
        <w:rPr>
          <w:sz w:val="20"/>
          <w:szCs w:val="20"/>
          <w:color w:val="auto"/>
        </w:rPr>
      </w:pPr>
    </w:p>
    <w:p>
      <w:pPr>
        <w:jc w:val="both"/>
        <w:ind w:right="80" w:firstLine="311"/>
        <w:spacing w:after="0" w:line="264" w:lineRule="auto"/>
        <w:rPr>
          <w:sz w:val="20"/>
          <w:szCs w:val="20"/>
          <w:color w:val="auto"/>
        </w:rPr>
      </w:pPr>
      <w:r>
        <w:rPr>
          <w:rFonts w:ascii="Arial" w:cs="Arial" w:eastAsia="Arial" w:hAnsi="Arial"/>
          <w:sz w:val="17"/>
          <w:szCs w:val="17"/>
          <w:color w:val="auto"/>
        </w:rPr>
        <w:t>On June 29, 2021, the Company closed its underwritten public offering of common stock, par value $0.0001 per share. The offering was conducted pursuant to an underwriting agreement (the “Underwriting Agreement”) dated June 24, 2021, by and between the Company and B. Riley Securities, Inc., as representative of the several underwriters (the “Underwriters”) for net proceeds of $102.3 million. At the closing, the Company issued 42,307,692 shares of common stock, inclusive of 3,846,154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shares of common stock issued pursuant to the full exercise of the Underwriters’ option to purchase additional shares of common stock. The Company used the net proceeds for the redemption of the Series A Convertible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Statement</w:t>
      </w:r>
    </w:p>
    <w:p>
      <w:pPr>
        <w:spacing w:after="0" w:line="244"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On August 19, 2020, the Company filed a universal shelf registration statement with the SEC for the issuance of common stock, preferred stock, debt securities, guarantees of debt securities, warrants and units up to an aggregate amount of $250.0 million (“the 2020 Shelf Registration Statement”). On August 28, 2020, the 2020 Shelf Registration Statement was declared effective by the SEC. As of March 31, 2022, except for the Common Stock offering and the issuance of Senior Notes, the Company has not raised additional capital using the 2020 Shelf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4"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Non-Convertible Preferred Stock</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B Preferred Stock</w:t>
      </w:r>
    </w:p>
    <w:p>
      <w:pPr>
        <w:spacing w:after="0" w:line="244"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March 31, 2022, the Liquidation Value and Redemption Value of the Series B Preferred Shares was $77.4 million.</w:t>
      </w:r>
    </w:p>
    <w:p>
      <w:pPr>
        <w:spacing w:after="0" w:line="194"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16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 Rights Agreement</w:t>
      </w:r>
    </w:p>
    <w:p>
      <w:pPr>
        <w:spacing w:after="0" w:line="244"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 summary of the Company’s Series B Perpetual Non-Convertible Preferred Stock balance at March 31, 2022 and changes during the three months ended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March 31, 2022, are presented below:</w:t>
      </w:r>
    </w:p>
    <w:p>
      <w:pPr>
        <w:spacing w:after="0" w:line="32"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Series B Preferred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rPr>
              <w:t>Shares</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72,505</w:t>
            </w:r>
          </w:p>
        </w:tc>
      </w:tr>
      <w:tr>
        <w:trPr>
          <w:trHeight w:val="220"/>
        </w:trPr>
        <w:tc>
          <w:tcPr>
            <w:tcW w:w="9240" w:type="dxa"/>
            <w:vAlign w:val="bottom"/>
            <w:gridSpan w:val="2"/>
          </w:tcPr>
          <w:p>
            <w:pPr>
              <w:ind w:left="140"/>
              <w:spacing w:after="0"/>
              <w:rPr>
                <w:sz w:val="20"/>
                <w:szCs w:val="20"/>
                <w:color w:val="auto"/>
              </w:rPr>
            </w:pPr>
            <w:r>
              <w:rPr>
                <w:rFonts w:ascii="Arial" w:cs="Arial" w:eastAsia="Arial" w:hAnsi="Arial"/>
                <w:sz w:val="17"/>
                <w:szCs w:val="17"/>
                <w:color w:val="auto"/>
              </w:rPr>
              <w:t>Amortization of preferred stock issuance costs</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of preferred PIK dividend</w:t>
            </w: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240" w:type="dxa"/>
            <w:vAlign w:val="bottom"/>
            <w:gridSpan w:val="2"/>
          </w:tcPr>
          <w:p>
            <w:pPr>
              <w:ind w:left="20"/>
              <w:spacing w:after="0"/>
              <w:rPr>
                <w:sz w:val="20"/>
                <w:szCs w:val="20"/>
                <w:color w:val="auto"/>
              </w:rPr>
            </w:pPr>
            <w:r>
              <w:rPr>
                <w:rFonts w:ascii="Arial" w:cs="Arial" w:eastAsia="Arial" w:hAnsi="Arial"/>
                <w:sz w:val="17"/>
                <w:szCs w:val="17"/>
                <w:color w:val="auto"/>
              </w:rPr>
              <w:t>Balance at March 31, 2022</w:t>
            </w: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72,505</w:t>
            </w:r>
          </w:p>
        </w:tc>
      </w:tr>
      <w:tr>
        <w:trPr>
          <w:trHeight w:val="20"/>
        </w:trPr>
        <w:tc>
          <w:tcPr>
            <w:tcW w:w="8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On April 1, 2022 the Company paid in-kind the accrued Series B Perpetual Non-Convertible Preferred Stock dividend of $2.4 million. On April 18, 2022, the Company made a $2.5 million principal payment on the Series B Preferred Stock. On May 10, 2022, the Company made an additional principal payment on the Series B Preferred Stock of $4.4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244"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Redemption of Series A Preferred Stock</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net proceeds from the common stock public offering, Senior Note offering and the Series B transaction was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were terminated effective with the Redemption. No Series A Preferred Stock remain outstanding or authorized as of March 31, 2022.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44" w:lineRule="exact"/>
        <w:rPr>
          <w:sz w:val="20"/>
          <w:szCs w:val="20"/>
          <w:color w:val="auto"/>
        </w:rPr>
      </w:pPr>
    </w:p>
    <w:p>
      <w:pPr>
        <w:jc w:val="both"/>
        <w:ind w:firstLine="233"/>
        <w:spacing w:after="0" w:line="293" w:lineRule="auto"/>
        <w:rPr>
          <w:sz w:val="20"/>
          <w:szCs w:val="20"/>
          <w:color w:val="auto"/>
        </w:rPr>
      </w:pPr>
      <w:r>
        <w:rPr>
          <w:rFonts w:ascii="Arial" w:cs="Arial" w:eastAsia="Arial" w:hAnsi="Arial"/>
          <w:sz w:val="16"/>
          <w:szCs w:val="16"/>
          <w:color w:val="auto"/>
        </w:rPr>
        <w:t>The Investor Rights Agreement entered into on June 30, 2021 provides that in the event Synchronoss issues Registrable Securities to the holders of Series B Preferred Stock, such holders will have certain demand and piggy-back registration rights with respect to such Registrable Securities. In addition, on June 30, 2021, in connection with the redemption of the Series A Preferred Stock, the Investor Rights Agreement between the Company and Silver terminated.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There were no significant changes to the Company’s Stock Plans during the three months ended March 31, 2022. As of March 31, 2022, there were 1.9 million shares available for the grant or award under the Company’s 2015 Equity Incentive Plan and 0.6 million shares available for the grant or award under the Company’s 2017 New Hire Equity Incentive Plan.</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Company’s performance cash awards granted to executives under the Long Term Incentive (“LTI”) Plans have been accounted for as liability awards, due to the Company’s intent and the ability to settle such awards in cash upon vesting and the Company has reflected such awards in accrued expenses. As of March 31, 2022, the liability for such awards is approximately $0.5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4" w:lineRule="exact"/>
        <w:rPr>
          <w:sz w:val="20"/>
          <w:szCs w:val="20"/>
          <w:color w:val="auto"/>
        </w:rPr>
      </w:pPr>
    </w:p>
    <w:p>
      <w:pPr>
        <w:jc w:val="both"/>
        <w:ind w:right="20" w:firstLine="311"/>
        <w:spacing w:after="0" w:line="274" w:lineRule="auto"/>
        <w:rPr>
          <w:sz w:val="20"/>
          <w:szCs w:val="20"/>
          <w:color w:val="auto"/>
        </w:rPr>
      </w:pPr>
      <w:r>
        <w:rPr>
          <w:rFonts w:ascii="Arial" w:cs="Arial" w:eastAsia="Arial" w:hAnsi="Arial"/>
          <w:sz w:val="17"/>
          <w:szCs w:val="17"/>
          <w:color w:val="auto"/>
        </w:rPr>
        <w:t>The following table summarizes stock-based compensation expense related to all of the Company’s stock awards included by operating expense categories, as follows:</w:t>
      </w: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r>
      <w:tr>
        <w:trPr>
          <w:trHeight w:val="213"/>
        </w:trPr>
        <w:tc>
          <w:tcPr>
            <w:tcW w:w="7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r>
      <w:tr>
        <w:trPr>
          <w:trHeight w:val="213"/>
        </w:trPr>
        <w:tc>
          <w:tcPr>
            <w:tcW w:w="7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revenues</w:t>
            </w:r>
          </w:p>
        </w:tc>
        <w:tc>
          <w:tcPr>
            <w:tcW w:w="14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r>
      <w:tr>
        <w:trPr>
          <w:trHeight w:val="220"/>
        </w:trPr>
        <w:tc>
          <w:tcPr>
            <w:tcW w:w="71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855</w:t>
            </w:r>
          </w:p>
        </w:tc>
      </w:tr>
      <w:tr>
        <w:trPr>
          <w:trHeight w:val="220"/>
        </w:trPr>
        <w:tc>
          <w:tcPr>
            <w:tcW w:w="7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r>
      <w:tr>
        <w:trPr>
          <w:trHeight w:val="213"/>
        </w:trPr>
        <w:tc>
          <w:tcPr>
            <w:tcW w:w="7140" w:type="dxa"/>
            <w:vAlign w:val="bottom"/>
          </w:tcPr>
          <w:p>
            <w:pPr>
              <w:ind w:left="540"/>
              <w:spacing w:after="0"/>
              <w:rPr>
                <w:sz w:val="20"/>
                <w:szCs w:val="20"/>
                <w:color w:val="auto"/>
              </w:rPr>
            </w:pPr>
            <w:r>
              <w:rPr>
                <w:rFonts w:ascii="Arial" w:cs="Arial" w:eastAsia="Arial" w:hAnsi="Arial"/>
                <w:sz w:val="17"/>
                <w:szCs w:val="17"/>
                <w:color w:val="auto"/>
              </w:rPr>
              <w:t>Total stock-based compensation expense</w:t>
            </w:r>
          </w:p>
        </w:tc>
        <w:tc>
          <w:tcPr>
            <w:tcW w:w="144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1,927</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2,721</w:t>
            </w:r>
          </w:p>
        </w:tc>
      </w:tr>
      <w:tr>
        <w:trPr>
          <w:trHeight w:val="20"/>
        </w:trPr>
        <w:tc>
          <w:tcPr>
            <w:tcW w:w="7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tcPr>
          <w:p>
            <w:pPr>
              <w:spacing w:after="0"/>
              <w:rPr>
                <w:sz w:val="17"/>
                <w:szCs w:val="17"/>
                <w:color w:val="auto"/>
              </w:rPr>
            </w:pPr>
          </w:p>
        </w:tc>
        <w:tc>
          <w:tcPr>
            <w:tcW w:w="354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216"/>
        </w:trPr>
        <w:tc>
          <w:tcPr>
            <w:tcW w:w="7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r>
      <w:tr>
        <w:trPr>
          <w:trHeight w:val="213"/>
        </w:trPr>
        <w:tc>
          <w:tcPr>
            <w:tcW w:w="7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 options</w:t>
            </w:r>
          </w:p>
        </w:tc>
        <w:tc>
          <w:tcPr>
            <w:tcW w:w="144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r>
      <w:tr>
        <w:trPr>
          <w:trHeight w:val="220"/>
        </w:trPr>
        <w:tc>
          <w:tcPr>
            <w:tcW w:w="7140" w:type="dxa"/>
            <w:vAlign w:val="bottom"/>
          </w:tcPr>
          <w:p>
            <w:pPr>
              <w:ind w:left="340"/>
              <w:spacing w:after="0"/>
              <w:rPr>
                <w:sz w:val="20"/>
                <w:szCs w:val="20"/>
                <w:color w:val="auto"/>
              </w:rPr>
            </w:pPr>
            <w:r>
              <w:rPr>
                <w:rFonts w:ascii="Arial" w:cs="Arial" w:eastAsia="Arial" w:hAnsi="Arial"/>
                <w:sz w:val="17"/>
                <w:szCs w:val="17"/>
                <w:color w:val="auto"/>
              </w:rPr>
              <w:t>Restricted stock awards</w:t>
            </w:r>
          </w:p>
        </w:tc>
        <w:tc>
          <w:tcPr>
            <w:tcW w:w="1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1,710</w:t>
            </w:r>
          </w:p>
        </w:tc>
      </w:tr>
      <w:tr>
        <w:trPr>
          <w:trHeight w:val="220"/>
        </w:trPr>
        <w:tc>
          <w:tcPr>
            <w:tcW w:w="7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Performance Based Cash Units</w:t>
            </w:r>
          </w:p>
        </w:tc>
        <w:tc>
          <w:tcPr>
            <w:tcW w:w="1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13"/>
        </w:trPr>
        <w:tc>
          <w:tcPr>
            <w:tcW w:w="7140" w:type="dxa"/>
            <w:vAlign w:val="bottom"/>
          </w:tcPr>
          <w:p>
            <w:pPr>
              <w:ind w:left="540"/>
              <w:spacing w:after="0"/>
              <w:rPr>
                <w:sz w:val="20"/>
                <w:szCs w:val="20"/>
                <w:color w:val="auto"/>
              </w:rPr>
            </w:pPr>
            <w:r>
              <w:rPr>
                <w:rFonts w:ascii="Arial" w:cs="Arial" w:eastAsia="Arial" w:hAnsi="Arial"/>
                <w:sz w:val="17"/>
                <w:szCs w:val="17"/>
                <w:color w:val="auto"/>
              </w:rPr>
              <w:t>Total stock-based compensation before taxes</w:t>
            </w:r>
          </w:p>
        </w:tc>
        <w:tc>
          <w:tcPr>
            <w:tcW w:w="1440" w:type="dxa"/>
            <w:vAlign w:val="bottom"/>
            <w:tcBorders>
              <w:bottom w:val="single" w:sz="8" w:color="auto"/>
            </w:tcBorders>
          </w:tcPr>
          <w:p>
            <w:pPr>
              <w:jc w:val="right"/>
              <w:ind w:right="93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1,927</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2,721</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2"/>
        </w:trPr>
        <w:tc>
          <w:tcPr>
            <w:tcW w:w="7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benefit</w:t>
            </w:r>
          </w:p>
        </w:tc>
        <w:tc>
          <w:tcPr>
            <w:tcW w:w="144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equity awards as of March 31, 2022 was approximately $7.3 million. The expense is expected to be recognized over a weighted-average period of approximately 1.1 years.</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performance based cash units as of March 31, 2022 was approximately $1.0 million. The expense is expected to be recognized over a weighted-average period of approximately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4" w:lineRule="exact"/>
        <w:rPr>
          <w:sz w:val="20"/>
          <w:szCs w:val="20"/>
          <w:color w:val="auto"/>
        </w:rPr>
      </w:pPr>
    </w:p>
    <w:p>
      <w:pPr>
        <w:ind w:firstLine="311"/>
        <w:spacing w:after="0" w:line="276" w:lineRule="auto"/>
        <w:rPr>
          <w:sz w:val="20"/>
          <w:szCs w:val="20"/>
          <w:color w:val="auto"/>
        </w:rPr>
      </w:pPr>
      <w:r>
        <w:rPr>
          <w:rFonts w:ascii="Arial" w:cs="Arial" w:eastAsia="Arial" w:hAnsi="Arial"/>
          <w:sz w:val="17"/>
          <w:szCs w:val="17"/>
          <w:color w:val="auto"/>
        </w:rPr>
        <w:t>The Company uses the Black-Scholes option pricing model for determining the estimated fair value for stock options. The weighted-average assumptions used in the Black-Scholes option pricing model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216"/>
        </w:trPr>
        <w:tc>
          <w:tcPr>
            <w:tcW w:w="74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r>
      <w:tr>
        <w:trPr>
          <w:trHeight w:val="213"/>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stock price 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83.0 %</w:t>
            </w:r>
          </w:p>
        </w:tc>
      </w:tr>
      <w:tr>
        <w:trPr>
          <w:trHeight w:val="220"/>
        </w:trPr>
        <w:tc>
          <w:tcPr>
            <w:tcW w:w="8660" w:type="dxa"/>
            <w:vAlign w:val="bottom"/>
            <w:gridSpan w:val="2"/>
          </w:tcPr>
          <w:p>
            <w:pPr>
              <w:ind w:left="20"/>
              <w:spacing w:after="0"/>
              <w:rPr>
                <w:sz w:val="20"/>
                <w:szCs w:val="20"/>
                <w:color w:val="auto"/>
              </w:rPr>
            </w:pPr>
            <w:r>
              <w:rPr>
                <w:rFonts w:ascii="Arial" w:cs="Arial" w:eastAsia="Arial" w:hAnsi="Arial"/>
                <w:sz w:val="17"/>
                <w:szCs w:val="17"/>
                <w:color w:val="auto"/>
              </w:rPr>
              <w:t>Risk-free interest rate</w:t>
            </w:r>
          </w:p>
        </w:tc>
        <w:tc>
          <w:tcPr>
            <w:tcW w:w="640" w:type="dxa"/>
            <w:vAlign w:val="bottom"/>
          </w:tcPr>
          <w:p>
            <w:pPr>
              <w:jc w:val="right"/>
              <w:spacing w:after="0"/>
              <w:rPr>
                <w:sz w:val="20"/>
                <w:szCs w:val="20"/>
                <w:color w:val="auto"/>
              </w:rPr>
            </w:pPr>
            <w:r>
              <w:rPr>
                <w:rFonts w:ascii="Arial" w:cs="Arial" w:eastAsia="Arial" w:hAnsi="Arial"/>
                <w:sz w:val="17"/>
                <w:szCs w:val="17"/>
                <w:color w:val="auto"/>
              </w:rPr>
              <w:t>1.5 %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0.6 %</w:t>
            </w:r>
          </w:p>
        </w:tc>
      </w:tr>
      <w:tr>
        <w:trPr>
          <w:trHeight w:val="220"/>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life of options (in years)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r>
      <w:tr>
        <w:trPr>
          <w:trHeight w:val="220"/>
        </w:trPr>
        <w:tc>
          <w:tcPr>
            <w:tcW w:w="8660" w:type="dxa"/>
            <w:vAlign w:val="bottom"/>
            <w:gridSpan w:val="2"/>
          </w:tcPr>
          <w:p>
            <w:pPr>
              <w:ind w:left="20"/>
              <w:spacing w:after="0"/>
              <w:rPr>
                <w:sz w:val="20"/>
                <w:szCs w:val="20"/>
                <w:color w:val="auto"/>
              </w:rPr>
            </w:pPr>
            <w:r>
              <w:rPr>
                <w:rFonts w:ascii="Arial" w:cs="Arial" w:eastAsia="Arial" w:hAnsi="Arial"/>
                <w:sz w:val="17"/>
                <w:szCs w:val="17"/>
                <w:color w:val="auto"/>
              </w:rPr>
              <w:t>Expected dividend yield</w:t>
            </w:r>
          </w:p>
        </w:tc>
        <w:tc>
          <w:tcPr>
            <w:tcW w:w="640" w:type="dxa"/>
            <w:vAlign w:val="bottom"/>
          </w:tcPr>
          <w:p>
            <w:pPr>
              <w:jc w:val="right"/>
              <w:spacing w:after="0"/>
              <w:rPr>
                <w:sz w:val="20"/>
                <w:szCs w:val="20"/>
                <w:color w:val="auto"/>
              </w:rPr>
            </w:pPr>
            <w:r>
              <w:rPr>
                <w:rFonts w:ascii="Arial" w:cs="Arial" w:eastAsia="Arial" w:hAnsi="Arial"/>
                <w:sz w:val="17"/>
                <w:szCs w:val="17"/>
                <w:color w:val="auto"/>
              </w:rPr>
              <w:t>0.0 %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0.0 %</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fair value (PSV) of the options</w:t>
            </w:r>
          </w:p>
        </w:tc>
        <w:tc>
          <w:tcPr>
            <w:tcW w:w="1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239"/>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531"/>
        </w:trPr>
        <w:tc>
          <w:tcPr>
            <w:tcW w:w="7640" w:type="dxa"/>
            <w:vAlign w:val="bottom"/>
            <w:gridSpan w:val="8"/>
          </w:tcPr>
          <w:p>
            <w:pPr>
              <w:ind w:left="320"/>
              <w:spacing w:after="0"/>
              <w:rPr>
                <w:sz w:val="20"/>
                <w:szCs w:val="20"/>
                <w:color w:val="auto"/>
              </w:rPr>
            </w:pPr>
            <w:r>
              <w:rPr>
                <w:rFonts w:ascii="Arial" w:cs="Arial" w:eastAsia="Arial" w:hAnsi="Arial"/>
                <w:sz w:val="17"/>
                <w:szCs w:val="17"/>
                <w:color w:val="auto"/>
                <w:w w:val="98"/>
              </w:rPr>
              <w:t>The following table summarizes information about stock options outstanding as of March 31, 2022:</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86"/>
              </w:rPr>
              <w:t>Weighted-Average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restart"/>
          </w:tcPr>
          <w:p>
            <w:pPr>
              <w:jc w:val="center"/>
              <w:ind w:right="218"/>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center"/>
              <w:ind w:left="382"/>
              <w:spacing w:after="0"/>
              <w:rPr>
                <w:sz w:val="20"/>
                <w:szCs w:val="20"/>
                <w:color w:val="auto"/>
              </w:rPr>
            </w:pPr>
            <w:r>
              <w:rPr>
                <w:rFonts w:ascii="Arial" w:cs="Arial" w:eastAsia="Arial" w:hAnsi="Arial"/>
                <w:sz w:val="16"/>
                <w:szCs w:val="16"/>
                <w:b w:val="1"/>
                <w:bCs w:val="1"/>
                <w:color w:val="auto"/>
                <w:w w:val="89"/>
              </w:rPr>
              <w:t>Number of</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Weighted-Average</w:t>
            </w:r>
          </w:p>
        </w:tc>
        <w:tc>
          <w:tcPr>
            <w:tcW w:w="17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Remaining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Options</w:t>
            </w:r>
          </w:p>
        </w:tc>
        <w:tc>
          <w:tcPr>
            <w:tcW w:w="100" w:type="dxa"/>
            <w:vAlign w:val="bottom"/>
            <w:vMerge w:val="restart"/>
          </w:tcPr>
          <w:p>
            <w:pPr>
              <w:spacing w:after="0"/>
              <w:rPr>
                <w:sz w:val="13"/>
                <w:szCs w:val="13"/>
                <w:color w:val="auto"/>
              </w:rPr>
            </w:pPr>
          </w:p>
        </w:tc>
        <w:tc>
          <w:tcPr>
            <w:tcW w:w="12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Contractual</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center"/>
              <w:ind w:right="238"/>
              <w:spacing w:after="0" w:line="155"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07"/>
        </w:trPr>
        <w:tc>
          <w:tcPr>
            <w:tcW w:w="3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tcPr>
          <w:p>
            <w:pPr>
              <w:jc w:val="center"/>
              <w:ind w:left="402"/>
              <w:spacing w:after="0"/>
              <w:rPr>
                <w:sz w:val="20"/>
                <w:szCs w:val="20"/>
                <w:color w:val="auto"/>
              </w:rPr>
            </w:pPr>
            <w:r>
              <w:rPr>
                <w:rFonts w:ascii="Arial" w:cs="Arial" w:eastAsia="Arial" w:hAnsi="Arial"/>
                <w:sz w:val="16"/>
                <w:szCs w:val="16"/>
                <w:b w:val="1"/>
                <w:bCs w:val="1"/>
                <w:color w:val="auto"/>
                <w:w w:val="89"/>
              </w:rPr>
              <w:t>Options</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Exercise Price</w:t>
            </w:r>
          </w:p>
        </w:tc>
        <w:tc>
          <w:tcPr>
            <w:tcW w:w="8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Term (Years)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38"/>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3"/>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4,715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80" w:type="dxa"/>
            <w:vAlign w:val="bottom"/>
            <w:gridSpan w:val="2"/>
          </w:tcPr>
          <w:p>
            <w:pPr>
              <w:ind w:left="20"/>
              <w:spacing w:after="0"/>
              <w:rPr>
                <w:sz w:val="20"/>
                <w:szCs w:val="20"/>
                <w:color w:val="auto"/>
              </w:rPr>
            </w:pPr>
            <w:r>
              <w:rPr>
                <w:rFonts w:ascii="Arial" w:cs="Arial" w:eastAsia="Arial" w:hAnsi="Arial"/>
                <w:sz w:val="17"/>
                <w:szCs w:val="17"/>
                <w:color w:val="auto"/>
              </w:rPr>
              <w:t>Options Granted</w:t>
            </w: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Options Cancelled</w:t>
            </w: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8.93</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March 31, 2022</w:t>
            </w:r>
          </w:p>
        </w:tc>
        <w:tc>
          <w:tcPr>
            <w:tcW w:w="1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4,483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20"/>
              <w:spacing w:after="0"/>
              <w:rPr>
                <w:sz w:val="20"/>
                <w:szCs w:val="20"/>
                <w:color w:val="auto"/>
              </w:rPr>
            </w:pPr>
            <w:r>
              <w:rPr>
                <w:rFonts w:ascii="Arial" w:cs="Arial" w:eastAsia="Arial" w:hAnsi="Arial"/>
                <w:sz w:val="17"/>
                <w:szCs w:val="17"/>
                <w:color w:val="auto"/>
              </w:rPr>
              <w:t>Vested and exercisable at March 31, 2022</w:t>
            </w: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8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jc w:val="right"/>
              <w:spacing w:after="0" w:line="192" w:lineRule="exact"/>
              <w:rPr>
                <w:sz w:val="20"/>
                <w:szCs w:val="20"/>
                <w:color w:val="auto"/>
              </w:rPr>
            </w:pPr>
            <w:r>
              <w:rPr>
                <w:rFonts w:ascii="Arial" w:cs="Arial" w:eastAsia="Arial" w:hAnsi="Arial"/>
                <w:sz w:val="17"/>
                <w:szCs w:val="17"/>
                <w:color w:val="auto"/>
                <w:w w:val="93"/>
              </w:rPr>
              <w:t>1,776</w:t>
            </w:r>
          </w:p>
        </w:tc>
        <w:tc>
          <w:tcPr>
            <w:tcW w:w="100" w:type="dxa"/>
            <w:vAlign w:val="bottom"/>
          </w:tcPr>
          <w:p>
            <w:pPr>
              <w:spacing w:after="0"/>
              <w:rPr>
                <w:sz w:val="16"/>
                <w:szCs w:val="16"/>
                <w:color w:val="auto"/>
              </w:rPr>
            </w:pPr>
          </w:p>
        </w:tc>
        <w:tc>
          <w:tcPr>
            <w:tcW w:w="180" w:type="dxa"/>
            <w:vAlign w:val="bottom"/>
          </w:tcPr>
          <w:p>
            <w:pPr>
              <w:jc w:val="right"/>
              <w:spacing w:after="0" w:line="192" w:lineRule="exact"/>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line="192" w:lineRule="exact"/>
              <w:rPr>
                <w:sz w:val="20"/>
                <w:szCs w:val="20"/>
                <w:color w:val="auto"/>
              </w:rPr>
            </w:pPr>
            <w:r>
              <w:rPr>
                <w:rFonts w:ascii="Arial" w:cs="Arial" w:eastAsia="Arial" w:hAnsi="Arial"/>
                <w:sz w:val="17"/>
                <w:szCs w:val="17"/>
                <w:color w:val="auto"/>
              </w:rPr>
              <w:t>10.71</w:t>
            </w:r>
          </w:p>
        </w:tc>
        <w:tc>
          <w:tcPr>
            <w:tcW w:w="80" w:type="dxa"/>
            <w:vAlign w:val="bottom"/>
          </w:tcPr>
          <w:p>
            <w:pPr>
              <w:spacing w:after="0"/>
              <w:rPr>
                <w:sz w:val="16"/>
                <w:szCs w:val="16"/>
                <w:color w:val="auto"/>
              </w:rPr>
            </w:pPr>
          </w:p>
        </w:tc>
        <w:tc>
          <w:tcPr>
            <w:tcW w:w="1760" w:type="dxa"/>
            <w:vAlign w:val="bottom"/>
          </w:tcPr>
          <w:p>
            <w:pPr>
              <w:jc w:val="right"/>
              <w:spacing w:after="0" w:line="192" w:lineRule="exact"/>
              <w:rPr>
                <w:sz w:val="20"/>
                <w:szCs w:val="20"/>
                <w:color w:val="auto"/>
              </w:rPr>
            </w:pPr>
            <w:r>
              <w:rPr>
                <w:rFonts w:ascii="Arial" w:cs="Arial" w:eastAsia="Arial" w:hAnsi="Arial"/>
                <w:sz w:val="17"/>
                <w:szCs w:val="17"/>
                <w:color w:val="auto"/>
              </w:rPr>
              <w:t>3.43</w:t>
            </w:r>
          </w:p>
        </w:tc>
        <w:tc>
          <w:tcPr>
            <w:tcW w:w="420" w:type="dxa"/>
            <w:vAlign w:val="bottom"/>
            <w:gridSpan w:val="2"/>
          </w:tcPr>
          <w:p>
            <w:pPr>
              <w:jc w:val="right"/>
              <w:ind w:right="134"/>
              <w:spacing w:after="0" w:line="192" w:lineRule="exact"/>
              <w:rPr>
                <w:sz w:val="20"/>
                <w:szCs w:val="20"/>
                <w:color w:val="auto"/>
              </w:rPr>
            </w:pPr>
            <w:r>
              <w:rPr>
                <w:rFonts w:ascii="Arial" w:cs="Arial" w:eastAsia="Arial" w:hAnsi="Arial"/>
                <w:sz w:val="17"/>
                <w:szCs w:val="17"/>
                <w:color w:val="auto"/>
              </w:rPr>
              <w:t>$</w:t>
            </w:r>
          </w:p>
        </w:tc>
        <w:tc>
          <w:tcPr>
            <w:tcW w:w="1420" w:type="dxa"/>
            <w:vAlign w:val="bottom"/>
          </w:tcPr>
          <w:p>
            <w:pPr>
              <w:ind w:left="118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intrinsic value of stock options exercisable was nil at March 31, 2022 and 2021, respectively. The total intrinsic value of stock options exercised was nil during the three months ended March 31, 2022 and 2021,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summary of the Company’s unvested restricted stock at March 31, 2022, and changes during the three months ended March 31, 2022, is presented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restart"/>
          </w:tcPr>
          <w:p>
            <w:pPr>
              <w:jc w:val="center"/>
              <w:ind w:left="394"/>
              <w:spacing w:after="0"/>
              <w:rPr>
                <w:sz w:val="20"/>
                <w:szCs w:val="20"/>
                <w:color w:val="auto"/>
              </w:rPr>
            </w:pPr>
            <w:r>
              <w:rPr>
                <w:rFonts w:ascii="Arial" w:cs="Arial" w:eastAsia="Arial" w:hAnsi="Arial"/>
                <w:sz w:val="17"/>
                <w:szCs w:val="17"/>
                <w:b w:val="1"/>
                <w:bCs w:val="1"/>
                <w:color w:val="auto"/>
                <w:w w:val="94"/>
              </w:rPr>
              <w:t>Number of</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ind w:right="54"/>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68"/>
        </w:trPr>
        <w:tc>
          <w:tcPr>
            <w:tcW w:w="7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Restricted Stock</w:t>
            </w:r>
          </w:p>
        </w:tc>
        <w:tc>
          <w:tcPr>
            <w:tcW w:w="100" w:type="dxa"/>
            <w:vAlign w:val="bottom"/>
            <w:vMerge w:val="restart"/>
          </w:tcPr>
          <w:p>
            <w:pPr>
              <w:spacing w:after="0"/>
              <w:rPr>
                <w:sz w:val="14"/>
                <w:szCs w:val="14"/>
                <w:color w:val="auto"/>
              </w:rPr>
            </w:pPr>
          </w:p>
        </w:tc>
        <w:tc>
          <w:tcPr>
            <w:tcW w:w="12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4"/>
              <w:spacing w:after="0" w:line="168" w:lineRule="exact"/>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20"/>
        </w:trPr>
        <w:tc>
          <w:tcPr>
            <w:tcW w:w="7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80" w:type="dxa"/>
            <w:vAlign w:val="bottom"/>
            <w:tcBorders>
              <w:bottom w:val="single" w:sz="8" w:color="auto"/>
            </w:tcBorders>
          </w:tcPr>
          <w:p>
            <w:pPr>
              <w:jc w:val="center"/>
              <w:ind w:left="394"/>
              <w:spacing w:after="0"/>
              <w:rPr>
                <w:sz w:val="20"/>
                <w:szCs w:val="20"/>
                <w:color w:val="auto"/>
              </w:rPr>
            </w:pPr>
            <w:r>
              <w:rPr>
                <w:rFonts w:ascii="Arial" w:cs="Arial" w:eastAsia="Arial" w:hAnsi="Arial"/>
                <w:sz w:val="17"/>
                <w:szCs w:val="17"/>
                <w:b w:val="1"/>
                <w:bCs w:val="1"/>
                <w:color w:val="auto"/>
                <w:w w:val="91"/>
              </w:rPr>
              <w:t>Awards</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5"/>
              </w:rPr>
              <w:t>Fair Value</w:t>
            </w: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20"/>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2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2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March 31, 2022</w:t>
            </w:r>
          </w:p>
        </w:tc>
        <w:tc>
          <w:tcPr>
            <w:tcW w:w="12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2,162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11"/>
        <w:spacing w:after="0" w:line="353" w:lineRule="auto"/>
        <w:rPr>
          <w:sz w:val="20"/>
          <w:szCs w:val="20"/>
          <w:color w:val="auto"/>
        </w:rPr>
      </w:pPr>
      <w:r>
        <w:rPr>
          <w:rFonts w:ascii="Arial" w:cs="Arial" w:eastAsia="Arial" w:hAnsi="Arial"/>
          <w:sz w:val="15"/>
          <w:szCs w:val="15"/>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Based Cash Units</w:t>
      </w:r>
    </w:p>
    <w:p>
      <w:pPr>
        <w:spacing w:after="0" w:line="244"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Performance based cash units generally vest at the end of a three-year period based on service and achievement of certain performance objectives determined by the Company’s Board of Directors.</w:t>
      </w:r>
    </w:p>
    <w:p>
      <w:pPr>
        <w:spacing w:after="0" w:line="186" w:lineRule="exact"/>
        <w:rPr>
          <w:sz w:val="20"/>
          <w:szCs w:val="20"/>
          <w:color w:val="auto"/>
        </w:rPr>
      </w:pPr>
    </w:p>
    <w:p>
      <w:pPr>
        <w:ind w:firstLine="311"/>
        <w:spacing w:after="0" w:line="274" w:lineRule="auto"/>
        <w:rPr>
          <w:sz w:val="20"/>
          <w:szCs w:val="20"/>
          <w:color w:val="auto"/>
        </w:rPr>
      </w:pPr>
      <w:r>
        <w:rPr>
          <w:rFonts w:ascii="Arial" w:cs="Arial" w:eastAsia="Arial" w:hAnsi="Arial"/>
          <w:sz w:val="17"/>
          <w:szCs w:val="17"/>
          <w:color w:val="auto"/>
        </w:rPr>
        <w:t>A summary of the Company’s unvested performance-based cash units at March 31, 2022 and changes during the three months ended March 31, 2022, is presented below:</w:t>
      </w:r>
    </w:p>
    <w:tbl>
      <w:tblPr>
        <w:tblLayout w:type="fixed"/>
        <w:tblInd w:w="0" w:type="dxa"/>
        <w:tblCellMar>
          <w:top w:w="0" w:type="dxa"/>
          <w:left w:w="0" w:type="dxa"/>
          <w:bottom w:w="0" w:type="dxa"/>
          <w:right w:w="0" w:type="dxa"/>
        </w:tblCellMar>
      </w:tblPr>
      <w:tr>
        <w:trPr>
          <w:trHeight w:val="174"/>
        </w:trPr>
        <w:tc>
          <w:tcPr>
            <w:tcW w:w="7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Cash Units</w:t>
            </w:r>
          </w:p>
        </w:tc>
        <w:tc>
          <w:tcPr>
            <w:tcW w:w="100" w:type="dxa"/>
            <w:vAlign w:val="bottom"/>
            <w:vMerge w:val="restart"/>
          </w:tcPr>
          <w:p>
            <w:pPr>
              <w:spacing w:after="0"/>
              <w:rPr>
                <w:sz w:val="15"/>
                <w:szCs w:val="15"/>
                <w:color w:val="auto"/>
              </w:rPr>
            </w:pPr>
          </w:p>
        </w:tc>
        <w:tc>
          <w:tcPr>
            <w:tcW w:w="1840" w:type="dxa"/>
            <w:vAlign w:val="bottom"/>
            <w:gridSpan w:val="2"/>
          </w:tcPr>
          <w:p>
            <w:pPr>
              <w:ind w:left="480"/>
              <w:spacing w:after="0" w:line="174" w:lineRule="exact"/>
              <w:rPr>
                <w:sz w:val="20"/>
                <w:szCs w:val="20"/>
                <w:color w:val="auto"/>
              </w:rPr>
            </w:pPr>
            <w:r>
              <w:rPr>
                <w:rFonts w:ascii="Arial" w:cs="Arial" w:eastAsia="Arial" w:hAnsi="Arial"/>
                <w:sz w:val="17"/>
                <w:szCs w:val="17"/>
                <w:b w:val="1"/>
                <w:bCs w:val="1"/>
                <w:color w:val="auto"/>
              </w:rPr>
              <w:t>Number of</w:t>
            </w:r>
          </w:p>
        </w:tc>
        <w:tc>
          <w:tcPr>
            <w:tcW w:w="17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6"/>
              </w:rPr>
              <w:t>Period End Fair Value</w:t>
            </w:r>
          </w:p>
        </w:tc>
        <w:tc>
          <w:tcPr>
            <w:tcW w:w="0" w:type="dxa"/>
            <w:vAlign w:val="bottom"/>
          </w:tcPr>
          <w:p>
            <w:pPr>
              <w:spacing w:after="0"/>
              <w:rPr>
                <w:sz w:val="1"/>
                <w:szCs w:val="1"/>
                <w:color w:val="auto"/>
              </w:rPr>
            </w:pPr>
          </w:p>
        </w:tc>
      </w:tr>
      <w:tr>
        <w:trPr>
          <w:trHeight w:val="220"/>
        </w:trPr>
        <w:tc>
          <w:tcPr>
            <w:tcW w:w="7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76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Units</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20"/>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64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Vested</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Unvested at March 31, 2022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1,861</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ind w:left="100" w:hanging="97"/>
        <w:spacing w:after="0" w:line="209" w:lineRule="auto"/>
        <w:tabs>
          <w:tab w:leader="none" w:pos="1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Includes changes in the unvested units due to performance adjustments</w:t>
      </w:r>
    </w:p>
    <w:p>
      <w:pPr>
        <w:spacing w:after="0" w:line="214"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 Unvested units fluctuations are shown as adjustments to units granted in the table above. These fluctuations are based on the percentage achievement of the performance metrics at the end of each reporting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50"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6"/>
          <w:szCs w:val="16"/>
          <w:color w:val="auto"/>
        </w:rPr>
        <w:t>The Company recognized an income tax expense of approximately $0.1 million and an income tax benefit of approximately $0.2 million during the three months ended March 31, 2022 and 2021, respectively. The effective tax rate was approximately (4.4)% for the three months ended March 31, 2022, which was lower than the U.S. federal statutory rate primarily due to pre-tax losses in jurisdictions where full valuation allowances have been recorded and certain foreign jurisdictions projecting current income tax expense. This decrease was partially offset by a discrete income tax benefit recorded in the period associated with the release of certain reserves for uncertain tax benefits. The Company’s effective tax rate was approximately 1.3% for the three months ended March 31, 2021, which was lower than the U.S. federal statutory rate primarily due to pre-tax losses in jurisdictions where full valuation allowances have been recorded and in zero rate jurisdictions.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three months ended March 31, 2022.</w:t>
      </w:r>
    </w:p>
    <w:p>
      <w:pPr>
        <w:spacing w:after="0" w:line="199"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On March 11, 2021 the American Rescue Plan Act ("ARPA") was signed into law which is aimed at addressing the continuing economic and health impacts of the COVID-19 pandemic. This legislation relief, along with the previous governmental relief packages provide for numerous changes to current tax law. The ARPA does not have a material impact on the Company’s financial statements in the period ending March 31, 2022.</w:t>
      </w:r>
    </w:p>
    <w:p>
      <w:pPr>
        <w:spacing w:after="0" w:line="197"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During 2021 the Internal Revenue Service commenced an audit of certain of the Company’s prior year U.S. federal income tax filings, including the 2015 through 2020 tax years. The audit is currently ongoing and the Company does not believe that the results of this audit will have a material effect on its financial position or results of operations.</w:t>
      </w:r>
    </w:p>
    <w:p>
      <w:pPr>
        <w:spacing w:after="0" w:line="197"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Subsequent to March 31, 2022, the Company received $4.3 million in federal tax refunds. There is no change to the Company’s position on the remaining tax refunds.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5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The Company continues to execute certain restructurings to identify workforce optimization opportunities to better align the Company’s resources with its key strategic priorities. A summary of the Company’s restructuring accrual at March 31, 2022 and changes during the three months ended March 31, 2022, are presented below:</w:t>
      </w: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w w:val="91"/>
              </w:rPr>
              <w:t>Balance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6"/>
              </w:rPr>
              <w:t>Other</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7"/>
              </w:rPr>
              <w:t>Balance at March</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0"/>
              </w:rPr>
              <w:t>December 31,</w:t>
            </w:r>
          </w:p>
        </w:tc>
        <w:tc>
          <w:tcPr>
            <w:tcW w:w="26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Charges</w:t>
            </w:r>
          </w:p>
        </w:tc>
        <w:tc>
          <w:tcPr>
            <w:tcW w:w="22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Payments</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7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Adjustments</w:t>
            </w:r>
          </w:p>
        </w:tc>
        <w:tc>
          <w:tcPr>
            <w:tcW w:w="260" w:type="dxa"/>
            <w:vAlign w:val="bottom"/>
          </w:tcPr>
          <w:p>
            <w:pPr>
              <w:spacing w:after="0"/>
              <w:rPr>
                <w:sz w:val="19"/>
                <w:szCs w:val="19"/>
                <w:color w:val="auto"/>
              </w:rPr>
            </w:pPr>
          </w:p>
        </w:tc>
        <w:tc>
          <w:tcPr>
            <w:tcW w:w="1180" w:type="dxa"/>
            <w:vAlign w:val="bottom"/>
          </w:tcPr>
          <w:p>
            <w:pPr>
              <w:jc w:val="right"/>
              <w:ind w:right="334"/>
              <w:spacing w:after="0"/>
              <w:rPr>
                <w:sz w:val="20"/>
                <w:szCs w:val="20"/>
                <w:color w:val="auto"/>
              </w:rPr>
            </w:pPr>
            <w:r>
              <w:rPr>
                <w:rFonts w:ascii="Arial" w:cs="Arial" w:eastAsia="Arial" w:hAnsi="Arial"/>
                <w:sz w:val="17"/>
                <w:szCs w:val="17"/>
                <w:b w:val="1"/>
                <w:bCs w:val="1"/>
                <w:color w:val="auto"/>
              </w:rPr>
              <w:t>31, 2022</w:t>
            </w:r>
          </w:p>
        </w:tc>
        <w:tc>
          <w:tcPr>
            <w:tcW w:w="0" w:type="dxa"/>
            <w:vAlign w:val="bottom"/>
          </w:tcPr>
          <w:p>
            <w:pPr>
              <w:spacing w:after="0"/>
              <w:rPr>
                <w:sz w:val="1"/>
                <w:szCs w:val="1"/>
                <w:color w:val="auto"/>
              </w:rPr>
            </w:pPr>
          </w:p>
        </w:tc>
      </w:tr>
      <w:tr>
        <w:trPr>
          <w:trHeight w:val="21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Employment termination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Common Share (“EPS”)</w:t>
      </w:r>
    </w:p>
    <w:p>
      <w:pPr>
        <w:spacing w:after="0" w:line="250"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1"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7"/>
          <w:szCs w:val="17"/>
          <w:color w:val="auto"/>
        </w:rPr>
        <w:t>The following table provides a reconciliation of the numerator and denominator used in computing basic and diluted net income attributable to common stockholders per common share from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16"/>
        </w:trPr>
        <w:tc>
          <w:tcPr>
            <w:tcW w:w="76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r>
      <w:tr>
        <w:trPr>
          <w:trHeight w:val="20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 - Basic:</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0"/>
        </w:trPr>
        <w:tc>
          <w:tcPr>
            <w:tcW w:w="7640" w:type="dxa"/>
            <w:vAlign w:val="bottom"/>
          </w:tcPr>
          <w:p>
            <w:pPr>
              <w:ind w:left="240"/>
              <w:spacing w:after="0"/>
              <w:rPr>
                <w:sz w:val="20"/>
                <w:szCs w:val="20"/>
                <w:color w:val="auto"/>
              </w:rPr>
            </w:pPr>
            <w:r>
              <w:rPr>
                <w:rFonts w:ascii="Arial" w:cs="Arial" w:eastAsia="Arial" w:hAnsi="Arial"/>
                <w:sz w:val="17"/>
                <w:szCs w:val="17"/>
                <w:color w:val="auto"/>
              </w:rPr>
              <w:t>Net loss from operations</w:t>
            </w:r>
          </w:p>
        </w:tc>
        <w:tc>
          <w:tcPr>
            <w:tcW w:w="1120" w:type="dxa"/>
            <w:vAlign w:val="bottom"/>
          </w:tcPr>
          <w:p>
            <w:pPr>
              <w:jc w:val="right"/>
              <w:ind w:right="93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(3,037)</w:t>
            </w:r>
          </w:p>
        </w:tc>
        <w:tc>
          <w:tcPr>
            <w:tcW w:w="8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(12,366)</w:t>
            </w:r>
          </w:p>
        </w:tc>
      </w:tr>
      <w:tr>
        <w:trPr>
          <w:trHeight w:val="220"/>
        </w:trPr>
        <w:tc>
          <w:tcPr>
            <w:tcW w:w="7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(loss) income attributable to redeemable noncontrolling interests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20"/>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Preferred stock dividend</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(2,438)</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(10,530)</w:t>
            </w:r>
          </w:p>
        </w:tc>
      </w:tr>
      <w:tr>
        <w:trPr>
          <w:trHeight w:val="23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Synchronoss</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(5,590)</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(22,560)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 - Diluted:</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0"/>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loss from operations attributable to Synchronoss</w:t>
            </w:r>
          </w:p>
        </w:tc>
        <w:tc>
          <w:tcPr>
            <w:tcW w:w="112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(5,590)</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(22,560)</w:t>
            </w:r>
          </w:p>
        </w:tc>
      </w:tr>
      <w:tr>
        <w:trPr>
          <w:trHeight w:val="23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Synchronoss</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(5,590)</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(22,560)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7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0"/>
        </w:trPr>
        <w:tc>
          <w:tcPr>
            <w:tcW w:w="7640" w:type="dxa"/>
            <w:vAlign w:val="bottom"/>
          </w:tcPr>
          <w:p>
            <w:pPr>
              <w:ind w:left="220"/>
              <w:spacing w:after="0"/>
              <w:rPr>
                <w:sz w:val="20"/>
                <w:szCs w:val="20"/>
                <w:color w:val="auto"/>
              </w:rPr>
            </w:pPr>
            <w:r>
              <w:rPr>
                <w:rFonts w:ascii="Arial" w:cs="Arial" w:eastAsia="Arial" w:hAnsi="Arial"/>
                <w:sz w:val="17"/>
                <w:szCs w:val="17"/>
                <w:color w:val="auto"/>
              </w:rPr>
              <w:t>Weighted average common shares outstanding — basic</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85,866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42,737</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194"/>
        </w:trPr>
        <w:tc>
          <w:tcPr>
            <w:tcW w:w="7640" w:type="dxa"/>
            <w:vAlign w:val="bottom"/>
          </w:tcPr>
          <w:p>
            <w:pPr>
              <w:ind w:left="240"/>
              <w:spacing w:after="0" w:line="194" w:lineRule="exact"/>
              <w:rPr>
                <w:sz w:val="20"/>
                <w:szCs w:val="20"/>
                <w:color w:val="auto"/>
              </w:rPr>
            </w:pPr>
            <w:r>
              <w:rPr>
                <w:rFonts w:ascii="Arial" w:cs="Arial" w:eastAsia="Arial" w:hAnsi="Arial"/>
                <w:sz w:val="17"/>
                <w:szCs w:val="17"/>
                <w:color w:val="auto"/>
              </w:rPr>
              <w:t>Basic</w:t>
            </w:r>
          </w:p>
        </w:tc>
        <w:tc>
          <w:tcPr>
            <w:tcW w:w="1120" w:type="dxa"/>
            <w:vAlign w:val="bottom"/>
            <w:tcBorders>
              <w:bottom w:val="single" w:sz="8" w:color="auto"/>
            </w:tcBorders>
          </w:tcPr>
          <w:p>
            <w:pPr>
              <w:jc w:val="right"/>
              <w:ind w:right="935"/>
              <w:spacing w:after="0" w:line="194"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(0.07)</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914"/>
              <w:spacing w:after="0" w:line="194"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(0.53)</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1"/>
        </w:trPr>
        <w:tc>
          <w:tcPr>
            <w:tcW w:w="7640" w:type="dxa"/>
            <w:vAlign w:val="bottom"/>
            <w:tcBorders>
              <w:bottom w:val="single" w:sz="8" w:color="CCEEFF"/>
            </w:tcBorders>
            <w:shd w:val="clear" w:color="auto" w:fill="CCEEFF"/>
          </w:tcPr>
          <w:p>
            <w:pPr>
              <w:ind w:left="240"/>
              <w:spacing w:after="0" w:line="186" w:lineRule="exact"/>
              <w:rPr>
                <w:sz w:val="20"/>
                <w:szCs w:val="20"/>
                <w:color w:val="auto"/>
              </w:rPr>
            </w:pPr>
            <w:r>
              <w:rPr>
                <w:rFonts w:ascii="Arial" w:cs="Arial" w:eastAsia="Arial" w:hAnsi="Arial"/>
                <w:sz w:val="17"/>
                <w:szCs w:val="17"/>
                <w:color w:val="auto"/>
              </w:rPr>
              <w:t>Diluted</w:t>
            </w:r>
          </w:p>
        </w:tc>
        <w:tc>
          <w:tcPr>
            <w:tcW w:w="1120" w:type="dxa"/>
            <w:vAlign w:val="bottom"/>
            <w:tcBorders>
              <w:bottom w:val="single" w:sz="8" w:color="auto"/>
            </w:tcBorders>
            <w:shd w:val="clear" w:color="auto" w:fill="CCEEFF"/>
          </w:tcPr>
          <w:p>
            <w:pPr>
              <w:jc w:val="right"/>
              <w:ind w:right="935"/>
              <w:spacing w:after="0" w:line="186"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(0.07)</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14"/>
              <w:spacing w:after="0" w:line="186"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(0.53)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4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Anti-dilutive stock options excluded</w:t>
            </w:r>
          </w:p>
        </w:tc>
        <w:tc>
          <w:tcPr>
            <w:tcW w:w="1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Contingencies and Other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Non-cancelable agreements</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has various non-cancelable arrangements such as services for hosting, support, and software that expire at various dates, with the latest expiration in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80" w:type="dxa"/>
            <w:vAlign w:val="bottom"/>
            <w:gridSpan w:val="2"/>
          </w:tcPr>
          <w:p>
            <w:pPr>
              <w:ind w:left="320"/>
              <w:spacing w:after="0"/>
              <w:rPr>
                <w:sz w:val="20"/>
                <w:szCs w:val="20"/>
                <w:color w:val="auto"/>
              </w:rPr>
            </w:pPr>
            <w:r>
              <w:rPr>
                <w:rFonts w:ascii="Arial" w:cs="Arial" w:eastAsia="Arial" w:hAnsi="Arial"/>
                <w:sz w:val="17"/>
                <w:szCs w:val="17"/>
                <w:color w:val="auto"/>
              </w:rPr>
              <w:t>Aggregate annual future minimum payments under non-cancelable agreements as of March 31, 2022 are as follows: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4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Year</w:t>
            </w:r>
          </w:p>
        </w:tc>
        <w:tc>
          <w:tcPr>
            <w:tcW w:w="220" w:type="dxa"/>
            <w:vAlign w:val="bottom"/>
          </w:tcPr>
          <w:p>
            <w:pPr>
              <w:spacing w:after="0"/>
              <w:rPr>
                <w:sz w:val="24"/>
                <w:szCs w:val="24"/>
                <w:color w:val="auto"/>
              </w:rPr>
            </w:pPr>
          </w:p>
        </w:tc>
        <w:tc>
          <w:tcPr>
            <w:tcW w:w="1540" w:type="dxa"/>
            <w:vAlign w:val="bottom"/>
          </w:tcPr>
          <w:p>
            <w:pPr>
              <w:jc w:val="right"/>
              <w:ind w:right="234"/>
              <w:spacing w:after="0"/>
              <w:rPr>
                <w:sz w:val="20"/>
                <w:szCs w:val="20"/>
                <w:color w:val="auto"/>
              </w:rPr>
            </w:pPr>
            <w:r>
              <w:rPr>
                <w:rFonts w:ascii="Arial" w:cs="Arial" w:eastAsia="Arial" w:hAnsi="Arial"/>
                <w:sz w:val="17"/>
                <w:szCs w:val="17"/>
                <w:b w:val="1"/>
                <w:bCs w:val="1"/>
                <w:color w:val="auto"/>
                <w:w w:val="95"/>
              </w:rPr>
              <w:t>Non-cancelable</w:t>
            </w:r>
          </w:p>
        </w:tc>
        <w:tc>
          <w:tcPr>
            <w:tcW w:w="0" w:type="dxa"/>
            <w:vAlign w:val="bottom"/>
          </w:tcPr>
          <w:p>
            <w:pPr>
              <w:spacing w:after="0"/>
              <w:rPr>
                <w:sz w:val="1"/>
                <w:szCs w:val="1"/>
                <w:color w:val="auto"/>
              </w:rPr>
            </w:pPr>
          </w:p>
        </w:tc>
      </w:tr>
      <w:tr>
        <w:trPr>
          <w:trHeight w:val="220"/>
        </w:trPr>
        <w:tc>
          <w:tcPr>
            <w:tcW w:w="9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374"/>
              <w:spacing w:after="0"/>
              <w:rPr>
                <w:sz w:val="20"/>
                <w:szCs w:val="20"/>
                <w:color w:val="auto"/>
              </w:rPr>
            </w:pPr>
            <w:r>
              <w:rPr>
                <w:rFonts w:ascii="Arial" w:cs="Arial" w:eastAsia="Arial" w:hAnsi="Arial"/>
                <w:sz w:val="17"/>
                <w:szCs w:val="17"/>
                <w:b w:val="1"/>
                <w:bCs w:val="1"/>
                <w:color w:val="auto"/>
              </w:rPr>
              <w:t>agreements</w:t>
            </w:r>
          </w:p>
        </w:tc>
        <w:tc>
          <w:tcPr>
            <w:tcW w:w="0" w:type="dxa"/>
            <w:vAlign w:val="bottom"/>
          </w:tcPr>
          <w:p>
            <w:pPr>
              <w:spacing w:after="0"/>
              <w:rPr>
                <w:sz w:val="1"/>
                <w:szCs w:val="1"/>
                <w:color w:val="auto"/>
              </w:rPr>
            </w:pPr>
          </w:p>
        </w:tc>
      </w:tr>
      <w:tr>
        <w:trPr>
          <w:trHeight w:val="213"/>
        </w:trPr>
        <w:tc>
          <w:tcPr>
            <w:tcW w:w="9400" w:type="dxa"/>
            <w:vAlign w:val="bottom"/>
            <w:tcBorders>
              <w:top w:val="single" w:sz="8" w:color="auto"/>
            </w:tcBorders>
            <w:shd w:val="clear" w:color="auto" w:fill="CCEEFF"/>
          </w:tcPr>
          <w:p>
            <w:pPr>
              <w:jc w:val="right"/>
              <w:ind w:right="8854"/>
              <w:spacing w:after="0"/>
              <w:rPr>
                <w:sz w:val="20"/>
                <w:szCs w:val="20"/>
                <w:color w:val="auto"/>
              </w:rPr>
            </w:pPr>
            <w:r>
              <w:rPr>
                <w:rFonts w:ascii="Arial" w:cs="Arial" w:eastAsia="Arial" w:hAnsi="Arial"/>
                <w:sz w:val="17"/>
                <w:szCs w:val="17"/>
                <w:color w:val="auto"/>
              </w:rPr>
              <w:t>2022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16,473</w:t>
            </w:r>
          </w:p>
        </w:tc>
        <w:tc>
          <w:tcPr>
            <w:tcW w:w="0" w:type="dxa"/>
            <w:vAlign w:val="bottom"/>
          </w:tcPr>
          <w:p>
            <w:pPr>
              <w:spacing w:after="0"/>
              <w:rPr>
                <w:sz w:val="1"/>
                <w:szCs w:val="1"/>
                <w:color w:val="auto"/>
              </w:rPr>
            </w:pPr>
          </w:p>
        </w:tc>
      </w:tr>
      <w:tr>
        <w:trPr>
          <w:trHeight w:val="220"/>
        </w:trPr>
        <w:tc>
          <w:tcPr>
            <w:tcW w:w="9400" w:type="dxa"/>
            <w:vAlign w:val="bottom"/>
          </w:tcPr>
          <w:p>
            <w:pPr>
              <w:jc w:val="right"/>
              <w:ind w:right="8854"/>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16,294</w:t>
            </w:r>
          </w:p>
        </w:tc>
        <w:tc>
          <w:tcPr>
            <w:tcW w:w="0" w:type="dxa"/>
            <w:vAlign w:val="bottom"/>
          </w:tcPr>
          <w:p>
            <w:pPr>
              <w:spacing w:after="0"/>
              <w:rPr>
                <w:sz w:val="1"/>
                <w:szCs w:val="1"/>
                <w:color w:val="auto"/>
              </w:rPr>
            </w:pPr>
          </w:p>
        </w:tc>
      </w:tr>
      <w:tr>
        <w:trPr>
          <w:trHeight w:val="220"/>
        </w:trPr>
        <w:tc>
          <w:tcPr>
            <w:tcW w:w="9400" w:type="dxa"/>
            <w:vAlign w:val="bottom"/>
            <w:shd w:val="clear" w:color="auto" w:fill="CCEEFF"/>
          </w:tcPr>
          <w:p>
            <w:pPr>
              <w:jc w:val="right"/>
              <w:ind w:right="8854"/>
              <w:spacing w:after="0"/>
              <w:rPr>
                <w:sz w:val="20"/>
                <w:szCs w:val="20"/>
                <w:color w:val="auto"/>
              </w:rPr>
            </w:pPr>
            <w:r>
              <w:rPr>
                <w:rFonts w:ascii="Arial" w:cs="Arial" w:eastAsia="Arial" w:hAnsi="Arial"/>
                <w:sz w:val="17"/>
                <w:szCs w:val="17"/>
                <w:color w:val="auto"/>
              </w:rPr>
              <w:t>2024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13,343</w:t>
            </w:r>
          </w:p>
        </w:tc>
        <w:tc>
          <w:tcPr>
            <w:tcW w:w="0" w:type="dxa"/>
            <w:vAlign w:val="bottom"/>
          </w:tcPr>
          <w:p>
            <w:pPr>
              <w:spacing w:after="0"/>
              <w:rPr>
                <w:sz w:val="1"/>
                <w:szCs w:val="1"/>
                <w:color w:val="auto"/>
              </w:rPr>
            </w:pPr>
          </w:p>
        </w:tc>
      </w:tr>
      <w:tr>
        <w:trPr>
          <w:trHeight w:val="220"/>
        </w:trPr>
        <w:tc>
          <w:tcPr>
            <w:tcW w:w="9400" w:type="dxa"/>
            <w:vAlign w:val="bottom"/>
            <w:tcBorders>
              <w:bottom w:val="single" w:sz="8" w:color="CCEEFF"/>
            </w:tcBorders>
          </w:tcPr>
          <w:p>
            <w:pPr>
              <w:jc w:val="right"/>
              <w:ind w:right="8854"/>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9,699</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55,809</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44"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81"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6"/>
          <w:szCs w:val="16"/>
          <w:color w:val="auto"/>
        </w:rPr>
        <w:t>In the third quarter of 2017, the SEC and Department of Justice initiated investigations in connection with the June 2017 Announcement and certain transactions that the Company restated in the third quarter of 2018. The Company has received subpoenas, produced documents, and provided additional information to the government in connection with those investigations. On June 22, 2021, the Securities and Exchange Commission (“SEC”) staff verbally notified the Company that the staff has made a preliminary determination to recommend that the SEC initiate an enforcement action against the Company. This is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That restatement followed the Company’s announcement, on June 13, 2017 (the “June 2017 Announcement”), that certain of its prior financial statements would need to be restated. Certain individuals, including certain former members of Synchronoss’ management team, received similar notifications. The Company remains in discussions with the SEC staff regarding the prospect of resolving this matter through settlement. If the Company is unable to resolve this matter through settlement then it would expect to receive a “Wells notice” from the SEC staff in connection with this matter. Although a Wells notice is neither a formal charge of wrongdoing nor a final determination that the recipient has violated any law, it is a formal notice that the SEC intends to bring an enforcement action against the recipient. Upon receipt of a Wells notice, the recipient has the opportunity to respond to the SEC staff’s position before any formal enforcement action is taken. Due to the inherent uncertainties of government investigations, the Company cannot predict the outcome of these government investigations or the SEC staff’s preliminary determination at this time and can give no assurance that the asserted claims will not have a material adverse effect on its financial position, prospects,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Additional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components of Other Income (expense), net included in the Condensed Consolidated Statements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00"/>
        </w:trPr>
        <w:tc>
          <w:tcPr>
            <w:tcW w:w="76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r>
      <w:tr>
        <w:trPr>
          <w:trHeight w:val="215"/>
        </w:trPr>
        <w:tc>
          <w:tcPr>
            <w:tcW w:w="7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FX gains (losses)</w:t>
            </w:r>
            <w:r>
              <w:rPr>
                <w:rFonts w:ascii="Arial" w:cs="Arial" w:eastAsia="Arial" w:hAnsi="Arial"/>
                <w:sz w:val="22"/>
                <w:szCs w:val="22"/>
                <w:color w:val="auto"/>
                <w:vertAlign w:val="superscript"/>
              </w:rPr>
              <w:t>1</w:t>
            </w:r>
          </w:p>
        </w:tc>
        <w:tc>
          <w:tcPr>
            <w:tcW w:w="1160" w:type="dxa"/>
            <w:vAlign w:val="bottom"/>
            <w:shd w:val="clear" w:color="auto" w:fill="CCEEFF"/>
          </w:tcPr>
          <w:p>
            <w:pPr>
              <w:jc w:val="right"/>
              <w:ind w:right="97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(3,274)</w:t>
            </w:r>
          </w:p>
        </w:tc>
      </w:tr>
      <w:tr>
        <w:trPr>
          <w:trHeight w:val="220"/>
        </w:trPr>
        <w:tc>
          <w:tcPr>
            <w:tcW w:w="764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r>
      <w:tr>
        <w:trPr>
          <w:trHeight w:val="238"/>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80" w:hanging="77"/>
        <w:spacing w:after="0" w:line="184" w:lineRule="auto"/>
        <w:tabs>
          <w:tab w:leader="none" w:pos="8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Fair value of foreign exchange gains and losses</w:t>
      </w:r>
    </w:p>
    <w:p>
      <w:pPr>
        <w:ind w:left="80" w:hanging="77"/>
        <w:spacing w:after="0" w:line="210" w:lineRule="auto"/>
        <w:tabs>
          <w:tab w:leader="none" w:pos="8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Represents an aggregate of individually immaterial transactions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88" w:lineRule="exact"/>
        <w:rPr>
          <w:sz w:val="20"/>
          <w:szCs w:val="20"/>
          <w:color w:val="auto"/>
        </w:rPr>
      </w:pPr>
    </w:p>
    <w:p>
      <w:pPr>
        <w:jc w:val="both"/>
        <w:ind w:firstLine="311"/>
        <w:spacing w:after="0" w:line="242" w:lineRule="auto"/>
        <w:rPr>
          <w:sz w:val="20"/>
          <w:szCs w:val="20"/>
          <w:color w:val="auto"/>
        </w:rPr>
      </w:pPr>
      <w:r>
        <w:rPr>
          <w:rFonts w:ascii="Arial" w:cs="Arial" w:eastAsia="Arial" w:hAnsi="Arial"/>
          <w:sz w:val="15"/>
          <w:szCs w:val="15"/>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Synchronoss is a leading provider of white label cloud, messaging, digital and network management solutions that enable our customers to keep subscribers, systems, networks and content in sync. We help our customers to connect, engage and monetize subscribers in more meaningful ways by providing trusted platforms through which end users can sync and store content and connect with one another and the brands they love. Our mission is to help our customers create new revenue streams, reduce the cost of innovation, and captivate their subscribers.</w:t>
      </w:r>
    </w:p>
    <w:p>
      <w:pPr>
        <w:spacing w:after="0" w:line="201"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Our core product sets allow our customers to create a positive experience throughout their subscribers’ lifecycle by engaging, onboarding and managing the network to ensure reliable service.</w:t>
      </w:r>
    </w:p>
    <w:p>
      <w:pPr>
        <w:spacing w:after="0" w:line="203" w:lineRule="exact"/>
        <w:rPr>
          <w:sz w:val="20"/>
          <w:szCs w:val="20"/>
          <w:color w:val="auto"/>
        </w:rPr>
      </w:pPr>
    </w:p>
    <w:p>
      <w:pPr>
        <w:ind w:left="620" w:hanging="306"/>
        <w:spacing w:after="0"/>
        <w:tabs>
          <w:tab w:leader="none" w:pos="620" w:val="left"/>
        </w:tabs>
        <w:numPr>
          <w:ilvl w:val="0"/>
          <w:numId w:val="15"/>
        </w:numPr>
        <w:rPr>
          <w:rFonts w:ascii="Arial" w:cs="Arial" w:eastAsia="Arial" w:hAnsi="Arial"/>
          <w:sz w:val="21"/>
          <w:szCs w:val="21"/>
          <w:color w:val="auto"/>
        </w:rPr>
      </w:pPr>
      <w:r>
        <w:rPr>
          <w:rFonts w:ascii="Arial" w:cs="Arial" w:eastAsia="Arial" w:hAnsi="Arial"/>
          <w:sz w:val="17"/>
          <w:szCs w:val="17"/>
          <w:color w:val="auto"/>
        </w:rPr>
        <w:t>ENGAGE: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40" w:hanging="305"/>
        <w:spacing w:after="0"/>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Personal Cloud: Backup, manage and engage with content.</w:t>
      </w:r>
    </w:p>
    <w:p>
      <w:pPr>
        <w:spacing w:after="0" w:line="26" w:lineRule="exact"/>
        <w:rPr>
          <w:rFonts w:ascii="Arial" w:cs="Arial" w:eastAsia="Arial" w:hAnsi="Arial"/>
          <w:sz w:val="21"/>
          <w:szCs w:val="21"/>
          <w:color w:val="auto"/>
        </w:rPr>
      </w:pPr>
    </w:p>
    <w:p>
      <w:pPr>
        <w:ind w:left="1240" w:hanging="305"/>
        <w:spacing w:after="0"/>
        <w:tabs>
          <w:tab w:leader="none" w:pos="1240" w:val="left"/>
        </w:tabs>
        <w:numPr>
          <w:ilvl w:val="1"/>
          <w:numId w:val="16"/>
        </w:numPr>
        <w:rPr>
          <w:rFonts w:ascii="Arial" w:cs="Arial" w:eastAsia="Arial" w:hAnsi="Arial"/>
          <w:sz w:val="18"/>
          <w:szCs w:val="18"/>
          <w:color w:val="auto"/>
        </w:rPr>
      </w:pPr>
      <w:r>
        <w:rPr>
          <w:rFonts w:ascii="Arial" w:cs="Arial" w:eastAsia="Arial" w:hAnsi="Arial"/>
          <w:sz w:val="15"/>
          <w:szCs w:val="15"/>
          <w:color w:val="auto"/>
        </w:rPr>
        <w:t>Advanced Messaging: multi-channel messaging, peer-to-peer (“P2P”) communications and application-to-person (“A2P”) commerce solutions.</w:t>
      </w:r>
    </w:p>
    <w:p>
      <w:pPr>
        <w:spacing w:after="0" w:line="22" w:lineRule="exact"/>
        <w:rPr>
          <w:rFonts w:ascii="Arial" w:cs="Arial" w:eastAsia="Arial" w:hAnsi="Arial"/>
          <w:sz w:val="18"/>
          <w:szCs w:val="18"/>
          <w:color w:val="auto"/>
        </w:rPr>
      </w:pPr>
    </w:p>
    <w:p>
      <w:pPr>
        <w:ind w:left="1240" w:hanging="305"/>
        <w:spacing w:after="0" w:line="234" w:lineRule="auto"/>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Email Suite: White label consumer email solutions.</w:t>
      </w:r>
    </w:p>
    <w:p>
      <w:pPr>
        <w:spacing w:after="0" w:line="237" w:lineRule="exact"/>
        <w:rPr>
          <w:rFonts w:ascii="Arial" w:cs="Arial" w:eastAsia="Arial" w:hAnsi="Arial"/>
          <w:sz w:val="21"/>
          <w:szCs w:val="21"/>
          <w:color w:val="auto"/>
        </w:rPr>
      </w:pPr>
    </w:p>
    <w:p>
      <w:pPr>
        <w:ind w:left="620" w:hanging="306"/>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ONBOARD:</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Backup and Restore: Backup, view and restore subscriber content across operating systems and devices.</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Out of Box Experience: Streamline the activation of new services and devices.</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Content Transfer: Effortlessly move content between mobile devices.</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Digital Experience Platform: Customer journey and workflow design, development, orchestration and experience management.</w:t>
      </w:r>
    </w:p>
    <w:p>
      <w:pPr>
        <w:spacing w:after="0" w:line="10" w:lineRule="exact"/>
        <w:rPr>
          <w:rFonts w:ascii="Arial" w:cs="Arial" w:eastAsia="Arial" w:hAnsi="Arial"/>
          <w:sz w:val="21"/>
          <w:szCs w:val="21"/>
          <w:color w:val="auto"/>
        </w:rPr>
      </w:pPr>
    </w:p>
    <w:p>
      <w:pPr>
        <w:ind w:left="620" w:hanging="306"/>
        <w:spacing w:after="0" w:line="234" w:lineRule="auto"/>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NETWORK:</w:t>
      </w:r>
    </w:p>
    <w:p>
      <w:pPr>
        <w:spacing w:after="0" w:line="10" w:lineRule="exact"/>
        <w:rPr>
          <w:rFonts w:ascii="Arial" w:cs="Arial" w:eastAsia="Arial" w:hAnsi="Arial"/>
          <w:sz w:val="21"/>
          <w:szCs w:val="21"/>
          <w:color w:val="auto"/>
        </w:rPr>
      </w:pPr>
    </w:p>
    <w:p>
      <w:pPr>
        <w:ind w:left="1240" w:hanging="305"/>
        <w:spacing w:after="0" w:line="247" w:lineRule="auto"/>
        <w:tabs>
          <w:tab w:leader="none" w:pos="1287" w:val="left"/>
        </w:tabs>
        <w:numPr>
          <w:ilvl w:val="1"/>
          <w:numId w:val="16"/>
        </w:numPr>
        <w:rPr>
          <w:rFonts w:ascii="Arial" w:cs="Arial" w:eastAsia="Arial" w:hAnsi="Arial"/>
          <w:sz w:val="21"/>
          <w:szCs w:val="21"/>
          <w:color w:val="auto"/>
        </w:rPr>
      </w:pPr>
      <w:r>
        <w:rPr>
          <w:rFonts w:ascii="Arial" w:cs="Arial" w:eastAsia="Arial" w:hAnsi="Arial"/>
          <w:sz w:val="17"/>
          <w:szCs w:val="17"/>
          <w:color w:val="auto"/>
        </w:rPr>
        <w:t>Total Network Management (“TNM”)</w:t>
      </w:r>
      <w:r>
        <w:rPr>
          <w:rFonts w:ascii="Arial" w:cs="Arial" w:eastAsia="Arial" w:hAnsi="Arial"/>
          <w:sz w:val="20"/>
          <w:szCs w:val="20"/>
          <w:color w:val="008080"/>
        </w:rPr>
        <w:t>:</w:t>
      </w:r>
      <w:r>
        <w:rPr>
          <w:rFonts w:ascii="Arial" w:cs="Arial" w:eastAsia="Arial" w:hAnsi="Arial"/>
          <w:sz w:val="17"/>
          <w:szCs w:val="17"/>
          <w:color w:val="auto"/>
        </w:rPr>
        <w:t xml:space="preserve"> integrated application suite that designs, procures, manages and optimizes telecom network infrastructure.</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currently operates in and markets its solutions and services directly through its sales organizations in North America, Europe and Asia-Pacific.</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per transaction or subscription basis, which is derived from contracts that extend up to 60 months from execution.</w:t>
      </w:r>
    </w:p>
    <w:p>
      <w:pPr>
        <w:spacing w:after="0" w:line="25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Our top five customers accounted for 71.4% and 68.3% of net revenues for the three months ended March 31, 2022 and March 31, 2021, respectively. Contracts with these customers typically run for three to five years. Of these customers, Verizon accounted for more than 10% of our revenues in 2022 and 2021. The loss of Verizon as a customer would have a material negative impact on our company. However, we believe that the costs incurred and subscriber disruption by Verizon to replace Synchronoss’ solutions would be substantial.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50" w:lineRule="exact"/>
        <w:rPr>
          <w:sz w:val="20"/>
          <w:szCs w:val="20"/>
          <w:color w:val="auto"/>
        </w:rPr>
      </w:pPr>
    </w:p>
    <w:p>
      <w:pPr>
        <w:jc w:val="both"/>
        <w:ind w:firstLine="311"/>
        <w:spacing w:after="0" w:line="245" w:lineRule="auto"/>
        <w:rPr>
          <w:sz w:val="20"/>
          <w:szCs w:val="20"/>
          <w:color w:val="auto"/>
        </w:rPr>
      </w:pPr>
      <w:r>
        <w:rPr>
          <w:rFonts w:ascii="Arial" w:cs="Arial" w:eastAsia="Arial" w:hAnsi="Arial"/>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contents from these devices to be stored in a common cloud is also expected to drive our business in the longer term.</w:t>
      </w:r>
    </w:p>
    <w:p>
      <w:pPr>
        <w:spacing w:after="0" w:line="179"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OTTs which provides a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 w:lineRule="exact"/>
        <w:rPr>
          <w:sz w:val="20"/>
          <w:szCs w:val="20"/>
          <w:color w:val="auto"/>
        </w:rPr>
      </w:pPr>
    </w:p>
    <w:p>
      <w:pPr>
        <w:jc w:val="both"/>
        <w:ind w:firstLine="311"/>
        <w:spacing w:after="0" w:line="269" w:lineRule="auto"/>
        <w:rPr>
          <w:sz w:val="20"/>
          <w:szCs w:val="20"/>
          <w:color w:val="auto"/>
        </w:rPr>
      </w:pPr>
      <w:r>
        <w:rPr>
          <w:rFonts w:ascii="Arial" w:cs="Arial" w:eastAsia="Arial" w:hAnsi="Arial"/>
          <w:sz w:val="16"/>
          <w:szCs w:val="16"/>
          <w:color w:val="auto"/>
        </w:rPr>
        <w:t>Companies in the TMT market all face the dilemma of attempting to pivot their businesses to digital execution in order to create experiences that meet the expectations of their subscribers, generate new revenue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We expect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6" w:lineRule="exact"/>
        <w:rPr>
          <w:sz w:val="20"/>
          <w:szCs w:val="20"/>
          <w:color w:val="auto"/>
        </w:rPr>
      </w:pPr>
    </w:p>
    <w:p>
      <w:pPr>
        <w:jc w:val="both"/>
        <w:ind w:firstLine="311"/>
        <w:spacing w:after="0" w:line="254" w:lineRule="auto"/>
        <w:rPr>
          <w:sz w:val="20"/>
          <w:szCs w:val="20"/>
          <w:color w:val="auto"/>
        </w:rPr>
      </w:pPr>
      <w:r>
        <w:rPr>
          <w:rFonts w:ascii="Arial" w:cs="Arial" w:eastAsia="Arial" w:hAnsi="Arial"/>
          <w:sz w:val="17"/>
          <w:szCs w:val="17"/>
          <w:color w:val="auto"/>
        </w:rPr>
        <w:t>To support our growth, which we expect to be driven by these favorable industry trends mentioned above, we plan to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jc w:val="both"/>
        <w:ind w:firstLine="311"/>
        <w:spacing w:after="0" w:line="261"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2022 compared to the three months ended March 31,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March 31,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338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52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w w:val="98"/>
              </w:rPr>
              <w:t>2022 vs 2021</w:t>
            </w:r>
          </w:p>
        </w:tc>
      </w:tr>
      <w:tr>
        <w:trPr>
          <w:trHeight w:val="215"/>
        </w:trPr>
        <w:tc>
          <w:tcPr>
            <w:tcW w:w="5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revenues</w:t>
            </w: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65,866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3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65,499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20"/>
        </w:trPr>
        <w:tc>
          <w:tcPr>
            <w:tcW w:w="5220" w:type="dxa"/>
            <w:vAlign w:val="bottom"/>
          </w:tcPr>
          <w:p>
            <w:pPr>
              <w:ind w:left="54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24,839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28,637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(3,798)</w:t>
            </w:r>
          </w:p>
        </w:tc>
      </w:tr>
      <w:tr>
        <w:trPr>
          <w:trHeight w:val="220"/>
        </w:trPr>
        <w:tc>
          <w:tcPr>
            <w:tcW w:w="52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Research and development</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15,791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17,397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w:t>
            </w:r>
          </w:p>
        </w:tc>
      </w:tr>
      <w:tr>
        <w:trPr>
          <w:trHeight w:val="220"/>
        </w:trPr>
        <w:tc>
          <w:tcPr>
            <w:tcW w:w="5220" w:type="dxa"/>
            <w:vAlign w:val="bottom"/>
          </w:tcPr>
          <w:p>
            <w:pPr>
              <w:ind w:left="560"/>
              <w:spacing w:after="0"/>
              <w:rPr>
                <w:sz w:val="20"/>
                <w:szCs w:val="20"/>
                <w:color w:val="auto"/>
              </w:rPr>
            </w:pPr>
            <w:r>
              <w:rPr>
                <w:rFonts w:ascii="Arial" w:cs="Arial" w:eastAsia="Arial" w:hAnsi="Arial"/>
                <w:sz w:val="17"/>
                <w:szCs w:val="17"/>
                <w:color w:val="auto"/>
              </w:rPr>
              <w:t>Selling, general and administrative</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17,897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17,928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0"/>
        </w:trPr>
        <w:tc>
          <w:tcPr>
            <w:tcW w:w="52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Restructuring charges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522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Depreciation and amortization</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(1,833)</w:t>
            </w:r>
          </w:p>
        </w:tc>
      </w:tr>
      <w:tr>
        <w:trPr>
          <w:trHeight w:val="213"/>
        </w:trPr>
        <w:tc>
          <w:tcPr>
            <w:tcW w:w="52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costs and expenses</w:t>
            </w:r>
          </w:p>
        </w:tc>
        <w:tc>
          <w:tcPr>
            <w:tcW w:w="1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67,246</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74,542</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(7,296)</w:t>
            </w:r>
          </w:p>
        </w:tc>
      </w:tr>
      <w:tr>
        <w:trPr>
          <w:trHeight w:val="213"/>
        </w:trPr>
        <w:tc>
          <w:tcPr>
            <w:tcW w:w="5220" w:type="dxa"/>
            <w:vAlign w:val="bottom"/>
          </w:tcPr>
          <w:p>
            <w:pPr>
              <w:ind w:left="340"/>
              <w:spacing w:after="0"/>
              <w:rPr>
                <w:sz w:val="20"/>
                <w:szCs w:val="20"/>
                <w:color w:val="auto"/>
              </w:rPr>
            </w:pPr>
            <w:r>
              <w:rPr>
                <w:rFonts w:ascii="Arial" w:cs="Arial" w:eastAsia="Arial" w:hAnsi="Arial"/>
                <w:sz w:val="17"/>
                <w:szCs w:val="17"/>
                <w:color w:val="auto"/>
              </w:rPr>
              <w:t>Loss from operations</w:t>
            </w:r>
          </w:p>
        </w:tc>
        <w:tc>
          <w:tcPr>
            <w:tcW w:w="1340" w:type="dxa"/>
            <w:vAlign w:val="bottom"/>
            <w:tcBorders>
              <w:bottom w:val="single" w:sz="8" w:color="auto"/>
            </w:tcBorders>
          </w:tcPr>
          <w:p>
            <w:pPr>
              <w:jc w:val="right"/>
              <w:ind w:right="838"/>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83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(9,043)</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7,663</w:t>
            </w:r>
          </w:p>
        </w:tc>
      </w:tr>
      <w:tr>
        <w:trPr>
          <w:trHeight w:val="20"/>
        </w:trPr>
        <w:tc>
          <w:tcPr>
            <w:tcW w:w="5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311"/>
        <w:spacing w:after="0" w:line="263"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increased $0.4 million to $65.9 million for the three months ended March 31, 2022, compared to the same period in 2021. The increase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was the result of continued strong subscriber growth in the Company’s Cloud business and the launch of an RCS platform. Revenue growth was partially offset by revenue received from a non-recurring advanced messaging contract in the previous year and the sunsetting of legacy products.</w:t>
      </w:r>
    </w:p>
    <w:p>
      <w:pPr>
        <w:spacing w:after="0" w:line="184"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$3.8 million to $24.8 million for the three months ended March 31, 2022, compared to the same period in 2021. The 2022</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attributable to continued efforts to streamline our business operations and reduce costs as well as the continued realization of a more profitable revenue mix.</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$1.6 million to $15.8 million for the three months ended March 31, 2022,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2021. The research and development costs decreased year over year mainly as a result of executed cost savings initiatives to streamline our workforce, reduce vendor spend and overhead costs.</w:t>
      </w:r>
    </w:p>
    <w:p>
      <w:pPr>
        <w:spacing w:after="0" w:line="189"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slightly to $17.9 million for the three months ended March 31, 2022,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2021. We executed significant strategic cost reductions since 2019 reducing our selling, general and administrative costs $11.3 million or 39% by optimizing our workforce, reducing vendor spend and lowering facility costs. These strategic cost savings have favorably impacted our current and prior period selling, general and administrative costs.</w:t>
      </w:r>
    </w:p>
    <w:p>
      <w:pPr>
        <w:spacing w:after="0" w:line="194" w:lineRule="exact"/>
        <w:rPr>
          <w:sz w:val="20"/>
          <w:szCs w:val="20"/>
          <w:color w:val="auto"/>
        </w:rPr>
      </w:pPr>
    </w:p>
    <w:p>
      <w:pPr>
        <w:jc w:val="both"/>
        <w:ind w:firstLine="311"/>
        <w:spacing w:after="0" w:line="361" w:lineRule="auto"/>
        <w:rPr>
          <w:sz w:val="20"/>
          <w:szCs w:val="20"/>
          <w:color w:val="auto"/>
        </w:rPr>
      </w:pPr>
      <w:r>
        <w:rPr>
          <w:rFonts w:ascii="Arial" w:cs="Arial" w:eastAsia="Arial" w:hAnsi="Arial"/>
          <w:sz w:val="15"/>
          <w:szCs w:val="15"/>
          <w:b w:val="1"/>
          <w:bCs w:val="1"/>
          <w:color w:val="auto"/>
        </w:rPr>
        <w:t xml:space="preserve">Restructuring charges </w:t>
      </w:r>
      <w:r>
        <w:rPr>
          <w:rFonts w:ascii="Arial" w:cs="Arial" w:eastAsia="Arial" w:hAnsi="Arial"/>
          <w:sz w:val="15"/>
          <w:szCs w:val="15"/>
          <w:color w:val="auto"/>
        </w:rPr>
        <w:t>were $0.7 million and $0.7 million for the three months ended March 31, 2022 and 2021, respectively, which primarily related to</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termination costs as a result of the work-force reductions initiated to reduce operating costs and align our resources with our key strategic priorities.</w:t>
      </w:r>
    </w:p>
    <w:p>
      <w:pPr>
        <w:spacing w:after="0" w:line="128"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expense decreased $1.8 million to $8.0 million for the three months ended March 31, 2022, compared to the same period in</w:t>
      </w:r>
      <w:r>
        <w:rPr>
          <w:rFonts w:ascii="Arial" w:cs="Arial" w:eastAsia="Arial" w:hAnsi="Arial"/>
          <w:sz w:val="16"/>
          <w:szCs w:val="16"/>
          <w:b w:val="1"/>
          <w:bCs w:val="1"/>
          <w:color w:val="auto"/>
        </w:rPr>
        <w:t xml:space="preserve"> </w:t>
      </w:r>
      <w:r>
        <w:rPr>
          <w:rFonts w:ascii="Arial" w:cs="Arial" w:eastAsia="Arial" w:hAnsi="Arial"/>
          <w:sz w:val="16"/>
          <w:szCs w:val="16"/>
          <w:color w:val="auto"/>
        </w:rPr>
        <w:t>2021. The 2022 decrease was primarily attributable to the expiration of amortizable acquired assets in combination with reduced capital expenditures mainly as a result of efforts to streamline business operations, partially offset by the increased amortization of capitalized software.</w:t>
      </w:r>
    </w:p>
    <w:p>
      <w:pPr>
        <w:spacing w:after="0" w:line="158"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5"/>
          <w:szCs w:val="15"/>
          <w:b w:val="1"/>
          <w:bCs w:val="1"/>
          <w:color w:val="auto"/>
        </w:rPr>
        <w:t xml:space="preserve">Income tax. </w:t>
      </w:r>
      <w:r>
        <w:rPr>
          <w:rFonts w:ascii="Arial" w:cs="Arial" w:eastAsia="Arial" w:hAnsi="Arial"/>
          <w:sz w:val="15"/>
          <w:szCs w:val="15"/>
          <w:color w:val="auto"/>
        </w:rPr>
        <w:t>The Company recognized an income tax expense of approximately $0.1 million and $0.2 million during the three months ended March 31, 2022</w:t>
      </w:r>
      <w:r>
        <w:rPr>
          <w:rFonts w:ascii="Arial" w:cs="Arial" w:eastAsia="Arial" w:hAnsi="Arial"/>
          <w:sz w:val="15"/>
          <w:szCs w:val="15"/>
          <w:b w:val="1"/>
          <w:bCs w:val="1"/>
          <w:color w:val="auto"/>
        </w:rPr>
        <w:t xml:space="preserve"> </w:t>
      </w:r>
      <w:r>
        <w:rPr>
          <w:rFonts w:ascii="Arial" w:cs="Arial" w:eastAsia="Arial" w:hAnsi="Arial"/>
          <w:sz w:val="15"/>
          <w:szCs w:val="15"/>
          <w:color w:val="auto"/>
        </w:rPr>
        <w:t>and 2021, respectively. The effective tax rate was approximately (4.4)% for the three months ended March 31, 2022, which was lower than the U.S. federal statutory rate primarily due to pre-tax losses in jurisdictions where full valuation allowances have been recorded and certain foreign jurisdictions projecting current income tax expense. This decrease was partially offset by a discrete income tax benefit recorded in the period associated with the release of certain reserves for uncertain tax benefits. The Company’s effective tax rate was approximately 1.3% for the three months ended March 31, 2021, which was lower than the U.S. federal statutory rate primarily due to pre-tax losses in jurisdictions where full valuation allowances have been recorded and in zero rate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As of March 31, 2022, our principal sources of liquidity were cash provided by operations and the remaining proceeds from the financing transactions. Our cash and cash equivalents balance was $21.7 million at March 31, 2022. We anticipate that our principal uses of cash and cash equivalents will be to fund our business, including technology expansion and working capital.</w:t>
      </w:r>
    </w:p>
    <w:p>
      <w:pPr>
        <w:spacing w:after="0" w:line="199"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At March 31, 2022, our non-U.S. subsidiaries held approximately $6.7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05"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However, given the impact of the COVID-19 pandemic on the economy and our operations as well as geopolitical developments,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in our Annual Report on Form 10-K for the year ended December 31, 2021, some of which are outside of our control.</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further details, see </w:t>
      </w:r>
      <w:r>
        <w:rPr>
          <w:rFonts w:ascii="Arial" w:cs="Arial" w:eastAsia="Arial" w:hAnsi="Arial"/>
          <w:sz w:val="15"/>
          <w:szCs w:val="15"/>
          <w:i w:val="1"/>
          <w:iCs w:val="1"/>
          <w:color w:val="auto"/>
        </w:rPr>
        <w:t>Note 7. Debt</w:t>
      </w:r>
      <w:r>
        <w:rPr>
          <w:rFonts w:ascii="Arial" w:cs="Arial" w:eastAsia="Arial" w:hAnsi="Arial"/>
          <w:sz w:val="15"/>
          <w:szCs w:val="15"/>
          <w:color w:val="auto"/>
        </w:rPr>
        <w:t xml:space="preserve"> and </w:t>
      </w:r>
      <w:r>
        <w:rPr>
          <w:rFonts w:ascii="Arial" w:cs="Arial" w:eastAsia="Arial" w:hAnsi="Arial"/>
          <w:sz w:val="15"/>
          <w:szCs w:val="15"/>
          <w:i w:val="1"/>
          <w:iCs w:val="1"/>
          <w:color w:val="auto"/>
        </w:rPr>
        <w:t>Note 9. Capital Structure</w:t>
      </w:r>
      <w:r>
        <w:rPr>
          <w:rFonts w:ascii="Arial" w:cs="Arial" w:eastAsia="Arial" w:hAnsi="Arial"/>
          <w:sz w:val="15"/>
          <w:szCs w:val="15"/>
          <w:color w:val="auto"/>
        </w:rPr>
        <w:t xml:space="preserve"> of the Notes to Condensed Consolidated Financial Statements in Item 1 of this Form 10-Q.</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20"/>
                <w:szCs w:val="20"/>
                <w:color w:val="auto"/>
              </w:rPr>
            </w:pPr>
            <w:r>
              <w:rPr>
                <w:rFonts w:ascii="Arial" w:cs="Arial" w:eastAsia="Arial" w:hAnsi="Arial"/>
                <w:sz w:val="17"/>
                <w:szCs w:val="17"/>
                <w:b w:val="1"/>
                <w:bCs w:val="1"/>
                <w:color w:val="auto"/>
              </w:rPr>
              <w:t>Discussion of Cash Flows</w:t>
            </w: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40"/>
        </w:trPr>
        <w:tc>
          <w:tcPr>
            <w:tcW w:w="7140" w:type="dxa"/>
            <w:vAlign w:val="bottom"/>
          </w:tcPr>
          <w:p>
            <w:pPr>
              <w:ind w:left="320"/>
              <w:spacing w:after="0"/>
              <w:rPr>
                <w:sz w:val="20"/>
                <w:szCs w:val="20"/>
                <w:color w:val="auto"/>
              </w:rPr>
            </w:pPr>
            <w:r>
              <w:rPr>
                <w:rFonts w:ascii="Arial" w:cs="Arial" w:eastAsia="Arial" w:hAnsi="Arial"/>
                <w:sz w:val="17"/>
                <w:szCs w:val="17"/>
                <w:color w:val="auto"/>
              </w:rPr>
              <w:t>A summary of net cash flows follows (in thousands):</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6"/>
        </w:trPr>
        <w:tc>
          <w:tcPr>
            <w:tcW w:w="7140" w:type="dxa"/>
            <w:vAlign w:val="bottom"/>
          </w:tcPr>
          <w:p>
            <w:pPr>
              <w:spacing w:after="0"/>
              <w:rPr>
                <w:sz w:val="21"/>
                <w:szCs w:val="21"/>
                <w:color w:val="auto"/>
              </w:rPr>
            </w:pPr>
          </w:p>
        </w:tc>
        <w:tc>
          <w:tcPr>
            <w:tcW w:w="350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Three Months Ended March 31,</w:t>
            </w:r>
          </w:p>
        </w:tc>
        <w:tc>
          <w:tcPr>
            <w:tcW w:w="600" w:type="dxa"/>
            <w:vAlign w:val="bottom"/>
            <w:tcBorders>
              <w:bottom w:val="single" w:sz="8" w:color="auto"/>
            </w:tcBorders>
          </w:tcPr>
          <w:p>
            <w:pPr>
              <w:spacing w:after="0"/>
              <w:rPr>
                <w:sz w:val="21"/>
                <w:szCs w:val="21"/>
                <w:color w:val="auto"/>
              </w:rPr>
            </w:pPr>
          </w:p>
        </w:tc>
      </w:tr>
      <w:tr>
        <w:trPr>
          <w:trHeight w:val="213"/>
        </w:trPr>
        <w:tc>
          <w:tcPr>
            <w:tcW w:w="71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200"/>
        </w:trPr>
        <w:tc>
          <w:tcPr>
            <w:tcW w:w="7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provided by (used in):</w:t>
            </w: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0"/>
        </w:trPr>
        <w:tc>
          <w:tcPr>
            <w:tcW w:w="7140" w:type="dxa"/>
            <w:vAlign w:val="bottom"/>
          </w:tcPr>
          <w:p>
            <w:pPr>
              <w:ind w:left="520"/>
              <w:spacing w:after="0"/>
              <w:rPr>
                <w:sz w:val="20"/>
                <w:szCs w:val="20"/>
                <w:color w:val="auto"/>
              </w:rPr>
            </w:pPr>
            <w:r>
              <w:rPr>
                <w:rFonts w:ascii="Arial" w:cs="Arial" w:eastAsia="Arial" w:hAnsi="Arial"/>
                <w:sz w:val="17"/>
                <w:szCs w:val="17"/>
                <w:color w:val="auto"/>
              </w:rPr>
              <w:t>Operating activities</w:t>
            </w:r>
          </w:p>
        </w:tc>
        <w:tc>
          <w:tcPr>
            <w:tcW w:w="14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(2,693)</w:t>
            </w:r>
          </w:p>
        </w:tc>
        <w:tc>
          <w:tcPr>
            <w:tcW w:w="100" w:type="dxa"/>
            <w:vAlign w:val="bottom"/>
          </w:tcPr>
          <w:p>
            <w:pPr>
              <w:spacing w:after="0"/>
              <w:rPr>
                <w:sz w:val="19"/>
                <w:szCs w:val="19"/>
                <w:color w:val="auto"/>
              </w:rPr>
            </w:pPr>
          </w:p>
        </w:tc>
        <w:tc>
          <w:tcPr>
            <w:tcW w:w="14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2,261</w:t>
            </w:r>
          </w:p>
        </w:tc>
      </w:tr>
      <w:tr>
        <w:trPr>
          <w:trHeight w:val="220"/>
        </w:trPr>
        <w:tc>
          <w:tcPr>
            <w:tcW w:w="71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Investing activities</w:t>
            </w: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(5,763)</w:t>
            </w:r>
          </w:p>
        </w:tc>
      </w:tr>
      <w:tr>
        <w:trPr>
          <w:trHeight w:val="220"/>
        </w:trPr>
        <w:tc>
          <w:tcPr>
            <w:tcW w:w="7140" w:type="dxa"/>
            <w:vAlign w:val="bottom"/>
          </w:tcPr>
          <w:p>
            <w:pPr>
              <w:ind w:left="520"/>
              <w:spacing w:after="0"/>
              <w:rPr>
                <w:sz w:val="20"/>
                <w:szCs w:val="20"/>
                <w:color w:val="auto"/>
              </w:rPr>
            </w:pPr>
            <w:r>
              <w:rPr>
                <w:rFonts w:ascii="Arial" w:cs="Arial" w:eastAsia="Arial" w:hAnsi="Arial"/>
                <w:sz w:val="17"/>
                <w:szCs w:val="17"/>
                <w:color w:val="auto"/>
              </w:rPr>
              <w:t>Financing activities</w:t>
            </w:r>
          </w:p>
        </w:tc>
        <w:tc>
          <w:tcPr>
            <w:tcW w:w="14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(1,781)</w:t>
            </w:r>
          </w:p>
        </w:tc>
        <w:tc>
          <w:tcPr>
            <w:tcW w:w="100" w:type="dxa"/>
            <w:vAlign w:val="bottom"/>
          </w:tcPr>
          <w:p>
            <w:pPr>
              <w:spacing w:after="0"/>
              <w:rPr>
                <w:sz w:val="19"/>
                <w:szCs w:val="19"/>
                <w:color w:val="auto"/>
              </w:rPr>
            </w:pPr>
          </w:p>
        </w:tc>
        <w:tc>
          <w:tcPr>
            <w:tcW w:w="14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93" w:lineRule="exact"/>
        <w:rPr>
          <w:sz w:val="20"/>
          <w:szCs w:val="20"/>
          <w:color w:val="auto"/>
        </w:rPr>
      </w:pPr>
    </w:p>
    <w:p>
      <w:pPr>
        <w:jc w:val="both"/>
        <w:ind w:firstLine="311"/>
        <w:spacing w:after="0" w:line="324" w:lineRule="auto"/>
        <w:rPr>
          <w:sz w:val="20"/>
          <w:szCs w:val="20"/>
          <w:color w:val="auto"/>
        </w:rPr>
      </w:pPr>
      <w:r>
        <w:rPr>
          <w:rFonts w:ascii="Arial" w:cs="Arial" w:eastAsia="Arial" w:hAnsi="Arial"/>
          <w:sz w:val="15"/>
          <w:szCs w:val="15"/>
          <w:b w:val="1"/>
          <w:bCs w:val="1"/>
          <w:color w:val="auto"/>
        </w:rPr>
        <w:t xml:space="preserve">Cash used in operating activities </w:t>
      </w:r>
      <w:r>
        <w:rPr>
          <w:rFonts w:ascii="Arial" w:cs="Arial" w:eastAsia="Arial" w:hAnsi="Arial"/>
          <w:sz w:val="15"/>
          <w:szCs w:val="15"/>
          <w:color w:val="auto"/>
        </w:rPr>
        <w:t>for the three months ended March 31, 2022 was $2.7 million as compared to $2.3 million of cash provided by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activities for the same period in 2021. In the current period, the Company generated more cash from earnings compared to the prior year however, the increased cash earnings were offset by earlier vendor and bonus payments that were paid in subsequent periods in the prior year as well as interest from the senior notes.</w:t>
      </w:r>
    </w:p>
    <w:p>
      <w:pPr>
        <w:spacing w:after="0" w:line="155"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6"/>
          <w:szCs w:val="16"/>
          <w:b w:val="1"/>
          <w:bCs w:val="1"/>
          <w:color w:val="auto"/>
        </w:rPr>
        <w:t xml:space="preserve">Cash used in investing activities </w:t>
      </w:r>
      <w:r>
        <w:rPr>
          <w:rFonts w:ascii="Arial" w:cs="Arial" w:eastAsia="Arial" w:hAnsi="Arial"/>
          <w:sz w:val="16"/>
          <w:szCs w:val="16"/>
          <w:color w:val="auto"/>
        </w:rPr>
        <w:t>for the three months ended March 31, 2022 was $5.4 million as compared to $5.8 million in cash used in investing</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during the same period in 2021. The cash used for investing activities in the current year and prior year was primarily related to increased investment in product development for our Cloud offering and capitalization of associated labor costs, in addition to annual vendor payments made in the first quarter.</w:t>
      </w:r>
    </w:p>
    <w:p>
      <w:pPr>
        <w:spacing w:after="0" w:line="171"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7"/>
          <w:szCs w:val="17"/>
          <w:b w:val="1"/>
          <w:bCs w:val="1"/>
          <w:color w:val="auto"/>
        </w:rPr>
        <w:t xml:space="preserve">Cash used in financing activities </w:t>
      </w:r>
      <w:r>
        <w:rPr>
          <w:rFonts w:ascii="Arial" w:cs="Arial" w:eastAsia="Arial" w:hAnsi="Arial"/>
          <w:sz w:val="17"/>
          <w:szCs w:val="17"/>
          <w:color w:val="auto"/>
        </w:rPr>
        <w:t>for the three months ended March 31, 2022 was $1.8 million of cash used to pay the dividend on the Series B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There was no financing activity in the comparable prior period.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Inflationary increases in certain input costs, such as occupancy, labor and benefits, and general administrative costs, have not significantly impacted our results of operations during the three months ended March 31, 2022 and 2021. We cannot assure you, however, that we will not be affected by general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March 31, 2022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6"/>
                <w:szCs w:val="16"/>
                <w:b w:val="1"/>
                <w:bCs w:val="1"/>
                <w:color w:val="auto"/>
                <w:w w:val="86"/>
              </w:rPr>
              <w:t>Payments Due by Period</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0"/>
        </w:trPr>
        <w:tc>
          <w:tcPr>
            <w:tcW w:w="4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w w:val="99"/>
              </w:rPr>
              <w:t>2023-2025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9"/>
              </w:rPr>
              <w:t>2026-2027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Thereafter</w:t>
            </w:r>
          </w:p>
        </w:tc>
      </w:tr>
      <w:tr>
        <w:trPr>
          <w:trHeight w:val="215"/>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obligations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Interest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53,168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8,861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35,446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w:t>
            </w:r>
          </w:p>
        </w:tc>
      </w:tr>
      <w:tr>
        <w:trPr>
          <w:trHeight w:val="220"/>
        </w:trPr>
        <w:tc>
          <w:tcPr>
            <w:tcW w:w="4280" w:type="dxa"/>
            <w:vAlign w:val="bottom"/>
          </w:tcPr>
          <w:p>
            <w:pPr>
              <w:ind w:left="20"/>
              <w:spacing w:after="0" w:line="220"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55,809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16,473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39,336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 Payable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280" w:type="dxa"/>
            <w:vAlign w:val="bottom"/>
          </w:tcPr>
          <w:p>
            <w:pPr>
              <w:ind w:left="220"/>
              <w:spacing w:after="0"/>
              <w:rPr>
                <w:sz w:val="20"/>
                <w:szCs w:val="20"/>
                <w:color w:val="auto"/>
              </w:rPr>
            </w:pPr>
            <w:r>
              <w:rPr>
                <w:rFonts w:ascii="Arial" w:cs="Arial" w:eastAsia="Arial" w:hAnsi="Arial"/>
                <w:sz w:val="17"/>
                <w:szCs w:val="17"/>
                <w:color w:val="auto"/>
              </w:rPr>
              <w:t>Total</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302,104</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33,421</w:t>
            </w:r>
          </w:p>
        </w:tc>
        <w:tc>
          <w:tcPr>
            <w:tcW w:w="3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100,268</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164,138</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4,277</w:t>
            </w:r>
          </w:p>
        </w:tc>
      </w:tr>
      <w:tr>
        <w:trPr>
          <w:trHeight w:val="20"/>
        </w:trPr>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ind w:left="200" w:hanging="197"/>
        <w:spacing w:after="0" w:line="221" w:lineRule="auto"/>
        <w:tabs>
          <w:tab w:leader="none" w:pos="2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37" w:lineRule="exact"/>
        <w:rPr>
          <w:sz w:val="20"/>
          <w:szCs w:val="20"/>
          <w:color w:val="auto"/>
        </w:rPr>
      </w:pPr>
    </w:p>
    <w:p>
      <w:pPr>
        <w:jc w:val="both"/>
        <w:ind w:firstLine="311"/>
        <w:spacing w:after="0" w:line="278" w:lineRule="auto"/>
        <w:rPr>
          <w:sz w:val="20"/>
          <w:szCs w:val="20"/>
          <w:color w:val="auto"/>
        </w:rPr>
      </w:pPr>
      <w:r>
        <w:rPr>
          <w:rFonts w:ascii="Arial" w:cs="Arial" w:eastAsia="Arial" w:hAnsi="Arial"/>
          <w:sz w:val="15"/>
          <w:szCs w:val="15"/>
          <w:color w:val="auto"/>
        </w:rPr>
        <w:t>Unrecognized tax positions of $4.1 million at March 31, 2022 are excluded from the table above as we are not able to reasonably estimate when we would make any cash payments required to settle these liabilities, but we do not believe that the ultimate settlement of our obligations will materially affect our liquidity.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the balance of unrecognized tax benefits will decrease by approximately $0.6 million over the next twelve months.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0"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91"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continuing to arise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During the three months ended March 31, 2022, there were no significant changes in our critical accounting policies and estimates discussed in our Form 10-K for the year ended December 31, 2021. Please refer to Management’s Discussion and Analysis of Financial Condition and Results of Operations contained in Part II, Item 7 of our Annual Report on Form 10-K for the year ended December 31, 2021 for a more complete discussion of our critical accounting policies and estimates.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had no off-balance sheet arrangements as of March 31, 2022 and December 31, 2021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05"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March 31, 2022 and December 31, 2021 were invested in liquid money market accounts, certificates of deposit and government securities. All market-risk sensitive instruments were entered into for non-trading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March 31, 2022 would increase interest income by approximately $0.2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0"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March 31, 2022.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0"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 xml:space="preserve">For a discussion of our material pending legal proceedings that could impact our results of operations, financial condition or cash flows see </w:t>
      </w:r>
      <w:r>
        <w:rPr>
          <w:rFonts w:ascii="Arial" w:cs="Arial" w:eastAsia="Arial" w:hAnsi="Arial"/>
          <w:sz w:val="17"/>
          <w:szCs w:val="17"/>
          <w:i w:val="1"/>
          <w:iCs w:val="1"/>
          <w:color w:val="auto"/>
        </w:rPr>
        <w:t>Note 13.</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Commitments, Contingencies and Other </w:t>
      </w:r>
      <w:r>
        <w:rPr>
          <w:rFonts w:ascii="Arial" w:cs="Arial" w:eastAsia="Arial" w:hAnsi="Arial"/>
          <w:sz w:val="17"/>
          <w:szCs w:val="17"/>
          <w:color w:val="auto"/>
        </w:rPr>
        <w:t>included in Part I, Item 1. “Notes to Condensed Consolidated Financial Statements (unaudited)” of this Quarterly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5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Other than set forth below, there have been no material changes to our risk factors as previously disclosed in Part I, Item 1A. included in our Annual Report on Form 10-K for the year ended December 31, 2021.</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186"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We conduct significant sales and customer support operations in countries around the world. As such, our growth depends in part on our increasing sales into emerging countries. We also depend on, and many of our customers depend on, non-U.S. operations of our contract manufacturers, component suppliers and distribution partners. Emerging countries in the aggregate experienced a decline in orders during fiscal 2021 and certain prior periods.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business interruptions resulting from regional or larger scale conflicts or geo-political actions; the impact of the COVID-19 or other public health epidemics or concerns on our customer’s component suppliers, and the challenging and inconsistent global macroeconomic environment, any or all of which could have a material adverse effect on our operating results and financial condition, including, among others things:</w:t>
      </w:r>
    </w:p>
    <w:p>
      <w:pPr>
        <w:spacing w:after="0" w:line="194" w:lineRule="exact"/>
        <w:rPr>
          <w:sz w:val="20"/>
          <w:szCs w:val="20"/>
          <w:color w:val="auto"/>
        </w:rPr>
      </w:pPr>
    </w:p>
    <w:p>
      <w:pPr>
        <w:ind w:left="620" w:hanging="30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Current or future supply chain interruptions;</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Foreign currency exchange rates;</w:t>
      </w:r>
    </w:p>
    <w:p>
      <w:pPr>
        <w:spacing w:after="0" w:line="11" w:lineRule="exact"/>
        <w:rPr>
          <w:rFonts w:ascii="Arial" w:cs="Arial" w:eastAsia="Arial" w:hAnsi="Arial"/>
          <w:sz w:val="17"/>
          <w:szCs w:val="17"/>
          <w:color w:val="auto"/>
        </w:rPr>
      </w:pPr>
    </w:p>
    <w:p>
      <w:pPr>
        <w:ind w:left="620" w:hanging="306"/>
        <w:spacing w:after="0" w:line="254"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or social unrest or instability, including effects of the recent conflict between Russia and Ukraine, and the possibility of a wider European or global conflict, and global sanctions imposed in response thereto;</w:t>
      </w:r>
    </w:p>
    <w:p>
      <w:pPr>
        <w:ind w:left="620" w:hanging="306"/>
        <w:spacing w:after="0" w:line="254"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Economic instability or weakness, including inflation, or natural disasters in a specific country or region, including the current economic or health challenges in China and global economic ramifications of Chinese economic difficulties;</w:t>
      </w:r>
    </w:p>
    <w:p>
      <w:pPr>
        <w:ind w:left="620" w:hanging="306"/>
        <w:spacing w:after="0" w:line="254"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Environmental and trade protection measures and other legal and regulatory requirements, some of which may affect our ability to import our products, to export our products from, or sell our products in various countries;</w:t>
      </w:r>
    </w:p>
    <w:p>
      <w:pPr>
        <w:ind w:left="620" w:hanging="30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considerations that affect service provider and government spending patterns;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Health or similar issues and the responses thereto, such as a pandemic or epidemic, including the COVID-19 pandemic and responses taken thereto;</w:t>
      </w:r>
    </w:p>
    <w:p>
      <w:pPr>
        <w:spacing w:after="0" w:line="22" w:lineRule="exact"/>
        <w:rPr>
          <w:rFonts w:ascii="Arial" w:cs="Arial" w:eastAsia="Arial" w:hAnsi="Arial"/>
          <w:sz w:val="16"/>
          <w:szCs w:val="16"/>
          <w:color w:val="auto"/>
        </w:rPr>
      </w:pPr>
    </w:p>
    <w:p>
      <w:pPr>
        <w:ind w:left="620" w:hanging="30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Natural disasters, terrorism, war or other military conflict, telecommunication and electrical failures;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 or</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tax consequences, including imposition of withholding or other taxes on our global operations.</w:t>
      </w:r>
    </w:p>
    <w:p>
      <w:pPr>
        <w:spacing w:after="0" w:line="232"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Society for Worldwide Interbank Financial Telecommunication system, and have threatened additional sanctions and controls. The impact of these measures, as well as potential responses to them by Russia, is unknown.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must recruit and retain our key management and other key personnel and our failure to recruit and retain qualified employees could have a negative impact on our business.</w:t>
      </w:r>
    </w:p>
    <w:p>
      <w:pPr>
        <w:spacing w:after="0" w:line="186" w:lineRule="exact"/>
        <w:rPr>
          <w:sz w:val="20"/>
          <w:szCs w:val="20"/>
          <w:color w:val="auto"/>
        </w:rPr>
      </w:pPr>
    </w:p>
    <w:p>
      <w:pPr>
        <w:jc w:val="both"/>
        <w:ind w:firstLine="311"/>
        <w:spacing w:after="0" w:line="292" w:lineRule="auto"/>
        <w:rPr>
          <w:sz w:val="20"/>
          <w:szCs w:val="20"/>
          <w:color w:val="auto"/>
        </w:rPr>
      </w:pPr>
      <w:r>
        <w:rPr>
          <w:rFonts w:ascii="Arial" w:cs="Arial" w:eastAsia="Arial" w:hAnsi="Arial"/>
          <w:sz w:val="15"/>
          <w:szCs w:val="15"/>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We may be unable to attract or retain qualified personnel because their salaries and other compensation may increase to levels that we are unwilling or unable to provide.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 not be able to generate anticipated revenues. In addition, if we are unable to maintain or expand our product development capabilities, we may not be able to meet our product development goals. 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political and market conditions can adversely affect our results of operations, financial condition and business.</w:t>
      </w:r>
    </w:p>
    <w:p>
      <w:pPr>
        <w:spacing w:after="0" w:line="244"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Economic uncertainty, including interest rate increases and inflation, may exacerbate negative trends in consumer spending and may negatively impact the businesses of certain of our customers, which may cause a reduction in their use of our platforms or increase the likelihood of defaulting on their payment obligations, and therefore cause a reduction in our revenues. These conditions and uncertainty about future economic conditions may make it challenging for us to forecast our operating results, make business decisions and identify the risks that may affect our business, financial conditions and results of operations and may result in a more competitive environment, resulting in possible pricing pressures. Our business could be affected by acts of war or other military actions, terrorism, natural disasters and the widespread outbreak of infectious diseases. Current world tensions could escalate, and this could have unpredictable consequences on the world economy and on our business.</w:t>
      </w:r>
    </w:p>
    <w:p>
      <w:pPr>
        <w:spacing w:after="0" w:line="198"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The COVID-19 pandemic has created significant uncertainty in the global economy. The COVID-19 pandemic and health measures taken by governments and private industry in response to the pandemic, including stay-at-home orders, restrictions on business operations, and travel restrictions, have had significant negative effects on the economy, including disruptions impacting various supply chains. Continued uncertainty about the pandemic, associated economic consequences, and potential relief measures may have a long-term adverse effect on the economy, our sellers, customers, suppliers, and our business. For example, we are currently subletting some of our office space. An economic downturn or our work from home practices may cause us to need less office space than we are contractually committed to leasing and prevent us from finding subtenants for such unused office space, causing us to pay for unused office space. Rising tensions in the geopolitical climate, including effects of the recent conflict between Russia and Ukraine, and the possibility of a wider European or global conflict, and global sanctions imposed in response thereto, have created significant uncertainty in the global economy. These or any further political or governmental developments or health concerns in countries could result in social, economic and labor instability. If, as a result of such events, we experience a reduction in demand for our products, platforms or services, or the supply of products or components to our customers, our business, results of operations and financial condition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and in the future may be, the target of stockholder derivative complaints or other securities related legal actions that could adversely affect our results of operations and our business.</w:t>
      </w:r>
    </w:p>
    <w:p>
      <w:pPr>
        <w:spacing w:after="0" w:line="186"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We have, and in the future may be, the target of stockholder derivative complaints or other securities related legal actions.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Although we maintain insurance for claims of this nature, our insurance coverage does not apply in all circumstances and may be denied or insufficient to cover the costs related to the class action and stockholder derivative lawsuits.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continue to experience significant fluctuations and could subject us to litigation.</w:t>
      </w:r>
    </w:p>
    <w:p>
      <w:pPr>
        <w:spacing w:after="0" w:line="244" w:lineRule="exact"/>
        <w:rPr>
          <w:sz w:val="20"/>
          <w:szCs w:val="20"/>
          <w:color w:val="auto"/>
        </w:rPr>
      </w:pPr>
    </w:p>
    <w:p>
      <w:pPr>
        <w:jc w:val="both"/>
        <w:ind w:firstLine="311"/>
        <w:spacing w:after="0" w:line="292" w:lineRule="auto"/>
        <w:rPr>
          <w:sz w:val="20"/>
          <w:szCs w:val="20"/>
          <w:color w:val="auto"/>
        </w:rPr>
      </w:pPr>
      <w:r>
        <w:rPr>
          <w:rFonts w:ascii="Arial" w:cs="Arial" w:eastAsia="Arial" w:hAnsi="Arial"/>
          <w:sz w:val="15"/>
          <w:szCs w:val="15"/>
          <w:color w:val="auto"/>
        </w:rPr>
        <w:t>Our stock price, like that of other technology companies, continues to fluctuate greatly. Our stock price, and demand for our stock, can be affected by many factors, such as unanticipated changes in management,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or other jurisdictions where we conduct business, war or other military conflict or due to a variety of company specific factors, including quarter to quarter variations in our operating results, shortfalls in revenue, gross margin or earnings from levels projected by securities analysts and the other factors discussed in these risk factors. 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The U.S. government and other governments in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 In addition, if the market for technology stocks or the stock market in general experiences uneven investor confidence, the market price of our common stock could decline for reasons unrelated to our business, operating results or financial condition. 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were previously, and may in the future be, the subject of lawsuits that could require us to incur substantial costs defending against those lawsuits and divert the time and attention of our management.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2"/>
              </w:rPr>
              <w:t>Incorporated by Reference</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Exhibit No.</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60" w:type="dxa"/>
            <w:vAlign w:val="bottom"/>
            <w:gridSpan w:val="13"/>
            <w:vMerge w:val="restart"/>
          </w:tcPr>
          <w:p>
            <w:pPr>
              <w:ind w:left="1680"/>
              <w:spacing w:after="0"/>
              <w:rPr>
                <w:sz w:val="20"/>
                <w:szCs w:val="20"/>
                <w:color w:val="auto"/>
              </w:rPr>
            </w:pPr>
            <w:r>
              <w:rPr>
                <w:rFonts w:ascii="Arial" w:cs="Arial" w:eastAsia="Arial" w:hAnsi="Arial"/>
                <w:sz w:val="14"/>
                <w:szCs w:val="14"/>
                <w:b w:val="1"/>
                <w:bCs w:val="1"/>
                <w:color w:val="auto"/>
              </w:rPr>
              <w:t>Description</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Form</w:t>
            </w: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Filing Date</w:t>
            </w:r>
          </w:p>
        </w:tc>
        <w:tc>
          <w:tcPr>
            <w:tcW w:w="8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80"/>
        </w:trPr>
        <w:tc>
          <w:tcPr>
            <w:tcW w:w="1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60" w:type="dxa"/>
            <w:vAlign w:val="bottom"/>
            <w:gridSpan w:val="1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136"/>
        </w:trPr>
        <w:tc>
          <w:tcPr>
            <w:tcW w:w="10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20" w:type="dxa"/>
            <w:vAlign w:val="bottom"/>
            <w:tcBorders>
              <w:top w:val="single" w:sz="8" w:color="auto"/>
              <w:bottom w:val="single" w:sz="8" w:color="0000FF"/>
            </w:tcBorders>
            <w:gridSpan w:val="5"/>
          </w:tcPr>
          <w:p>
            <w:pPr>
              <w:spacing w:after="0" w:line="137" w:lineRule="exact"/>
              <w:rPr>
                <w:rFonts w:ascii="Arial" w:cs="Arial" w:eastAsia="Arial" w:hAnsi="Arial"/>
                <w:sz w:val="14"/>
                <w:szCs w:val="14"/>
                <w:color w:val="0000FF"/>
                <w:w w:val="89"/>
              </w:rPr>
            </w:pPr>
            <w:hyperlink r:id="rId56">
              <w:r>
                <w:rPr>
                  <w:rFonts w:ascii="Arial" w:cs="Arial" w:eastAsia="Arial" w:hAnsi="Arial"/>
                  <w:sz w:val="14"/>
                  <w:szCs w:val="14"/>
                  <w:color w:val="0000FF"/>
                  <w:w w:val="89"/>
                </w:rPr>
                <w:t>Restated Certificate of Incorporation of the Registrant.</w:t>
              </w:r>
            </w:hyperlink>
          </w:p>
        </w:tc>
        <w:tc>
          <w:tcPr>
            <w:tcW w:w="1720" w:type="dxa"/>
            <w:vAlign w:val="bottom"/>
            <w:tcBorders>
              <w:top w:val="single" w:sz="8" w:color="auto"/>
            </w:tcBorders>
            <w:gridSpan w:val="8"/>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S-1</w:t>
            </w:r>
          </w:p>
        </w:tc>
        <w:tc>
          <w:tcPr>
            <w:tcW w:w="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88"/>
              </w:rPr>
              <w:t>333-132080</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31"/>
              <w:spacing w:after="0" w:line="137" w:lineRule="exact"/>
              <w:rPr>
                <w:sz w:val="20"/>
                <w:szCs w:val="20"/>
                <w:color w:val="auto"/>
              </w:rPr>
            </w:pPr>
            <w:r>
              <w:rPr>
                <w:rFonts w:ascii="Arial" w:cs="Arial" w:eastAsia="Arial" w:hAnsi="Arial"/>
                <w:sz w:val="14"/>
                <w:szCs w:val="14"/>
                <w:color w:val="auto"/>
                <w:w w:val="90"/>
              </w:rPr>
              <w:t>May 9, 2006</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bottom w:val="single" w:sz="8" w:color="0000FF"/>
            </w:tcBorders>
            <w:gridSpan w:val="4"/>
          </w:tcPr>
          <w:p>
            <w:pPr>
              <w:spacing w:after="0"/>
              <w:rPr>
                <w:rFonts w:ascii="Arial" w:cs="Arial" w:eastAsia="Arial" w:hAnsi="Arial"/>
                <w:sz w:val="14"/>
                <w:szCs w:val="14"/>
                <w:color w:val="0000FF"/>
                <w:w w:val="88"/>
              </w:rPr>
            </w:pPr>
            <w:hyperlink r:id="rId57">
              <w:r>
                <w:rPr>
                  <w:rFonts w:ascii="Arial" w:cs="Arial" w:eastAsia="Arial" w:hAnsi="Arial"/>
                  <w:sz w:val="14"/>
                  <w:szCs w:val="14"/>
                  <w:color w:val="0000FF"/>
                  <w:w w:val="88"/>
                </w:rPr>
                <w:t>Amended and Restated Bylaws of the Registrant.</w:t>
              </w:r>
            </w:hyperlink>
          </w:p>
        </w:tc>
        <w:tc>
          <w:tcPr>
            <w:tcW w:w="2040" w:type="dxa"/>
            <w:vAlign w:val="bottom"/>
            <w:gridSpan w:val="10"/>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180" w:type="dxa"/>
            <w:vAlign w:val="bottom"/>
          </w:tcPr>
          <w:p>
            <w:pPr>
              <w:jc w:val="center"/>
              <w:spacing w:after="0"/>
              <w:rPr>
                <w:sz w:val="20"/>
                <w:szCs w:val="20"/>
                <w:color w:val="auto"/>
              </w:rPr>
            </w:pPr>
            <w:r>
              <w:rPr>
                <w:rFonts w:ascii="Arial" w:cs="Arial" w:eastAsia="Arial" w:hAnsi="Arial"/>
                <w:sz w:val="14"/>
                <w:szCs w:val="14"/>
                <w:color w:val="auto"/>
                <w:w w:val="88"/>
              </w:rPr>
              <w:t>333-132080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May 9, 2006</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bottom w:val="single" w:sz="8" w:color="0000FF"/>
            </w:tcBorders>
            <w:gridSpan w:val="6"/>
          </w:tcPr>
          <w:p>
            <w:pPr>
              <w:spacing w:after="0"/>
              <w:rPr>
                <w:rFonts w:ascii="Arial" w:cs="Arial" w:eastAsia="Arial" w:hAnsi="Arial"/>
                <w:sz w:val="14"/>
                <w:szCs w:val="14"/>
                <w:color w:val="0000FF"/>
                <w:w w:val="89"/>
              </w:rPr>
            </w:pPr>
            <w:hyperlink r:id="rId58">
              <w:r>
                <w:rPr>
                  <w:rFonts w:ascii="Arial" w:cs="Arial" w:eastAsia="Arial" w:hAnsi="Arial"/>
                  <w:sz w:val="14"/>
                  <w:szCs w:val="14"/>
                  <w:color w:val="0000FF"/>
                  <w:w w:val="89"/>
                </w:rPr>
                <w:t>Amendment No. 1 to Amended and Restated Bylaws of the Registrant.</w:t>
              </w:r>
            </w:hyperlink>
          </w:p>
        </w:tc>
        <w:tc>
          <w:tcPr>
            <w:tcW w:w="840" w:type="dxa"/>
            <w:vAlign w:val="bottom"/>
            <w:gridSpan w:val="8"/>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000-52049</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February 20, 2018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bottom w:val="single" w:sz="8" w:color="0000FF"/>
            </w:tcBorders>
            <w:gridSpan w:val="7"/>
          </w:tcPr>
          <w:p>
            <w:pPr>
              <w:spacing w:after="0"/>
              <w:rPr>
                <w:rFonts w:ascii="Arial" w:cs="Arial" w:eastAsia="Arial" w:hAnsi="Arial"/>
                <w:sz w:val="14"/>
                <w:szCs w:val="14"/>
                <w:color w:val="0000FF"/>
                <w:w w:val="88"/>
              </w:rPr>
            </w:pPr>
            <w:hyperlink r:id="rId59">
              <w:r>
                <w:rPr>
                  <w:rFonts w:ascii="Arial" w:cs="Arial" w:eastAsia="Arial" w:hAnsi="Arial"/>
                  <w:sz w:val="14"/>
                  <w:szCs w:val="14"/>
                  <w:color w:val="0000FF"/>
                  <w:w w:val="88"/>
                </w:rPr>
                <w:t>Amendment No. 2 to the Amended and Restated Bylaws of the Registrant.</w:t>
              </w:r>
            </w:hyperlink>
          </w:p>
        </w:tc>
        <w:tc>
          <w:tcPr>
            <w:tcW w:w="640" w:type="dxa"/>
            <w:vAlign w:val="bottom"/>
            <w:gridSpan w:val="7"/>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000-52049</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June 30, 2021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4"/>
          </w:tcPr>
          <w:p>
            <w:pPr>
              <w:spacing w:after="0" w:line="161" w:lineRule="exact"/>
              <w:rPr>
                <w:rFonts w:ascii="Arial" w:cs="Arial" w:eastAsia="Arial" w:hAnsi="Arial"/>
                <w:sz w:val="14"/>
                <w:szCs w:val="14"/>
                <w:color w:val="0000FF"/>
              </w:rPr>
            </w:pPr>
            <w:hyperlink w:anchor="page40">
              <w:r>
                <w:rPr>
                  <w:rFonts w:ascii="Arial" w:cs="Arial" w:eastAsia="Arial" w:hAnsi="Arial"/>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14(a) of the</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bottom w:val="single" w:sz="8" w:color="0000FF"/>
            </w:tcBorders>
            <w:gridSpan w:val="8"/>
          </w:tcPr>
          <w:p>
            <w:pPr>
              <w:spacing w:after="0" w:line="110" w:lineRule="exact"/>
              <w:rPr>
                <w:rFonts w:ascii="Arial" w:cs="Arial" w:eastAsia="Arial" w:hAnsi="Arial"/>
                <w:sz w:val="11"/>
                <w:szCs w:val="11"/>
                <w:color w:val="0000FF"/>
              </w:rPr>
            </w:pPr>
            <w:hyperlink w:anchor="page40">
              <w:r>
                <w:rPr>
                  <w:rFonts w:ascii="Arial" w:cs="Arial" w:eastAsia="Arial" w:hAnsi="Arial"/>
                  <w:sz w:val="11"/>
                  <w:szCs w:val="11"/>
                  <w:color w:val="0000FF"/>
                </w:rPr>
                <w:t>Exchange Act, as adopted pursuant to section 302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0000FF"/>
            </w:tcBorders>
          </w:tcPr>
          <w:p>
            <w:pPr>
              <w:spacing w:after="0" w:line="110" w:lineRule="exact"/>
              <w:rPr>
                <w:rFonts w:ascii="Arial" w:cs="Arial" w:eastAsia="Arial" w:hAnsi="Arial"/>
                <w:sz w:val="11"/>
                <w:szCs w:val="11"/>
                <w:color w:val="0000FF"/>
              </w:rPr>
            </w:pPr>
            <w:hyperlink w:anchor="page40">
              <w:r>
                <w:rPr>
                  <w:rFonts w:ascii="Arial" w:cs="Arial" w:eastAsia="Arial" w:hAnsi="Arial"/>
                  <w:sz w:val="11"/>
                  <w:szCs w:val="11"/>
                  <w:color w:val="0000FF"/>
                </w:rPr>
                <w:t>2002.</w:t>
              </w:r>
            </w:hyperlink>
          </w:p>
        </w:tc>
        <w:tc>
          <w:tcPr>
            <w:tcW w:w="2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4"/>
          </w:tcPr>
          <w:p>
            <w:pPr>
              <w:spacing w:after="0" w:line="161" w:lineRule="exact"/>
              <w:rPr>
                <w:rFonts w:ascii="Arial" w:cs="Arial" w:eastAsia="Arial" w:hAnsi="Arial"/>
                <w:sz w:val="14"/>
                <w:szCs w:val="14"/>
                <w:color w:val="0000FF"/>
              </w:rPr>
            </w:pPr>
            <w:hyperlink w:anchor="page41">
              <w:r>
                <w:rPr>
                  <w:rFonts w:ascii="Arial" w:cs="Arial" w:eastAsia="Arial" w:hAnsi="Arial"/>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14(a) of the</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bottom w:val="single" w:sz="8" w:color="0000FF"/>
            </w:tcBorders>
            <w:gridSpan w:val="9"/>
          </w:tcPr>
          <w:p>
            <w:pPr>
              <w:spacing w:after="0" w:line="110" w:lineRule="exact"/>
              <w:rPr>
                <w:rFonts w:ascii="Arial" w:cs="Arial" w:eastAsia="Arial" w:hAnsi="Arial"/>
                <w:sz w:val="11"/>
                <w:szCs w:val="11"/>
                <w:color w:val="0000FF"/>
              </w:rPr>
            </w:pPr>
            <w:hyperlink w:anchor="page41">
              <w:r>
                <w:rPr>
                  <w:rFonts w:ascii="Arial" w:cs="Arial" w:eastAsia="Arial" w:hAnsi="Arial"/>
                  <w:sz w:val="11"/>
                  <w:szCs w:val="11"/>
                  <w:color w:val="0000FF"/>
                </w:rPr>
                <w:t>Exchange Act, as adopted pursuant to section 302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0000FF"/>
            </w:tcBorders>
          </w:tcPr>
          <w:p>
            <w:pPr>
              <w:spacing w:after="0" w:line="110" w:lineRule="exact"/>
              <w:rPr>
                <w:rFonts w:ascii="Arial" w:cs="Arial" w:eastAsia="Arial" w:hAnsi="Arial"/>
                <w:sz w:val="11"/>
                <w:szCs w:val="11"/>
                <w:color w:val="0000FF"/>
              </w:rPr>
            </w:pPr>
            <w:hyperlink w:anchor="page41">
              <w:r>
                <w:rPr>
                  <w:rFonts w:ascii="Arial" w:cs="Arial" w:eastAsia="Arial" w:hAnsi="Arial"/>
                  <w:sz w:val="11"/>
                  <w:szCs w:val="11"/>
                  <w:color w:val="0000FF"/>
                </w:rPr>
                <w:t>2002.</w:t>
              </w:r>
            </w:hyperlink>
          </w:p>
        </w:tc>
        <w:tc>
          <w:tcPr>
            <w:tcW w:w="2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4"/>
          </w:tcPr>
          <w:p>
            <w:pPr>
              <w:spacing w:after="0" w:line="161" w:lineRule="exact"/>
              <w:rPr>
                <w:rFonts w:ascii="Arial" w:cs="Arial" w:eastAsia="Arial" w:hAnsi="Arial"/>
                <w:sz w:val="14"/>
                <w:szCs w:val="14"/>
                <w:color w:val="0000FF"/>
              </w:rPr>
            </w:pPr>
            <w:hyperlink w:anchor="page42">
              <w:r>
                <w:rPr>
                  <w:rFonts w:ascii="Arial" w:cs="Arial" w:eastAsia="Arial" w:hAnsi="Arial"/>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14(b) of the</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tcBorders>
              <w:top w:val="single" w:sz="8" w:color="0000FF"/>
              <w:bottom w:val="single" w:sz="8" w:color="0000FF"/>
            </w:tcBorders>
            <w:gridSpan w:val="10"/>
          </w:tcPr>
          <w:p>
            <w:pPr>
              <w:spacing w:after="0" w:line="110" w:lineRule="exact"/>
              <w:rPr>
                <w:rFonts w:ascii="Arial" w:cs="Arial" w:eastAsia="Arial" w:hAnsi="Arial"/>
                <w:sz w:val="11"/>
                <w:szCs w:val="11"/>
                <w:color w:val="0000FF"/>
              </w:rPr>
            </w:pPr>
            <w:hyperlink w:anchor="page42">
              <w:r>
                <w:rPr>
                  <w:rFonts w:ascii="Arial" w:cs="Arial" w:eastAsia="Arial" w:hAnsi="Arial"/>
                  <w:sz w:val="11"/>
                  <w:szCs w:val="11"/>
                  <w:color w:val="0000FF"/>
                </w:rPr>
                <w:t>Exchange Act and section 18 U.S.C. Section 1350, as adopted pursuant to</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bottom w:val="single" w:sz="8" w:color="0000FF"/>
            </w:tcBorders>
            <w:gridSpan w:val="3"/>
          </w:tcPr>
          <w:p>
            <w:pPr>
              <w:spacing w:after="0" w:line="110" w:lineRule="exact"/>
              <w:rPr>
                <w:rFonts w:ascii="Arial" w:cs="Arial" w:eastAsia="Arial" w:hAnsi="Arial"/>
                <w:sz w:val="11"/>
                <w:szCs w:val="11"/>
                <w:color w:val="0000FF"/>
              </w:rPr>
            </w:pPr>
            <w:hyperlink w:anchor="page42">
              <w:r>
                <w:rPr>
                  <w:rFonts w:ascii="Arial" w:cs="Arial" w:eastAsia="Arial" w:hAnsi="Arial"/>
                  <w:sz w:val="11"/>
                  <w:szCs w:val="11"/>
                  <w:color w:val="0000FF"/>
                </w:rPr>
                <w:t>section 906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w:t>
              </w:r>
            </w:hyperlink>
          </w:p>
        </w:tc>
        <w:tc>
          <w:tcPr>
            <w:tcW w:w="2080" w:type="dxa"/>
            <w:vAlign w:val="bottom"/>
            <w:gridSpan w:val="9"/>
          </w:tcPr>
          <w:p>
            <w:pPr>
              <w:spacing w:after="0"/>
              <w:rPr>
                <w:sz w:val="9"/>
                <w:szCs w:val="9"/>
                <w:color w:val="auto"/>
              </w:rPr>
            </w:pPr>
          </w:p>
        </w:tc>
        <w:tc>
          <w:tcPr>
            <w:tcW w:w="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4"/>
          </w:tcPr>
          <w:p>
            <w:pPr>
              <w:spacing w:after="0" w:line="161" w:lineRule="exact"/>
              <w:rPr>
                <w:rFonts w:ascii="Arial" w:cs="Arial" w:eastAsia="Arial" w:hAnsi="Arial"/>
                <w:sz w:val="14"/>
                <w:szCs w:val="14"/>
                <w:color w:val="0000FF"/>
              </w:rPr>
            </w:pPr>
            <w:hyperlink w:anchor="page43">
              <w:r>
                <w:rPr>
                  <w:rFonts w:ascii="Arial" w:cs="Arial" w:eastAsia="Arial" w:hAnsi="Arial"/>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14(b) of the</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top w:val="single" w:sz="8" w:color="0000FF"/>
            </w:tcBorders>
            <w:gridSpan w:val="11"/>
          </w:tcPr>
          <w:p>
            <w:pPr>
              <w:spacing w:after="0" w:line="110" w:lineRule="exact"/>
              <w:rPr>
                <w:rFonts w:ascii="Arial" w:cs="Arial" w:eastAsia="Arial" w:hAnsi="Arial"/>
                <w:sz w:val="11"/>
                <w:szCs w:val="11"/>
                <w:color w:val="0000FF"/>
              </w:rPr>
            </w:pPr>
            <w:hyperlink w:anchor="page43">
              <w:r>
                <w:rPr>
                  <w:rFonts w:ascii="Arial" w:cs="Arial" w:eastAsia="Arial" w:hAnsi="Arial"/>
                  <w:sz w:val="11"/>
                  <w:szCs w:val="11"/>
                  <w:color w:val="0000FF"/>
                </w:rPr>
                <w:t>Exchange Act and section 18 U.S.C. Section 1350, as adopted pursuant to</w:t>
              </w:r>
            </w:hyperlink>
          </w:p>
        </w:tc>
        <w:tc>
          <w:tcPr>
            <w:tcW w:w="6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20" w:type="dxa"/>
            <w:vAlign w:val="bottom"/>
            <w:tcBorders>
              <w:top w:val="single" w:sz="8" w:color="0000FF"/>
            </w:tcBorders>
            <w:gridSpan w:val="12"/>
          </w:tcPr>
          <w:p>
            <w:pPr>
              <w:spacing w:after="0" w:line="110" w:lineRule="exact"/>
              <w:rPr>
                <w:rFonts w:ascii="Arial" w:cs="Arial" w:eastAsia="Arial" w:hAnsi="Arial"/>
                <w:sz w:val="11"/>
                <w:szCs w:val="11"/>
                <w:color w:val="0000FF"/>
              </w:rPr>
            </w:pPr>
            <w:hyperlink w:anchor="page43">
              <w:r>
                <w:rPr>
                  <w:rFonts w:ascii="Arial" w:cs="Arial" w:eastAsia="Arial" w:hAnsi="Arial"/>
                  <w:sz w:val="11"/>
                  <w:szCs w:val="11"/>
                  <w:color w:val="0000FF"/>
                </w:rPr>
                <w:t>section 906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w:t>
              </w:r>
            </w:hyperlink>
          </w:p>
        </w:tc>
        <w:tc>
          <w:tcPr>
            <w:tcW w:w="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101.INS</w:t>
            </w:r>
          </w:p>
        </w:tc>
        <w:tc>
          <w:tcPr>
            <w:tcW w:w="20" w:type="dxa"/>
            <w:vAlign w:val="bottom"/>
          </w:tcPr>
          <w:p>
            <w:pPr>
              <w:spacing w:after="0"/>
              <w:rPr>
                <w:sz w:val="16"/>
                <w:szCs w:val="16"/>
                <w:color w:val="auto"/>
              </w:rPr>
            </w:pPr>
          </w:p>
        </w:tc>
        <w:tc>
          <w:tcPr>
            <w:tcW w:w="26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XBRL Instance Document</w:t>
            </w:r>
          </w:p>
        </w:tc>
        <w:tc>
          <w:tcPr>
            <w:tcW w:w="214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101.SCH</w:t>
            </w:r>
          </w:p>
        </w:tc>
        <w:tc>
          <w:tcPr>
            <w:tcW w:w="20" w:type="dxa"/>
            <w:vAlign w:val="bottom"/>
          </w:tcPr>
          <w:p>
            <w:pPr>
              <w:spacing w:after="0"/>
              <w:rPr>
                <w:sz w:val="15"/>
                <w:szCs w:val="15"/>
                <w:color w:val="auto"/>
              </w:rPr>
            </w:pPr>
          </w:p>
        </w:tc>
        <w:tc>
          <w:tcPr>
            <w:tcW w:w="4760" w:type="dxa"/>
            <w:vAlign w:val="bottom"/>
            <w:gridSpan w:val="14"/>
          </w:tcPr>
          <w:p>
            <w:pPr>
              <w:spacing w:after="0"/>
              <w:rPr>
                <w:sz w:val="20"/>
                <w:szCs w:val="20"/>
                <w:color w:val="auto"/>
              </w:rPr>
            </w:pPr>
            <w:r>
              <w:rPr>
                <w:rFonts w:ascii="Arial" w:cs="Arial" w:eastAsia="Arial" w:hAnsi="Arial"/>
                <w:sz w:val="14"/>
                <w:szCs w:val="14"/>
                <w:color w:val="auto"/>
              </w:rPr>
              <w:t>XBRL Schema Document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101.CAL</w:t>
            </w:r>
          </w:p>
        </w:tc>
        <w:tc>
          <w:tcPr>
            <w:tcW w:w="20" w:type="dxa"/>
            <w:vAlign w:val="bottom"/>
          </w:tcPr>
          <w:p>
            <w:pPr>
              <w:spacing w:after="0"/>
              <w:rPr>
                <w:sz w:val="15"/>
                <w:szCs w:val="15"/>
                <w:color w:val="auto"/>
              </w:rPr>
            </w:pPr>
          </w:p>
        </w:tc>
        <w:tc>
          <w:tcPr>
            <w:tcW w:w="4760" w:type="dxa"/>
            <w:vAlign w:val="bottom"/>
            <w:gridSpan w:val="14"/>
          </w:tcPr>
          <w:p>
            <w:pPr>
              <w:spacing w:after="0"/>
              <w:rPr>
                <w:sz w:val="20"/>
                <w:szCs w:val="20"/>
                <w:color w:val="auto"/>
              </w:rPr>
            </w:pPr>
            <w:r>
              <w:rPr>
                <w:rFonts w:ascii="Arial" w:cs="Arial" w:eastAsia="Arial" w:hAnsi="Arial"/>
                <w:sz w:val="14"/>
                <w:szCs w:val="14"/>
                <w:color w:val="auto"/>
              </w:rPr>
              <w:t>XBRL Calculation Linkbase Document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5"/>
                <w:szCs w:val="15"/>
                <w:color w:val="auto"/>
              </w:rPr>
            </w:pPr>
          </w:p>
        </w:tc>
        <w:tc>
          <w:tcPr>
            <w:tcW w:w="4760" w:type="dxa"/>
            <w:vAlign w:val="bottom"/>
            <w:gridSpan w:val="14"/>
          </w:tcPr>
          <w:p>
            <w:pPr>
              <w:spacing w:after="0"/>
              <w:rPr>
                <w:sz w:val="20"/>
                <w:szCs w:val="20"/>
                <w:color w:val="auto"/>
              </w:rPr>
            </w:pPr>
            <w:r>
              <w:rPr>
                <w:rFonts w:ascii="Arial" w:cs="Arial" w:eastAsia="Arial" w:hAnsi="Arial"/>
                <w:sz w:val="14"/>
                <w:szCs w:val="14"/>
                <w:color w:val="auto"/>
              </w:rPr>
              <w:t>XBRL Taxonomy Extension Definition Linkbase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101.LAB</w:t>
            </w:r>
          </w:p>
        </w:tc>
        <w:tc>
          <w:tcPr>
            <w:tcW w:w="20" w:type="dxa"/>
            <w:vAlign w:val="bottom"/>
          </w:tcPr>
          <w:p>
            <w:pPr>
              <w:spacing w:after="0"/>
              <w:rPr>
                <w:sz w:val="15"/>
                <w:szCs w:val="15"/>
                <w:color w:val="auto"/>
              </w:rPr>
            </w:pPr>
          </w:p>
        </w:tc>
        <w:tc>
          <w:tcPr>
            <w:tcW w:w="4760" w:type="dxa"/>
            <w:vAlign w:val="bottom"/>
            <w:gridSpan w:val="14"/>
          </w:tcPr>
          <w:p>
            <w:pPr>
              <w:spacing w:after="0"/>
              <w:rPr>
                <w:sz w:val="20"/>
                <w:szCs w:val="20"/>
                <w:color w:val="auto"/>
              </w:rPr>
            </w:pPr>
            <w:r>
              <w:rPr>
                <w:rFonts w:ascii="Arial" w:cs="Arial" w:eastAsia="Arial" w:hAnsi="Arial"/>
                <w:sz w:val="14"/>
                <w:szCs w:val="14"/>
                <w:color w:val="auto"/>
              </w:rPr>
              <w:t>XBRL Labels Linkbase Document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101.PRE</w:t>
            </w:r>
          </w:p>
        </w:tc>
        <w:tc>
          <w:tcPr>
            <w:tcW w:w="20" w:type="dxa"/>
            <w:vAlign w:val="bottom"/>
          </w:tcPr>
          <w:p>
            <w:pPr>
              <w:spacing w:after="0"/>
              <w:rPr>
                <w:sz w:val="15"/>
                <w:szCs w:val="15"/>
                <w:color w:val="auto"/>
              </w:rPr>
            </w:pPr>
          </w:p>
        </w:tc>
        <w:tc>
          <w:tcPr>
            <w:tcW w:w="4760" w:type="dxa"/>
            <w:vAlign w:val="bottom"/>
            <w:gridSpan w:val="14"/>
          </w:tcPr>
          <w:p>
            <w:pPr>
              <w:spacing w:after="0"/>
              <w:rPr>
                <w:sz w:val="20"/>
                <w:szCs w:val="20"/>
                <w:color w:val="auto"/>
              </w:rPr>
            </w:pPr>
            <w:r>
              <w:rPr>
                <w:rFonts w:ascii="Arial" w:cs="Arial" w:eastAsia="Arial" w:hAnsi="Arial"/>
                <w:sz w:val="14"/>
                <w:szCs w:val="14"/>
                <w:color w:val="auto"/>
              </w:rPr>
              <w:t>XBRL Presentation Linkbase Document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ind w:firstLine="311"/>
        <w:spacing w:after="0" w:line="277" w:lineRule="auto"/>
        <w:rPr>
          <w:sz w:val="20"/>
          <w:szCs w:val="20"/>
          <w:color w:val="auto"/>
        </w:rPr>
      </w:pPr>
      <w:r>
        <w:rPr>
          <w:rFonts w:ascii="Arial" w:cs="Arial" w:eastAsia="Arial" w:hAnsi="Arial"/>
          <w:sz w:val="17"/>
          <w:szCs w:val="17"/>
          <w:color w:val="auto"/>
        </w:rPr>
        <w:t>Pursuant to the requirements of Securities Exchange Act of 1934, the registrant has caused this Report to be signed on its behalf by the undersigned, thereunto duly authorized.</w:t>
      </w:r>
    </w:p>
    <w:p>
      <w:pPr>
        <w:spacing w:after="0" w:line="2"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15240</wp:posOffset>
            </wp:positionV>
            <wp:extent cx="2365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15240</wp:posOffset>
            </wp:positionV>
            <wp:extent cx="2365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Taylor Greenwald</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Chief Financial Officer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May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2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Jeff Miller</w:t>
      </w:r>
      <w:r>
        <w:rPr>
          <w:rFonts w:ascii="Arial" w:cs="Arial" w:eastAsia="Arial" w:hAnsi="Arial"/>
          <w:sz w:val="17"/>
          <w:szCs w:val="17"/>
          <w:color w:val="auto"/>
        </w:rPr>
        <w:t>, certify that:</w:t>
      </w:r>
    </w:p>
    <w:p>
      <w:pPr>
        <w:spacing w:after="0" w:line="224" w:lineRule="exact"/>
        <w:rPr>
          <w:sz w:val="20"/>
          <w:szCs w:val="20"/>
          <w:color w:val="auto"/>
        </w:rPr>
      </w:pPr>
    </w:p>
    <w:p>
      <w:pPr>
        <w:ind w:left="620" w:hanging="306"/>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March 31, 2022;</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Date: May 10, 2022</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15240</wp:posOffset>
            </wp:positionV>
            <wp:extent cx="21031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85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Taylor Greenwald</w:t>
      </w:r>
      <w:r>
        <w:rPr>
          <w:rFonts w:ascii="Arial" w:cs="Arial" w:eastAsia="Arial" w:hAnsi="Arial"/>
          <w:sz w:val="17"/>
          <w:szCs w:val="17"/>
          <w:color w:val="auto"/>
        </w:rPr>
        <w:t>, certify that:</w:t>
      </w:r>
    </w:p>
    <w:p>
      <w:pPr>
        <w:spacing w:after="0" w:line="224" w:lineRule="exact"/>
        <w:rPr>
          <w:sz w:val="20"/>
          <w:szCs w:val="20"/>
          <w:color w:val="auto"/>
        </w:rPr>
      </w:pPr>
    </w:p>
    <w:p>
      <w:pPr>
        <w:ind w:left="620" w:hanging="306"/>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March 31, 2022;</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Date: May 10, 2022</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15240</wp:posOffset>
            </wp:positionV>
            <wp:extent cx="2365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Taylor Greenwald</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85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March 31, 2022,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May 10, 2022</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15240</wp:posOffset>
            </wp:positionV>
            <wp:extent cx="2283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March 31, 2022, as filed with the Securities and Exchange Commission on the date hereof (the “Report”), I, </w:t>
      </w:r>
      <w:r>
        <w:rPr>
          <w:rFonts w:ascii="Arial" w:cs="Arial" w:eastAsia="Arial" w:hAnsi="Arial"/>
          <w:sz w:val="16"/>
          <w:szCs w:val="16"/>
          <w:b w:val="1"/>
          <w:bCs w:val="1"/>
          <w:color w:val="auto"/>
        </w:rPr>
        <w:t>Taylor Greenwald</w:t>
      </w:r>
      <w:r>
        <w:rPr>
          <w:rFonts w:ascii="Arial" w:cs="Arial" w:eastAsia="Arial" w:hAnsi="Arial"/>
          <w:sz w:val="16"/>
          <w:szCs w:val="16"/>
          <w:color w:val="auto"/>
        </w:rPr>
        <w:t>, the Chief Financial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May 10, 2022</w:t>
      </w:r>
    </w:p>
    <w:p>
      <w:pPr>
        <w:spacing w:after="0" w:line="154" w:lineRule="exact"/>
        <w:rPr>
          <w:sz w:val="20"/>
          <w:szCs w:val="20"/>
          <w:color w:val="auto"/>
        </w:rPr>
      </w:pPr>
    </w:p>
    <w:p>
      <w:pPr>
        <w:ind w:left="4720"/>
        <w:spacing w:after="0"/>
        <w:rPr>
          <w:sz w:val="20"/>
          <w:szCs w:val="20"/>
          <w:color w:val="auto"/>
        </w:rPr>
      </w:pPr>
      <w:r>
        <w:rPr>
          <w:rFonts w:ascii="Arial" w:cs="Arial" w:eastAsia="Arial" w:hAnsi="Arial"/>
          <w:sz w:val="17"/>
          <w:szCs w:val="17"/>
          <w:i w:val="1"/>
          <w:iCs w:val="1"/>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15240</wp:posOffset>
            </wp:positionV>
            <wp:extent cx="19634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1"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Taylor Greenwald</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1"/>
      <w:numFmt w:val="bullet"/>
      <w:start w:val="1"/>
    </w:lvl>
  </w:abstractNum>
  <w:abstractNum w:abstractNumId="9">
    <w:nsid w:val="4E6AFB66"/>
    <w:multiLevelType w:val="hybridMultilevel"/>
    <w:lvl w:ilvl="0">
      <w:lvlJc w:val="left"/>
      <w:lvlText w:val="2"/>
      <w:numFmt w:val="bullet"/>
      <w:start w:val="1"/>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2"/>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lvl w:ilvl="1">
      <w:lvlJc w:val="left"/>
      <w:lvlText w:val="◦"/>
      <w:numFmt w:val="bullet"/>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1"/>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56" Type="http://schemas.openxmlformats.org/officeDocument/2006/relationships/hyperlink" Target="http://www.sec.gov/Archives/edgar/data/1131554/000095012306005985/y15440a2exv3w2.txt" TargetMode="External"/><Relationship Id="rId57" Type="http://schemas.openxmlformats.org/officeDocument/2006/relationships/hyperlink" Target="http://www.sec.gov/Archives/edgar/data/1131554/000095012306005985/y15440a2exv3w4.txt" TargetMode="External"/><Relationship Id="rId58" Type="http://schemas.openxmlformats.org/officeDocument/2006/relationships/hyperlink" Target="http://www.sec.gov/Archives/edgar/data/1131554/000110465918010721/a18-6289_1ex3d2.htm" TargetMode="External"/><Relationship Id="rId59" Type="http://schemas.openxmlformats.org/officeDocument/2006/relationships/hyperlink" Target="https://www.sec.gov/Archives/edgar/data/1131554/000110465921087598/tm2120300d3_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2022-05-10T15:55:28Z</dcterms:created>
  <dcterms:modified xsi:type="dcterms:W3CDTF">2022-05-10T15:55:28Z</dcterms:modified>
</cp:coreProperties>
</file>