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351155</wp:posOffset>
            </wp:positionV>
            <wp:extent cx="712025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25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6"/>
          <w:szCs w:val="16"/>
          <w:color w:val="auto"/>
        </w:rPr>
        <w:t>(Mark One)</w:t>
      </w:r>
    </w:p>
    <w:p>
      <w:pPr>
        <w:spacing w:after="0" w:line="31" w:lineRule="exact"/>
        <w:rPr>
          <w:sz w:val="24"/>
          <w:szCs w:val="24"/>
          <w:color w:val="auto"/>
        </w:rPr>
      </w:pPr>
    </w:p>
    <w:p>
      <w:pPr>
        <w:ind w:left="1020" w:hanging="592"/>
        <w:spacing w:after="0"/>
        <w:tabs>
          <w:tab w:leader="none" w:pos="10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1" w:lineRule="exact"/>
        <w:rPr>
          <w:sz w:val="24"/>
          <w:szCs w:val="24"/>
          <w:color w:val="auto"/>
        </w:rPr>
      </w:pPr>
    </w:p>
    <w:p>
      <w:pPr>
        <w:ind w:left="1020" w:hanging="592"/>
        <w:spacing w:after="0"/>
        <w:tabs>
          <w:tab w:leader="none" w:pos="102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225" w:right="339" w:bottom="1440" w:gutter="0" w:footer="0" w:header="0"/>
        </w:sectPr>
      </w:pPr>
    </w:p>
    <w:p>
      <w:pPr>
        <w:spacing w:after="0" w:line="29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96" w:lineRule="exact"/>
        <w:rPr>
          <w:sz w:val="24"/>
          <w:szCs w:val="24"/>
          <w:color w:val="auto"/>
        </w:rPr>
      </w:pPr>
    </w:p>
    <w:p>
      <w:pPr>
        <w:sectPr>
          <w:pgSz w:w="11900" w:h="16838" w:orient="portrait"/>
          <w:cols w:equalWidth="0" w:num="2">
            <w:col w:w="6380" w:space="380"/>
            <w:col w:w="4480"/>
          </w:cols>
          <w:pgMar w:left="320" w:top="22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color w:val="auto"/>
        </w:rPr>
        <w:t>Commission file number 001-40574</w:t>
      </w:r>
    </w:p>
    <w:p>
      <w:pPr>
        <w:sectPr>
          <w:pgSz w:w="11900" w:h="16838" w:orient="portrait"/>
          <w:cols w:equalWidth="0" w:num="1">
            <w:col w:w="11240"/>
          </w:cols>
          <w:pgMar w:left="320" w:top="225"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SYNCHRONOSS TECHNOLOGIES, INC.</w:t>
      </w:r>
    </w:p>
    <w:p>
      <w:pPr>
        <w:spacing w:after="0" w:line="46" w:lineRule="exact"/>
        <w:rPr>
          <w:sz w:val="24"/>
          <w:szCs w:val="24"/>
          <w:color w:val="auto"/>
        </w:rPr>
      </w:pPr>
    </w:p>
    <w:tbl>
      <w:tblPr>
        <w:tblLayout w:type="fixed"/>
        <w:tblInd w:w="1580" w:type="dxa"/>
        <w:tblCellMar>
          <w:top w:w="0" w:type="dxa"/>
          <w:left w:w="0" w:type="dxa"/>
          <w:bottom w:w="0" w:type="dxa"/>
          <w:right w:w="0" w:type="dxa"/>
        </w:tblCellMar>
      </w:tblPr>
      <w:tr>
        <w:trPr>
          <w:trHeight w:val="203"/>
        </w:trPr>
        <w:tc>
          <w:tcPr>
            <w:tcW w:w="5960" w:type="dxa"/>
            <w:vAlign w:val="bottom"/>
          </w:tcPr>
          <w:p>
            <w:pPr>
              <w:jc w:val="center"/>
              <w:ind w:left="2042"/>
              <w:spacing w:after="0"/>
              <w:rPr>
                <w:sz w:val="20"/>
                <w:szCs w:val="20"/>
                <w:color w:val="auto"/>
              </w:rPr>
            </w:pPr>
            <w:r>
              <w:rPr>
                <w:rFonts w:ascii="Times New Roman" w:cs="Times New Roman" w:eastAsia="Times New Roman" w:hAnsi="Times New Roman"/>
                <w:sz w:val="16"/>
                <w:szCs w:val="16"/>
                <w:color w:val="auto"/>
                <w:w w:val="97"/>
              </w:rPr>
              <w:t>(Exact name of registrant as specified in its charter)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4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06-1594540</w:t>
            </w:r>
          </w:p>
        </w:tc>
        <w:tc>
          <w:tcPr>
            <w:tcW w:w="0" w:type="dxa"/>
            <w:vAlign w:val="bottom"/>
          </w:tcPr>
          <w:p>
            <w:pPr>
              <w:spacing w:after="0"/>
              <w:rPr>
                <w:sz w:val="1"/>
                <w:szCs w:val="1"/>
                <w:color w:val="auto"/>
              </w:rPr>
            </w:pPr>
          </w:p>
        </w:tc>
      </w:tr>
      <w:tr>
        <w:trPr>
          <w:trHeight w:val="163"/>
        </w:trPr>
        <w:tc>
          <w:tcPr>
            <w:tcW w:w="5960" w:type="dxa"/>
            <w:vAlign w:val="bottom"/>
          </w:tcPr>
          <w:p>
            <w:pPr>
              <w:jc w:val="center"/>
              <w:ind w:right="3402"/>
              <w:spacing w:after="0" w:line="163" w:lineRule="exact"/>
              <w:rPr>
                <w:sz w:val="20"/>
                <w:szCs w:val="20"/>
                <w:color w:val="auto"/>
              </w:rPr>
            </w:pPr>
            <w:r>
              <w:rPr>
                <w:rFonts w:ascii="Times New Roman" w:cs="Times New Roman" w:eastAsia="Times New Roman" w:hAnsi="Times New Roman"/>
                <w:sz w:val="16"/>
                <w:szCs w:val="16"/>
                <w:color w:val="auto"/>
                <w:w w:val="96"/>
              </w:rPr>
              <w:t>(State or other jurisdiction of</w:t>
            </w:r>
          </w:p>
        </w:tc>
        <w:tc>
          <w:tcPr>
            <w:tcW w:w="1460" w:type="dxa"/>
            <w:vAlign w:val="bottom"/>
          </w:tcPr>
          <w:p>
            <w:pPr>
              <w:jc w:val="center"/>
              <w:ind w:left="222"/>
              <w:spacing w:after="0" w:line="163" w:lineRule="exact"/>
              <w:rPr>
                <w:sz w:val="20"/>
                <w:szCs w:val="20"/>
                <w:color w:val="auto"/>
              </w:rPr>
            </w:pPr>
            <w:r>
              <w:rPr>
                <w:rFonts w:ascii="Times New Roman" w:cs="Times New Roman" w:eastAsia="Times New Roman" w:hAnsi="Times New Roman"/>
                <w:sz w:val="16"/>
                <w:szCs w:val="16"/>
                <w:color w:val="auto"/>
                <w:w w:val="98"/>
              </w:rPr>
              <w:t>(I.R.S. Employer</w:t>
            </w:r>
          </w:p>
        </w:tc>
        <w:tc>
          <w:tcPr>
            <w:tcW w:w="0" w:type="dxa"/>
            <w:vAlign w:val="bottom"/>
          </w:tcPr>
          <w:p>
            <w:pPr>
              <w:spacing w:after="0"/>
              <w:rPr>
                <w:sz w:val="1"/>
                <w:szCs w:val="1"/>
                <w:color w:val="auto"/>
              </w:rPr>
            </w:pPr>
          </w:p>
        </w:tc>
      </w:tr>
      <w:tr>
        <w:trPr>
          <w:trHeight w:val="203"/>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Identification No.)</w:t>
            </w:r>
          </w:p>
        </w:tc>
        <w:tc>
          <w:tcPr>
            <w:tcW w:w="0" w:type="dxa"/>
            <w:vAlign w:val="bottom"/>
          </w:tcPr>
          <w:p>
            <w:pPr>
              <w:spacing w:after="0"/>
              <w:rPr>
                <w:sz w:val="1"/>
                <w:szCs w:val="1"/>
                <w:color w:val="auto"/>
              </w:rPr>
            </w:pPr>
          </w:p>
        </w:tc>
      </w:tr>
      <w:tr>
        <w:trPr>
          <w:trHeight w:val="370"/>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6"/>
              </w:rPr>
              <w:t>200 Crossing Boulevard, 8th Floor</w:t>
            </w:r>
          </w:p>
        </w:tc>
        <w:tc>
          <w:tcPr>
            <w:tcW w:w="146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08807</w:t>
            </w:r>
          </w:p>
        </w:tc>
        <w:tc>
          <w:tcPr>
            <w:tcW w:w="0" w:type="dxa"/>
            <w:vAlign w:val="bottom"/>
          </w:tcPr>
          <w:p>
            <w:pPr>
              <w:spacing w:after="0"/>
              <w:rPr>
                <w:sz w:val="1"/>
                <w:szCs w:val="1"/>
                <w:color w:val="auto"/>
              </w:rPr>
            </w:pPr>
          </w:p>
        </w:tc>
      </w:tr>
      <w:tr>
        <w:trPr>
          <w:trHeight w:val="205"/>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5"/>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(Zip Code)</w:t>
            </w:r>
          </w:p>
        </w:tc>
        <w:tc>
          <w:tcPr>
            <w:tcW w:w="0" w:type="dxa"/>
            <w:vAlign w:val="bottom"/>
          </w:tcPr>
          <w:p>
            <w:pPr>
              <w:spacing w:after="0"/>
              <w:rPr>
                <w:sz w:val="1"/>
                <w:szCs w:val="1"/>
                <w:color w:val="auto"/>
              </w:rPr>
            </w:pPr>
          </w:p>
        </w:tc>
      </w:tr>
      <w:tr>
        <w:trPr>
          <w:trHeight w:val="449"/>
        </w:trPr>
        <w:tc>
          <w:tcPr>
            <w:tcW w:w="5960" w:type="dxa"/>
            <w:vAlign w:val="bottom"/>
          </w:tcPr>
          <w:p>
            <w:pPr>
              <w:jc w:val="right"/>
              <w:ind w:right="1342"/>
              <w:spacing w:after="0"/>
              <w:rPr>
                <w:sz w:val="20"/>
                <w:szCs w:val="20"/>
                <w:color w:val="auto"/>
              </w:rPr>
            </w:pPr>
            <w:r>
              <w:rPr>
                <w:rFonts w:ascii="Times New Roman" w:cs="Times New Roman" w:eastAsia="Times New Roman" w:hAnsi="Times New Roman"/>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3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5"/>
          <w:szCs w:val="15"/>
          <w:color w:val="auto"/>
        </w:rPr>
        <w:t xml:space="preserve"> No </w:t>
      </w:r>
      <w:r>
        <w:rPr>
          <w:rFonts w:ascii="MS PGothic" w:cs="MS PGothic" w:eastAsia="MS PGothic" w:hAnsi="MS PGothic"/>
          <w:sz w:val="12"/>
          <w:szCs w:val="12"/>
          <w:color w:val="auto"/>
        </w:rPr>
        <w:t>☐</w:t>
      </w:r>
    </w:p>
    <w:p>
      <w:pPr>
        <w:spacing w:after="0" w:line="79"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3"/>
          <w:szCs w:val="13"/>
          <w:color w:val="auto"/>
        </w:rPr>
        <w:t>☐</w:t>
      </w:r>
    </w:p>
    <w:p>
      <w:pPr>
        <w:spacing w:after="0" w:line="158"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tbl>
      <w:tblPr>
        <w:tblLayout w:type="fixed"/>
        <w:tblInd w:w="680" w:type="dxa"/>
        <w:tblCellMar>
          <w:top w:w="0" w:type="dxa"/>
          <w:left w:w="0" w:type="dxa"/>
          <w:bottom w:w="0" w:type="dxa"/>
          <w:right w:w="0" w:type="dxa"/>
        </w:tblCellMar>
      </w:tblPr>
      <w:tr>
        <w:trPr>
          <w:trHeight w:val="193"/>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7"/>
              </w:rPr>
              <w:t>Large 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jc w:val="center"/>
              <w:ind w:left="2102"/>
              <w:spacing w:after="0"/>
              <w:rPr>
                <w:sz w:val="20"/>
                <w:szCs w:val="20"/>
                <w:color w:val="auto"/>
              </w:rPr>
            </w:pPr>
            <w:r>
              <w:rPr>
                <w:rFonts w:ascii="Times New Roman" w:cs="Times New Roman" w:eastAsia="Times New Roman" w:hAnsi="Times New Roman"/>
                <w:sz w:val="16"/>
                <w:szCs w:val="16"/>
                <w:color w:val="auto"/>
                <w:w w:val="98"/>
              </w:rPr>
              <w:t>Accelerated filer</w:t>
            </w:r>
          </w:p>
        </w:tc>
        <w:tc>
          <w:tcPr>
            <w:tcW w:w="520" w:type="dxa"/>
            <w:vAlign w:val="bottom"/>
          </w:tcPr>
          <w:p>
            <w:pPr>
              <w:ind w:left="380"/>
              <w:spacing w:after="0"/>
              <w:rPr>
                <w:sz w:val="20"/>
                <w:szCs w:val="20"/>
                <w:color w:val="auto"/>
              </w:rPr>
            </w:pPr>
            <w:r>
              <w:rPr>
                <w:rFonts w:ascii="Wingdings" w:cs="Wingdings" w:eastAsia="Wingdings" w:hAnsi="Wingdings"/>
                <w:sz w:val="14"/>
                <w:szCs w:val="14"/>
                <w:b w:val="1"/>
                <w:bCs w:val="1"/>
                <w:color w:val="auto"/>
                <w:w w:val="80"/>
              </w:rPr>
              <w:t>x</w:t>
            </w:r>
          </w:p>
        </w:tc>
      </w:tr>
      <w:tr>
        <w:trPr>
          <w:trHeight w:val="209"/>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7"/>
              </w:rPr>
              <w:t>Non-accelerated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7"/>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8"/>
              </w:rPr>
              <w:t>Emerging growth company</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10"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3"/>
          <w:szCs w:val="13"/>
          <w:b w:val="1"/>
          <w:bCs w:val="1"/>
          <w:color w:val="auto"/>
        </w:rPr>
        <w:t>x</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38"/>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0"/>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Common Stock, $.0001 par value</w:t>
            </w:r>
          </w:p>
        </w:tc>
        <w:tc>
          <w:tcPr>
            <w:tcW w:w="100" w:type="dxa"/>
            <w:vAlign w:val="bottom"/>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SNCR</w:t>
            </w:r>
          </w:p>
        </w:tc>
        <w:tc>
          <w:tcPr>
            <w:tcW w:w="100" w:type="dxa"/>
            <w:vAlign w:val="bottom"/>
          </w:tcPr>
          <w:p>
            <w:pPr>
              <w:spacing w:after="0"/>
              <w:rPr>
                <w:sz w:val="17"/>
                <w:szCs w:val="17"/>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r>
        <w:trPr>
          <w:trHeight w:val="208"/>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8.375% Senior Notes due 2026</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SNCRL</w:t>
            </w: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6, 2024, there were 10,792,176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516890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760" w:type="dxa"/>
            <w:vAlign w:val="bottom"/>
            <w:gridSpan w:val="8"/>
          </w:tcPr>
          <w:p>
            <w:pPr>
              <w:jc w:val="right"/>
              <w:ind w:right="520"/>
              <w:spacing w:after="0"/>
              <w:rPr>
                <w:sz w:val="20"/>
                <w:szCs w:val="20"/>
                <w:color w:val="auto"/>
              </w:rPr>
            </w:pPr>
            <w:r>
              <w:rPr>
                <w:rFonts w:ascii="Times New Roman" w:cs="Times New Roman" w:eastAsia="Times New Roman" w:hAnsi="Times New Roman"/>
                <w:sz w:val="17"/>
                <w:szCs w:val="17"/>
                <w:color w:val="0000FF"/>
              </w:rPr>
              <w:t>Table of Contents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16"/>
          </w:tcPr>
          <w:p>
            <w:pPr>
              <w:jc w:val="center"/>
              <w:ind w:right="288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60" w:type="dxa"/>
            <w:vAlign w:val="bottom"/>
            <w:gridSpan w:val="13"/>
          </w:tcPr>
          <w:p>
            <w:pPr>
              <w:jc w:val="center"/>
              <w:ind w:right="3900"/>
              <w:spacing w:after="0"/>
              <w:rPr>
                <w:sz w:val="20"/>
                <w:szCs w:val="20"/>
                <w:color w:val="auto"/>
              </w:rPr>
            </w:pPr>
            <w:r>
              <w:rPr>
                <w:rFonts w:ascii="Times New Roman" w:cs="Times New Roman" w:eastAsia="Times New Roman" w:hAnsi="Times New Roman"/>
                <w:sz w:val="17"/>
                <w:szCs w:val="17"/>
                <w:b w:val="1"/>
                <w:bCs w:val="1"/>
                <w:color w:val="auto"/>
              </w:rPr>
              <w:t>FORM 10-Q INDEX</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900" w:type="dxa"/>
            <w:vAlign w:val="bottom"/>
            <w:gridSpan w:val="31"/>
            <w:vMerge w:val="restart"/>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6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7"/>
                <w:szCs w:val="17"/>
                <w:color w:val="auto"/>
                <w:w w:val="88"/>
              </w:rPr>
              <w:t>Page N</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120" w:type="dxa"/>
            <w:vAlign w:val="bottom"/>
            <w:gridSpan w:val="7"/>
          </w:tcPr>
          <w:p>
            <w:pPr>
              <w:spacing w:after="0" w:line="143" w:lineRule="exact"/>
              <w:rPr>
                <w:sz w:val="20"/>
                <w:szCs w:val="20"/>
                <w:color w:val="auto"/>
              </w:rPr>
            </w:pPr>
            <w:r>
              <w:rPr>
                <w:rFonts w:ascii="Times New Roman" w:cs="Times New Roman" w:eastAsia="Times New Roman" w:hAnsi="Times New Roman"/>
                <w:sz w:val="16"/>
                <w:szCs w:val="16"/>
                <w:color w:val="0000FF"/>
              </w:rPr>
              <w:t>PART I.</w:t>
            </w:r>
          </w:p>
        </w:tc>
        <w:tc>
          <w:tcPr>
            <w:tcW w:w="8900" w:type="dxa"/>
            <w:vAlign w:val="bottom"/>
            <w:gridSpan w:val="31"/>
            <w:vMerge w:val="continue"/>
          </w:tcPr>
          <w:p>
            <w:pPr>
              <w:spacing w:after="0"/>
              <w:rPr>
                <w:sz w:val="14"/>
                <w:szCs w:val="14"/>
                <w:color w:val="auto"/>
              </w:rPr>
            </w:pPr>
          </w:p>
        </w:tc>
        <w:tc>
          <w:tcPr>
            <w:tcW w:w="600" w:type="dxa"/>
            <w:vAlign w:val="bottom"/>
            <w:gridSpan w:val="4"/>
          </w:tcPr>
          <w:p>
            <w:pPr>
              <w:jc w:val="center"/>
              <w:ind w:left="393"/>
              <w:spacing w:after="0" w:line="150" w:lineRule="exact"/>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5"/>
              </w:rPr>
              <w:t>Item 1.</w:t>
            </w:r>
          </w:p>
        </w:tc>
        <w:tc>
          <w:tcPr>
            <w:tcW w:w="500" w:type="dxa"/>
            <w:vAlign w:val="bottom"/>
            <w:gridSpan w:val="3"/>
          </w:tcPr>
          <w:p>
            <w:pPr>
              <w:spacing w:after="0"/>
              <w:rPr>
                <w:sz w:val="18"/>
                <w:szCs w:val="18"/>
                <w:color w:val="auto"/>
              </w:rPr>
            </w:pP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and Notes</w:t>
            </w: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8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4920" w:type="dxa"/>
            <w:vAlign w:val="bottom"/>
            <w:gridSpan w:val="9"/>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w:t>
            </w:r>
          </w:p>
        </w:tc>
        <w:tc>
          <w:tcPr>
            <w:tcW w:w="4460" w:type="dxa"/>
            <w:vAlign w:val="bottom"/>
            <w:gridSpan w:val="5"/>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Income (unaudited)</w:t>
            </w:r>
          </w:p>
        </w:tc>
        <w:tc>
          <w:tcPr>
            <w:tcW w:w="3100" w:type="dxa"/>
            <w:vAlign w:val="bottom"/>
            <w:gridSpan w:val="2"/>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700" w:type="dxa"/>
            <w:vAlign w:val="bottom"/>
          </w:tcPr>
          <w:p>
            <w:pPr>
              <w:spacing w:after="0"/>
              <w:rPr>
                <w:sz w:val="17"/>
                <w:szCs w:val="17"/>
                <w:color w:val="auto"/>
              </w:rPr>
            </w:pPr>
          </w:p>
        </w:tc>
        <w:tc>
          <w:tcPr>
            <w:tcW w:w="3100" w:type="dxa"/>
            <w:vAlign w:val="bottom"/>
            <w:gridSpan w:val="2"/>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660" w:type="dxa"/>
            <w:vAlign w:val="bottom"/>
            <w:gridSpan w:val="2"/>
          </w:tcPr>
          <w:p>
            <w:pPr>
              <w:spacing w:after="0"/>
              <w:rPr>
                <w:sz w:val="17"/>
                <w:szCs w:val="17"/>
                <w:color w:val="auto"/>
              </w:rPr>
            </w:pPr>
          </w:p>
        </w:tc>
        <w:tc>
          <w:tcPr>
            <w:tcW w:w="3800" w:type="dxa"/>
            <w:vAlign w:val="bottom"/>
            <w:gridSpan w:val="3"/>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4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2660" w:type="dxa"/>
            <w:vAlign w:val="bottom"/>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4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Note 1. Description of Business</w:t>
            </w:r>
          </w:p>
        </w:tc>
        <w:tc>
          <w:tcPr>
            <w:tcW w:w="2660" w:type="dxa"/>
            <w:vAlign w:val="bottom"/>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Note 2. Basis of Presentation and Consolidation</w:t>
            </w: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Note 3. Revenue</w:t>
            </w:r>
          </w:p>
        </w:tc>
        <w:tc>
          <w:tcPr>
            <w:tcW w:w="2160" w:type="dxa"/>
            <w:vAlign w:val="bottom"/>
            <w:gridSpan w:val="14"/>
          </w:tcPr>
          <w:p>
            <w:pPr>
              <w:spacing w:after="0"/>
              <w:rPr>
                <w:sz w:val="17"/>
                <w:szCs w:val="17"/>
                <w:color w:val="auto"/>
              </w:rPr>
            </w:pPr>
          </w:p>
        </w:tc>
        <w:tc>
          <w:tcPr>
            <w:tcW w:w="5560" w:type="dxa"/>
            <w:vAlign w:val="bottom"/>
            <w:gridSpan w:val="13"/>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31"/>
          </w:tcPr>
          <w:p>
            <w:pPr>
              <w:spacing w:after="0" w:line="189" w:lineRule="exact"/>
              <w:rPr>
                <w:sz w:val="20"/>
                <w:szCs w:val="20"/>
                <w:color w:val="auto"/>
              </w:rPr>
            </w:pPr>
            <w:r>
              <w:rPr>
                <w:rFonts w:ascii="Times New Roman" w:cs="Times New Roman" w:eastAsia="Times New Roman" w:hAnsi="Times New Roman"/>
                <w:sz w:val="17"/>
                <w:szCs w:val="17"/>
                <w:color w:val="0000FF"/>
              </w:rPr>
              <w:t>Note 4. Divestitures and Discontinued Operations</w:t>
            </w:r>
          </w:p>
        </w:tc>
        <w:tc>
          <w:tcPr>
            <w:tcW w:w="620" w:type="dxa"/>
            <w:vAlign w:val="bottom"/>
            <w:gridSpan w:val="5"/>
          </w:tcPr>
          <w:p>
            <w:pPr>
              <w:jc w:val="center"/>
              <w:ind w:left="373"/>
              <w:spacing w:after="0" w:line="189" w:lineRule="exact"/>
              <w:rPr>
                <w:sz w:val="20"/>
                <w:szCs w:val="20"/>
                <w:color w:val="auto"/>
              </w:rPr>
            </w:pPr>
            <w:r>
              <w:rPr>
                <w:rFonts w:ascii="Times New Roman" w:cs="Times New Roman" w:eastAsia="Times New Roman" w:hAnsi="Times New Roman"/>
                <w:sz w:val="17"/>
                <w:szCs w:val="17"/>
                <w:color w:val="0000FF"/>
                <w:w w:val="93"/>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Note 5. Accounts Receivable Securitization Facility</w:t>
            </w:r>
          </w:p>
        </w:tc>
        <w:tc>
          <w:tcPr>
            <w:tcW w:w="5220" w:type="dxa"/>
            <w:vAlign w:val="bottom"/>
            <w:gridSpan w:val="11"/>
          </w:tcPr>
          <w:p>
            <w:pPr>
              <w:spacing w:after="0"/>
              <w:rPr>
                <w:sz w:val="18"/>
                <w:szCs w:val="18"/>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Note 6. Fair Value Measurements</w:t>
            </w:r>
          </w:p>
        </w:tc>
        <w:tc>
          <w:tcPr>
            <w:tcW w:w="6560" w:type="dxa"/>
            <w:vAlign w:val="bottom"/>
            <w:gridSpan w:val="16"/>
          </w:tcPr>
          <w:p>
            <w:pPr>
              <w:spacing w:after="0"/>
              <w:rPr>
                <w:sz w:val="19"/>
                <w:szCs w:val="19"/>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Note 7. Note receivable</w:t>
            </w:r>
          </w:p>
        </w:tc>
        <w:tc>
          <w:tcPr>
            <w:tcW w:w="720" w:type="dxa"/>
            <w:vAlign w:val="bottom"/>
            <w:gridSpan w:val="7"/>
          </w:tcPr>
          <w:p>
            <w:pPr>
              <w:spacing w:after="0"/>
              <w:rPr>
                <w:sz w:val="17"/>
                <w:szCs w:val="17"/>
                <w:color w:val="auto"/>
              </w:rPr>
            </w:pPr>
          </w:p>
        </w:tc>
        <w:tc>
          <w:tcPr>
            <w:tcW w:w="6560" w:type="dxa"/>
            <w:vAlign w:val="bottom"/>
            <w:gridSpan w:val="16"/>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 8. Leases</w:t>
            </w:r>
          </w:p>
        </w:tc>
        <w:tc>
          <w:tcPr>
            <w:tcW w:w="580" w:type="dxa"/>
            <w:vAlign w:val="bottom"/>
            <w:gridSpan w:val="5"/>
          </w:tcPr>
          <w:p>
            <w:pPr>
              <w:spacing w:after="0"/>
              <w:rPr>
                <w:sz w:val="17"/>
                <w:szCs w:val="17"/>
                <w:color w:val="auto"/>
              </w:rPr>
            </w:pPr>
          </w:p>
        </w:tc>
        <w:tc>
          <w:tcPr>
            <w:tcW w:w="7280" w:type="dxa"/>
            <w:vAlign w:val="bottom"/>
            <w:gridSpan w:val="23"/>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 9. Debt</w:t>
            </w:r>
          </w:p>
        </w:tc>
        <w:tc>
          <w:tcPr>
            <w:tcW w:w="7860" w:type="dxa"/>
            <w:vAlign w:val="bottom"/>
            <w:gridSpan w:val="28"/>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Note 10. Accumulated Other Comprehensive Income</w:t>
            </w:r>
          </w:p>
        </w:tc>
        <w:tc>
          <w:tcPr>
            <w:tcW w:w="4700" w:type="dxa"/>
            <w:vAlign w:val="bottom"/>
            <w:gridSpan w:val="8"/>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Note 11. Capital Structure</w:t>
            </w:r>
          </w:p>
        </w:tc>
        <w:tc>
          <w:tcPr>
            <w:tcW w:w="4700" w:type="dxa"/>
            <w:vAlign w:val="bottom"/>
            <w:gridSpan w:val="8"/>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Note 12. Stock Plans</w:t>
            </w:r>
          </w:p>
        </w:tc>
        <w:tc>
          <w:tcPr>
            <w:tcW w:w="7080" w:type="dxa"/>
            <w:vAlign w:val="bottom"/>
            <w:gridSpan w:val="21"/>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 13. Restructuring</w:t>
            </w:r>
          </w:p>
        </w:tc>
        <w:tc>
          <w:tcPr>
            <w:tcW w:w="7300" w:type="dxa"/>
            <w:vAlign w:val="bottom"/>
            <w:gridSpan w:val="24"/>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Note 14. Income Taxes</w:t>
            </w:r>
          </w:p>
        </w:tc>
        <w:tc>
          <w:tcPr>
            <w:tcW w:w="7280" w:type="dxa"/>
            <w:vAlign w:val="bottom"/>
            <w:gridSpan w:val="23"/>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Note 15. Earnings Per Common Share</w:t>
            </w:r>
          </w:p>
        </w:tc>
        <w:tc>
          <w:tcPr>
            <w:tcW w:w="6220" w:type="dxa"/>
            <w:vAlign w:val="bottom"/>
            <w:gridSpan w:val="15"/>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Note 16. Commitments</w:t>
            </w:r>
          </w:p>
        </w:tc>
        <w:tc>
          <w:tcPr>
            <w:tcW w:w="1060" w:type="dxa"/>
            <w:vAlign w:val="bottom"/>
            <w:gridSpan w:val="8"/>
          </w:tcPr>
          <w:p>
            <w:pPr>
              <w:spacing w:after="0"/>
              <w:rPr>
                <w:sz w:val="17"/>
                <w:szCs w:val="17"/>
                <w:color w:val="auto"/>
              </w:rPr>
            </w:pPr>
          </w:p>
        </w:tc>
        <w:tc>
          <w:tcPr>
            <w:tcW w:w="6220" w:type="dxa"/>
            <w:vAlign w:val="bottom"/>
            <w:gridSpan w:val="15"/>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 17. Legal Matters</w:t>
            </w:r>
          </w:p>
        </w:tc>
        <w:tc>
          <w:tcPr>
            <w:tcW w:w="7280" w:type="dxa"/>
            <w:vAlign w:val="bottom"/>
            <w:gridSpan w:val="23"/>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 18. Additional Financial Information</w:t>
            </w:r>
          </w:p>
        </w:tc>
        <w:tc>
          <w:tcPr>
            <w:tcW w:w="5940" w:type="dxa"/>
            <w:vAlign w:val="bottom"/>
            <w:gridSpan w:val="14"/>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 19. Subsequent Events</w:t>
            </w:r>
          </w:p>
        </w:tc>
        <w:tc>
          <w:tcPr>
            <w:tcW w:w="5940" w:type="dxa"/>
            <w:vAlign w:val="bottom"/>
            <w:gridSpan w:val="14"/>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2.</w:t>
            </w: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5"/>
              </w:rPr>
              <w:t>Item 3.</w:t>
            </w:r>
          </w:p>
        </w:tc>
        <w:tc>
          <w:tcPr>
            <w:tcW w:w="500" w:type="dxa"/>
            <w:vAlign w:val="bottom"/>
            <w:gridSpan w:val="3"/>
          </w:tcPr>
          <w:p>
            <w:pPr>
              <w:spacing w:after="0"/>
              <w:rPr>
                <w:sz w:val="17"/>
                <w:szCs w:val="17"/>
                <w:color w:val="auto"/>
              </w:rPr>
            </w:pPr>
          </w:p>
        </w:tc>
        <w:tc>
          <w:tcPr>
            <w:tcW w:w="42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68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4.</w:t>
            </w: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II.</w:t>
            </w: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5"/>
              </w:rPr>
              <w:t>Item 1.</w:t>
            </w:r>
          </w:p>
        </w:tc>
        <w:tc>
          <w:tcPr>
            <w:tcW w:w="500" w:type="dxa"/>
            <w:vAlign w:val="bottom"/>
            <w:gridSpan w:val="3"/>
          </w:tcPr>
          <w:p>
            <w:pPr>
              <w:spacing w:after="0"/>
              <w:rPr>
                <w:sz w:val="17"/>
                <w:szCs w:val="17"/>
                <w:color w:val="auto"/>
              </w:rPr>
            </w:pPr>
          </w:p>
        </w:tc>
        <w:tc>
          <w:tcPr>
            <w:tcW w:w="18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080" w:type="dxa"/>
            <w:vAlign w:val="bottom"/>
            <w:gridSpan w:val="21"/>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9"/>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1A.</w:t>
            </w: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0000FF"/>
                <w:w w:val="95"/>
              </w:rPr>
              <w:t>Item 2.</w:t>
            </w:r>
          </w:p>
        </w:tc>
        <w:tc>
          <w:tcPr>
            <w:tcW w:w="400" w:type="dxa"/>
            <w:vAlign w:val="bottom"/>
            <w:gridSpan w:val="2"/>
          </w:tcPr>
          <w:p>
            <w:pPr>
              <w:spacing w:after="0"/>
              <w:rPr>
                <w:sz w:val="17"/>
                <w:szCs w:val="17"/>
                <w:color w:val="auto"/>
              </w:rPr>
            </w:pP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9"/>
            <w:shd w:val="clear" w:color="auto" w:fill="0000FF"/>
          </w:tcPr>
          <w:p>
            <w:pPr>
              <w:spacing w:after="0" w:line="20" w:lineRule="exact"/>
              <w:rPr>
                <w:sz w:val="1"/>
                <w:szCs w:val="1"/>
                <w:color w:val="auto"/>
              </w:rPr>
            </w:pPr>
          </w:p>
        </w:tc>
        <w:tc>
          <w:tcPr>
            <w:tcW w:w="1940" w:type="dxa"/>
            <w:vAlign w:val="bottom"/>
            <w:gridSpan w:val="9"/>
            <w:shd w:val="clear" w:color="auto" w:fill="0000FF"/>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0000FF"/>
            </w:tcBorders>
            <w:gridSpan w:val="5"/>
          </w:tcPr>
          <w:p>
            <w:pPr>
              <w:jc w:val="right"/>
              <w:ind w:right="460"/>
              <w:spacing w:after="0"/>
              <w:rPr>
                <w:sz w:val="20"/>
                <w:szCs w:val="20"/>
                <w:color w:val="auto"/>
              </w:rPr>
            </w:pPr>
            <w:r>
              <w:rPr>
                <w:rFonts w:ascii="Times New Roman" w:cs="Times New Roman" w:eastAsia="Times New Roman" w:hAnsi="Times New Roman"/>
                <w:sz w:val="17"/>
                <w:szCs w:val="17"/>
                <w:color w:val="0000FF"/>
                <w:w w:val="95"/>
              </w:rPr>
              <w:t>Item 3.</w:t>
            </w:r>
          </w:p>
        </w:tc>
        <w:tc>
          <w:tcPr>
            <w:tcW w:w="60" w:type="dxa"/>
            <w:vAlign w:val="bottom"/>
          </w:tcPr>
          <w:p>
            <w:pPr>
              <w:spacing w:after="0"/>
              <w:rPr>
                <w:sz w:val="17"/>
                <w:szCs w:val="17"/>
                <w:color w:val="auto"/>
              </w:rPr>
            </w:pPr>
          </w:p>
        </w:tc>
        <w:tc>
          <w:tcPr>
            <w:tcW w:w="2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640" w:type="dxa"/>
            <w:vAlign w:val="bottom"/>
            <w:gridSpan w:val="1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4.</w:t>
            </w: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7180" w:type="dxa"/>
            <w:vAlign w:val="bottom"/>
            <w:gridSpan w:val="2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5.</w:t>
            </w: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620" w:type="dxa"/>
            <w:vAlign w:val="bottom"/>
            <w:gridSpan w:val="2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6.</w:t>
            </w:r>
          </w:p>
        </w:tc>
        <w:tc>
          <w:tcPr>
            <w:tcW w:w="89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Exhibits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60" w:type="dxa"/>
            <w:vAlign w:val="bottom"/>
            <w:gridSpan w:val="8"/>
          </w:tcPr>
          <w:p>
            <w:pPr>
              <w:ind w:left="640"/>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0"/>
        </w:trPr>
        <w:tc>
          <w:tcPr>
            <w:tcW w:w="6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5"/>
        </w:trPr>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 AND NOTES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580" w:type="dxa"/>
            <w:vAlign w:val="bottom"/>
          </w:tcPr>
          <w:p>
            <w:pPr>
              <w:jc w:val="center"/>
              <w:ind w:left="2093"/>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80" w:type="dxa"/>
            <w:vAlign w:val="bottom"/>
          </w:tcPr>
          <w:p>
            <w:pPr>
              <w:jc w:val="center"/>
              <w:ind w:left="211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80" w:type="dxa"/>
            <w:vAlign w:val="bottom"/>
          </w:tcPr>
          <w:p>
            <w:pPr>
              <w:jc w:val="center"/>
              <w:ind w:left="2113"/>
              <w:spacing w:after="0"/>
              <w:rPr>
                <w:sz w:val="20"/>
                <w:szCs w:val="20"/>
                <w:color w:val="auto"/>
              </w:rPr>
            </w:pPr>
            <w:r>
              <w:rPr>
                <w:rFonts w:ascii="Times New Roman" w:cs="Times New Roman" w:eastAsia="Times New Roman" w:hAnsi="Times New Roman"/>
                <w:sz w:val="17"/>
                <w:szCs w:val="17"/>
                <w:b w:val="1"/>
                <w:bCs w:val="1"/>
                <w:color w:val="auto"/>
              </w:rPr>
              <w:t>(Unaudited) (In thousands)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6580" w:type="dxa"/>
            <w:vAlign w:val="bottom"/>
            <w:tcBorders>
              <w:top w:val="single" w:sz="8" w:color="CCEEFF"/>
            </w:tcBorders>
            <w:shd w:val="clear" w:color="auto" w:fill="CCEEFF"/>
          </w:tcPr>
          <w:p>
            <w:pPr>
              <w:jc w:val="center"/>
              <w:ind w:right="1193"/>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&amp;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33,953</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82,002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14,791</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183,908</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22,214</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assets, non-current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224,607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228,335</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298,503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310,337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580" w:type="dxa"/>
            <w:vAlign w:val="bottom"/>
            <w:shd w:val="clear" w:color="auto" w:fill="CCEEFF"/>
          </w:tcPr>
          <w:p>
            <w:pPr>
              <w:jc w:val="center"/>
              <w:ind w:right="1193"/>
              <w:spacing w:after="0" w:line="188"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39,127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revenues, current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47,697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debt, net of debt issuance costs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Leases, non-current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23,593</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203,243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212,403</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7760" w:type="dxa"/>
            <w:vAlign w:val="bottom"/>
            <w:gridSpan w:val="2"/>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Series B Non-Convertible Perpetual Preferred Stock, $0.0001 par value; 150 shares authorized, 61 and 61</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58,802</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77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shares issued and outstanding at March 31, 2024 and December 31, 2023, respectively</w:t>
            </w:r>
          </w:p>
        </w:tc>
        <w:tc>
          <w:tcPr>
            <w:tcW w:w="160" w:type="dxa"/>
            <w:vAlign w:val="bottom"/>
            <w:shd w:val="clear" w:color="auto" w:fill="CCEEFF"/>
          </w:tcPr>
          <w:p>
            <w:pPr>
              <w:spacing w:after="0"/>
              <w:rPr>
                <w:sz w:val="12"/>
                <w:szCs w:val="12"/>
                <w:color w:val="auto"/>
              </w:rPr>
            </w:pPr>
          </w:p>
        </w:tc>
        <w:tc>
          <w:tcPr>
            <w:tcW w:w="1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77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776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Common stock, $0.0001 par value; 16,667 shares authorized, 10,315 and 10,314 issued and outstanding at</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March 31, 2024 and December 31, 2023, respectively</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483,527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(431,164)</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26,632</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298,503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310,337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3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(Unaudited) (In thousands, except per share data)</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78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8"/>
        </w:trPr>
        <w:tc>
          <w:tcPr>
            <w:tcW w:w="77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41,985</w:t>
            </w:r>
          </w:p>
        </w:tc>
        <w:tc>
          <w:tcPr>
            <w:tcW w:w="0" w:type="dxa"/>
            <w:vAlign w:val="bottom"/>
          </w:tcPr>
          <w:p>
            <w:pPr>
              <w:spacing w:after="0"/>
              <w:rPr>
                <w:sz w:val="1"/>
                <w:szCs w:val="1"/>
                <w:color w:val="auto"/>
              </w:rPr>
            </w:pPr>
          </w:p>
        </w:tc>
      </w:tr>
      <w:tr>
        <w:trPr>
          <w:trHeight w:val="22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Costs and expenses: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42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10,960</w:t>
            </w:r>
          </w:p>
        </w:tc>
        <w:tc>
          <w:tcPr>
            <w:tcW w:w="0" w:type="dxa"/>
            <w:vAlign w:val="bottom"/>
          </w:tcPr>
          <w:p>
            <w:pPr>
              <w:spacing w:after="0"/>
              <w:rPr>
                <w:sz w:val="1"/>
                <w:szCs w:val="1"/>
                <w:color w:val="auto"/>
              </w:rPr>
            </w:pPr>
          </w:p>
        </w:tc>
      </w:tr>
      <w:tr>
        <w:trPr>
          <w:trHeight w:val="222"/>
        </w:trPr>
        <w:tc>
          <w:tcPr>
            <w:tcW w:w="77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12,744</w:t>
            </w: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15,966</w:t>
            </w:r>
          </w:p>
        </w:tc>
        <w:tc>
          <w:tcPr>
            <w:tcW w:w="0" w:type="dxa"/>
            <w:vAlign w:val="bottom"/>
          </w:tcPr>
          <w:p>
            <w:pPr>
              <w:spacing w:after="0"/>
              <w:rPr>
                <w:sz w:val="1"/>
                <w:szCs w:val="1"/>
                <w:color w:val="auto"/>
              </w:rPr>
            </w:pPr>
          </w:p>
        </w:tc>
      </w:tr>
      <w:tr>
        <w:trPr>
          <w:trHeight w:val="222"/>
        </w:trPr>
        <w:tc>
          <w:tcPr>
            <w:tcW w:w="77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Restructuring charges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43,944</w:t>
            </w: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0" w:type="dxa"/>
            <w:vAlign w:val="bottom"/>
          </w:tcPr>
          <w:p>
            <w:pPr>
              <w:spacing w:after="0"/>
              <w:rPr>
                <w:sz w:val="1"/>
                <w:szCs w:val="1"/>
                <w:color w:val="auto"/>
              </w:rPr>
            </w:pPr>
          </w:p>
        </w:tc>
      </w:tr>
      <w:tr>
        <w:trPr>
          <w:trHeight w:val="22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w:t>
            </w:r>
          </w:p>
        </w:tc>
        <w:tc>
          <w:tcPr>
            <w:tcW w:w="0" w:type="dxa"/>
            <w:vAlign w:val="bottom"/>
          </w:tcPr>
          <w:p>
            <w:pPr>
              <w:spacing w:after="0"/>
              <w:rPr>
                <w:sz w:val="1"/>
                <w:szCs w:val="1"/>
                <w:color w:val="auto"/>
              </w:rPr>
            </w:pPr>
          </w:p>
        </w:tc>
      </w:tr>
      <w:tr>
        <w:trPr>
          <w:trHeight w:val="222"/>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before taxes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(8,294)</w:t>
            </w:r>
          </w:p>
        </w:tc>
        <w:tc>
          <w:tcPr>
            <w:tcW w:w="0" w:type="dxa"/>
            <w:vAlign w:val="bottom"/>
          </w:tcPr>
          <w:p>
            <w:pPr>
              <w:spacing w:after="0"/>
              <w:rPr>
                <w:sz w:val="1"/>
                <w:szCs w:val="1"/>
                <w:color w:val="auto"/>
              </w:rPr>
            </w:pPr>
          </w:p>
        </w:tc>
      </w:tr>
      <w:tr>
        <w:trPr>
          <w:trHeight w:val="222"/>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w:t>
            </w:r>
          </w:p>
        </w:tc>
        <w:tc>
          <w:tcPr>
            <w:tcW w:w="0" w:type="dxa"/>
            <w:vAlign w:val="bottom"/>
          </w:tcPr>
          <w:p>
            <w:pPr>
              <w:spacing w:after="0"/>
              <w:rPr>
                <w:sz w:val="1"/>
                <w:szCs w:val="1"/>
                <w:color w:val="auto"/>
              </w:rPr>
            </w:pPr>
          </w:p>
        </w:tc>
      </w:tr>
      <w:tr>
        <w:trPr>
          <w:trHeight w:val="22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Discontinued operations (Note 4):</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from discontinued operations, before taxes</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0" w:type="dxa"/>
            <w:vAlign w:val="bottom"/>
          </w:tcPr>
          <w:p>
            <w:pPr>
              <w:spacing w:after="0"/>
              <w:rPr>
                <w:sz w:val="1"/>
                <w:szCs w:val="1"/>
                <w:color w:val="auto"/>
              </w:rPr>
            </w:pPr>
          </w:p>
        </w:tc>
      </w:tr>
      <w:tr>
        <w:trPr>
          <w:trHeight w:val="222"/>
        </w:trPr>
        <w:tc>
          <w:tcPr>
            <w:tcW w:w="7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0" w:type="dxa"/>
            <w:vAlign w:val="bottom"/>
          </w:tcPr>
          <w:p>
            <w:pPr>
              <w:spacing w:after="0"/>
              <w:rPr>
                <w:sz w:val="1"/>
                <w:szCs w:val="1"/>
                <w:color w:val="auto"/>
              </w:rPr>
            </w:pPr>
          </w:p>
        </w:tc>
      </w:tr>
      <w:tr>
        <w:trPr>
          <w:trHeight w:val="215"/>
        </w:trPr>
        <w:tc>
          <w:tcPr>
            <w:tcW w:w="7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(10,931)</w:t>
            </w: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income attributable to redeemable noncontrolling interests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2"/>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Preferred stock dividend</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0" w:type="dxa"/>
            <w:vAlign w:val="bottom"/>
          </w:tcPr>
          <w:p>
            <w:pPr>
              <w:spacing w:after="0"/>
              <w:rPr>
                <w:sz w:val="1"/>
                <w:szCs w:val="1"/>
                <w:color w:val="auto"/>
              </w:rPr>
            </w:pPr>
          </w:p>
        </w:tc>
      </w:tr>
      <w:tr>
        <w:trPr>
          <w:trHeight w:val="214"/>
        </w:trPr>
        <w:tc>
          <w:tcPr>
            <w:tcW w:w="77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income (loss) attributable to Synchronoss</w:t>
            </w:r>
          </w:p>
        </w:tc>
        <w:tc>
          <w:tcPr>
            <w:tcW w:w="1060" w:type="dxa"/>
            <w:vAlign w:val="bottom"/>
            <w:tcBorders>
              <w:bottom w:val="single" w:sz="8" w:color="auto"/>
            </w:tcBorders>
            <w:shd w:val="clear" w:color="auto" w:fill="CCEEFF"/>
          </w:tcPr>
          <w:p>
            <w:pPr>
              <w:jc w:val="right"/>
              <w:ind w:right="854"/>
              <w:spacing w:after="0" w:line="189"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2,341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(13,391)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0"/>
        </w:trPr>
        <w:tc>
          <w:tcPr>
            <w:tcW w:w="7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7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0"/>
        </w:trPr>
        <w:tc>
          <w:tcPr>
            <w:tcW w:w="7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7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80" w:type="dxa"/>
            <w:vAlign w:val="bottom"/>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10,277</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9,653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6"/>
        <w:spacing w:after="0" w:line="210" w:lineRule="auto"/>
        <w:tabs>
          <w:tab w:leader="none" w:pos="22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52" w:lineRule="exact"/>
        <w:rPr>
          <w:sz w:val="20"/>
          <w:szCs w:val="20"/>
          <w:color w:val="auto"/>
        </w:rPr>
      </w:pPr>
    </w:p>
    <w:p>
      <w:pPr>
        <w:ind w:left="4920" w:right="2080" w:hanging="2803"/>
        <w:spacing w:after="0" w:line="329" w:lineRule="auto"/>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 (Unaudited)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78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8"/>
        </w:trPr>
        <w:tc>
          <w:tcPr>
            <w:tcW w:w="77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(10,931)</w:t>
            </w:r>
          </w:p>
        </w:tc>
      </w:tr>
      <w:tr>
        <w:trPr>
          <w:trHeight w:val="22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2"/>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w:t>
            </w:r>
          </w:p>
        </w:tc>
      </w:tr>
      <w:tr>
        <w:trPr>
          <w:trHeight w:val="215"/>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(6,361)</w:t>
            </w:r>
          </w:p>
        </w:tc>
      </w:tr>
      <w:tr>
        <w:trPr>
          <w:trHeight w:val="22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 attributable to redeemable noncontrolling interests</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5"/>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Synchronoss</w:t>
            </w: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(6,347)</w:t>
            </w: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left="340" w:right="2460"/>
        <w:spacing w:after="0" w:line="288" w:lineRule="auto"/>
        <w:rPr>
          <w:sz w:val="20"/>
          <w:szCs w:val="20"/>
          <w:color w:val="auto"/>
        </w:rPr>
      </w:pPr>
      <w:r>
        <w:rPr>
          <w:rFonts w:ascii="Times New Roman" w:cs="Times New Roman" w:eastAsia="Times New Roman" w:hAnsi="Times New Roman"/>
          <w:sz w:val="17"/>
          <w:szCs w:val="17"/>
          <w:b w:val="1"/>
          <w:bCs w:val="1"/>
          <w:color w:val="auto"/>
        </w:rPr>
        <w:t>SYNCHRONOSS TECHNOLOGIES, INC. CONDENSED CONSOLIDATED STATEMENTS OF STOCKHOLDERS’ EQUITY (Unaudited)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1180" w:type="dxa"/>
            <w:vAlign w:val="bottom"/>
            <w:gridSpan w:val="5"/>
          </w:tcPr>
          <w:p>
            <w:pPr>
              <w:jc w:val="center"/>
              <w:ind w:right="10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5"/>
                <w:szCs w:val="15"/>
                <w:color w:val="auto"/>
              </w:rPr>
            </w:pPr>
          </w:p>
        </w:tc>
        <w:tc>
          <w:tcPr>
            <w:tcW w:w="10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(Loss) Income</w:t>
            </w:r>
          </w:p>
        </w:tc>
        <w:tc>
          <w:tcPr>
            <w:tcW w:w="12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4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10,314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483,527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(25,732)</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(431,164)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26,632</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dividend</w:t>
            </w:r>
          </w:p>
        </w:tc>
        <w:tc>
          <w:tcPr>
            <w:tcW w:w="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(6,109)</w:t>
            </w:r>
          </w:p>
        </w:tc>
        <w:tc>
          <w:tcPr>
            <w:tcW w:w="0" w:type="dxa"/>
            <w:vAlign w:val="bottom"/>
          </w:tcPr>
          <w:p>
            <w:pPr>
              <w:spacing w:after="0"/>
              <w:rPr>
                <w:sz w:val="1"/>
                <w:szCs w:val="1"/>
                <w:color w:val="auto"/>
              </w:rPr>
            </w:pPr>
          </w:p>
        </w:tc>
      </w:tr>
      <w:tr>
        <w:trPr>
          <w:trHeight w:val="19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04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10,315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482,492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(31,841)</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(426,694)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23,958</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7"/>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1180" w:type="dxa"/>
            <w:vAlign w:val="bottom"/>
            <w:gridSpan w:val="5"/>
          </w:tcPr>
          <w:p>
            <w:pPr>
              <w:jc w:val="center"/>
              <w:ind w:right="1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9"/>
                <w:szCs w:val="9"/>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5"/>
                <w:szCs w:val="15"/>
                <w:color w:val="auto"/>
              </w:rPr>
            </w:pPr>
          </w:p>
        </w:tc>
        <w:tc>
          <w:tcPr>
            <w:tcW w:w="108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1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68,097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dividend</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4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Shares withheld for taxes in connection with issuance of restricted</w:t>
            </w:r>
          </w:p>
        </w:tc>
        <w:tc>
          <w:tcPr>
            <w:tcW w:w="20" w:type="dxa"/>
            <w:vAlign w:val="bottom"/>
            <w:shd w:val="clear" w:color="auto" w:fill="CCEEFF"/>
          </w:tcPr>
          <w:p>
            <w:pPr>
              <w:spacing w:after="0"/>
              <w:rPr>
                <w:sz w:val="13"/>
                <w:szCs w:val="13"/>
                <w:color w:val="auto"/>
              </w:rPr>
            </w:pPr>
          </w:p>
        </w:tc>
        <w:tc>
          <w:tcPr>
            <w:tcW w:w="11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shd w:val="clear" w:color="auto" w:fill="CCEEFF"/>
          </w:tcPr>
          <w:p>
            <w:pPr>
              <w:spacing w:after="0"/>
              <w:rPr>
                <w:sz w:val="10"/>
                <w:szCs w:val="10"/>
                <w:color w:val="auto"/>
              </w:rPr>
            </w:pPr>
          </w:p>
        </w:tc>
        <w:tc>
          <w:tcPr>
            <w:tcW w:w="110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4"/>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48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4,570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4,570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60,575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82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8"/>
        </w:trPr>
        <w:tc>
          <w:tcPr>
            <w:tcW w:w="78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0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8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(8,589)</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r>
      <w:tr>
        <w:trPr>
          <w:trHeight w:val="222"/>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income (loss) to net cash from operating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7,520</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bond discount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w:t>
            </w:r>
          </w:p>
        </w:tc>
      </w:tr>
      <w:tr>
        <w:trPr>
          <w:trHeight w:val="222"/>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w:t>
            </w:r>
          </w:p>
        </w:tc>
      </w:tr>
      <w:tr>
        <w:trPr>
          <w:trHeight w:val="215"/>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w:t>
            </w:r>
          </w:p>
        </w:tc>
      </w:tr>
      <w:tr>
        <w:trPr>
          <w:trHeight w:val="248"/>
        </w:trPr>
        <w:tc>
          <w:tcPr>
            <w:tcW w:w="78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22"/>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r>
      <w:tr>
        <w:trPr>
          <w:trHeight w:val="222"/>
        </w:trPr>
        <w:tc>
          <w:tcPr>
            <w:tcW w:w="7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Additions to capitalized software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(4,594)</w:t>
            </w:r>
          </w:p>
        </w:tc>
      </w:tr>
      <w:tr>
        <w:trPr>
          <w:trHeight w:val="21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w:t>
            </w:r>
          </w:p>
        </w:tc>
      </w:tr>
      <w:tr>
        <w:trPr>
          <w:trHeight w:val="248"/>
        </w:trPr>
        <w:tc>
          <w:tcPr>
            <w:tcW w:w="7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2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Taxes paid on withholding shares</w:t>
            </w: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Drawdown on A/R Facility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Repayment of A/R Facility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Series B Preferred dividend paid in cash</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w:t>
            </w:r>
          </w:p>
        </w:tc>
      </w:tr>
      <w:tr>
        <w:trPr>
          <w:trHeight w:val="215"/>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(2,299)</w:t>
            </w:r>
          </w:p>
        </w:tc>
      </w:tr>
      <w:tr>
        <w:trPr>
          <w:trHeight w:val="248"/>
        </w:trPr>
        <w:tc>
          <w:tcPr>
            <w:tcW w:w="78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22"/>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(5,472)</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(6,361)</w:t>
            </w:r>
          </w:p>
        </w:tc>
      </w:tr>
      <w:tr>
        <w:trPr>
          <w:trHeight w:val="215"/>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Beginning cash and cash equivalents of continuing operations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18,310</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Beginning cash and cash equivalents of discontinued operations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r>
      <w:tr>
        <w:trPr>
          <w:trHeight w:val="215"/>
        </w:trPr>
        <w:tc>
          <w:tcPr>
            <w:tcW w:w="7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Beginning cash and cash equivalents</w:t>
            </w:r>
          </w:p>
        </w:tc>
        <w:tc>
          <w:tcPr>
            <w:tcW w:w="10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24,572</w:t>
            </w: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21,921</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Ending cash and cash equivalents of continuing operations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Ending cash and cash equivalents of discontinued operations</w:t>
            </w: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2,639</w:t>
            </w:r>
          </w:p>
        </w:tc>
      </w:tr>
      <w:tr>
        <w:trPr>
          <w:trHeight w:val="240"/>
        </w:trPr>
        <w:tc>
          <w:tcPr>
            <w:tcW w:w="7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Ending cash and cash equivalents</w:t>
            </w:r>
          </w:p>
        </w:tc>
        <w:tc>
          <w:tcPr>
            <w:tcW w:w="104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Synchronoss Technologies, Inc. (“Synchronoss” or the “Company”) is a leading provider of white label cloud software and services that enable our customers to keep subscribers, systems, networks and content in sync.</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Synchronoss Personal CloudTM platform is specifically designed to support smartphones, tablets, desktops computers, and laptops.</w:t>
      </w:r>
    </w:p>
    <w:p>
      <w:pPr>
        <w:spacing w:after="0" w:line="248"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Synchronoss’ Messaging platform (Owned and operated through October 31, 2023) had powered mobile messaging and mailboxes for hundreds of millions of telecommunication subscribers. Our Advanced Messaging platform had been a powerful, secure, intelligent, white label messaging platform that expanded capabilities for communications service provider and multi-service providers to offer P2P messaging via Rich Communications Services (“RCS”). Our Mobile Messaging Platform (“MMP”) provided a single standard ecosystem for onboarding and management to brands, advertisers and message wholesalers.</w:t>
      </w:r>
    </w:p>
    <w:p>
      <w:pPr>
        <w:spacing w:after="0" w:line="19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Synchronoss NetworkX (Owned and operated through October 31, 2023) products had provided operators with the tools and software to design their physical network, streamlined their infrastructure purchases, and managed and optimized comprehensive network expenses for leading top tier carriers around the globe.</w:t>
      </w:r>
    </w:p>
    <w:p>
      <w:pPr>
        <w:spacing w:after="0" w:line="189"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On October 31, 2023, Synchronoss Technologies, Inc. entered into an Asset Purchase Agreement with Lumine Group Software Solutions (Ireland) Limited, pursuant to which the Company sold its Messaging and NetworkX businesses. This transaction represented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loss from discontinued operations, net of taxes in the Consolidated Statements of Operations for prior periods presented. There were no assets and liabilities related to discontinued operations as of March 31, 2024 and December 31, 2023, as all balances were transferred to Lumine Group upon sale. The notes to the financial statements have been adjusted on a retrospective basis. For additional information, see Note 4. Divestitures and Discontinued Operations of the Notes to Consolidated Financial Statements in Item 1 of this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Basis of Presentation and Consolidation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252"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2023. The results of operations for the three months ended March 31, 2024 are not necessarily indicative of the results to be expected for the year ending December 31, 2024.</w:t>
      </w:r>
    </w:p>
    <w:p>
      <w:pPr>
        <w:spacing w:after="0" w:line="201"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76" w:lineRule="exact"/>
        <w:rPr>
          <w:sz w:val="20"/>
          <w:szCs w:val="20"/>
          <w:color w:val="auto"/>
        </w:rPr>
      </w:pPr>
    </w:p>
    <w:p>
      <w:pPr>
        <w:jc w:val="both"/>
        <w:ind w:firstLine="313"/>
        <w:spacing w:after="0" w:line="246" w:lineRule="auto"/>
        <w:rPr>
          <w:sz w:val="20"/>
          <w:szCs w:val="20"/>
          <w:color w:val="auto"/>
        </w:rPr>
      </w:pPr>
      <w:r>
        <w:rPr>
          <w:rFonts w:ascii="Times New Roman" w:cs="Times New Roman" w:eastAsia="Times New Roman" w:hAnsi="Times New Roman"/>
          <w:sz w:val="17"/>
          <w:szCs w:val="17"/>
          <w:color w:val="auto"/>
        </w:rPr>
        <w:t>Unless otherwise noted, tables are presented in U.S. dollars in thousands. Certain columns and rows may not add due to the use of rounded numbers. Percentages presented are calculated from the underlying numbers in thousands. Earnings per share amounts are computed independently for earnings from continuing operations, earnings from discontinued operations and net earnings. As a result, the sum of per-share amounts may not equal the total. We have reclassified certain prior year amounts to conform with current year presentation. Unless otherwise noted, all amounts and disclosures included in the Notes to Consolidated Financial Statements reflect only the Company's continuing operations except for the Consolidated Statements of Cash Flows, which are presented for the whole company for the three months ended March 31, 2023. For supplemental cash flow disclosures, see Note 4. Divestitures and Discontinued Operations of the Notes to Consolidated Financial Statements in Item 1 of this Form 10-Q.</w:t>
      </w:r>
    </w:p>
    <w:p>
      <w:pPr>
        <w:spacing w:after="0" w:line="201"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During the fourth quarter of 2023 there was a change in the capital structure due to a reverse stock split, which decreased the number of common shares outstanding. The Company retroactively displayed the effect of the change in the Consolidated Balance Sheets, and retroactively adjusted the computations of basic and diluted EPS for all periods presented on the Consolidated Statement of Operations. For additional information, see Note 11. Capital Structure of the Notes to Consolidated Financial Statements in Item 1 of this Form 10-Q.</w:t>
      </w:r>
    </w:p>
    <w:p>
      <w:pPr>
        <w:spacing w:after="0" w:line="20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Standards issued not yet adopted</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1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Standard</w:t>
            </w:r>
          </w:p>
        </w:tc>
        <w:tc>
          <w:tcPr>
            <w:tcW w:w="6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Description</w:t>
            </w:r>
          </w:p>
        </w:tc>
        <w:tc>
          <w:tcPr>
            <w:tcW w:w="2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Effect on the financial statements</w:t>
            </w:r>
          </w:p>
        </w:tc>
      </w:tr>
      <w:tr>
        <w:trPr>
          <w:trHeight w:val="150"/>
        </w:trPr>
        <w:tc>
          <w:tcPr>
            <w:tcW w:w="19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Update 2024-01 -</w:t>
            </w:r>
          </w:p>
        </w:tc>
        <w:tc>
          <w:tcPr>
            <w:tcW w:w="6280" w:type="dxa"/>
            <w:vAlign w:val="bottom"/>
          </w:tcPr>
          <w:p>
            <w:pPr>
              <w:ind w:left="80"/>
              <w:spacing w:after="0" w:line="150" w:lineRule="exact"/>
              <w:rPr>
                <w:sz w:val="20"/>
                <w:szCs w:val="20"/>
                <w:color w:val="auto"/>
              </w:rPr>
            </w:pPr>
            <w:r>
              <w:rPr>
                <w:rFonts w:ascii="Times New Roman" w:cs="Times New Roman" w:eastAsia="Times New Roman" w:hAnsi="Times New Roman"/>
                <w:sz w:val="16"/>
                <w:szCs w:val="16"/>
                <w:color w:val="auto"/>
              </w:rPr>
              <w:t>The amendments in this Update related to the scope application issue apply to all reporting</w:t>
            </w:r>
          </w:p>
        </w:tc>
        <w:tc>
          <w:tcPr>
            <w:tcW w:w="278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The Company continues to evaluate the</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Compensation—Stock</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entities that account for profits interest awards as compensation to employees or nonemployees</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w w:val="99"/>
              </w:rPr>
              <w:t>changes and does not anticipate any mater</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Compensation</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in return for goods or services. This Update provides specific examples to help stakeholders to</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impact  on  the  Company’s  consolidat</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(Topic 718) - Scope</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determine whether a profits interest award should be accounted for as a share-based payment</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financial position or results of operatio</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Application of Profits Interest</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arrangement (Topic 718) or similar to a cash bonus or profit-sharing arrangement (Topic 710,</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upon adoption.</w:t>
            </w:r>
          </w:p>
        </w:tc>
      </w:tr>
      <w:tr>
        <w:trPr>
          <w:trHeight w:val="20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Similar Awards</w:t>
            </w: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Compensation—General, or other Topics).</w:t>
            </w:r>
          </w:p>
        </w:tc>
        <w:tc>
          <w:tcPr>
            <w:tcW w:w="2780" w:type="dxa"/>
            <w:vAlign w:val="bottom"/>
          </w:tcPr>
          <w:p>
            <w:pPr>
              <w:spacing w:after="0"/>
              <w:rPr>
                <w:sz w:val="17"/>
                <w:szCs w:val="17"/>
                <w:color w:val="auto"/>
              </w:rPr>
            </w:pPr>
          </w:p>
        </w:tc>
      </w:tr>
      <w:tr>
        <w:trPr>
          <w:trHeight w:val="162"/>
        </w:trPr>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Planned date of adoption:</w:t>
            </w:r>
          </w:p>
        </w:tc>
        <w:tc>
          <w:tcPr>
            <w:tcW w:w="62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2025</w:t>
            </w:r>
          </w:p>
        </w:tc>
        <w:tc>
          <w:tcPr>
            <w:tcW w:w="6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r>
      <w:tr>
        <w:trPr>
          <w:trHeight w:val="152"/>
        </w:trPr>
        <w:tc>
          <w:tcPr>
            <w:tcW w:w="19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Update 2023-09 - Income</w:t>
            </w:r>
          </w:p>
        </w:tc>
        <w:tc>
          <w:tcPr>
            <w:tcW w:w="6280" w:type="dxa"/>
            <w:vAlign w:val="bottom"/>
          </w:tcPr>
          <w:p>
            <w:pPr>
              <w:ind w:left="80"/>
              <w:spacing w:after="0" w:line="152" w:lineRule="exact"/>
              <w:rPr>
                <w:sz w:val="20"/>
                <w:szCs w:val="20"/>
                <w:color w:val="auto"/>
              </w:rPr>
            </w:pPr>
            <w:r>
              <w:rPr>
                <w:rFonts w:ascii="Times New Roman" w:cs="Times New Roman" w:eastAsia="Times New Roman" w:hAnsi="Times New Roman"/>
                <w:sz w:val="16"/>
                <w:szCs w:val="16"/>
                <w:color w:val="auto"/>
              </w:rPr>
              <w:t>The amendments in this Update related to the rate reconciliation and income taxes paid</w:t>
            </w:r>
          </w:p>
        </w:tc>
        <w:tc>
          <w:tcPr>
            <w:tcW w:w="2780" w:type="dxa"/>
            <w:vAlign w:val="bottom"/>
          </w:tcPr>
          <w:p>
            <w:pPr>
              <w:ind w:left="60"/>
              <w:spacing w:after="0" w:line="152" w:lineRule="exact"/>
              <w:rPr>
                <w:sz w:val="20"/>
                <w:szCs w:val="20"/>
                <w:color w:val="auto"/>
              </w:rPr>
            </w:pPr>
            <w:r>
              <w:rPr>
                <w:rFonts w:ascii="Times New Roman" w:cs="Times New Roman" w:eastAsia="Times New Roman" w:hAnsi="Times New Roman"/>
                <w:sz w:val="16"/>
                <w:szCs w:val="16"/>
                <w:color w:val="auto"/>
              </w:rPr>
              <w:t>The Company continues to evaluate the</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Taxes (Topic 740) -</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disclosures improve the transparency of income tax disclosures by requiring (1) consistent</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w w:val="99"/>
              </w:rPr>
              <w:t>changes and does not anticipate any mater</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Improvements to Income Tax</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categories and greater disaggregation of information in the rate reconciliation and (2) income</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impact  on  the  Company’s  consolidat</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Disclosures</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taxes paid disaggregated by jurisdiction.</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financial position or results of operatio</w:t>
            </w:r>
          </w:p>
        </w:tc>
      </w:tr>
      <w:tr>
        <w:trPr>
          <w:trHeight w:val="203"/>
        </w:trPr>
        <w:tc>
          <w:tcPr>
            <w:tcW w:w="19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upon adoption.</w:t>
            </w:r>
          </w:p>
        </w:tc>
      </w:tr>
      <w:tr>
        <w:trPr>
          <w:trHeight w:val="162"/>
        </w:trPr>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Planned date of adoption:</w:t>
            </w:r>
          </w:p>
        </w:tc>
        <w:tc>
          <w:tcPr>
            <w:tcW w:w="62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2025</w:t>
            </w:r>
          </w:p>
        </w:tc>
        <w:tc>
          <w:tcPr>
            <w:tcW w:w="6280" w:type="dxa"/>
            <w:vAlign w:val="bottom"/>
          </w:tcPr>
          <w:p>
            <w:pPr>
              <w:spacing w:after="0"/>
              <w:rPr>
                <w:sz w:val="17"/>
                <w:szCs w:val="17"/>
                <w:color w:val="auto"/>
              </w:rPr>
            </w:pPr>
          </w:p>
        </w:tc>
        <w:tc>
          <w:tcPr>
            <w:tcW w:w="2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3175</wp:posOffset>
            </wp:positionV>
            <wp:extent cx="6999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17" w:lineRule="exact"/>
        <w:rPr>
          <w:sz w:val="20"/>
          <w:szCs w:val="20"/>
          <w:color w:val="auto"/>
        </w:rPr>
      </w:pPr>
    </w:p>
    <w:p>
      <w:pPr>
        <w:ind w:left="340"/>
        <w:spacing w:after="0" w:line="234" w:lineRule="auto"/>
        <w:rPr>
          <w:sz w:val="20"/>
          <w:szCs w:val="20"/>
          <w:color w:val="auto"/>
        </w:rPr>
      </w:pPr>
      <w:r>
        <w:rPr>
          <w:rFonts w:ascii="Times New Roman" w:cs="Times New Roman" w:eastAsia="Times New Roman" w:hAnsi="Times New Roman"/>
          <w:sz w:val="15"/>
          <w:szCs w:val="15"/>
          <w:color w:val="auto"/>
        </w:rPr>
        <w:t>Update 2023-07 - Segment Reporting (Topic 280) - Improvements to Reportable Segment Disclosures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Planned date of adoption:</w:t>
      </w:r>
    </w:p>
    <w:p>
      <w:pPr>
        <w:ind w:left="340"/>
        <w:spacing w:after="0"/>
        <w:rPr>
          <w:sz w:val="20"/>
          <w:szCs w:val="20"/>
          <w:color w:val="auto"/>
        </w:rPr>
      </w:pPr>
      <w:r>
        <w:rPr>
          <w:rFonts w:ascii="Times New Roman" w:cs="Times New Roman" w:eastAsia="Times New Roman" w:hAnsi="Times New Roman"/>
          <w:sz w:val="16"/>
          <w:szCs w:val="16"/>
          <w:color w:val="auto"/>
        </w:rPr>
        <w:t>January 1, 2025</w:t>
      </w:r>
    </w:p>
    <w:p>
      <w:pPr>
        <w:spacing w:after="0" w:line="20" w:lineRule="exact"/>
        <w:rPr>
          <w:sz w:val="20"/>
          <w:szCs w:val="20"/>
          <w:color w:val="auto"/>
        </w:rPr>
      </w:pPr>
      <w:r>
        <w:rPr>
          <w:sz w:val="20"/>
          <w:szCs w:val="20"/>
          <w:color w:val="auto"/>
        </w:rPr>
        <w:br w:type="column"/>
      </w:r>
    </w:p>
    <w:p>
      <w:pPr>
        <w:jc w:val="both"/>
        <w:spacing w:after="0" w:line="216" w:lineRule="auto"/>
        <w:rPr>
          <w:sz w:val="20"/>
          <w:szCs w:val="20"/>
          <w:color w:val="auto"/>
        </w:rPr>
      </w:pPr>
      <w:r>
        <w:rPr>
          <w:rFonts w:ascii="Times New Roman" w:cs="Times New Roman" w:eastAsia="Times New Roman" w:hAnsi="Times New Roman"/>
          <w:sz w:val="16"/>
          <w:szCs w:val="16"/>
          <w:color w:val="auto"/>
        </w:rPr>
        <w:t>The amendments in this Update improve reportable segment disclosure requirements, primarily through enhanced disclosures about significant segment expenses. The amendments in this Update Requires that a public entity that has a single reportable segment provide all the disclosures required by the amendments in this Update and all existing segment disclosures in Topic 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236855</wp:posOffset>
            </wp:positionV>
            <wp:extent cx="6999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16" w:lineRule="auto"/>
        <w:rPr>
          <w:sz w:val="20"/>
          <w:szCs w:val="20"/>
          <w:color w:val="auto"/>
        </w:rPr>
      </w:pPr>
      <w:r>
        <w:rPr>
          <w:rFonts w:ascii="Times New Roman" w:cs="Times New Roman" w:eastAsia="Times New Roman" w:hAnsi="Times New Roman"/>
          <w:sz w:val="16"/>
          <w:szCs w:val="16"/>
          <w:color w:val="auto"/>
        </w:rPr>
        <w:t>The Company continues to evaluate the changes and does not anticipate any mater impact on the Company’s consolidat financial position or results of operatio upon adoption.</w:t>
      </w:r>
    </w:p>
    <w:p>
      <w:pPr>
        <w:spacing w:after="0" w:line="564" w:lineRule="exact"/>
        <w:rPr>
          <w:sz w:val="20"/>
          <w:szCs w:val="20"/>
          <w:color w:val="auto"/>
        </w:rPr>
      </w:pPr>
    </w:p>
    <w:p>
      <w:pPr>
        <w:sectPr>
          <w:pgSz w:w="11900" w:h="16838" w:orient="portrait"/>
          <w:cols w:equalWidth="0" w:num="3">
            <w:col w:w="2120" w:space="240"/>
            <w:col w:w="6120" w:space="140"/>
            <w:col w:w="272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(“TMT”) sector.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9"/>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9"/>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760" w:type="dxa"/>
            <w:vAlign w:val="bottom"/>
            <w:tcBorders>
              <w:bottom w:val="single" w:sz="8" w:color="auto"/>
            </w:tcBorders>
          </w:tcPr>
          <w:p>
            <w:pPr>
              <w:spacing w:after="0"/>
              <w:rPr>
                <w:sz w:val="18"/>
                <w:szCs w:val="18"/>
                <w:color w:val="auto"/>
              </w:rPr>
            </w:pPr>
          </w:p>
        </w:tc>
      </w:tr>
      <w:tr>
        <w:trPr>
          <w:trHeight w:val="192"/>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Cloud</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NetworkX</w:t>
            </w:r>
          </w:p>
        </w:tc>
        <w:tc>
          <w:tcPr>
            <w:tcW w:w="140" w:type="dxa"/>
            <w:vAlign w:val="bottom"/>
          </w:tcPr>
          <w:p>
            <w:pPr>
              <w:spacing w:after="0"/>
              <w:rPr>
                <w:sz w:val="16"/>
                <w:szCs w:val="16"/>
                <w:color w:val="auto"/>
              </w:rPr>
            </w:pPr>
          </w:p>
        </w:tc>
        <w:tc>
          <w:tcPr>
            <w:tcW w:w="9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Messaging</w:t>
            </w:r>
            <w:r>
              <w:rPr>
                <w:rFonts w:ascii="Times New Roman" w:cs="Times New Roman" w:eastAsia="Times New Roman" w:hAnsi="Times New Roman"/>
                <w:sz w:val="18"/>
                <w:szCs w:val="18"/>
                <w:b w:val="1"/>
                <w:bCs w:val="1"/>
                <w:color w:val="auto"/>
                <w:vertAlign w:val="superscript"/>
              </w:rPr>
              <w:t>2</w:t>
            </w: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Cloud</w:t>
            </w:r>
          </w:p>
        </w:tc>
        <w:tc>
          <w:tcPr>
            <w:tcW w:w="120" w:type="dxa"/>
            <w:vAlign w:val="bottom"/>
          </w:tcPr>
          <w:p>
            <w:pPr>
              <w:spacing w:after="0"/>
              <w:rPr>
                <w:sz w:val="16"/>
                <w:szCs w:val="16"/>
                <w:color w:val="auto"/>
              </w:rPr>
            </w:pPr>
          </w:p>
        </w:tc>
        <w:tc>
          <w:tcPr>
            <w:tcW w:w="960" w:type="dxa"/>
            <w:vAlign w:val="bottom"/>
            <w:gridSpan w:val="2"/>
          </w:tcPr>
          <w:p>
            <w:pPr>
              <w:ind w:left="40"/>
              <w:spacing w:after="0" w:line="192" w:lineRule="exact"/>
              <w:rPr>
                <w:sz w:val="20"/>
                <w:szCs w:val="20"/>
                <w:color w:val="auto"/>
              </w:rPr>
            </w:pPr>
            <w:r>
              <w:rPr>
                <w:rFonts w:ascii="Times New Roman" w:cs="Times New Roman" w:eastAsia="Times New Roman" w:hAnsi="Times New Roman"/>
                <w:sz w:val="14"/>
                <w:szCs w:val="14"/>
                <w:b w:val="1"/>
                <w:bCs w:val="1"/>
                <w:color w:val="auto"/>
              </w:rPr>
              <w:t>NetworkX</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6"/>
                <w:szCs w:val="16"/>
                <w:color w:val="auto"/>
              </w:rPr>
            </w:pPr>
          </w:p>
        </w:tc>
        <w:tc>
          <w:tcPr>
            <w:tcW w:w="9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Messaging</w:t>
            </w:r>
            <w:r>
              <w:rPr>
                <w:rFonts w:ascii="Times New Roman" w:cs="Times New Roman" w:eastAsia="Times New Roman" w:hAnsi="Times New Roman"/>
                <w:sz w:val="18"/>
                <w:szCs w:val="18"/>
                <w:b w:val="1"/>
                <w:bCs w:val="1"/>
                <w:color w:val="auto"/>
                <w:vertAlign w:val="superscript"/>
              </w:rPr>
              <w:t>2</w:t>
            </w: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Geography:</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Americas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39,641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38,321</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APAC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r>
      <w:tr>
        <w:trPr>
          <w:trHeight w:val="24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41,985</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Line: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4,661</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Services</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36,793</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215"/>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42,903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42,965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41,078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41,985</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ind w:left="220" w:hanging="216"/>
        <w:spacing w:after="0" w:line="230" w:lineRule="auto"/>
        <w:tabs>
          <w:tab w:leader="none" w:pos="22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revenue recognized in prior periods associated with residual NetworkX contracts not included in the Asset Purchase Agreement with Lumine Group.</w:t>
      </w:r>
    </w:p>
    <w:p>
      <w:pPr>
        <w:ind w:left="220" w:hanging="216"/>
        <w:spacing w:after="0" w:line="215" w:lineRule="auto"/>
        <w:tabs>
          <w:tab w:leader="none" w:pos="22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revenue recognized in the current and prior periods associated with residual Messaging contracts not included in the Asset Purchase Agreement with Lumine Group.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Accounts Receivable and Contract balances</w:t>
      </w:r>
    </w:p>
    <w:p>
      <w:pPr>
        <w:spacing w:after="0" w:line="252"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1"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was nil and $1.2 million as of March 31, 2024 and December 31, 2023, respectively.</w:t>
      </w:r>
    </w:p>
    <w:p>
      <w:pPr>
        <w:spacing w:after="0" w:line="1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Company’s contract assets and liabilities are reported in a net position on a customer basis at the end of each reporting period.</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43"/>
        </w:trPr>
        <w:tc>
          <w:tcPr>
            <w:tcW w:w="9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Significant changes in the contract liabilities balance (current and non-current) during the period are as follows: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8"/>
        </w:trPr>
        <w:tc>
          <w:tcPr>
            <w:tcW w:w="96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gridSpan w:val="2"/>
          </w:tcPr>
          <w:p>
            <w:pPr>
              <w:jc w:val="right"/>
              <w:spacing w:after="0" w:line="248" w:lineRule="exact"/>
              <w:rPr>
                <w:sz w:val="20"/>
                <w:szCs w:val="20"/>
                <w:color w:val="auto"/>
              </w:rPr>
            </w:pPr>
            <w:r>
              <w:rPr>
                <w:rFonts w:ascii="Times New Roman" w:cs="Times New Roman" w:eastAsia="Times New Roman" w:hAnsi="Times New Roman"/>
                <w:sz w:val="17"/>
                <w:szCs w:val="17"/>
                <w:b w:val="1"/>
                <w:bCs w:val="1"/>
                <w:color w:val="auto"/>
              </w:rPr>
              <w:t>Contract Liabilities</w:t>
            </w:r>
            <w:r>
              <w:rPr>
                <w:rFonts w:ascii="Times New Roman" w:cs="Times New Roman" w:eastAsia="Times New Roman" w:hAnsi="Times New Roman"/>
                <w:sz w:val="22"/>
                <w:szCs w:val="22"/>
                <w:b w:val="1"/>
                <w:bCs w:val="1"/>
                <w:color w:val="auto"/>
                <w:vertAlign w:val="superscript"/>
              </w:rPr>
              <w:t>1</w:t>
            </w:r>
          </w:p>
        </w:tc>
      </w:tr>
      <w:tr>
        <w:trPr>
          <w:trHeight w:val="21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r>
      <w:tr>
        <w:trPr>
          <w:trHeight w:val="222"/>
        </w:trPr>
        <w:tc>
          <w:tcPr>
            <w:tcW w:w="9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Revenue recognized in the period</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(42,947)</w:t>
            </w:r>
          </w:p>
        </w:tc>
      </w:tr>
      <w:tr>
        <w:trPr>
          <w:trHeight w:val="222"/>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Amounts billed but not initially recognized as revenue</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42,508</w:t>
            </w:r>
          </w:p>
        </w:tc>
      </w:tr>
      <w:tr>
        <w:trPr>
          <w:trHeight w:val="215"/>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0"/>
        </w:trPr>
        <w:tc>
          <w:tcPr>
            <w:tcW w:w="9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6"/>
        <w:spacing w:after="0" w:line="210" w:lineRule="auto"/>
        <w:tabs>
          <w:tab w:leader="none" w:pos="22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Comprised of Deferred Revenue. $1.0 million of revenue recognized in the period was included in the contract liability balance at the beginning of the period.</w:t>
      </w:r>
    </w:p>
    <w:p>
      <w:pPr>
        <w:spacing w:after="0" w:line="210" w:lineRule="exact"/>
        <w:rPr>
          <w:rFonts w:ascii="Times New Roman" w:cs="Times New Roman" w:eastAsia="Times New Roman" w:hAnsi="Times New Roman"/>
          <w:sz w:val="20"/>
          <w:szCs w:val="20"/>
          <w:color w:val="auto"/>
          <w:vertAlign w:val="superscript"/>
        </w:rPr>
      </w:pPr>
    </w:p>
    <w:p>
      <w:pPr>
        <w:ind w:left="32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u w:val="single" w:color="auto"/>
          <w:color w:val="auto"/>
        </w:rPr>
        <w:t>Transaction price allocated to the remaining performance obligations</w:t>
      </w:r>
    </w:p>
    <w:p>
      <w:pPr>
        <w:spacing w:after="0" w:line="248"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Topic 606 requires that the Company disclose the aggregate amount of transaction price that is allocated to performance obligations that have not yet been satisfied as of March 31, 2024. The Company has elected not to disclose transaction price allocated to remaining performance obligations for:</w:t>
      </w:r>
    </w:p>
    <w:p>
      <w:pPr>
        <w:spacing w:after="0" w:line="173"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an original duration of one year or less, including contracts that can be terminated for convenience without a substantive penalty;</w:t>
      </w:r>
    </w:p>
    <w:p>
      <w:pPr>
        <w:spacing w:after="0" w:line="31"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for which the Company recognizes revenues based on the right to invoice for services performed;</w:t>
      </w:r>
    </w:p>
    <w:p>
      <w:pPr>
        <w:spacing w:after="0" w:line="13" w:lineRule="exact"/>
        <w:rPr>
          <w:rFonts w:ascii="Times New Roman" w:cs="Times New Roman" w:eastAsia="Times New Roman" w:hAnsi="Times New Roman"/>
          <w:sz w:val="17"/>
          <w:szCs w:val="17"/>
          <w:color w:val="auto"/>
        </w:rPr>
      </w:pPr>
    </w:p>
    <w:p>
      <w:pPr>
        <w:jc w:val="both"/>
        <w:ind w:left="640" w:hanging="323"/>
        <w:spacing w:after="0" w:line="261"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Many of the Company’s performance obligations meet one or more of these exemptions. Specifically, the Company has excluded the following from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remaining performance obligations, all of which will be resolved in the period in which amounts are known:</w:t>
      </w:r>
    </w:p>
    <w:p>
      <w:pPr>
        <w:spacing w:after="0" w:line="230" w:lineRule="exact"/>
        <w:rPr>
          <w:sz w:val="20"/>
          <w:szCs w:val="20"/>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future transactions, above any contractual minimums</w:t>
      </w:r>
    </w:p>
    <w:p>
      <w:pPr>
        <w:spacing w:after="0" w:line="3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success-based transactions contingent on third party data</w:t>
      </w:r>
    </w:p>
    <w:p>
      <w:pPr>
        <w:spacing w:after="0" w:line="13"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credits for failure to meet future service level requirements</w:t>
      </w:r>
    </w:p>
    <w:p>
      <w:pPr>
        <w:spacing w:after="0" w:line="23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March 31, 2024, the aggregate amount of transaction price allocated to remaining performance obligations, other than those meeting the exclusion criteria above, was $214.0 million, of which approximately 61.5 percent is expected to be recognized as revenues within 2 years, and the remainder thereafter.</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Divestitures and Discontinued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Discontinued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Messaging and NetworkX Businesses Sale</w:t>
      </w:r>
    </w:p>
    <w:p>
      <w:pPr>
        <w:spacing w:after="0" w:line="23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On October 31, 2023 (the “Closing Date”), Synchronoss Technologies, Inc. and certain of its affiliated entities (such entities, together with the Company, the “Company Group”) entered into an Asset Purchase Agreement (the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Lumine Group Software Solutions (Ireland) Limited, a private limited company incorporated under the laws of Ireland, Lumine Group UK Holdco Ltd, Incognito Software Systems Inc., Lumine Group US Holdco, Inc., Lumine Group Australia Holdco Pty Ltd, Openwave Messaging (Ireland) Limited, Razersight Software Solutions Ireland Limited, Spatial Software Solutions Ireland Limited, Razorsight Software Solutions US Inc., and Openwave Messaging US Inc. (such entities, the “Buyer”), pursuant to which the Company Group sold its Messaging and NetworkX businesses (the “Messaging and NetworkX Businesses”) to Buyer (the “Transaction”) for a total purchase price of up to $41,800,000 (the “Purchase Price”), and Buyer assumed certain liabilities of the Messaging and Digital Businesses. Lumine Group Inc., the parent entity of Lumine Group Software Solutions (Ireland) Limited, guaranteed certain obligations of Buyer under the Agreement pursuant to a separate Limited Guaranty, by and between Lumine Group Inc. and the Company, dated as of the date of the Agreement. The Purchase Price, which is subject to set-off rights in certain circumstances and certain adjustments, is payable as follows: (i) $31,300,000 (as adjusted) was paid in cash to the Company on the Closing Date, (ii) an additional $7,200,000 was deposited by Buyer into an escrow account on the Closing Date (which amount will remain in escrow until reconciliation of a net tangible asset adjustment), with any amounts in such escrow account to be released from escrow to either Buyer or the Company, based on whether such reconciliation indicates a deficit or a surplus in net tangible assets relative to a negotiated target amount, following such reconciliation process, which could take in excess of 150 days following the Closing Date for the initial portion of the net tangible asset reconciliation and 300 days or more following the Closing Date for reconciliation of certain specified assets to be completed, (iii) an additional $300,000 in cash (which amount was not deposited into an escrow account) may become payable to the Company in accordance with the terms of the Agreement in the event that the voluntary disclosure process with respect to certain sales tax matters related to the Messaging and NetworkX Businesses are resolved by the Company within 9 months following the Closing Date, and (iv) an additional amount of up to $3,000,000 in cash (which amount was not deposited into an escrow account) may become payable to the Company as an earn-out based on the achievement of specified gross revenue targets for the Messaging and NetworkX Businesses in fiscal year 2023. Pursuant to the Certificate of Designations of the Series B Perpetual Non-Convertible Preferred Stock, on November 3, 2023 the Company redeemed 9,874 shares of its outstanding Series B Preferred Stock by using $10,000,000 of the Purchase Price, of which $9.9 million was related to principal and $0.1 million was related to accrued dividend.</w:t>
      </w:r>
    </w:p>
    <w:p>
      <w:pPr>
        <w:spacing w:after="0" w:line="200" w:lineRule="exact"/>
        <w:rPr>
          <w:sz w:val="20"/>
          <w:szCs w:val="20"/>
          <w:color w:val="auto"/>
        </w:rPr>
      </w:pPr>
    </w:p>
    <w:p>
      <w:pPr>
        <w:spacing w:after="0" w:line="215" w:lineRule="exact"/>
        <w:rPr>
          <w:sz w:val="20"/>
          <w:szCs w:val="20"/>
          <w:color w:val="auto"/>
        </w:rPr>
      </w:pPr>
    </w:p>
    <w:p>
      <w:pPr>
        <w:jc w:val="both"/>
        <w:ind w:firstLine="313"/>
        <w:spacing w:after="0" w:line="251" w:lineRule="auto"/>
        <w:rPr>
          <w:sz w:val="20"/>
          <w:szCs w:val="20"/>
          <w:color w:val="auto"/>
        </w:rPr>
      </w:pPr>
      <w:r>
        <w:rPr>
          <w:rFonts w:ascii="Times New Roman" w:cs="Times New Roman" w:eastAsia="Times New Roman" w:hAnsi="Times New Roman"/>
          <w:sz w:val="17"/>
          <w:szCs w:val="17"/>
          <w:color w:val="auto"/>
        </w:rPr>
        <w:t>This transaction represents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During the fourth quarter of 2023 the Company allocated $28.6 million goodwill to the transaction using level 3 estimates, and recognized a loss on divestiture of $16.4 million reported in Loss on divestiture in the Consolidated Statements of Operations. The Company received $31.3 million in cash proceeds from the sale of Messaging and NetworkX, which was offset by $0.4 million of assumed transaction expenses and $7.2 million of operating cash on the divested entities. Total consideration for the sale also included $1.5 million of estimated deferred consideration, in addition to the cash received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firstLine="313"/>
        <w:spacing w:after="0" w:line="278" w:lineRule="auto"/>
        <w:rPr>
          <w:sz w:val="20"/>
          <w:szCs w:val="20"/>
          <w:color w:val="auto"/>
        </w:rPr>
      </w:pPr>
      <w:r>
        <w:rPr>
          <w:rFonts w:ascii="Times New Roman" w:cs="Times New Roman" w:eastAsia="Times New Roman" w:hAnsi="Times New Roman"/>
          <w:sz w:val="17"/>
          <w:szCs w:val="17"/>
          <w:color w:val="auto"/>
        </w:rPr>
        <w:t>The following tables set forth details of net income from discontinued operations for the three months ended March 31, 2024 and 2023, related to Messaging and NetworkX Businesses sale.</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824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8"/>
        </w:trPr>
        <w:tc>
          <w:tcPr>
            <w:tcW w:w="8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15,723</w:t>
            </w:r>
          </w:p>
        </w:tc>
      </w:tr>
      <w:tr>
        <w:trPr>
          <w:trHeight w:val="222"/>
        </w:trPr>
        <w:tc>
          <w:tcPr>
            <w:tcW w:w="824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revenues*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9,421</w:t>
            </w: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Restructuring charges</w:t>
            </w:r>
          </w:p>
        </w:tc>
        <w:tc>
          <w:tcPr>
            <w:tcW w:w="10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215"/>
        </w:trPr>
        <w:tc>
          <w:tcPr>
            <w:tcW w:w="82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17,346</w:t>
            </w:r>
          </w:p>
        </w:tc>
      </w:tr>
      <w:tr>
        <w:trPr>
          <w:trHeight w:val="21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r>
      <w:tr>
        <w:trPr>
          <w:trHeight w:val="222"/>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10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expense, net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5"/>
        </w:trPr>
        <w:tc>
          <w:tcPr>
            <w:tcW w:w="824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 before taxes</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22"/>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w:t>
            </w:r>
          </w:p>
        </w:tc>
      </w:tr>
      <w:tr>
        <w:trPr>
          <w:trHeight w:val="215"/>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w:t>
            </w:r>
          </w:p>
        </w:tc>
      </w:tr>
      <w:tr>
        <w:trPr>
          <w:trHeight w:val="20"/>
        </w:trPr>
        <w:tc>
          <w:tcPr>
            <w:tcW w:w="8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82" w:lineRule="exact"/>
        <w:rPr>
          <w:sz w:val="20"/>
          <w:szCs w:val="20"/>
          <w:color w:val="auto"/>
        </w:rPr>
      </w:pPr>
    </w:p>
    <w:p>
      <w:pPr>
        <w:ind w:left="220" w:hanging="216"/>
        <w:spacing w:after="0"/>
        <w:tabs>
          <w:tab w:leader="none" w:pos="2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09" w:lineRule="exact"/>
        <w:rPr>
          <w:sz w:val="20"/>
          <w:szCs w:val="20"/>
          <w:color w:val="auto"/>
        </w:rPr>
      </w:pPr>
    </w:p>
    <w:p>
      <w:pPr>
        <w:jc w:val="both"/>
        <w:ind w:firstLine="313"/>
        <w:spacing w:after="0" w:line="278" w:lineRule="auto"/>
        <w:rPr>
          <w:sz w:val="20"/>
          <w:szCs w:val="20"/>
          <w:color w:val="auto"/>
        </w:rPr>
      </w:pPr>
      <w:r>
        <w:rPr>
          <w:rFonts w:ascii="Times New Roman" w:cs="Times New Roman" w:eastAsia="Times New Roman" w:hAnsi="Times New Roman"/>
          <w:sz w:val="17"/>
          <w:szCs w:val="17"/>
          <w:color w:val="auto"/>
        </w:rPr>
        <w:t>There were no assets and liabilities related to discontinued operations as of March 31, 2024 and December 31, 2023, as all balances were transferred to Lumine Group upon sale.</w:t>
      </w:r>
    </w:p>
    <w:p>
      <w:pPr>
        <w:spacing w:after="0" w:line="186" w:lineRule="exact"/>
        <w:rPr>
          <w:sz w:val="20"/>
          <w:szCs w:val="20"/>
          <w:color w:val="auto"/>
        </w:rPr>
      </w:pPr>
    </w:p>
    <w:p>
      <w:pPr>
        <w:jc w:val="both"/>
        <w:ind w:firstLine="313"/>
        <w:spacing w:after="0" w:line="278" w:lineRule="auto"/>
        <w:rPr>
          <w:sz w:val="20"/>
          <w:szCs w:val="20"/>
          <w:color w:val="auto"/>
        </w:rPr>
      </w:pPr>
      <w:r>
        <w:rPr>
          <w:rFonts w:ascii="Times New Roman" w:cs="Times New Roman" w:eastAsia="Times New Roman" w:hAnsi="Times New Roman"/>
          <w:sz w:val="17"/>
          <w:szCs w:val="17"/>
          <w:color w:val="auto"/>
        </w:rPr>
        <w:t>The following table summarizes the significant non-cash items and capital expenditures of the discontinued operations that are included in the consolidated statements of cash flows for the three months ended March 31, 2024 and 2023:</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828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8"/>
        </w:trPr>
        <w:tc>
          <w:tcPr>
            <w:tcW w:w="8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8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222"/>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22"/>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Additions to capitalized software</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Divestitures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 Experience Platform and Activation Solutions Sale</w:t>
      </w:r>
    </w:p>
    <w:p>
      <w:pPr>
        <w:spacing w:after="0" w:line="239"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203"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has not been received by the Company in accordance with the agreement. As of December 31, 2023 the Company fully reserved for the asset and related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recorded within the Selling, general and administrative expenses line item on the Consolidated Statements of Income, and is pursuing collection of the payment.</w:t>
      </w:r>
    </w:p>
    <w:p>
      <w:pPr>
        <w:spacing w:after="0" w:line="235" w:lineRule="exact"/>
        <w:rPr>
          <w:sz w:val="20"/>
          <w:szCs w:val="20"/>
          <w:color w:val="auto"/>
        </w:rPr>
      </w:pPr>
    </w:p>
    <w:p>
      <w:pPr>
        <w:jc w:val="both"/>
        <w:ind w:firstLine="313"/>
        <w:spacing w:after="0" w:line="257" w:lineRule="auto"/>
        <w:rPr>
          <w:sz w:val="20"/>
          <w:szCs w:val="20"/>
          <w:color w:val="auto"/>
        </w:rPr>
      </w:pPr>
      <w:r>
        <w:rPr>
          <w:rFonts w:ascii="Times New Roman" w:cs="Times New Roman" w:eastAsia="Times New Roman" w:hAnsi="Times New Roman"/>
          <w:sz w:val="17"/>
          <w:szCs w:val="17"/>
          <w:color w:val="auto"/>
        </w:rPr>
        <w:t>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 received in the transaction, the Company determined the attributable fair value of goodwill to the DXP Business was $7.6 million. The transaction resulted in a $2.5 million gain for the year ended December 31,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Accounts Receivable Securitization Facility</w:t>
      </w:r>
    </w:p>
    <w:p>
      <w:pPr>
        <w:spacing w:after="0" w:line="237"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173"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201"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0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89"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Unless earlier terminated or subsequently extended pursuant to the terms of the Receivables Purchase Agreement, the A/R Facility will expire on June 23, 2025.</w:t>
      </w:r>
    </w:p>
    <w:p>
      <w:pPr>
        <w:spacing w:after="0" w:line="200" w:lineRule="exact"/>
        <w:rPr>
          <w:sz w:val="20"/>
          <w:szCs w:val="20"/>
          <w:color w:val="auto"/>
        </w:rPr>
      </w:pPr>
    </w:p>
    <w:p>
      <w:pPr>
        <w:spacing w:after="0" w:line="234"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399" w:lineRule="exact"/>
        <w:rPr>
          <w:sz w:val="20"/>
          <w:szCs w:val="20"/>
          <w:color w:val="auto"/>
        </w:rPr>
      </w:pPr>
    </w:p>
    <w:p>
      <w:pPr>
        <w:jc w:val="both"/>
        <w:ind w:firstLine="313"/>
        <w:spacing w:after="0" w:line="252" w:lineRule="auto"/>
        <w:rPr>
          <w:sz w:val="20"/>
          <w:szCs w:val="20"/>
          <w:color w:val="auto"/>
        </w:rPr>
      </w:pPr>
      <w:r>
        <w:rPr>
          <w:rFonts w:ascii="Times New Roman" w:cs="Times New Roman" w:eastAsia="Times New Roman" w:hAnsi="Times New Roman"/>
          <w:sz w:val="17"/>
          <w:szCs w:val="17"/>
          <w:color w:val="auto"/>
        </w:rPr>
        <w:t>The Company drew $3.0 million on the A/R Facility on February 23, 2024, and had repaid the balance in full on March 28, 2024. The interest associated with the draw and repayment was not material for the period. The drawdown and subsequent repayment of the A/R Facility represent financing activities, as reported in the Statement of Cash Flows. As of March 31, 2024 approximately $4.7 million of the Company’s receivables are held by SN Technologies. As of March 31, 2024 there were no outstanding borrowings against the A/R facility and $3.8 million was available for the Company to draw under the A/R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Fair Value Measurements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89" w:lineRule="exact"/>
        <w:rPr>
          <w:sz w:val="20"/>
          <w:szCs w:val="20"/>
          <w:color w:val="auto"/>
        </w:rPr>
      </w:pPr>
    </w:p>
    <w:p>
      <w:pPr>
        <w:ind w:left="620" w:hanging="30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Observable inputs - quoted prices in active markets for identical assets and liabilities;</w:t>
      </w:r>
    </w:p>
    <w:p>
      <w:pPr>
        <w:spacing w:after="0" w:line="31" w:lineRule="exact"/>
        <w:rPr>
          <w:rFonts w:ascii="Times New Roman" w:cs="Times New Roman" w:eastAsia="Times New Roman" w:hAnsi="Times New Roman"/>
          <w:sz w:val="17"/>
          <w:szCs w:val="17"/>
          <w:color w:val="auto"/>
        </w:rPr>
      </w:pPr>
    </w:p>
    <w:p>
      <w:pPr>
        <w:jc w:val="both"/>
        <w:ind w:left="640" w:hanging="323"/>
        <w:spacing w:after="0" w:line="25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640" w:hanging="323"/>
        <w:spacing w:after="0" w:line="272"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 includes amounts derived from valuation models where one or more significant inputs are unobservable and require the Company to develop relevant assumptions.</w:t>
      </w:r>
    </w:p>
    <w:p>
      <w:pPr>
        <w:spacing w:after="0" w:line="191"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had $19.1 million and $24.6 million of cash and cash equivalents as of March 31, 2024 and December 31, 2023, respectively. The company had nil and $12.5 million in money market accounts, measured as Level 1 inputs as of March 31, 2024 and December 31, 2023,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Note Receivable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Sequential Technology International, LLC</w:t>
      </w:r>
    </w:p>
    <w:p>
      <w:pPr>
        <w:spacing w:after="0" w:line="25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As of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w:t>
      </w:r>
    </w:p>
    <w:p>
      <w:pPr>
        <w:spacing w:after="0" w:line="18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agreement with STIN and APC to amend the aforementioned promissory note and reduce the principal balance to $3.0 million, forgive outstanding accrued interest and extend the maturity date of the Note to September 2027. Certain circumstances may enable the Company to receive consideration in excess of the amended principal balance. In the first quarter of 2024 the Company reassessed the collectability of the note and determined a full allowance for credit losses was required equal to the carrying value of the note. Accordingly, the modification of the terms of the Note had no net impact on the condensed consolidated financial statements for the quarter ended March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firstLine="313"/>
        <w:spacing w:after="0" w:line="267" w:lineRule="auto"/>
        <w:rPr>
          <w:sz w:val="20"/>
          <w:szCs w:val="20"/>
          <w:color w:val="auto"/>
        </w:rPr>
      </w:pPr>
      <w:r>
        <w:rPr>
          <w:rFonts w:ascii="Times New Roman" w:cs="Times New Roman" w:eastAsia="Times New Roman" w:hAnsi="Times New Roman"/>
          <w:sz w:val="17"/>
          <w:szCs w:val="17"/>
          <w:color w:val="auto"/>
        </w:rPr>
        <w:t>The Company is party to certain sublease arrangements, primarily related to the Company’s real estate leases, where it acts as the lessee and intermediate lessor.</w:t>
      </w:r>
    </w:p>
    <w:p>
      <w:pPr>
        <w:spacing w:after="0" w:line="200" w:lineRule="exact"/>
        <w:rPr>
          <w:sz w:val="20"/>
          <w:szCs w:val="20"/>
          <w:color w:val="auto"/>
        </w:rPr>
      </w:pPr>
    </w:p>
    <w:p>
      <w:pPr>
        <w:spacing w:after="0" w:line="234"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Assets under operating leases are included in Operating lease right-of-use assets, with the related short term liabilities included in Accrued expenses and long term portion included in Leases, non-current on the Consolidated Balance Sheets.</w:t>
      </w:r>
    </w:p>
    <w:p>
      <w:pPr>
        <w:spacing w:after="0" w:line="173"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Assets under finance leases are included in Property, plant and equipment, net, with the related short term liabilities included in Accrued Expenses and long term portion in Leases, non-current on the Consolidated Balance Sheets.</w:t>
      </w:r>
    </w:p>
    <w:p>
      <w:pPr>
        <w:spacing w:after="0" w:line="173"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Operating lease costs are recognized on a straight-line basis over the lease terms. Finance lease assets are amortized on a straight-line basis over the shorter of the estimated useful lives of the assets or the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Right of Use (ROU) assets and lease liabilities: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operating lease ROU assets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14,791</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Equipment,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Lease liabilities, current</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w:t>
            </w:r>
          </w:p>
        </w:tc>
        <w:tc>
          <w:tcPr>
            <w:tcW w:w="0" w:type="dxa"/>
            <w:vAlign w:val="bottom"/>
          </w:tcPr>
          <w:p>
            <w:pPr>
              <w:spacing w:after="0"/>
              <w:rPr>
                <w:sz w:val="1"/>
                <w:szCs w:val="1"/>
                <w:color w:val="auto"/>
              </w:rPr>
            </w:pPr>
          </w:p>
        </w:tc>
      </w:tr>
      <w:tr>
        <w:trPr>
          <w:trHeight w:val="222"/>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23,037</w:t>
            </w: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8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Amounts are included in Accrued Expenses on the Condensed Consolidated Balance Sheet.</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9"/>
        </w:trPr>
        <w:tc>
          <w:tcPr>
            <w:tcW w:w="7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lease expense and sublease income:</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expense</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finance leases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Operating lease cost</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0" w:type="dxa"/>
            <w:vAlign w:val="bottom"/>
          </w:tcPr>
          <w:p>
            <w:pPr>
              <w:spacing w:after="0"/>
              <w:rPr>
                <w:sz w:val="1"/>
                <w:szCs w:val="1"/>
                <w:color w:val="auto"/>
              </w:rPr>
            </w:pPr>
          </w:p>
        </w:tc>
      </w:tr>
      <w:tr>
        <w:trPr>
          <w:trHeight w:val="222"/>
        </w:trPr>
        <w:tc>
          <w:tcPr>
            <w:tcW w:w="7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lease costs and income: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22"/>
        </w:trPr>
        <w:tc>
          <w:tcPr>
            <w:tcW w:w="7860" w:type="dxa"/>
            <w:vAlign w:val="bottom"/>
          </w:tcPr>
          <w:p>
            <w:pPr>
              <w:ind w:left="440"/>
              <w:spacing w:after="0" w:line="222" w:lineRule="exact"/>
              <w:rPr>
                <w:sz w:val="20"/>
                <w:szCs w:val="20"/>
                <w:color w:val="auto"/>
              </w:rPr>
            </w:pPr>
            <w:r>
              <w:rPr>
                <w:rFonts w:ascii="Times New Roman" w:cs="Times New Roman" w:eastAsia="Times New Roman" w:hAnsi="Times New Roman"/>
                <w:sz w:val="17"/>
                <w:szCs w:val="17"/>
                <w:color w:val="auto"/>
              </w:rPr>
              <w:t>Operating lease impairments, net</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Sublease income</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leases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lease cost</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31" w:lineRule="exact"/>
        <w:rPr>
          <w:sz w:val="20"/>
          <w:szCs w:val="20"/>
          <w:color w:val="auto"/>
        </w:rPr>
      </w:pPr>
    </w:p>
    <w:p>
      <w:pPr>
        <w:ind w:left="320" w:hanging="316"/>
        <w:spacing w:after="0" w:line="215" w:lineRule="auto"/>
        <w:tabs>
          <w:tab w:leader="none" w:pos="211"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firstLine="313"/>
        <w:spacing w:after="0" w:line="278" w:lineRule="auto"/>
        <w:rPr>
          <w:sz w:val="20"/>
          <w:szCs w:val="20"/>
          <w:color w:val="auto"/>
        </w:rPr>
      </w:pPr>
      <w:r>
        <w:rPr>
          <w:rFonts w:ascii="Times New Roman" w:cs="Times New Roman" w:eastAsia="Times New Roman" w:hAnsi="Times New Roman"/>
          <w:sz w:val="17"/>
          <w:szCs w:val="17"/>
          <w:color w:val="auto"/>
        </w:rPr>
        <w:t>The following table provides the undiscounted amount of future cash flows included in our lease liabilities at March 31, 2024 for each of the five years subsequent to December 31, 2023 and thereafter, as well as a reconciliation of such undiscounted cash flows to our lease liabilities at March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40" w:type="dxa"/>
            <w:vAlign w:val="bottom"/>
          </w:tcPr>
          <w:p>
            <w:pPr>
              <w:spacing w:after="0"/>
              <w:rPr>
                <w:sz w:val="19"/>
                <w:szCs w:val="19"/>
                <w:color w:val="auto"/>
              </w:rPr>
            </w:pPr>
          </w:p>
        </w:tc>
      </w:tr>
      <w:tr>
        <w:trPr>
          <w:trHeight w:val="215"/>
        </w:trPr>
        <w:tc>
          <w:tcPr>
            <w:tcW w:w="75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40" w:type="dxa"/>
            <w:vAlign w:val="bottom"/>
            <w:tcBorders>
              <w:left w:val="single" w:sz="8" w:color="CCEEFF"/>
            </w:tcBorders>
          </w:tcPr>
          <w:p>
            <w:pPr>
              <w:spacing w:after="0"/>
              <w:rPr>
                <w:sz w:val="18"/>
                <w:szCs w:val="18"/>
                <w:color w:val="auto"/>
              </w:rPr>
            </w:pPr>
          </w:p>
        </w:tc>
      </w:tr>
      <w:tr>
        <w:trPr>
          <w:trHeight w:val="222"/>
        </w:trPr>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40" w:type="dxa"/>
            <w:vAlign w:val="bottom"/>
          </w:tcPr>
          <w:p>
            <w:pPr>
              <w:spacing w:after="0"/>
              <w:rPr>
                <w:sz w:val="19"/>
                <w:szCs w:val="19"/>
                <w:color w:val="auto"/>
              </w:rPr>
            </w:pPr>
          </w:p>
        </w:tc>
      </w:tr>
      <w:tr>
        <w:trPr>
          <w:trHeight w:val="222"/>
        </w:trPr>
        <w:tc>
          <w:tcPr>
            <w:tcW w:w="7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tcBorders>
              <w:left w:val="single" w:sz="8" w:color="CCEEFF"/>
            </w:tcBorders>
          </w:tcPr>
          <w:p>
            <w:pPr>
              <w:spacing w:after="0"/>
              <w:rPr>
                <w:sz w:val="19"/>
                <w:szCs w:val="19"/>
                <w:color w:val="auto"/>
              </w:rPr>
            </w:pPr>
          </w:p>
        </w:tc>
      </w:tr>
      <w:tr>
        <w:trPr>
          <w:trHeight w:val="222"/>
        </w:trPr>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2"/>
        </w:trPr>
        <w:tc>
          <w:tcPr>
            <w:tcW w:w="7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4,275</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left w:val="single" w:sz="8" w:color="CCEEFF"/>
            </w:tcBorders>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40" w:type="dxa"/>
            <w:vAlign w:val="bottom"/>
          </w:tcPr>
          <w:p>
            <w:pPr>
              <w:spacing w:after="0"/>
              <w:rPr>
                <w:sz w:val="18"/>
                <w:szCs w:val="18"/>
                <w:color w:val="auto"/>
              </w:rPr>
            </w:pPr>
          </w:p>
        </w:tc>
      </w:tr>
      <w:tr>
        <w:trPr>
          <w:trHeight w:val="222"/>
        </w:trPr>
        <w:tc>
          <w:tcPr>
            <w:tcW w:w="40" w:type="dxa"/>
            <w:vAlign w:val="bottom"/>
            <w:shd w:val="clear" w:color="auto" w:fill="CCEEFF"/>
          </w:tcPr>
          <w:p>
            <w:pPr>
              <w:spacing w:after="0"/>
              <w:rPr>
                <w:sz w:val="19"/>
                <w:szCs w:val="19"/>
                <w:color w:val="auto"/>
              </w:rPr>
            </w:pPr>
          </w:p>
        </w:tc>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40" w:type="dxa"/>
            <w:vAlign w:val="bottom"/>
            <w:tcBorders>
              <w:left w:val="single" w:sz="8" w:color="CCEEFF"/>
            </w:tcBorders>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Present value of future lease payments (lease liability)</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27,387</w:t>
            </w:r>
          </w:p>
        </w:tc>
        <w:tc>
          <w:tcPr>
            <w:tcW w:w="80" w:type="dxa"/>
            <w:vAlign w:val="bottom"/>
          </w:tcPr>
          <w:p>
            <w:pPr>
              <w:spacing w:after="0"/>
              <w:rPr>
                <w:sz w:val="18"/>
                <w:szCs w:val="18"/>
                <w:color w:val="auto"/>
              </w:rPr>
            </w:pPr>
          </w:p>
        </w:tc>
        <w:tc>
          <w:tcPr>
            <w:tcW w:w="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936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The following table provides the weighted-average remaining lease term and weighted-average discount rates for our leases: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8"/>
        </w:trPr>
        <w:tc>
          <w:tcPr>
            <w:tcW w:w="40" w:type="dxa"/>
            <w:vAlign w:val="bottom"/>
          </w:tcPr>
          <w:p>
            <w:pPr>
              <w:spacing w:after="0"/>
              <w:rPr>
                <w:sz w:val="21"/>
                <w:szCs w:val="21"/>
                <w:color w:val="auto"/>
              </w:rPr>
            </w:pPr>
          </w:p>
        </w:tc>
        <w:tc>
          <w:tcPr>
            <w:tcW w:w="74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40" w:type="dxa"/>
            <w:vAlign w:val="bottom"/>
            <w:tcBorders>
              <w:bottom w:val="single" w:sz="8" w:color="auto"/>
            </w:tcBorders>
          </w:tcPr>
          <w:p>
            <w:pPr>
              <w:spacing w:after="0"/>
              <w:rPr>
                <w:sz w:val="21"/>
                <w:szCs w:val="21"/>
                <w:color w:val="auto"/>
              </w:rPr>
            </w:pPr>
          </w:p>
        </w:tc>
      </w:tr>
      <w:tr>
        <w:trPr>
          <w:trHeight w:val="202"/>
        </w:trPr>
        <w:tc>
          <w:tcPr>
            <w:tcW w:w="40" w:type="dxa"/>
            <w:vAlign w:val="bottom"/>
          </w:tcPr>
          <w:p>
            <w:pPr>
              <w:spacing w:after="0"/>
              <w:rPr>
                <w:sz w:val="17"/>
                <w:szCs w:val="17"/>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 weighted based on lease liability balances: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2.19</w:t>
            </w:r>
          </w:p>
        </w:tc>
        <w:tc>
          <w:tcPr>
            <w:tcW w:w="4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4.40</w:t>
            </w:r>
          </w:p>
        </w:tc>
        <w:tc>
          <w:tcPr>
            <w:tcW w:w="40" w:type="dxa"/>
            <w:vAlign w:val="bottom"/>
            <w:tcBorders>
              <w:left w:val="single" w:sz="8" w:color="CCEEFF"/>
            </w:tcBorders>
            <w:shd w:val="clear" w:color="auto" w:fill="CCEEFF"/>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(percentages), weighted based on the remaining balance of lease payments: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9.3%</w:t>
            </w:r>
          </w:p>
        </w:tc>
        <w:tc>
          <w:tcPr>
            <w:tcW w:w="40" w:type="dxa"/>
            <w:vAlign w:val="bottom"/>
            <w:tcBorders>
              <w:left w:val="single" w:sz="8" w:color="CCEEFF"/>
            </w:tcBorders>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8.0%</w:t>
            </w:r>
          </w:p>
        </w:tc>
        <w:tc>
          <w:tcPr>
            <w:tcW w:w="40" w:type="dxa"/>
            <w:vAlign w:val="bottom"/>
          </w:tcPr>
          <w:p>
            <w:pPr>
              <w:spacing w:after="0"/>
              <w:rPr>
                <w:sz w:val="19"/>
                <w:szCs w:val="19"/>
                <w:color w:val="auto"/>
              </w:rPr>
            </w:pPr>
          </w:p>
        </w:tc>
      </w:tr>
      <w:tr>
        <w:trPr>
          <w:trHeight w:val="516"/>
        </w:trPr>
        <w:tc>
          <w:tcPr>
            <w:tcW w:w="40" w:type="dxa"/>
            <w:vAlign w:val="bottom"/>
          </w:tcPr>
          <w:p>
            <w:pPr>
              <w:spacing w:after="0"/>
              <w:rPr>
                <w:sz w:val="24"/>
                <w:szCs w:val="24"/>
                <w:color w:val="auto"/>
              </w:rPr>
            </w:pPr>
          </w:p>
        </w:tc>
        <w:tc>
          <w:tcPr>
            <w:tcW w:w="936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The following table provides certain cash flow and supplemental noncash information related to our lease liabilities: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8"/>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74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Pr>
          <w:p>
            <w:pPr>
              <w:spacing w:after="0"/>
              <w:rPr>
                <w:sz w:val="18"/>
                <w:szCs w:val="18"/>
                <w:color w:val="auto"/>
              </w:rPr>
            </w:pPr>
          </w:p>
        </w:tc>
      </w:tr>
      <w:tr>
        <w:trPr>
          <w:trHeight w:val="202"/>
        </w:trPr>
        <w:tc>
          <w:tcPr>
            <w:tcW w:w="40" w:type="dxa"/>
            <w:vAlign w:val="bottom"/>
          </w:tcPr>
          <w:p>
            <w:pPr>
              <w:spacing w:after="0"/>
              <w:rPr>
                <w:sz w:val="17"/>
                <w:szCs w:val="17"/>
                <w:color w:val="auto"/>
              </w:rPr>
            </w:pPr>
          </w:p>
        </w:tc>
        <w:tc>
          <w:tcPr>
            <w:tcW w:w="7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4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40" w:type="dxa"/>
            <w:vAlign w:val="bottom"/>
          </w:tcPr>
          <w:p>
            <w:pPr>
              <w:spacing w:after="0"/>
              <w:rPr>
                <w:sz w:val="19"/>
                <w:szCs w:val="19"/>
                <w:color w:val="auto"/>
              </w:rPr>
            </w:pPr>
          </w:p>
        </w:tc>
      </w:tr>
      <w:tr>
        <w:trPr>
          <w:trHeight w:val="261"/>
        </w:trPr>
        <w:tc>
          <w:tcPr>
            <w:tcW w:w="4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2"/>
        </w:trPr>
        <w:tc>
          <w:tcPr>
            <w:tcW w:w="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arising from obtaining right-of-use assets:</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30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Debt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Offering of Senior Notes</w:t>
      </w:r>
    </w:p>
    <w:p>
      <w:pPr>
        <w:spacing w:after="0" w:line="25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8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1"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not redeemed any of the Senior Notes as of March 31, 2024.</w:t>
      </w:r>
    </w:p>
    <w:p>
      <w:pPr>
        <w:spacing w:after="0" w:line="248"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9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carrying amounts of the Company’s borrowings were as follows: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8"/>
        </w:trPr>
        <w:tc>
          <w:tcPr>
            <w:tcW w:w="7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8.375% Senior Notes due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r>
      <w:tr>
        <w:trPr>
          <w:trHeight w:val="222"/>
        </w:trPr>
        <w:tc>
          <w:tcPr>
            <w:tcW w:w="7860" w:type="dxa"/>
            <w:vAlign w:val="bottom"/>
            <w:tcBorders>
              <w:bottom w:val="single" w:sz="8" w:color="CCEEFF"/>
            </w:tcBorders>
          </w:tcPr>
          <w:p>
            <w:pPr>
              <w:ind w:left="240"/>
              <w:spacing w:after="0" w:line="222" w:lineRule="exact"/>
              <w:rPr>
                <w:sz w:val="20"/>
                <w:szCs w:val="20"/>
                <w:color w:val="auto"/>
              </w:rPr>
            </w:pPr>
            <w:r>
              <w:rPr>
                <w:rFonts w:ascii="Times New Roman" w:cs="Times New Roman" w:eastAsia="Times New Roman" w:hAnsi="Times New Roman"/>
                <w:sz w:val="17"/>
                <w:szCs w:val="17"/>
                <w:color w:val="auto"/>
              </w:rPr>
              <w:t>Unamortized discount and debt issuance cost</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(4,862)</w:t>
            </w:r>
          </w:p>
        </w:tc>
      </w:tr>
      <w:tr>
        <w:trPr>
          <w:trHeight w:val="24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Senior Notes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10" w:lineRule="auto"/>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Debt issuance costs are deferred and amortized into interest expense using the effective interest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w:t>
      </w:r>
    </w:p>
    <w:p>
      <w:pPr>
        <w:spacing w:after="0" w:line="252" w:lineRule="exact"/>
        <w:rPr>
          <w:sz w:val="20"/>
          <w:szCs w:val="20"/>
          <w:color w:val="auto"/>
        </w:rPr>
      </w:pPr>
    </w:p>
    <w:p>
      <w:pPr>
        <w:ind w:firstLine="313"/>
        <w:spacing w:after="0" w:line="278" w:lineRule="auto"/>
        <w:rPr>
          <w:sz w:val="20"/>
          <w:szCs w:val="20"/>
          <w:color w:val="auto"/>
        </w:rPr>
      </w:pPr>
      <w:r>
        <w:rPr>
          <w:rFonts w:ascii="Times New Roman" w:cs="Times New Roman" w:eastAsia="Times New Roman" w:hAnsi="Times New Roman"/>
          <w:sz w:val="17"/>
          <w:szCs w:val="17"/>
          <w:color w:val="auto"/>
        </w:rPr>
        <w:t>The fair value of the 2021 Non-Convertible Senior Notes due 2026 was determined based on the closing trading price of the Senior Notes as of March 31, 2024 and is categorized accordingly as Level 2 in the fair value hierarchy. The Company is in compliance with its debt covenants as of March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 w:type="dxa"/>
            <w:vAlign w:val="bottom"/>
          </w:tcPr>
          <w:p>
            <w:pPr>
              <w:spacing w:after="0"/>
              <w:rPr>
                <w:sz w:val="13"/>
                <w:szCs w:val="13"/>
                <w:color w:val="auto"/>
              </w:rPr>
            </w:pPr>
          </w:p>
        </w:tc>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38"/>
        </w:trPr>
        <w:tc>
          <w:tcPr>
            <w:tcW w:w="4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107,557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107,557</w:t>
            </w:r>
          </w:p>
        </w:tc>
        <w:tc>
          <w:tcPr>
            <w:tcW w:w="0" w:type="dxa"/>
            <w:vAlign w:val="bottom"/>
          </w:tcPr>
          <w:p>
            <w:pPr>
              <w:spacing w:after="0"/>
              <w:rPr>
                <w:sz w:val="1"/>
                <w:szCs w:val="1"/>
                <w:color w:val="auto"/>
              </w:rPr>
            </w:pPr>
          </w:p>
        </w:tc>
      </w:tr>
      <w:tr>
        <w:trPr>
          <w:trHeight w:val="227"/>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136,649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119,916</w:t>
            </w:r>
          </w:p>
        </w:tc>
        <w:tc>
          <w:tcPr>
            <w:tcW w:w="1040" w:type="dxa"/>
            <w:vAlign w:val="bottom"/>
            <w:gridSpan w:val="2"/>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119,916</w:t>
            </w:r>
          </w:p>
        </w:tc>
        <w:tc>
          <w:tcPr>
            <w:tcW w:w="0" w:type="dxa"/>
            <w:vAlign w:val="bottom"/>
          </w:tcPr>
          <w:p>
            <w:pPr>
              <w:spacing w:after="0"/>
              <w:rPr>
                <w:sz w:val="1"/>
                <w:szCs w:val="1"/>
                <w:color w:val="auto"/>
              </w:rPr>
            </w:pPr>
          </w:p>
        </w:tc>
      </w:tr>
      <w:tr>
        <w:trPr>
          <w:trHeight w:val="529"/>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80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Company’s interest expense: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w w:val="97"/>
              </w:rPr>
              <w:t>Three Months Ended March 31,</w:t>
            </w:r>
          </w:p>
        </w:tc>
        <w:tc>
          <w:tcPr>
            <w:tcW w:w="0" w:type="dxa"/>
            <w:vAlign w:val="bottom"/>
          </w:tcPr>
          <w:p>
            <w:pPr>
              <w:spacing w:after="0"/>
              <w:rPr>
                <w:sz w:val="1"/>
                <w:szCs w:val="1"/>
                <w:color w:val="auto"/>
              </w:rPr>
            </w:pPr>
          </w:p>
        </w:tc>
      </w:tr>
      <w:tr>
        <w:trPr>
          <w:trHeight w:val="218"/>
        </w:trPr>
        <w:tc>
          <w:tcPr>
            <w:tcW w:w="44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Non-Convertible Senior Notes due 2026:</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22"/>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0" w:type="dxa"/>
            <w:vAlign w:val="bottom"/>
          </w:tcPr>
          <w:p>
            <w:pPr>
              <w:spacing w:after="0"/>
              <w:rPr>
                <w:sz w:val="1"/>
                <w:szCs w:val="1"/>
                <w:color w:val="auto"/>
              </w:rPr>
            </w:pPr>
          </w:p>
        </w:tc>
      </w:tr>
      <w:tr>
        <w:trPr>
          <w:trHeight w:val="222"/>
        </w:trPr>
        <w:tc>
          <w:tcPr>
            <w:tcW w:w="4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2"/>
        </w:trPr>
        <w:tc>
          <w:tcPr>
            <w:tcW w:w="44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5"/>
        </w:trPr>
        <w:tc>
          <w:tcPr>
            <w:tcW w:w="4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3,517</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Includes interest on uncertain tax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Accumulated Other Comprehensive (Loss) / Income</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changes in accumulated other comprehensive (loss) income during the three months ended March 31, 2024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10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 comprehensive</w:t>
            </w:r>
          </w:p>
        </w:tc>
        <w:tc>
          <w:tcPr>
            <w:tcW w:w="300" w:type="dxa"/>
            <w:vAlign w:val="bottom"/>
          </w:tcPr>
          <w:p>
            <w:pPr>
              <w:spacing w:after="0"/>
              <w:rPr>
                <w:sz w:val="16"/>
                <w:szCs w:val="16"/>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100" w:type="dxa"/>
            <w:vAlign w:val="bottom"/>
          </w:tcPr>
          <w:p>
            <w:pPr>
              <w:spacing w:after="0"/>
              <w:rPr>
                <w:sz w:val="16"/>
                <w:szCs w:val="16"/>
                <w:color w:val="auto"/>
              </w:rPr>
            </w:pP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w w:val="97"/>
              </w:rPr>
              <w:t>Balance at March 31,</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3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(28,321)</w:t>
            </w:r>
          </w:p>
        </w:tc>
        <w:tc>
          <w:tcPr>
            <w:tcW w:w="0" w:type="dxa"/>
            <w:vAlign w:val="bottom"/>
          </w:tcPr>
          <w:p>
            <w:pPr>
              <w:spacing w:after="0"/>
              <w:rPr>
                <w:sz w:val="1"/>
                <w:szCs w:val="1"/>
                <w:color w:val="auto"/>
              </w:rPr>
            </w:pPr>
          </w:p>
        </w:tc>
      </w:tr>
      <w:tr>
        <w:trPr>
          <w:trHeight w:val="22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intercompany foreign currency transactions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0" w:type="dxa"/>
            <w:vAlign w:val="bottom"/>
          </w:tcPr>
          <w:p>
            <w:pPr>
              <w:spacing w:after="0"/>
              <w:rPr>
                <w:sz w:val="1"/>
                <w:szCs w:val="1"/>
                <w:color w:val="auto"/>
              </w:rPr>
            </w:pPr>
          </w:p>
        </w:tc>
      </w:tr>
      <w:tr>
        <w:trPr>
          <w:trHeight w:val="240"/>
        </w:trPr>
        <w:tc>
          <w:tcPr>
            <w:tcW w:w="4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Capital Structure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239" w:lineRule="exact"/>
        <w:rPr>
          <w:sz w:val="20"/>
          <w:szCs w:val="20"/>
          <w:color w:val="auto"/>
        </w:rPr>
      </w:pPr>
    </w:p>
    <w:p>
      <w:pPr>
        <w:jc w:val="both"/>
        <w:ind w:firstLine="313"/>
        <w:spacing w:after="0" w:line="244" w:lineRule="auto"/>
        <w:rPr>
          <w:sz w:val="20"/>
          <w:szCs w:val="20"/>
          <w:color w:val="auto"/>
        </w:rPr>
      </w:pPr>
      <w:r>
        <w:rPr>
          <w:rFonts w:ascii="Times New Roman" w:cs="Times New Roman" w:eastAsia="Times New Roman" w:hAnsi="Times New Roman"/>
          <w:sz w:val="17"/>
          <w:szCs w:val="17"/>
          <w:color w:val="auto"/>
        </w:rPr>
        <w:t>On December 4, 2023, the Company’s stockholders approved proposals at a special meeting of stockholders (the “Special Meeting”) amending the Company’s Restated Certificate of Incorporation (as amended, the “Certificate of Incorporation”), to effect a reverse stock split of the Company’s common stock, $0.0001 par value (“Common Stock”), at a ratio in the range of 1-for-5 to 1-to-20, and an associated reduction in the number of shares of Common Stock the Company is authorized to issue. On December 4, 2023, the Company’s Board of Directors (the “Board”) approved a final split ratio of 1-for-9 (the “Reverse Stock Split”) where each nine (9) shares of Common Stock issued and outstanding immediately prior to the Effective Time shall, automatically and without any action on the part of the respective holders thereof, be combined and converted into one (1) share of Common Stock.</w:t>
      </w:r>
    </w:p>
    <w:p>
      <w:pPr>
        <w:spacing w:after="0" w:line="203" w:lineRule="exact"/>
        <w:rPr>
          <w:sz w:val="20"/>
          <w:szCs w:val="20"/>
          <w:color w:val="auto"/>
        </w:rPr>
      </w:pPr>
    </w:p>
    <w:p>
      <w:pPr>
        <w:jc w:val="both"/>
        <w:ind w:firstLine="313"/>
        <w:spacing w:after="0" w:line="249" w:lineRule="auto"/>
        <w:rPr>
          <w:sz w:val="20"/>
          <w:szCs w:val="20"/>
          <w:color w:val="auto"/>
        </w:rPr>
      </w:pPr>
      <w:r>
        <w:rPr>
          <w:rFonts w:ascii="Times New Roman" w:cs="Times New Roman" w:eastAsia="Times New Roman" w:hAnsi="Times New Roman"/>
          <w:sz w:val="17"/>
          <w:szCs w:val="17"/>
          <w:color w:val="auto"/>
        </w:rPr>
        <w:t>Following such approvals, the Company filed an amendment to the Certificate of Incorporation (the “Certificate of Amendment”) to effect the Reverse Stock Split with the Secretary of State of the State of Delaware on December 8, 2023 as of 4:01 p.m. Eastern Time. The Certificate of Amendment states that the Company is authorized to issue two classes of stock to be designated common stock (“Common Stock”) and preferred stock (“Preferred Stock”). The number of shares of Common Stock authorized to be issued is sixteen million six hundred sixty-six thousand six hundred sixty-seven (16,666,667), par value $0.0001 per share, and the number of shares of Preferred Stock authorized to be issued is ten million (10,000,000), par value $0.0001 per share.</w:t>
      </w:r>
    </w:p>
    <w:p>
      <w:pPr>
        <w:spacing w:after="0" w:line="199" w:lineRule="exact"/>
        <w:rPr>
          <w:sz w:val="20"/>
          <w:szCs w:val="20"/>
          <w:color w:val="auto"/>
        </w:rPr>
      </w:pPr>
    </w:p>
    <w:p>
      <w:pPr>
        <w:jc w:val="both"/>
        <w:ind w:firstLine="313"/>
        <w:spacing w:after="0" w:line="278" w:lineRule="auto"/>
        <w:rPr>
          <w:sz w:val="20"/>
          <w:szCs w:val="20"/>
          <w:color w:val="auto"/>
        </w:rPr>
      </w:pPr>
      <w:r>
        <w:rPr>
          <w:rFonts w:ascii="Times New Roman" w:cs="Times New Roman" w:eastAsia="Times New Roman" w:hAnsi="Times New Roman"/>
          <w:sz w:val="17"/>
          <w:szCs w:val="17"/>
          <w:color w:val="auto"/>
        </w:rPr>
        <w:t>As of the opening of trading on December 11, 2023, the Company’s Common Stock began trading on a post-split basis under CUSIP number 87157B400. The Company’s Common Stock will continue to trade on the Nasdaq Capital Market under the symbol “SNCR.”</w:t>
      </w:r>
    </w:p>
    <w:p>
      <w:pPr>
        <w:spacing w:after="0" w:line="173" w:lineRule="exact"/>
        <w:rPr>
          <w:sz w:val="20"/>
          <w:szCs w:val="20"/>
          <w:color w:val="auto"/>
        </w:rPr>
      </w:pPr>
    </w:p>
    <w:p>
      <w:pPr>
        <w:jc w:val="both"/>
        <w:ind w:firstLine="313"/>
        <w:spacing w:after="0" w:line="244" w:lineRule="auto"/>
        <w:rPr>
          <w:sz w:val="20"/>
          <w:szCs w:val="20"/>
          <w:color w:val="auto"/>
        </w:rPr>
      </w:pPr>
      <w:r>
        <w:rPr>
          <w:rFonts w:ascii="Times New Roman" w:cs="Times New Roman" w:eastAsia="Times New Roman" w:hAnsi="Times New Roman"/>
          <w:sz w:val="17"/>
          <w:szCs w:val="17"/>
          <w:color w:val="auto"/>
        </w:rPr>
        <w:t>The Reverse Stock Split was effected simultaneously for all shares of Common Stock issued and outstanding, and affected all holders of the Company’s Common Stock uniformly and does not affect any stockholder’s percentage ownership interests in the Company, except with respect to the treatment of fractional shares. The Company did not issue fractional shares for post-Reverse Stock Split shares in connection with the Reverse Stock Split. Stockholders who otherwise were entitled to receive a fractional share of Common Stock had such fractional share rounded up to the nearest whole share. The Company retroactively displayed the effect of the Reverse Stock Split change in the Consolidated Balance Sheets, and retroactively adjusted the computations of basic and diluted EPS for all periods presented on the Consolidated Statement of Operations.</w:t>
      </w:r>
    </w:p>
    <w:p>
      <w:pPr>
        <w:spacing w:after="0" w:line="21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As of March 31, 2024, the Company’s authorized capital stock was 26,666,667 shares of stock with a par value of $0.0001, of which 16,666,667 shares were designated as common stock and 10,000,000 shares were designated as preferred stock, 150,000 of which were designated Series B Perpetual Non-Convertible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 Non-Convertible Preferred Stock</w:t>
      </w:r>
    </w:p>
    <w:p>
      <w:pPr>
        <w:spacing w:after="0" w:line="252"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196"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Certificate of Designation of the Series B Preferred Stock</w:t>
      </w:r>
    </w:p>
    <w:p>
      <w:pPr>
        <w:spacing w:after="0" w:line="248"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are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March 31, 2024, the Liquidation Value and Redemption Value of the Series B Preferred Shares was $63.0 million.</w:t>
      </w:r>
    </w:p>
    <w:p>
      <w:pPr>
        <w:spacing w:after="0" w:line="203"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206"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 Rights Agreement</w:t>
      </w:r>
    </w:p>
    <w:p>
      <w:pPr>
        <w:spacing w:after="0" w:line="248"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summary of the Company’s Series B Perpetual Non-Convertible Preferred Stock balance at March 31, 2024 and changes during the three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are presented below:</w:t>
      </w:r>
    </w:p>
    <w:p>
      <w:pPr>
        <w:spacing w:after="0" w:line="3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b w:val="1"/>
          <w:bCs w:val="1"/>
          <w:color w:val="auto"/>
        </w:rPr>
        <w:t>Series B Preferred Stock</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58,802</w:t>
            </w:r>
          </w:p>
        </w:tc>
      </w:tr>
      <w:tr>
        <w:trPr>
          <w:trHeight w:val="215"/>
        </w:trPr>
        <w:tc>
          <w:tcPr>
            <w:tcW w:w="9100" w:type="dxa"/>
            <w:vAlign w:val="bottom"/>
            <w:gridSpan w:val="2"/>
          </w:tcPr>
          <w:p>
            <w:pPr>
              <w:ind w:left="20"/>
              <w:spacing w:after="0" w:line="214" w:lineRule="exact"/>
              <w:rPr>
                <w:sz w:val="20"/>
                <w:szCs w:val="20"/>
                <w:color w:val="auto"/>
              </w:rPr>
            </w:pPr>
            <w:r>
              <w:rPr>
                <w:rFonts w:ascii="Times New Roman" w:cs="Times New Roman" w:eastAsia="Times New Roman" w:hAnsi="Times New Roman"/>
                <w:sz w:val="17"/>
                <w:szCs w:val="17"/>
                <w:color w:val="auto"/>
              </w:rPr>
              <w:t>Balance at March 31, 2024</w:t>
            </w:r>
            <w:r>
              <w:rPr>
                <w:rFonts w:ascii="Times New Roman" w:cs="Times New Roman" w:eastAsia="Times New Roman" w:hAnsi="Times New Roman"/>
                <w:sz w:val="22"/>
                <w:szCs w:val="22"/>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58,802</w:t>
            </w:r>
          </w:p>
        </w:tc>
      </w:tr>
      <w:tr>
        <w:trPr>
          <w:trHeight w:val="20"/>
        </w:trPr>
        <w:tc>
          <w:tcPr>
            <w:tcW w:w="7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10" w:lineRule="auto"/>
        <w:tabs>
          <w:tab w:leader="none" w:pos="1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Series B preferred stock net principal balance of $58.8 million is presented as gross principal balance of $60.8 million net of $2.0 million unamortized issuance costs.</w:t>
      </w:r>
    </w:p>
    <w:p>
      <w:pPr>
        <w:spacing w:after="0" w:line="21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paid Series B Perpetual Non-Convertible Preferred Stock dividend of $2.1 million in cash for the three months ended March 31, 2024. On April 1, 2024 the Company paid the accrued Series B Perpetual Non-Convertible Preferred Stock dividend of $2.1 million in cash.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Stock Plans</w:t>
      </w:r>
    </w:p>
    <w:p>
      <w:pPr>
        <w:spacing w:after="0" w:line="237" w:lineRule="exact"/>
        <w:rPr>
          <w:sz w:val="20"/>
          <w:szCs w:val="20"/>
          <w:color w:val="auto"/>
        </w:rPr>
      </w:pPr>
    </w:p>
    <w:p>
      <w:pPr>
        <w:jc w:val="both"/>
        <w:ind w:firstLine="313"/>
        <w:spacing w:after="0" w:line="254" w:lineRule="auto"/>
        <w:rPr>
          <w:sz w:val="20"/>
          <w:szCs w:val="20"/>
          <w:color w:val="auto"/>
        </w:rPr>
      </w:pPr>
      <w:r>
        <w:rPr>
          <w:rFonts w:ascii="Times New Roman" w:cs="Times New Roman" w:eastAsia="Times New Roman" w:hAnsi="Times New Roman"/>
          <w:sz w:val="17"/>
          <w:szCs w:val="17"/>
          <w:color w:val="auto"/>
        </w:rPr>
        <w:t>On December 8, 2023 the Company filed an amendment to the Certificate of Amendment to effect the Reverse Stock Split with the Secretary of State of the State of Delaware. The Certificate of Amendment states that the Company is authorized to issue 16,666,667 shares of Common Stock, par value $0.0001 per share, and 10,000,000 shares of Preferred Stock, par value $0.0001 per share, 150,000 of which were designated Series B Perpetual Non-Convertible Preferred Stock.</w:t>
      </w:r>
    </w:p>
    <w:p>
      <w:pPr>
        <w:spacing w:after="0" w:line="396"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As of March 31, 2024, the Company maintains two stock-based compensation plans, the 2015 Equity Incentive Plan (the “2015 Plan”) and the 2017 New Hire Equity Incentive Plan (“2017 Plan”). The maximum number of shares of common stock authorized for issuance under the 2015 Plan is 4,688,576 shares as of March 31, 2024. The maximum number of shares of common stock authorized for issuance under the 2017 Plan is 229,635 shares as of March 31, 2024.</w:t>
      </w:r>
    </w:p>
    <w:p>
      <w:pPr>
        <w:spacing w:after="0" w:line="20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March 31, 2024, there were 0.8 million shares available for the grant or award under the Company’s 2015 Plan and 0.1 million shares available for the grant or award under the Company’s 2017 Plan.</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Company’s performance based cash unit (“PBCU”) awards granted to employees under the Long Term Incentive (“LTI”) Plans have been accounted for as liability awards, due to the Company’s intent and the ability to settle such awards in cash upon vesting and the Company has reflected such awards in accrued expenses on the Condensed Consolidated Balance Sheet. As of March 31, 2024, the liability for such awards is approximately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52" w:lineRule="exact"/>
        <w:rPr>
          <w:sz w:val="20"/>
          <w:szCs w:val="20"/>
          <w:color w:val="auto"/>
        </w:rPr>
      </w:pPr>
    </w:p>
    <w:p>
      <w:pPr>
        <w:ind w:firstLine="313"/>
        <w:spacing w:after="0" w:line="281" w:lineRule="auto"/>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operating expense categories,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8"/>
        </w:trPr>
        <w:tc>
          <w:tcPr>
            <w:tcW w:w="78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15"/>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Cost of revenues</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2"/>
        </w:trPr>
        <w:tc>
          <w:tcPr>
            <w:tcW w:w="7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22"/>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r>
      <w:tr>
        <w:trPr>
          <w:trHeight w:val="215"/>
        </w:trPr>
        <w:tc>
          <w:tcPr>
            <w:tcW w:w="7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1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award type,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8"/>
        </w:trPr>
        <w:tc>
          <w:tcPr>
            <w:tcW w:w="78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1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2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awards</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2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based cash units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15"/>
        </w:trPr>
        <w:tc>
          <w:tcPr>
            <w:tcW w:w="7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stock-based compensation before taxes</w:t>
            </w:r>
          </w:p>
        </w:tc>
        <w:tc>
          <w:tcPr>
            <w:tcW w:w="11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4"/>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bl>
    <w:p>
      <w:pPr>
        <w:spacing w:after="0" w:line="295"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total stock-based compensation cost related to unvested equity awards as of March 31, 2024 was approximately $2.6 million. The expense is expected to be recognized over a weighted-average period of approximately 1.5 years.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total stock-based compensation cost related to unvested performance based cash units as of March 31, 2024 was approximately $1.5 million. The expense is expected to be recognized over a weighted-average period of approximately 1.2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uses the Black-Scholes option pricing model for determining the estimated fair value for stock options. The weighted-average assumptions used in the Black-Scholes option pricing model are as follows: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580" w:type="dxa"/>
            <w:vAlign w:val="bottom"/>
          </w:tcPr>
          <w:p>
            <w:pPr>
              <w:spacing w:after="0"/>
              <w:rPr>
                <w:sz w:val="18"/>
                <w:szCs w:val="18"/>
                <w:color w:val="auto"/>
              </w:rPr>
            </w:pPr>
          </w:p>
        </w:tc>
        <w:tc>
          <w:tcPr>
            <w:tcW w:w="29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8"/>
        </w:trPr>
        <w:tc>
          <w:tcPr>
            <w:tcW w:w="75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1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72.5 %</w:t>
            </w:r>
          </w:p>
        </w:tc>
      </w:t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22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of options (in years)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r>
      <w:tr>
        <w:trPr>
          <w:trHeight w:val="22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fair value of the options</w:t>
            </w: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information about stock options outstanding as of March 31,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280" w:type="dxa"/>
            <w:vAlign w:val="bottom"/>
          </w:tcPr>
          <w:p>
            <w:pPr>
              <w:spacing w:after="0"/>
              <w:rPr>
                <w:sz w:val="16"/>
                <w:szCs w:val="16"/>
                <w:color w:val="auto"/>
              </w:rPr>
            </w:pPr>
          </w:p>
        </w:tc>
        <w:tc>
          <w:tcPr>
            <w:tcW w:w="1340" w:type="dxa"/>
            <w:vAlign w:val="bottom"/>
            <w:vMerge w:val="restart"/>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Weighted-Average</w:t>
            </w:r>
          </w:p>
        </w:tc>
        <w:tc>
          <w:tcPr>
            <w:tcW w:w="17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2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7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80" w:type="dxa"/>
            <w:vAlign w:val="bottom"/>
          </w:tcPr>
          <w:p>
            <w:pPr>
              <w:spacing w:after="0"/>
              <w:rPr>
                <w:sz w:val="13"/>
                <w:szCs w:val="13"/>
                <w:color w:val="auto"/>
              </w:rPr>
            </w:pPr>
          </w:p>
        </w:tc>
        <w:tc>
          <w:tcPr>
            <w:tcW w:w="1340" w:type="dxa"/>
            <w:vAlign w:val="bottom"/>
          </w:tcPr>
          <w:p>
            <w:pPr>
              <w:jc w:val="center"/>
              <w:ind w:right="198"/>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8"/>
                <w:szCs w:val="18"/>
                <w:color w:val="auto"/>
              </w:rPr>
            </w:pPr>
          </w:p>
        </w:tc>
        <w:tc>
          <w:tcPr>
            <w:tcW w:w="1200" w:type="dxa"/>
            <w:vAlign w:val="bottom"/>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280" w:type="dxa"/>
            <w:vAlign w:val="bottom"/>
          </w:tcPr>
          <w:p>
            <w:pPr>
              <w:spacing w:after="0"/>
              <w:rPr>
                <w:sz w:val="18"/>
                <w:szCs w:val="18"/>
                <w:color w:val="auto"/>
              </w:rPr>
            </w:pPr>
          </w:p>
        </w:tc>
        <w:tc>
          <w:tcPr>
            <w:tcW w:w="134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Options 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Options Exercised</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Options Cancelled</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20" w:type="dxa"/>
            <w:vAlign w:val="bottom"/>
            <w:tcBorders>
              <w:top w:val="single" w:sz="8" w:color="CCEEFF"/>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Outstanding at March 31, 2024</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502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29.37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auto"/>
            </w:tcBorders>
            <w:shd w:val="clear" w:color="auto" w:fill="CCEEFF"/>
          </w:tcPr>
          <w:p>
            <w:pPr>
              <w:jc w:val="right"/>
              <w:ind w:right="9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CCEEFF"/>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exercisable at March 31, 2024</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20" w:type="dxa"/>
            <w:vAlign w:val="bottom"/>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319</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38.63</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total intrinsic value of stock options exercisable was nil as of March 31, 2024 and 2023, respectively. The total intrinsic value of stock options exercised was nil and nil during the three months ended March 31, 2024 and 2023,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Awards of Restricted Stock and Performance Stock</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unvested restricted stock at March 31, 2024, and changes during the three months ended March 31, 2024, is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7"/>
                <w:szCs w:val="17"/>
                <w:color w:val="auto"/>
              </w:rPr>
            </w:pPr>
          </w:p>
        </w:tc>
        <w:tc>
          <w:tcPr>
            <w:tcW w:w="1280" w:type="dxa"/>
            <w:vAlign w:val="bottom"/>
            <w:vMerge w:val="restart"/>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0"/>
        </w:trPr>
        <w:tc>
          <w:tcPr>
            <w:tcW w:w="78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33"/>
              <w:spacing w:after="0" w:line="170"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232"/>
        </w:trPr>
        <w:tc>
          <w:tcPr>
            <w:tcW w:w="78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2023</w:t>
            </w: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22"/>
        </w:trPr>
        <w:tc>
          <w:tcPr>
            <w:tcW w:w="91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0" w:type="dxa"/>
            <w:vAlign w:val="bottom"/>
          </w:tcPr>
          <w:p>
            <w:pPr>
              <w:spacing w:after="0"/>
              <w:rPr>
                <w:sz w:val="1"/>
                <w:szCs w:val="1"/>
                <w:color w:val="auto"/>
              </w:rPr>
            </w:pPr>
          </w:p>
        </w:tc>
      </w:tr>
      <w:tr>
        <w:trPr>
          <w:trHeight w:val="222"/>
        </w:trPr>
        <w:tc>
          <w:tcPr>
            <w:tcW w:w="9140" w:type="dxa"/>
            <w:vAlign w:val="bottom"/>
            <w:gridSpan w:val="2"/>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Granted adjustment</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0" w:type="dxa"/>
            <w:vAlign w:val="bottom"/>
          </w:tcPr>
          <w:p>
            <w:pPr>
              <w:spacing w:after="0"/>
              <w:rPr>
                <w:sz w:val="1"/>
                <w:szCs w:val="1"/>
                <w:color w:val="auto"/>
              </w:rPr>
            </w:pPr>
          </w:p>
        </w:tc>
      </w:tr>
      <w:tr>
        <w:trPr>
          <w:trHeight w:val="222"/>
        </w:trPr>
        <w:tc>
          <w:tcPr>
            <w:tcW w:w="91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Vested</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15"/>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Unvested at March 31,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19" w:lineRule="exact"/>
        <w:rPr>
          <w:sz w:val="20"/>
          <w:szCs w:val="20"/>
          <w:color w:val="auto"/>
        </w:rPr>
      </w:pPr>
    </w:p>
    <w:p>
      <w:pPr>
        <w:ind w:left="320" w:hanging="316"/>
        <w:spacing w:after="0" w:line="219" w:lineRule="auto"/>
        <w:tabs>
          <w:tab w:leader="none" w:pos="159"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performance based cash units grants that vested and were paid out in form of shares of stock during the period and changes in unvested performance based restricted stock awards due to performance adjustments.</w:t>
      </w:r>
    </w:p>
    <w:p>
      <w:pPr>
        <w:spacing w:after="0" w:line="21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Restricted stock awards are granted subject to service conditions or service and performance conditions. Restricted stock awards (“RSA”) and performance based restricted stock awards (“PRSA”) are measured at the closing stock price at the date of grant and the expense is recognized straight line over the requisite service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Based Cash Units</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Performance based cash units generally vest at the end of a three-year period based on service and achievement of certain performance objectives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313"/>
        <w:spacing w:after="0" w:line="278" w:lineRule="auto"/>
        <w:rPr>
          <w:sz w:val="20"/>
          <w:szCs w:val="20"/>
          <w:color w:val="auto"/>
        </w:rPr>
      </w:pPr>
      <w:r>
        <w:rPr>
          <w:rFonts w:ascii="Times New Roman" w:cs="Times New Roman" w:eastAsia="Times New Roman" w:hAnsi="Times New Roman"/>
          <w:sz w:val="17"/>
          <w:szCs w:val="17"/>
          <w:color w:val="auto"/>
        </w:rPr>
        <w:t>A summary of the Company’s outstanding performance based cash units at March 31, 2024 and changes during the three months ended March 31, 2024, is presented below:</w:t>
      </w:r>
    </w:p>
    <w:tbl>
      <w:tblPr>
        <w:tblLayout w:type="fixed"/>
        <w:tblInd w:w="0" w:type="dxa"/>
        <w:tblCellMar>
          <w:top w:w="0" w:type="dxa"/>
          <w:left w:w="0" w:type="dxa"/>
          <w:bottom w:w="0" w:type="dxa"/>
          <w:right w:w="0" w:type="dxa"/>
        </w:tblCellMar>
      </w:tblPr>
      <w:tr>
        <w:trPr>
          <w:trHeight w:val="178"/>
        </w:trPr>
        <w:tc>
          <w:tcPr>
            <w:tcW w:w="7860" w:type="dxa"/>
            <w:vAlign w:val="bottom"/>
          </w:tcPr>
          <w:p>
            <w:pPr>
              <w:spacing w:after="0"/>
              <w:rPr>
                <w:sz w:val="15"/>
                <w:szCs w:val="15"/>
                <w:color w:val="auto"/>
              </w:rPr>
            </w:pPr>
          </w:p>
        </w:tc>
        <w:tc>
          <w:tcPr>
            <w:tcW w:w="1240" w:type="dxa"/>
            <w:vAlign w:val="bottom"/>
          </w:tcPr>
          <w:p>
            <w:pPr>
              <w:jc w:val="center"/>
              <w:ind w:left="333"/>
              <w:spacing w:after="0" w:line="178"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133"/>
              <w:spacing w:after="0" w:line="178" w:lineRule="exact"/>
              <w:rPr>
                <w:sz w:val="20"/>
                <w:szCs w:val="20"/>
                <w:color w:val="auto"/>
              </w:rPr>
            </w:pPr>
            <w:r>
              <w:rPr>
                <w:rFonts w:ascii="Times New Roman" w:cs="Times New Roman" w:eastAsia="Times New Roman" w:hAnsi="Times New Roman"/>
                <w:sz w:val="17"/>
                <w:szCs w:val="17"/>
                <w:b w:val="1"/>
                <w:bCs w:val="1"/>
                <w:color w:val="auto"/>
              </w:rPr>
              <w:t>Period End Fair</w:t>
            </w:r>
          </w:p>
        </w:tc>
      </w:tr>
      <w:tr>
        <w:trPr>
          <w:trHeight w:val="232"/>
        </w:trPr>
        <w:tc>
          <w:tcPr>
            <w:tcW w:w="78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7"/>
                <w:szCs w:val="17"/>
                <w:b w:val="1"/>
                <w:bCs w:val="1"/>
                <w:color w:val="auto"/>
                <w:w w:val="97"/>
              </w:rPr>
              <w:t>Units</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22"/>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00" w:type="dxa"/>
            <w:vAlign w:val="bottom"/>
            <w:gridSpan w:val="2"/>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Granted adjustment</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100" w:type="dxa"/>
            <w:vAlign w:val="bottom"/>
            <w:gridSpan w:val="2"/>
          </w:tcPr>
          <w:p>
            <w:pPr>
              <w:ind w:left="240"/>
              <w:spacing w:after="0" w:line="222" w:lineRule="exact"/>
              <w:rPr>
                <w:sz w:val="20"/>
                <w:szCs w:val="20"/>
                <w:color w:val="auto"/>
              </w:rPr>
            </w:pPr>
            <w:r>
              <w:rPr>
                <w:rFonts w:ascii="Times New Roman" w:cs="Times New Roman" w:eastAsia="Times New Roman" w:hAnsi="Times New Roman"/>
                <w:sz w:val="17"/>
                <w:szCs w:val="17"/>
                <w:color w:val="auto"/>
              </w:rPr>
              <w:t>Vested and distributed</w:t>
            </w:r>
            <w:r>
              <w:rPr>
                <w:rFonts w:ascii="Times New Roman" w:cs="Times New Roman" w:eastAsia="Times New Roman" w:hAnsi="Times New Roman"/>
                <w:sz w:val="22"/>
                <w:szCs w:val="22"/>
                <w:color w:val="auto"/>
                <w:vertAlign w:val="superscript"/>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at March 31,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0"/>
        </w:trPr>
        <w:tc>
          <w:tcPr>
            <w:tcW w:w="7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ind w:left="160" w:hanging="156"/>
        <w:spacing w:after="0" w:line="204" w:lineRule="auto"/>
        <w:tabs>
          <w:tab w:leader="none" w:pos="16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changes in the outstanding PBCU due to performance adjustments.</w:t>
      </w:r>
    </w:p>
    <w:p>
      <w:pPr>
        <w:ind w:left="160" w:hanging="156"/>
        <w:spacing w:after="0" w:line="197" w:lineRule="auto"/>
        <w:tabs>
          <w:tab w:leader="none" w:pos="16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earned PBCU that vested and were distributed to participants during the period.</w:t>
      </w:r>
    </w:p>
    <w:p>
      <w:pPr>
        <w:spacing w:after="0" w:line="223"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Performance based cash units are measured at the closing stock price at the reporting period end date and the expense is recognized straight line over the requisite service period. The expense for the period will increase or decrease based on updated fair values of these units at each reporting date. Unvested units’ fluctuations are shown as adjustments to units granted in the table above. These fluctuations are based on the percentage achievement of the performance metrics at the end of each reporting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Restructuring</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continues to identify workforce optimization opportunities to better align the Company’s resources with its key strategic priorities.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summary of the Company’s restructuring accrual at March 31, 2024 and changes during the three months ended March 31, 2024, are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Employee</w:t>
            </w:r>
          </w:p>
        </w:tc>
      </w:tr>
      <w:tr>
        <w:trPr>
          <w:trHeight w:val="232"/>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Termination Costs</w:t>
            </w: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w:t>
            </w:r>
          </w:p>
        </w:tc>
      </w:tr>
      <w:tr>
        <w:trPr>
          <w:trHeight w:val="222"/>
        </w:trPr>
        <w:tc>
          <w:tcPr>
            <w:tcW w:w="9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Charges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2"/>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w:t>
            </w:r>
          </w:p>
        </w:tc>
      </w:tr>
      <w:tr>
        <w:trPr>
          <w:trHeight w:val="222"/>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adjustments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Income Taxes</w:t>
      </w:r>
    </w:p>
    <w:p>
      <w:pPr>
        <w:spacing w:after="0" w:line="237" w:lineRule="exact"/>
        <w:rPr>
          <w:sz w:val="20"/>
          <w:szCs w:val="20"/>
          <w:color w:val="auto"/>
        </w:rPr>
      </w:pPr>
    </w:p>
    <w:p>
      <w:pPr>
        <w:jc w:val="both"/>
        <w:ind w:firstLine="313"/>
        <w:spacing w:after="0" w:line="242" w:lineRule="auto"/>
        <w:rPr>
          <w:sz w:val="20"/>
          <w:szCs w:val="20"/>
          <w:color w:val="auto"/>
        </w:rPr>
      </w:pPr>
      <w:r>
        <w:rPr>
          <w:rFonts w:ascii="Times New Roman" w:cs="Times New Roman" w:eastAsia="Times New Roman" w:hAnsi="Times New Roman"/>
          <w:sz w:val="17"/>
          <w:szCs w:val="17"/>
          <w:color w:val="auto"/>
        </w:rPr>
        <w:t>The Company recognized an income tax expense of approximately $0.6 million and $0.3 million during the three months ended March 31, 2024 and 2023, respectively. The effective tax rate was approximately 11.9% for the three months ended March 31, 2024, which was lower than the U.S. federal statutory rate primarily due to the impact of valuation allowances recorded and foreign tax rate differential, partially offset by projected current income tax expense in the U.S. and certain foreign jurisdictions. The Company’s projection of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 jurisdictions. The Company’s effective tax rate was approximately (3.6)% for the three months ended March 31, 2023, which was lower than the U.S. federal statutory rate due to pre-tax losses in jurisdictions where full valuation allowances have been recorded, foreign tax rate differential and certain jurisdictions projecting current income tax expense. The Company continues to consider all available evidence, including historical profitability and projections of future taxable income together with new evidence,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3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positive and negative, that could affect the view of the future realization of deferred tax assets. As a result of the assessment, no change was recorded by the Company to the valuation allowance during the three months ended March 31, 2024.</w:t>
      </w:r>
    </w:p>
    <w:p>
      <w:pPr>
        <w:spacing w:after="0" w:line="18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Unrecognized tax benefits associated with uncertain tax positions are $4.4 million at March 31, 2024.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During 2021 the Internal Revenue Service commenced an audit of certain of the Company’s prior year U.S. federal income tax filings, including the 2013 through 2020 tax years. The audit is currently ongoing and while the receipt of the associated refunds would materially improve its financial position, the Company does not believe that the results of this audit will have a material effect on its results of operations.</w:t>
      </w:r>
    </w:p>
    <w:p>
      <w:pPr>
        <w:spacing w:after="0" w:line="18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Pillar Two Global Anti-Base Erosion rules issued by the Organization for Economic Co-operation and Development ("OECD"), a global policy forum, introduced a global minimum tax of 15% which would apply to multinational groups with consolidated financial statement revenue in excess of EUR 750 million. Nearly all OECD member jurisdictions have agreed in principle to adopt these provisions and numerous jurisdictions, including jurisdictions where the Company operates, have enacted these rules effective January 1, 2024. The Company is not currently subject to these rules but is continuing to evaluate the Pillar Two Framework and its potential impact on future periods.</w:t>
      </w:r>
    </w:p>
    <w:p>
      <w:pPr>
        <w:spacing w:after="0" w:line="199" w:lineRule="exact"/>
        <w:rPr>
          <w:sz w:val="20"/>
          <w:szCs w:val="20"/>
          <w:color w:val="auto"/>
        </w:rPr>
      </w:pPr>
    </w:p>
    <w:p>
      <w:pPr>
        <w:jc w:val="both"/>
        <w:ind w:firstLine="313"/>
        <w:spacing w:after="0" w:line="272" w:lineRule="auto"/>
        <w:rPr>
          <w:sz w:val="20"/>
          <w:szCs w:val="20"/>
          <w:color w:val="auto"/>
        </w:rPr>
      </w:pPr>
      <w:r>
        <w:rPr>
          <w:rFonts w:ascii="Times New Roman" w:cs="Times New Roman" w:eastAsia="Times New Roman" w:hAnsi="Times New Roman"/>
          <w:sz w:val="17"/>
          <w:szCs w:val="17"/>
          <w:color w:val="auto"/>
        </w:rPr>
        <w:t>On January 31, 2024, the House of Representatives passed a proposed tax bill which, among other provisions, aims to reinstate 100% bonus depreciation for property placed in service in 2023 and through 2025 and to allow taxpayers to expense domestic research costs retroactively back to 2022 and prospectively through tax years beginning before 2026. Enactment remains highly uncertain and the Company continues to monitor the ongoing developments in the proposed legislation.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Earnings per Common Share (“EPS”)</w:t>
      </w:r>
    </w:p>
    <w:p>
      <w:pPr>
        <w:spacing w:after="0" w:line="250"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w:t>
      </w:r>
    </w:p>
    <w:p>
      <w:pPr>
        <w:spacing w:after="0" w:line="1" w:lineRule="exact"/>
        <w:rPr>
          <w:sz w:val="20"/>
          <w:szCs w:val="20"/>
          <w:color w:val="auto"/>
        </w:rPr>
      </w:pPr>
    </w:p>
    <w:p>
      <w:pPr>
        <w:jc w:val="both"/>
        <w:ind w:firstLine="4"/>
        <w:spacing w:after="0" w:line="264" w:lineRule="auto"/>
        <w:tabs>
          <w:tab w:leader="none" w:pos="11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84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 Basic:</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(8,589)</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(loss) income attributable to redeemable noncontrolling interests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2"/>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Preferred stock dividend</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 (loss) attributable to Synchronoss from continuing operations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(11,049)</w:t>
            </w:r>
          </w:p>
        </w:tc>
        <w:tc>
          <w:tcPr>
            <w:tcW w:w="0" w:type="dxa"/>
            <w:vAlign w:val="bottom"/>
          </w:tcPr>
          <w:p>
            <w:pPr>
              <w:spacing w:after="0"/>
              <w:rPr>
                <w:sz w:val="1"/>
                <w:szCs w:val="1"/>
                <w:color w:val="auto"/>
              </w:rPr>
            </w:pPr>
          </w:p>
        </w:tc>
      </w:tr>
      <w:tr>
        <w:trPr>
          <w:trHeight w:val="222"/>
        </w:trPr>
        <w:tc>
          <w:tcPr>
            <w:tcW w:w="7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0" w:type="dxa"/>
            <w:vAlign w:val="bottom"/>
          </w:tcPr>
          <w:p>
            <w:pPr>
              <w:spacing w:after="0"/>
              <w:rPr>
                <w:sz w:val="1"/>
                <w:szCs w:val="1"/>
                <w:color w:val="auto"/>
              </w:rPr>
            </w:pPr>
          </w:p>
        </w:tc>
      </w:tr>
      <w:tr>
        <w:trPr>
          <w:trHeight w:val="24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Synchronoss</w:t>
            </w: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 Diluted:</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 (loss) attributable to Synchronoss from continuing operations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(11,049)</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0" w:type="dxa"/>
            <w:vAlign w:val="bottom"/>
          </w:tcPr>
          <w:p>
            <w:pPr>
              <w:spacing w:after="0"/>
              <w:rPr>
                <w:sz w:val="1"/>
                <w:szCs w:val="1"/>
                <w:color w:val="auto"/>
              </w:rPr>
            </w:pPr>
          </w:p>
        </w:tc>
      </w:tr>
      <w:tr>
        <w:trPr>
          <w:trHeight w:val="215"/>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Synchronoss</w:t>
            </w: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(13,391)</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9,653</w:t>
            </w:r>
          </w:p>
        </w:tc>
        <w:tc>
          <w:tcPr>
            <w:tcW w:w="0" w:type="dxa"/>
            <w:vAlign w:val="bottom"/>
          </w:tcPr>
          <w:p>
            <w:pPr>
              <w:spacing w:after="0"/>
              <w:rPr>
                <w:sz w:val="1"/>
                <w:szCs w:val="1"/>
                <w:color w:val="auto"/>
              </w:rPr>
            </w:pPr>
          </w:p>
        </w:tc>
      </w:tr>
      <w:tr>
        <w:trPr>
          <w:trHeight w:val="222"/>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Dilutive effect of:</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Shares from assumed conversion of PBCU</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78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Options and unvested restricted shares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78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1040" w:type="dxa"/>
            <w:vAlign w:val="bottom"/>
            <w:tcBorders>
              <w:bottom w:val="single" w:sz="8" w:color="auto"/>
            </w:tcBorders>
            <w:shd w:val="clear" w:color="auto" w:fill="CCEEFF"/>
          </w:tcPr>
          <w:p>
            <w:pPr>
              <w:jc w:val="right"/>
              <w:ind w:right="854"/>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10,277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3"/>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9,653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 EPS: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2"/>
        </w:trPr>
        <w:tc>
          <w:tcPr>
            <w:tcW w:w="7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 EPS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7"/>
                <w:szCs w:val="17"/>
                <w:color w:val="auto"/>
              </w:rPr>
              <w:t>Diluted EPS: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2"/>
        </w:trPr>
        <w:tc>
          <w:tcPr>
            <w:tcW w:w="7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 EPS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Commitments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Non-cancelable agreements</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has various non-cancelable arrangements such as services for hosting, support, and software that expire at various dates, with the latest expiration in 2027.</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Aggregate annual future minimum payments under non-cancelable agreements as of March 31, 2024 for each year subsequent to December 31, 2023 and thereafter,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Non-cancelable</w:t>
            </w:r>
          </w:p>
        </w:tc>
      </w:tr>
      <w:tr>
        <w:trPr>
          <w:trHeight w:val="229"/>
        </w:trPr>
        <w:tc>
          <w:tcPr>
            <w:tcW w:w="9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agreements</w:t>
            </w:r>
          </w:p>
        </w:tc>
      </w:tr>
      <w:tr>
        <w:trPr>
          <w:trHeight w:val="215"/>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16,391</w:t>
            </w:r>
          </w:p>
        </w:tc>
      </w:tr>
      <w:tr>
        <w:trPr>
          <w:trHeight w:val="222"/>
        </w:trPr>
        <w:tc>
          <w:tcPr>
            <w:tcW w:w="9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12,674</w:t>
            </w:r>
          </w:p>
        </w:tc>
      </w:tr>
      <w:tr>
        <w:trPr>
          <w:trHeight w:val="222"/>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22"/>
        </w:trPr>
        <w:tc>
          <w:tcPr>
            <w:tcW w:w="9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2"/>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29,994</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Legal Matters</w:t>
      </w:r>
    </w:p>
    <w:p>
      <w:pPr>
        <w:spacing w:after="0" w:line="250"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90" w:lineRule="exact"/>
        <w:rPr>
          <w:sz w:val="20"/>
          <w:szCs w:val="20"/>
          <w:color w:val="auto"/>
        </w:rPr>
      </w:pPr>
    </w:p>
    <w:p>
      <w:pPr>
        <w:jc w:val="both"/>
        <w:ind w:firstLine="313"/>
        <w:spacing w:after="0" w:line="242" w:lineRule="auto"/>
        <w:rPr>
          <w:sz w:val="20"/>
          <w:szCs w:val="20"/>
          <w:color w:val="auto"/>
        </w:rPr>
      </w:pPr>
      <w:r>
        <w:rPr>
          <w:rFonts w:ascii="Times New Roman" w:cs="Times New Roman" w:eastAsia="Times New Roman" w:hAnsi="Times New Roman"/>
          <w:sz w:val="17"/>
          <w:szCs w:val="17"/>
          <w:color w:val="auto"/>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In addition, failure to comply with the provisions of the SEC Order could result in further actions by one or both governmental agencies which could have a material adverse effect on the Company’s results of operations. The penalties have been paid in full as of March 31, 2024. Also on June 7, 2022, the SEC filed a civil action against two former members of the Company’s management team, alleging misconduct arising out of the restated transactions that took place in 2015 and 2016 investigated by the SEC as set forth above. The Company may be required to indemnify the former members of management in that action for certain costs and expenses, including reasonable attorney’s fees. At this time it is not possible for us to estimate the amount, if any, of such indemnification obligations.</w:t>
      </w:r>
    </w:p>
    <w:p>
      <w:pPr>
        <w:spacing w:after="0" w:line="203" w:lineRule="exact"/>
        <w:rPr>
          <w:sz w:val="20"/>
          <w:szCs w:val="20"/>
          <w:color w:val="auto"/>
        </w:rPr>
      </w:pPr>
    </w:p>
    <w:p>
      <w:pPr>
        <w:jc w:val="both"/>
        <w:ind w:firstLine="313"/>
        <w:spacing w:after="0" w:line="252" w:lineRule="auto"/>
        <w:rPr>
          <w:sz w:val="20"/>
          <w:szCs w:val="20"/>
          <w:color w:val="auto"/>
        </w:rPr>
      </w:pPr>
      <w:r>
        <w:rPr>
          <w:rFonts w:ascii="Times New Roman" w:cs="Times New Roman" w:eastAsia="Times New Roman" w:hAnsi="Times New Roman"/>
          <w:sz w:val="17"/>
          <w:szCs w:val="17"/>
          <w:color w:val="auto"/>
        </w:rPr>
        <w:t>On or about July 12, 2023, the Company filed a complaint in the Superior Court of the State of Delaware against iQmetrix Global Ltd. (“iQmetrix") for breach of the asset purchase and transition services agreements by and between the Company and iQmetrix as a result of iQmetrix’s failure to pay amounts due under those agreements in excess of $1,200,000. On September 11, 2023, iQmetrix filed its “Answer Defenses and Counterclaims” against the Company, claiming the Company breached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3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asset purchase, transition services and software license agreements, committed fraud and breached the implied covenant of good faith and fair dealing entitling iQmetrix to an amount to be determined at trial. On October 10, 2023, the Company filed its “Answer to Defendant’s Counterclaims” denying all counts asserted by iQmetrix and asserting certain affirmative defenses thereto. The Company believes that the counterclaims are without merit, and the Company intends to defend all such counterclaims.</w:t>
      </w:r>
    </w:p>
    <w:p>
      <w:pPr>
        <w:spacing w:after="0" w:line="20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Due to the inherent uncertainty of litigation, the Company cannot predict the outcome of the litigation and can give no assurance that the asserted claims will not have a material adverse effect on its financial position, prospects, or results of operations.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Additional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components of Other Income (expense), net included in the Condensed Consolidated Statements of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03"/>
        </w:trPr>
        <w:tc>
          <w:tcPr>
            <w:tcW w:w="78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gains (losses)</w:t>
            </w:r>
          </w:p>
        </w:tc>
        <w:tc>
          <w:tcPr>
            <w:tcW w:w="108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r>
      <w:tr>
        <w:trPr>
          <w:trHeight w:val="222"/>
        </w:trPr>
        <w:tc>
          <w:tcPr>
            <w:tcW w:w="78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0"/>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24" w:lineRule="auto"/>
        <w:tabs>
          <w:tab w:leader="none" w:pos="16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an aggregate of individually immaterial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Subsequent Events</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drew $3.0 million on the A/R Facility on April 10, 2024, and had not repaid the balance as of the date of filing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8"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93"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geopolitical tensions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Synchronoss Technologies, Inc. (“Synchronoss” or the “Company”) is a leading provider of white label cloud software and services that enable our customers to keep subscribers, systems, networks and content in sync.</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Synchronoss Personal CloudTM platform is specifically designed to support smartphones, tablets, desktops computers, and laptops.</w:t>
      </w:r>
    </w:p>
    <w:p>
      <w:pPr>
        <w:spacing w:after="0" w:line="248"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Synchronoss’ Messaging platform (Owned and operated through October 31, 2023) had powered mobile messaging and mailboxes for hundreds of millions of telecommunication subscribers. Our Advanced Messaging platform had been a powerful, secure, intelligent, white label messaging platform that expanded capabilities for communications service provider and multi-service providers to offer P2P messaging via Rich Communications Services (“RCS”). Our Mobile Messaging Platform (“MMP”) provided a single standard ecosystem for onboarding and management to brands, advertisers and message wholesalers.</w:t>
      </w:r>
    </w:p>
    <w:p>
      <w:pPr>
        <w:spacing w:after="0" w:line="19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Synchronoss NetworkX (Owned and operated through October 31, 2023) products had provided operators with the tools and software to design their physical network, streamlined their infrastructure purchases, and managed and optimized comprehensive network expenses for leading top tier carriers around the globe.</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We market our solutions and services directly through our sales organizations in the Americas, Europe, Middle East and Africa (“EMEA”) and Asia-Pacific (“APAC”).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generate most of our revenues on a subscription basis, which is derived from contracts that extend up to 48 months from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markets. As such, the volume of subscribers and our ability to expand our footprint in TMT and globally may result in revenue fluctuations on a quarterly basis.</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Most of our revenues are recorded in U.S. dollars but as we continue to expand our footprint with international carriers, we are subject to currency translation that could affect our future net sales as reported in U.S. dollars.</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Company’s top five customers accounted for 97.2% and 95.6% of net revenues for the three months ended March 31, 2024 and March 31, 2023, respectively. Contracts with these customers typically run for three to five years. Of these customers, both Verizon and AT&amp;T accounted for more than 10% of our revenues in 2024 and 2023. The loss of Verizon or AT&amp;T as a customer would have a material negative impact on our company. However, we believe that the costs incurred and subscriber disruption by Verizon or AT&amp;T to replace Synchronoss’ solutions would be substantial.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Trends Affecting Our Results of Operations</w:t>
      </w:r>
    </w:p>
    <w:p>
      <w:pPr>
        <w:spacing w:after="0" w:line="250"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2"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To support our growth, which we expect to be driven by the favorable industry trends, we plan to leverage modular components from our existing software platforms to build new products. We believe that these opportunities will continue to provide future benefits and position us for future revenue growth. We have focused our product development efforts on expanding the functionality, scalability and security of our products and solutions. We expect to sustain our research and development investments as we intend to continue on an aggressive path to develop new features and functionality, upgrade and extend our product offerings and develop new technology. Our purchase of capital assets and equipment may increase based on aggressive deployment, subscriber growth and promotional offers for free or bundled storage by our major Tier 1 carrier customers.</w:t>
      </w:r>
    </w:p>
    <w:p>
      <w:pPr>
        <w:spacing w:after="0" w:line="20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continue to expand our platforms into the converging TMT market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the Condensed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2024 compared to the three months ended March 31, 2023</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an overview of our results of operations for the three months ended March 31, 2024 and 2023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4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6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r>
      <w:tr>
        <w:trPr>
          <w:trHeight w:val="222"/>
        </w:trPr>
        <w:tc>
          <w:tcPr>
            <w:tcW w:w="6140" w:type="dxa"/>
            <w:vAlign w:val="bottom"/>
          </w:tcPr>
          <w:p>
            <w:pPr>
              <w:ind w:left="24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10,223</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w:t>
            </w:r>
          </w:p>
        </w:tc>
      </w:tr>
      <w:tr>
        <w:trPr>
          <w:trHeight w:val="222"/>
        </w:trPr>
        <w:tc>
          <w:tcPr>
            <w:tcW w:w="6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22"/>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4,359</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15"/>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38,389</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(5,555)</w:t>
            </w:r>
          </w:p>
        </w:tc>
      </w:tr>
      <w:tr>
        <w:trPr>
          <w:trHeight w:val="215"/>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2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4,576</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6,535</w:t>
            </w:r>
          </w:p>
        </w:tc>
      </w:tr>
      <w:tr>
        <w:trPr>
          <w:trHeight w:val="20"/>
        </w:trPr>
        <w:tc>
          <w:tcPr>
            <w:tcW w:w="6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20" w:hanging="216"/>
        <w:spacing w:after="0" w:line="230" w:lineRule="auto"/>
        <w:tabs>
          <w:tab w:leader="none" w:pos="22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195" w:lineRule="exact"/>
        <w:rPr>
          <w:sz w:val="20"/>
          <w:szCs w:val="20"/>
          <w:color w:val="auto"/>
        </w:rPr>
      </w:pPr>
    </w:p>
    <w:p>
      <w:pPr>
        <w:jc w:val="both"/>
        <w:ind w:firstLine="313"/>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7"/>
          <w:szCs w:val="17"/>
          <w:color w:val="auto"/>
        </w:rPr>
        <w:t>increased $1.0 million to $43.0 million for the three months ended March 31, 2024, compared to the same period in 2023. The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was primarily due to $3.2 million increase in subscription revenue due to growth in Cloud subscribers, partially offset by ($0.9) million decrease in professional services associated with the prior year launch of SoftBank and ($0.9) million revenue recognized in the prior period from expiring Messaging and Digital contracts not included in the Assets Purchase Agreement with Lumine Group.</w:t>
      </w:r>
    </w:p>
    <w:p>
      <w:pPr>
        <w:spacing w:after="0" w:line="206" w:lineRule="exact"/>
        <w:rPr>
          <w:sz w:val="20"/>
          <w:szCs w:val="20"/>
          <w:color w:val="auto"/>
        </w:rPr>
      </w:pPr>
    </w:p>
    <w:p>
      <w:pPr>
        <w:jc w:val="both"/>
        <w:ind w:firstLine="313"/>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Cost of revenues </w:t>
      </w:r>
      <w:r>
        <w:rPr>
          <w:rFonts w:ascii="Times New Roman" w:cs="Times New Roman" w:eastAsia="Times New Roman" w:hAnsi="Times New Roman"/>
          <w:sz w:val="17"/>
          <w:szCs w:val="17"/>
          <w:color w:val="auto"/>
        </w:rPr>
        <w:t>decreased $0.7 million to $10.2 million for the three months ended March 31, 2024, compared to the same period in 2023. The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decrease was primarily attributable to the reduced employee costs due to restructuring.</w:t>
      </w:r>
    </w:p>
    <w:p>
      <w:pPr>
        <w:spacing w:after="0" w:line="168"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w:t>
      </w:r>
      <w:r>
        <w:rPr>
          <w:rFonts w:ascii="Times New Roman" w:cs="Times New Roman" w:eastAsia="Times New Roman" w:hAnsi="Times New Roman"/>
          <w:sz w:val="17"/>
          <w:szCs w:val="17"/>
          <w:color w:val="auto"/>
        </w:rPr>
        <w:t>expense decreased $2.4 million to $10.3 million for the three months ended March 31, 2024, compared to the same period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2023. The research and development costs decreased year over year mainly as a result of reduced employee costs due to restructuring and executed cost savings initiatives to streamline our workforce and reduce vendor spend and overhead costs.</w:t>
      </w:r>
    </w:p>
    <w:p>
      <w:pPr>
        <w:spacing w:after="0" w:line="173" w:lineRule="exact"/>
        <w:rPr>
          <w:sz w:val="20"/>
          <w:szCs w:val="20"/>
          <w:color w:val="auto"/>
        </w:rPr>
      </w:pPr>
    </w:p>
    <w:p>
      <w:pPr>
        <w:jc w:val="both"/>
        <w:ind w:firstLine="313"/>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w:t>
      </w:r>
      <w:r>
        <w:rPr>
          <w:rFonts w:ascii="Times New Roman" w:cs="Times New Roman" w:eastAsia="Times New Roman" w:hAnsi="Times New Roman"/>
          <w:sz w:val="17"/>
          <w:szCs w:val="17"/>
          <w:color w:val="auto"/>
        </w:rPr>
        <w:t>expense decreased $2.7 million to $13.3 million for the three months ended March 31, 2024, compared to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in 2023. The decrease in selling, general and administrative expense is mainly related to reduced employee costs due to restructuring and non-recurring professional fees.</w:t>
      </w:r>
    </w:p>
    <w:p>
      <w:pPr>
        <w:spacing w:after="0" w:line="193"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were $0.2 million for the three months ended March 31, 2024 and $0.3 million for the three months ended March 31,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Restructuring charges were primarily related to employment termination costs as a result of the work-force reductions initiated to reduce operating costs and align our resources with our key strategic priorities.</w:t>
      </w:r>
    </w:p>
    <w:p>
      <w:pPr>
        <w:spacing w:after="0" w:line="186"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w:t>
      </w:r>
      <w:r>
        <w:rPr>
          <w:rFonts w:ascii="Times New Roman" w:cs="Times New Roman" w:eastAsia="Times New Roman" w:hAnsi="Times New Roman"/>
          <w:sz w:val="17"/>
          <w:szCs w:val="17"/>
          <w:color w:val="auto"/>
        </w:rPr>
        <w:t>expense increased $0.4 million to $4.4 million for the three months ended March 31, 2024, compared to the same period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2023. The 2024 increase was primarily attributable to the increased amortization of capitalized software.</w:t>
      </w:r>
    </w:p>
    <w:p>
      <w:pPr>
        <w:spacing w:after="0" w:line="155" w:lineRule="exact"/>
        <w:rPr>
          <w:sz w:val="20"/>
          <w:szCs w:val="20"/>
          <w:color w:val="auto"/>
        </w:rPr>
      </w:pPr>
    </w:p>
    <w:p>
      <w:pPr>
        <w:jc w:val="both"/>
        <w:ind w:firstLine="313"/>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an income tax expense of approximately $0.6 million and $0.3 million during the three months ended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and 2023, respectively. The effective tax rate was approximately 11.9% for the three months ended March 31, 2024, which was lower than the U.S. federal statutory rate primarily due to the impact of valuation allowances recorded and foreign tax rate differential, partially offset by projected current income tax expense in the U.S. and certain foreign jurisdictions. The Company’s projection of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jurisdictions. The Company’s effective tax rate was approximately (3.6)% for the three months ended March 31, 2023, which was lower than the U.S. federal statutory rate due to pre-tax losses in jurisdictions where full valuation allowances have been recorded, foreign tax rate differential and certain jurisdictions projecting current income tax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As of March 31, 2024, our principal sources of liquidity were cash provided by operations. Our cash and cash equivalents balance was $19.1 million at March 31, 2024. We anticipate that our principal uses of cash and cash equivalents will be sufficient to fund our business, including technology expansion and working capital.</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At March 31, 2024, our non-U.S. subsidiaries held approximately $13.1 million of cash and cash equivalents that are available for use by our operations around the world.</w:t>
      </w:r>
    </w:p>
    <w:p>
      <w:pPr>
        <w:spacing w:after="0" w:line="173"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199" w:lineRule="exact"/>
        <w:rPr>
          <w:sz w:val="20"/>
          <w:szCs w:val="20"/>
          <w:color w:val="auto"/>
        </w:rPr>
      </w:pPr>
    </w:p>
    <w:p>
      <w:pPr>
        <w:jc w:val="both"/>
        <w:ind w:firstLine="313"/>
        <w:spacing w:after="0" w:line="253" w:lineRule="auto"/>
        <w:rPr>
          <w:sz w:val="20"/>
          <w:szCs w:val="20"/>
          <w:color w:val="auto"/>
        </w:rPr>
      </w:pPr>
      <w:r>
        <w:rPr>
          <w:rFonts w:ascii="Times New Roman" w:cs="Times New Roman" w:eastAsia="Times New Roman" w:hAnsi="Times New Roman"/>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Our liquidity plans are subject to a number of risks and uncertainties, including those described in the "Forward-Looking Statements" section of this MD&amp;A and Part I, Item 1A. “Risk Factors” in our Annual Report on Form 10-K for the year ended December 31, 2023, some of which are outside of our control.</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further details, see Note 9. Debt and Note 11. Capital Structure of the Notes to Condensed Consolidated Financial Statements in Item 1 of this Form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Cash Flows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net cash flows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18"/>
        </w:trPr>
        <w:tc>
          <w:tcPr>
            <w:tcW w:w="78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2"/>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1,295</w:t>
            </w:r>
          </w:p>
        </w:tc>
      </w:tr>
      <w:tr>
        <w:trPr>
          <w:trHeight w:val="222"/>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(5,470)</w:t>
            </w:r>
          </w:p>
        </w:tc>
      </w:tr>
      <w:tr>
        <w:trPr>
          <w:trHeight w:val="227"/>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(2,299)</w:t>
            </w:r>
          </w:p>
        </w:tc>
      </w:tr>
    </w:tbl>
    <w:p>
      <w:pPr>
        <w:spacing w:after="0" w:line="30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87"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Cash provided by operating activities </w:t>
      </w:r>
      <w:r>
        <w:rPr>
          <w:rFonts w:ascii="Times New Roman" w:cs="Times New Roman" w:eastAsia="Times New Roman" w:hAnsi="Times New Roman"/>
          <w:sz w:val="17"/>
          <w:szCs w:val="17"/>
          <w:color w:val="auto"/>
        </w:rPr>
        <w:t>for the three months ended March 31, 2024 was $0.5 million as compared to $1.3 million of cash provided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activities for the same period in 2023. In the current period, the Company generated cash from operations mainly driven by continued growth in cloud subscribers and reduced operating costs, offset by unfavorable movements in working capital compared to the first quarter of 2023.</w:t>
      </w:r>
    </w:p>
    <w:p>
      <w:pPr>
        <w:spacing w:after="0" w:line="186"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Cash used in investing activities </w:t>
      </w:r>
      <w:r>
        <w:rPr>
          <w:rFonts w:ascii="Times New Roman" w:cs="Times New Roman" w:eastAsia="Times New Roman" w:hAnsi="Times New Roman"/>
          <w:sz w:val="17"/>
          <w:szCs w:val="17"/>
          <w:color w:val="auto"/>
        </w:rPr>
        <w:t>for the three months ended March 31, 2024 was $3.8 million as compared to $5.5 million of cash used in investing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during the same period in 2023. The cash used for investing activities in the current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year was primarily related to continued investment in product development for our Cloud offering and capitalization of associated labor costs.</w:t>
      </w:r>
    </w:p>
    <w:p>
      <w:pPr>
        <w:spacing w:after="0" w:line="246"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Cash used in financing activities </w:t>
      </w:r>
      <w:r>
        <w:rPr>
          <w:rFonts w:ascii="Times New Roman" w:cs="Times New Roman" w:eastAsia="Times New Roman" w:hAnsi="Times New Roman"/>
          <w:sz w:val="17"/>
          <w:szCs w:val="17"/>
          <w:color w:val="auto"/>
        </w:rPr>
        <w:t>for the three months ended March 31, 2024 was $2.1 million as compared to $2.3 million of cash used in financing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during the same period in 2023. The cash used in investing activities in the current year and prior year was primarily related to dividend payments on the Series B Preferred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Inflation</w:t>
      </w:r>
    </w:p>
    <w:p>
      <w:pPr>
        <w:spacing w:after="0" w:line="250"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Inflationary increases in certain input costs, such as occupancy, labor and benefits, and general administrative costs, have impacted our business. Management does not believe these impacts have had a material impact on our results of operations during the three months ended March 31, 2024 and 2023. We cannot assure you, however, that we will not be affected by general inflation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59" w:lineRule="exact"/>
        <w:rPr>
          <w:sz w:val="20"/>
          <w:szCs w:val="20"/>
          <w:color w:val="auto"/>
        </w:rPr>
      </w:pPr>
    </w:p>
    <w:p>
      <w:pPr>
        <w:jc w:val="both"/>
        <w:ind w:firstLine="313"/>
        <w:spacing w:after="0" w:line="216" w:lineRule="exact"/>
        <w:rPr>
          <w:sz w:val="20"/>
          <w:szCs w:val="20"/>
          <w:color w:val="auto"/>
        </w:rPr>
      </w:pPr>
      <w:r>
        <w:rPr>
          <w:rFonts w:ascii="Times New Roman" w:cs="Times New Roman" w:eastAsia="Times New Roman" w:hAnsi="Times New Roman"/>
          <w:sz w:val="17"/>
          <w:szCs w:val="17"/>
          <w:color w:val="auto"/>
        </w:rPr>
        <w:t>Our contractual obligations consist of office and laptop leases, notes payable and related interest as well as contractual commitments under third-party hosting, software licenses and maintenance agreements. The following table summarizes our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contractual obligations as of March 31, 2024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3"/>
        </w:trPr>
        <w:tc>
          <w:tcPr>
            <w:tcW w:w="44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2025-2027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2028</w:t>
            </w: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4,275</w:t>
            </w:r>
          </w:p>
        </w:tc>
      </w:tr>
      <w:tr>
        <w:trPr>
          <w:trHeight w:val="222"/>
        </w:trPr>
        <w:tc>
          <w:tcPr>
            <w:tcW w:w="44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29,994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 Payable</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233,896</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31,627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197,994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4,275</w:t>
            </w:r>
          </w:p>
        </w:tc>
      </w:tr>
      <w:tr>
        <w:trPr>
          <w:trHeight w:val="20"/>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ind w:left="200" w:hanging="196"/>
        <w:spacing w:after="0" w:line="230" w:lineRule="auto"/>
        <w:tabs>
          <w:tab w:leader="none" w:pos="20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obligations associated with colocation agreements and other customer delivery related purchase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 Tax Positions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Unrecognized tax benefits associated with uncertain tax positions are $4.4 million at March 31, 2024.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0"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These estimates and assumptions take into account historical and forward looking factors that the Company believes are reasonable, including but not limited to the potential impacts from current geopolitical tensions. As the extent and duration of the impacts from geopolitical developments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periods could be materially affected. See Part II, “Item 1A. Risk Factors” in this Form 10-Q for certain matters bearing risks on our future results of operations.</w:t>
      </w:r>
    </w:p>
    <w:p>
      <w:pPr>
        <w:spacing w:after="0" w:line="248" w:lineRule="exact"/>
        <w:rPr>
          <w:sz w:val="20"/>
          <w:szCs w:val="20"/>
          <w:color w:val="auto"/>
        </w:rPr>
      </w:pPr>
    </w:p>
    <w:p>
      <w:pPr>
        <w:jc w:val="both"/>
        <w:ind w:firstLine="313"/>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2024, there were no significant changes in our critical accounting policies and estimates discussed in our Form 10-K for the year ended December 31, 2023. Please refer to Management’s Discussion and Analysis of Financial Condition and Results of Operations contained in Part II, Item 7 of our Annual Report on Form 10-K for the year ended December 31, 2023 for a more complete discussion of our critical accounting policies and estimates.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a discussion of recently issued accounting standards see Note 2. Basis of Presentation and Consolidation of the Notes to Condensed Consolidated Financial Statements in Item 1 of this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had no off-balance sheet arrangements as of March 31, 2024 and December 31, 2023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spacing w:after="0" w:line="18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March 31, 2024 and December 31, 2023 were invested in liquid money market accounts and certificates of deposit. All market-risk sensitive instruments were entered into for non-trading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9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March 31, 2024 would increase interest income by approximately $0.2 million on an annual basis.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0"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March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0"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0"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For a discussion of our material pending legal proceedings that could impact our results of operations, financial condition or cash flows see Note 17. Legal Matters of the Notes to Condensed Consolidated Financial Statements in Item 1 of this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0"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There have been no material changes to our risk factors as previously disclosed in Part I, Item 1A. included in our Annual Report on Form 10-K for the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Plans</w:t>
      </w:r>
    </w:p>
    <w:p>
      <w:pPr>
        <w:spacing w:after="0" w:line="54"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There have been no changes to our Rule 10b5-1 Trading Plans as previously disclosed in Part II, Item 9B. included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16"/>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Borders>
              <w:bottom w:val="single" w:sz="8" w:color="0000FF"/>
            </w:tcBorders>
            <w:gridSpan w:val="8"/>
          </w:tcPr>
          <w:p>
            <w:pPr>
              <w:spacing w:after="0" w:line="137" w:lineRule="exact"/>
              <w:rPr>
                <w:rFonts w:ascii="Times New Roman" w:cs="Times New Roman" w:eastAsia="Times New Roman" w:hAnsi="Times New Roman"/>
                <w:sz w:val="14"/>
                <w:szCs w:val="14"/>
                <w:color w:val="0000FF"/>
                <w:w w:val="98"/>
              </w:rPr>
            </w:pPr>
            <w:hyperlink r:id="rId51">
              <w:r>
                <w:rPr>
                  <w:rFonts w:ascii="Times New Roman" w:cs="Times New Roman" w:eastAsia="Times New Roman" w:hAnsi="Times New Roman"/>
                  <w:sz w:val="14"/>
                  <w:szCs w:val="14"/>
                  <w:color w:val="0000FF"/>
                  <w:w w:val="98"/>
                </w:rPr>
                <w:t>Restated Certificate of Incorporation of the Registrant.</w:t>
              </w:r>
            </w:hyperlink>
          </w:p>
        </w:tc>
        <w:tc>
          <w:tcPr>
            <w:tcW w:w="174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20"/>
          </w:tcPr>
          <w:p>
            <w:pPr>
              <w:spacing w:after="0"/>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Certificate of Amendment to the Restated Certificate of Incorporation of the</w:t>
              </w:r>
            </w:hyperlink>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40" w:type="dxa"/>
            <w:vAlign w:val="bottom"/>
            <w:tcBorders>
              <w:top w:val="single" w:sz="8" w:color="0000FF"/>
            </w:tcBorders>
            <w:gridSpan w:val="11"/>
          </w:tcPr>
          <w:p>
            <w:pPr>
              <w:spacing w:after="0" w:line="137" w:lineRule="exact"/>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Registrant.</w:t>
              </w:r>
            </w:hyperlink>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w w:val="98"/>
              </w:rPr>
            </w:pPr>
            <w:hyperlink r:id="rId53">
              <w:r>
                <w:rPr>
                  <w:rFonts w:ascii="Times New Roman" w:cs="Times New Roman" w:eastAsia="Times New Roman" w:hAnsi="Times New Roman"/>
                  <w:sz w:val="14"/>
                  <w:szCs w:val="14"/>
                  <w:color w:val="0000FF"/>
                  <w:w w:val="98"/>
                </w:rPr>
                <w:t>Amended and Restated Bylaws of the Registrant.</w:t>
              </w:r>
            </w:hyperlink>
          </w:p>
        </w:tc>
        <w:tc>
          <w:tcPr>
            <w:tcW w:w="20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w w:val="98"/>
              </w:rPr>
            </w:pPr>
            <w:hyperlink r:id="rId54">
              <w:r>
                <w:rPr>
                  <w:rFonts w:ascii="Times New Roman" w:cs="Times New Roman" w:eastAsia="Times New Roman" w:hAnsi="Times New Roman"/>
                  <w:sz w:val="14"/>
                  <w:szCs w:val="14"/>
                  <w:color w:val="0000FF"/>
                  <w:w w:val="98"/>
                </w:rPr>
                <w:t>Amendment No. 1 to Amended and Restated Bylaws of the Registrant.</w:t>
              </w:r>
            </w:hyperlink>
          </w:p>
        </w:tc>
        <w:tc>
          <w:tcPr>
            <w:tcW w:w="8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20"/>
          </w:tcPr>
          <w:p>
            <w:pPr>
              <w:spacing w:after="0"/>
              <w:rPr>
                <w:rFonts w:ascii="Times New Roman" w:cs="Times New Roman" w:eastAsia="Times New Roman" w:hAnsi="Times New Roman"/>
                <w:sz w:val="14"/>
                <w:szCs w:val="14"/>
                <w:color w:val="0000FF"/>
              </w:rPr>
            </w:pPr>
            <w:hyperlink r:id="rId55">
              <w:r>
                <w:rPr>
                  <w:rFonts w:ascii="Times New Roman" w:cs="Times New Roman" w:eastAsia="Times New Roman" w:hAnsi="Times New Roman"/>
                  <w:sz w:val="14"/>
                  <w:szCs w:val="14"/>
                  <w:color w:val="0000FF"/>
                </w:rPr>
                <w:t>Amendment No. 2 to the Amended and Restated Bylaws of the Registrant.</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1"/>
              </w:rPr>
              <w:t>3.6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20"/>
          </w:tcPr>
          <w:p>
            <w:pPr>
              <w:spacing w:after="0"/>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Certificate of Designations of the Series B Perpetual Non-Convertible Preferred</w:t>
              </w:r>
            </w:hyperlink>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40" w:type="dxa"/>
            <w:vAlign w:val="bottom"/>
            <w:tcBorders>
              <w:top w:val="single" w:sz="8" w:color="0000FF"/>
            </w:tcBorders>
            <w:gridSpan w:val="12"/>
          </w:tcPr>
          <w:p>
            <w:pPr>
              <w:spacing w:after="0" w:line="137" w:lineRule="exact"/>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Stock.</w:t>
              </w:r>
            </w:hyperlink>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0"/>
          </w:tcPr>
          <w:p>
            <w:pPr>
              <w:spacing w:after="0"/>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Certificate  of  Amendment  of  the  Restated  Certificate  of  Incorporation  of</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16"/>
          </w:tcPr>
          <w:p>
            <w:pPr>
              <w:spacing w:after="0" w:line="124" w:lineRule="exact"/>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Synchronoss Technologies,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4"/>
                <w:szCs w:val="14"/>
                <w:color w:val="auto"/>
              </w:rPr>
            </w:pPr>
          </w:p>
        </w:tc>
        <w:tc>
          <w:tcPr>
            <w:tcW w:w="47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Transition and Separation Agreement dated December 31, 2023 between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Borders>
              <w:top w:val="single" w:sz="8" w:color="0000FF"/>
              <w:bottom w:val="single" w:sz="8" w:color="0000FF"/>
            </w:tcBorders>
            <w:gridSpan w:val="4"/>
          </w:tcPr>
          <w:p>
            <w:pPr>
              <w:spacing w:after="0" w:line="124" w:lineRule="exact"/>
              <w:rPr>
                <w:sz w:val="20"/>
                <w:szCs w:val="20"/>
                <w:color w:val="auto"/>
              </w:rPr>
            </w:pPr>
            <w:r>
              <w:rPr>
                <w:rFonts w:ascii="Times New Roman" w:cs="Times New Roman" w:eastAsia="Times New Roman" w:hAnsi="Times New Roman"/>
                <w:sz w:val="14"/>
                <w:szCs w:val="14"/>
                <w:color w:val="0000FF"/>
                <w:w w:val="97"/>
              </w:rPr>
              <w:t>Registrant and Christopher Hill.</w:t>
            </w:r>
          </w:p>
        </w:tc>
        <w:tc>
          <w:tcPr>
            <w:tcW w:w="290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2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17"/>
          </w:tcPr>
          <w:p>
            <w:pPr>
              <w:spacing w:after="0" w:line="124"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tcPr>
          <w:p>
            <w:pPr>
              <w:spacing w:after="0" w:line="110" w:lineRule="exact"/>
              <w:rPr>
                <w:sz w:val="20"/>
                <w:szCs w:val="20"/>
                <w:color w:val="auto"/>
              </w:rPr>
            </w:pPr>
            <w:r>
              <w:rPr>
                <w:rFonts w:ascii="Times New Roman" w:cs="Times New Roman" w:eastAsia="Times New Roman" w:hAnsi="Times New Roman"/>
                <w:sz w:val="12"/>
                <w:szCs w:val="12"/>
                <w:color w:val="0000FF"/>
              </w:rPr>
              <w:t>2002.</w:t>
            </w:r>
          </w:p>
        </w:tc>
        <w:tc>
          <w:tcPr>
            <w:tcW w:w="260" w:type="dxa"/>
            <w:vAlign w:val="bottom"/>
            <w:tcBorders>
              <w:top w:val="single" w:sz="8" w:color="0000FF"/>
            </w:tcBorders>
          </w:tcPr>
          <w:p>
            <w:pPr>
              <w:spacing w:after="0"/>
              <w:rPr>
                <w:sz w:val="9"/>
                <w:szCs w:val="9"/>
                <w:color w:val="auto"/>
              </w:rPr>
            </w:pPr>
          </w:p>
        </w:tc>
        <w:tc>
          <w:tcPr>
            <w:tcW w:w="1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tcBorders>
            <w:gridSpan w:val="18"/>
          </w:tcPr>
          <w:p>
            <w:pPr>
              <w:spacing w:after="0" w:line="124"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tcPr>
          <w:p>
            <w:pPr>
              <w:spacing w:after="0" w:line="110" w:lineRule="exact"/>
              <w:rPr>
                <w:sz w:val="20"/>
                <w:szCs w:val="20"/>
                <w:color w:val="auto"/>
              </w:rPr>
            </w:pPr>
            <w:r>
              <w:rPr>
                <w:rFonts w:ascii="Times New Roman" w:cs="Times New Roman" w:eastAsia="Times New Roman" w:hAnsi="Times New Roman"/>
                <w:sz w:val="12"/>
                <w:szCs w:val="12"/>
                <w:color w:val="0000FF"/>
              </w:rPr>
              <w:t>2002.</w:t>
            </w:r>
          </w:p>
        </w:tc>
        <w:tc>
          <w:tcPr>
            <w:tcW w:w="260" w:type="dxa"/>
            <w:vAlign w:val="bottom"/>
            <w:tcBorders>
              <w:top w:val="single" w:sz="8" w:color="0000FF"/>
            </w:tcBorders>
          </w:tcPr>
          <w:p>
            <w:pPr>
              <w:spacing w:after="0"/>
              <w:rPr>
                <w:sz w:val="9"/>
                <w:szCs w:val="9"/>
                <w:color w:val="auto"/>
              </w:rPr>
            </w:pPr>
          </w:p>
        </w:tc>
        <w:tc>
          <w:tcPr>
            <w:tcW w:w="1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3"/>
          </w:tcPr>
          <w:p>
            <w:pPr>
              <w:spacing w:after="0" w:line="124"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20" w:type="dxa"/>
            <w:vAlign w:val="bottom"/>
            <w:tcBorders>
              <w:bottom w:val="single" w:sz="8" w:color="0000FF"/>
            </w:tcBorders>
          </w:tcPr>
          <w:p>
            <w:pPr>
              <w:spacing w:after="0"/>
              <w:rPr>
                <w:sz w:val="10"/>
                <w:szCs w:val="10"/>
                <w:color w:val="auto"/>
              </w:rPr>
            </w:pPr>
          </w:p>
        </w:tc>
        <w:tc>
          <w:tcPr>
            <w:tcW w:w="100" w:type="dxa"/>
            <w:vAlign w:val="bottom"/>
            <w:tcBorders>
              <w:bottom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gridSpan w:val="19"/>
          </w:tcPr>
          <w:p>
            <w:pPr>
              <w:spacing w:after="0" w:line="110" w:lineRule="exact"/>
              <w:rPr>
                <w:sz w:val="20"/>
                <w:szCs w:val="20"/>
                <w:color w:val="auto"/>
              </w:rPr>
            </w:pPr>
            <w:r>
              <w:rPr>
                <w:rFonts w:ascii="Times New Roman" w:cs="Times New Roman" w:eastAsia="Times New Roman" w:hAnsi="Times New Roman"/>
                <w:sz w:val="12"/>
                <w:szCs w:val="12"/>
                <w:color w:val="0000FF"/>
              </w:rPr>
              <w:t>section 906 of the Sarbanes</w:t>
            </w:r>
            <w:r>
              <w:rPr>
                <w:rFonts w:ascii="MS PGothic" w:cs="MS PGothic" w:eastAsia="MS PGothic" w:hAnsi="MS PGothic"/>
                <w:sz w:val="12"/>
                <w:szCs w:val="12"/>
                <w:color w:val="0000FF"/>
              </w:rPr>
              <w:t>‑</w:t>
            </w:r>
            <w:r>
              <w:rPr>
                <w:rFonts w:ascii="Times New Roman" w:cs="Times New Roman" w:eastAsia="Times New Roman" w:hAnsi="Times New Roman"/>
                <w:sz w:val="12"/>
                <w:szCs w:val="12"/>
                <w:color w:val="0000FF"/>
              </w:rPr>
              <w:t>Oxley Act of 2002.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2120" w:type="dxa"/>
            <w:vAlign w:val="bottom"/>
            <w:gridSpan w:val="14"/>
          </w:tcPr>
          <w:p>
            <w:pPr>
              <w:spacing w:after="0" w:line="161" w:lineRule="exact"/>
              <w:rPr>
                <w:sz w:val="20"/>
                <w:szCs w:val="20"/>
                <w:color w:val="auto"/>
              </w:rPr>
            </w:pPr>
            <w:r>
              <w:rPr>
                <w:rFonts w:ascii="Times New Roman" w:cs="Times New Roman" w:eastAsia="Times New Roman" w:hAnsi="Times New Roman"/>
                <w:sz w:val="14"/>
                <w:szCs w:val="14"/>
                <w:color w:val="0000FF"/>
              </w:rPr>
              <w:t>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4"/>
          </w:tcPr>
          <w:p>
            <w:pPr>
              <w:spacing w:after="0" w:line="124"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Borders>
              <w:top w:val="single" w:sz="8" w:color="0000FF"/>
            </w:tcBorders>
            <w:gridSpan w:val="19"/>
          </w:tcPr>
          <w:p>
            <w:pPr>
              <w:spacing w:after="0" w:line="110" w:lineRule="exact"/>
              <w:rPr>
                <w:sz w:val="20"/>
                <w:szCs w:val="20"/>
                <w:color w:val="auto"/>
              </w:rPr>
            </w:pPr>
            <w:r>
              <w:rPr>
                <w:rFonts w:ascii="Times New Roman" w:cs="Times New Roman" w:eastAsia="Times New Roman" w:hAnsi="Times New Roman"/>
                <w:sz w:val="12"/>
                <w:szCs w:val="12"/>
                <w:color w:val="0000FF"/>
              </w:rPr>
              <w:t>section 906 of the Sarbanes</w:t>
            </w:r>
            <w:r>
              <w:rPr>
                <w:rFonts w:ascii="MS PGothic" w:cs="MS PGothic" w:eastAsia="MS PGothic" w:hAnsi="MS PGothic"/>
                <w:sz w:val="12"/>
                <w:szCs w:val="12"/>
                <w:color w:val="0000FF"/>
              </w:rPr>
              <w:t>‑</w:t>
            </w:r>
            <w:r>
              <w:rPr>
                <w:rFonts w:ascii="Times New Roman" w:cs="Times New Roman" w:eastAsia="Times New Roman" w:hAnsi="Times New Roman"/>
                <w:sz w:val="12"/>
                <w:szCs w:val="12"/>
                <w:color w:val="0000FF"/>
              </w:rPr>
              <w:t>Oxley Act of 2002.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7"/>
                <w:szCs w:val="17"/>
                <w:color w:val="auto"/>
              </w:rPr>
            </w:pPr>
          </w:p>
        </w:tc>
        <w:tc>
          <w:tcPr>
            <w:tcW w:w="26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1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47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XBRL Schema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7"/>
                <w:szCs w:val="17"/>
                <w:color w:val="auto"/>
              </w:rPr>
            </w:pPr>
          </w:p>
        </w:tc>
        <w:tc>
          <w:tcPr>
            <w:tcW w:w="47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XBRL Calculation Linkbase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47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7"/>
                <w:szCs w:val="17"/>
                <w:color w:val="auto"/>
              </w:rPr>
            </w:pPr>
          </w:p>
        </w:tc>
        <w:tc>
          <w:tcPr>
            <w:tcW w:w="47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XBRL Labels Linkbase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101.PRE</w:t>
            </w:r>
          </w:p>
        </w:tc>
        <w:tc>
          <w:tcPr>
            <w:tcW w:w="20" w:type="dxa"/>
            <w:vAlign w:val="bottom"/>
          </w:tcPr>
          <w:p>
            <w:pPr>
              <w:spacing w:after="0"/>
              <w:rPr>
                <w:sz w:val="17"/>
                <w:szCs w:val="17"/>
                <w:color w:val="auto"/>
              </w:rPr>
            </w:pPr>
          </w:p>
        </w:tc>
        <w:tc>
          <w:tcPr>
            <w:tcW w:w="47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XBRL Presentation Linkbase Document</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4" w:lineRule="exact"/>
        <w:rPr>
          <w:sz w:val="20"/>
          <w:szCs w:val="20"/>
          <w:color w:val="auto"/>
        </w:rPr>
      </w:pPr>
    </w:p>
    <w:p>
      <w:pPr>
        <w:ind w:left="240" w:hanging="236"/>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Compensation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7406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2740660" cy="1651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3"/>
        </w:trPr>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15, 2023</w:t>
            </w:r>
          </w:p>
        </w:tc>
      </w:tr>
      <w:tr>
        <w:trPr>
          <w:trHeight w:val="264"/>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23, 2022</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2"/>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May 9, 2006</w:t>
            </w:r>
          </w:p>
        </w:tc>
      </w:tr>
      <w:tr>
        <w:trPr>
          <w:trHeight w:val="19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20, 2018</w:t>
            </w:r>
          </w:p>
        </w:tc>
      </w:tr>
      <w:tr>
        <w:trPr>
          <w:trHeight w:val="19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7, 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17145</wp:posOffset>
            </wp:positionV>
            <wp:extent cx="554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3">
            <w:col w:w="5880" w:space="80"/>
            <w:col w:w="4320" w:space="260"/>
            <w:col w:w="540"/>
          </w:cols>
          <w:pgMar w:left="320" w:top="121"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0" w:lineRule="exact"/>
        <w:rPr>
          <w:sz w:val="20"/>
          <w:szCs w:val="20"/>
          <w:color w:val="auto"/>
        </w:rPr>
      </w:pPr>
    </w:p>
    <w:p>
      <w:pPr>
        <w:ind w:firstLine="313"/>
        <w:spacing w:after="0" w:line="280"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caused this Report to be signed on its behalf by the undersigned, thereunto duly authorized.</w:t>
      </w:r>
    </w:p>
    <w:p>
      <w:pPr>
        <w:ind w:left="4080"/>
        <w:spacing w:after="0"/>
        <w:rPr>
          <w:sz w:val="20"/>
          <w:szCs w:val="20"/>
          <w:color w:val="auto"/>
        </w:rPr>
      </w:pPr>
      <w:r>
        <w:rPr>
          <w:rFonts w:ascii="Times New Roman" w:cs="Times New Roman" w:eastAsia="Times New Roman" w:hAnsi="Times New Roman"/>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20320</wp:posOffset>
            </wp:positionV>
            <wp:extent cx="29229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20320</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CONFIDENTIAL SEPARATION OF EMPLOYMENT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AGREEMENT AND GENERAL RELEASE</w:t>
      </w:r>
    </w:p>
    <w:p>
      <w:pPr>
        <w:spacing w:after="0" w:line="230" w:lineRule="exact"/>
        <w:rPr>
          <w:sz w:val="20"/>
          <w:szCs w:val="20"/>
          <w:color w:val="auto"/>
        </w:rPr>
      </w:pPr>
    </w:p>
    <w:p>
      <w:pPr>
        <w:jc w:val="both"/>
        <w:ind w:firstLine="626"/>
        <w:spacing w:after="0" w:line="261" w:lineRule="auto"/>
        <w:rPr>
          <w:sz w:val="20"/>
          <w:szCs w:val="20"/>
          <w:color w:val="auto"/>
        </w:rPr>
      </w:pPr>
      <w:r>
        <w:rPr>
          <w:rFonts w:ascii="Times New Roman" w:cs="Times New Roman" w:eastAsia="Times New Roman" w:hAnsi="Times New Roman"/>
          <w:sz w:val="21"/>
          <w:szCs w:val="21"/>
          <w:color w:val="auto"/>
        </w:rPr>
        <w:t xml:space="preserve">This Confidential Separation of Employment Agreement and General Release (the “Agreement”) constitutes the agreement between </w:t>
      </w:r>
      <w:r>
        <w:rPr>
          <w:rFonts w:ascii="Times New Roman" w:cs="Times New Roman" w:eastAsia="Times New Roman" w:hAnsi="Times New Roman"/>
          <w:sz w:val="21"/>
          <w:szCs w:val="21"/>
          <w:b w:val="1"/>
          <w:bCs w:val="1"/>
          <w:color w:val="auto"/>
        </w:rPr>
        <w:t>Christopher Hill</w:t>
      </w:r>
      <w:r>
        <w:rPr>
          <w:rFonts w:ascii="Times New Roman" w:cs="Times New Roman" w:eastAsia="Times New Roman" w:hAnsi="Times New Roman"/>
          <w:sz w:val="21"/>
          <w:szCs w:val="21"/>
          <w:color w:val="auto"/>
        </w:rPr>
        <w:t xml:space="preserve"> (hereinafter the “Employee”) and Synchronoss Technologies, Inc. (hereinafter the “Company”) regarding the termination of his employment with the Company effective </w:t>
      </w:r>
      <w:r>
        <w:rPr>
          <w:rFonts w:ascii="Times New Roman" w:cs="Times New Roman" w:eastAsia="Times New Roman" w:hAnsi="Times New Roman"/>
          <w:sz w:val="21"/>
          <w:szCs w:val="21"/>
          <w:b w:val="1"/>
          <w:bCs w:val="1"/>
          <w:color w:val="auto"/>
        </w:rPr>
        <w:t>December 31, 2023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Termination Date”).</w:t>
      </w:r>
    </w:p>
    <w:p>
      <w:pPr>
        <w:spacing w:after="0" w:line="164" w:lineRule="exact"/>
        <w:rPr>
          <w:sz w:val="20"/>
          <w:szCs w:val="20"/>
          <w:color w:val="auto"/>
        </w:rPr>
      </w:pPr>
    </w:p>
    <w:p>
      <w:pPr>
        <w:jc w:val="both"/>
        <w:ind w:firstLine="626"/>
        <w:spacing w:after="0" w:line="276" w:lineRule="auto"/>
        <w:rPr>
          <w:sz w:val="20"/>
          <w:szCs w:val="20"/>
          <w:color w:val="auto"/>
        </w:rPr>
      </w:pPr>
      <w:r>
        <w:rPr>
          <w:rFonts w:ascii="Times New Roman" w:cs="Times New Roman" w:eastAsia="Times New Roman" w:hAnsi="Times New Roman"/>
          <w:sz w:val="21"/>
          <w:szCs w:val="21"/>
          <w:color w:val="auto"/>
        </w:rPr>
        <w:t>Whereas, on or before December 19, 2023, the Company delivered this Agreement to Employee for Employee’s consideration; and it is hereby agreed by and between Employee and the Company as follows:</w:t>
      </w:r>
    </w:p>
    <w:p>
      <w:pPr>
        <w:spacing w:after="0" w:line="188" w:lineRule="exact"/>
        <w:rPr>
          <w:sz w:val="20"/>
          <w:szCs w:val="20"/>
          <w:color w:val="auto"/>
        </w:rPr>
      </w:pPr>
    </w:p>
    <w:p>
      <w:pPr>
        <w:ind w:left="320" w:hanging="316"/>
        <w:spacing w:after="0" w:line="276" w:lineRule="auto"/>
        <w:tabs>
          <w:tab w:leader="none" w:pos="3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terms of the Tier 1 Executive Agreement entered into by and between Employee and Company effective upon the date signed by Employee, and in consideration of execution of this Agreement, the Company agrees to:</w:t>
      </w:r>
    </w:p>
    <w:p>
      <w:pPr>
        <w:spacing w:after="0" w:line="144" w:lineRule="exact"/>
        <w:rPr>
          <w:rFonts w:ascii="Times New Roman" w:cs="Times New Roman" w:eastAsia="Times New Roman" w:hAnsi="Times New Roman"/>
          <w:sz w:val="21"/>
          <w:szCs w:val="21"/>
          <w:color w:val="auto"/>
        </w:rPr>
      </w:pPr>
    </w:p>
    <w:p>
      <w:pPr>
        <w:jc w:val="both"/>
        <w:ind w:left="1180" w:hanging="628"/>
        <w:spacing w:after="0" w:line="263" w:lineRule="auto"/>
        <w:tabs>
          <w:tab w:leader="none" w:pos="116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 Employee severance in the gross sum of </w:t>
      </w:r>
      <w:r>
        <w:rPr>
          <w:rFonts w:ascii="Times New Roman" w:cs="Times New Roman" w:eastAsia="Times New Roman" w:hAnsi="Times New Roman"/>
          <w:sz w:val="21"/>
          <w:szCs w:val="21"/>
          <w:b w:val="1"/>
          <w:bCs w:val="1"/>
          <w:color w:val="auto"/>
        </w:rPr>
        <w:t>$910,394</w:t>
      </w:r>
      <w:r>
        <w:rPr>
          <w:rFonts w:ascii="Times New Roman" w:cs="Times New Roman" w:eastAsia="Times New Roman" w:hAnsi="Times New Roman"/>
          <w:sz w:val="21"/>
          <w:szCs w:val="21"/>
          <w:color w:val="auto"/>
        </w:rPr>
        <w:t xml:space="preserve"> minus all applicable withholdings and deductions, in </w:t>
      </w:r>
      <w:r>
        <w:rPr>
          <w:rFonts w:ascii="Times New Roman" w:cs="Times New Roman" w:eastAsia="Times New Roman" w:hAnsi="Times New Roman"/>
          <w:sz w:val="21"/>
          <w:szCs w:val="21"/>
          <w:b w:val="1"/>
          <w:bCs w:val="1"/>
          <w:color w:val="auto"/>
        </w:rPr>
        <w:t>thirty six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(36) equal installments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Payments</w:t>
      </w:r>
      <w:r>
        <w:rPr>
          <w:rFonts w:ascii="Times New Roman" w:cs="Times New Roman" w:eastAsia="Times New Roman" w:hAnsi="Times New Roman"/>
          <w:sz w:val="21"/>
          <w:szCs w:val="21"/>
          <w:color w:val="auto"/>
        </w:rPr>
        <w:t>”) beginning in the payroll following the execution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after the revocation period ends.</w:t>
      </w:r>
    </w:p>
    <w:p>
      <w:pPr>
        <w:spacing w:after="0" w:line="157" w:lineRule="exact"/>
        <w:rPr>
          <w:rFonts w:ascii="Times New Roman" w:cs="Times New Roman" w:eastAsia="Times New Roman" w:hAnsi="Times New Roman"/>
          <w:sz w:val="21"/>
          <w:szCs w:val="21"/>
          <w:color w:val="auto"/>
        </w:rPr>
      </w:pPr>
    </w:p>
    <w:p>
      <w:pPr>
        <w:jc w:val="both"/>
        <w:ind w:left="1180" w:hanging="628"/>
        <w:spacing w:after="0" w:line="261" w:lineRule="auto"/>
        <w:tabs>
          <w:tab w:leader="none" w:pos="117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will remain </w:t>
      </w:r>
      <w:r>
        <w:rPr>
          <w:rFonts w:ascii="Times New Roman" w:cs="Times New Roman" w:eastAsia="Times New Roman" w:hAnsi="Times New Roman"/>
          <w:sz w:val="21"/>
          <w:szCs w:val="21"/>
          <w:b w:val="1"/>
          <w:bCs w:val="1"/>
          <w:color w:val="auto"/>
        </w:rPr>
        <w:t>eligible</w:t>
      </w:r>
      <w:r>
        <w:rPr>
          <w:rFonts w:ascii="Times New Roman" w:cs="Times New Roman" w:eastAsia="Times New Roman" w:hAnsi="Times New Roman"/>
          <w:sz w:val="21"/>
          <w:szCs w:val="21"/>
          <w:color w:val="auto"/>
        </w:rPr>
        <w:t xml:space="preserve"> to receive </w:t>
      </w:r>
      <w:r>
        <w:rPr>
          <w:rFonts w:ascii="Times New Roman" w:cs="Times New Roman" w:eastAsia="Times New Roman" w:hAnsi="Times New Roman"/>
          <w:sz w:val="21"/>
          <w:szCs w:val="21"/>
          <w:b w:val="1"/>
          <w:bCs w:val="1"/>
          <w:color w:val="auto"/>
        </w:rPr>
        <w:t>the 2023 Company 401k match</w:t>
      </w:r>
      <w:r>
        <w:rPr>
          <w:rFonts w:ascii="Times New Roman" w:cs="Times New Roman" w:eastAsia="Times New Roman" w:hAnsi="Times New Roman"/>
          <w:sz w:val="21"/>
          <w:szCs w:val="21"/>
          <w:color w:val="auto"/>
        </w:rPr>
        <w:t xml:space="preserve"> when similarly situated employees receive their match in 2024. Any owed match funds will be deposited into your 401k account with Fidelity provided your 401k assets remain in your Fidelity account until after the match is deposited. If you transfer or withdraw your assets prior to the deposit of the match, you will not receive the 2023 Company 401k match.</w:t>
      </w:r>
    </w:p>
    <w:p>
      <w:pPr>
        <w:spacing w:after="0" w:line="166" w:lineRule="exact"/>
        <w:rPr>
          <w:rFonts w:ascii="Times New Roman" w:cs="Times New Roman" w:eastAsia="Times New Roman" w:hAnsi="Times New Roman"/>
          <w:sz w:val="21"/>
          <w:szCs w:val="21"/>
          <w:color w:val="auto"/>
        </w:rPr>
      </w:pPr>
    </w:p>
    <w:p>
      <w:pPr>
        <w:jc w:val="both"/>
        <w:ind w:left="1180" w:hanging="628"/>
        <w:spacing w:after="0" w:line="267" w:lineRule="auto"/>
        <w:tabs>
          <w:tab w:leader="none" w:pos="118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2023 Bonus Payment. In addition to the foregoing, the Company agrees to pay your 2023 Bonus based on the attainment results of the 2023 Executive Bonus Plan, less all applicable federal and state withholdings, on the date that similar executives are paid their 2023 bonuses.</w:t>
      </w:r>
    </w:p>
    <w:p>
      <w:pPr>
        <w:spacing w:after="0" w:line="158" w:lineRule="exact"/>
        <w:rPr>
          <w:rFonts w:ascii="Times New Roman" w:cs="Times New Roman" w:eastAsia="Times New Roman" w:hAnsi="Times New Roman"/>
          <w:sz w:val="21"/>
          <w:szCs w:val="21"/>
          <w:color w:val="auto"/>
        </w:rPr>
      </w:pPr>
    </w:p>
    <w:p>
      <w:pPr>
        <w:jc w:val="both"/>
        <w:ind w:left="1180" w:hanging="628"/>
        <w:spacing w:after="0" w:line="269" w:lineRule="auto"/>
        <w:tabs>
          <w:tab w:leader="none" w:pos="116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Employee is eligible to continue health care coverage beyond December 31, 2023 (coverage end date) through COBRA health care continuation. Provided Employee </w:t>
      </w:r>
      <w:r>
        <w:rPr>
          <w:rFonts w:ascii="Times New Roman" w:cs="Times New Roman" w:eastAsia="Times New Roman" w:hAnsi="Times New Roman"/>
          <w:sz w:val="20"/>
          <w:szCs w:val="20"/>
          <w:b w:val="1"/>
          <w:bCs w:val="1"/>
          <w:color w:val="auto"/>
        </w:rPr>
        <w:t>executes</w:t>
      </w:r>
      <w:r>
        <w:rPr>
          <w:rFonts w:ascii="Times New Roman" w:cs="Times New Roman" w:eastAsia="Times New Roman" w:hAnsi="Times New Roman"/>
          <w:sz w:val="20"/>
          <w:szCs w:val="20"/>
          <w:color w:val="auto"/>
        </w:rPr>
        <w:t xml:space="preserve"> this Agreement and </w:t>
      </w:r>
      <w:r>
        <w:rPr>
          <w:rFonts w:ascii="Times New Roman" w:cs="Times New Roman" w:eastAsia="Times New Roman" w:hAnsi="Times New Roman"/>
          <w:sz w:val="20"/>
          <w:szCs w:val="20"/>
          <w:b w:val="1"/>
          <w:bCs w:val="1"/>
          <w:color w:val="auto"/>
        </w:rPr>
        <w:t>elects</w:t>
      </w:r>
      <w:r>
        <w:rPr>
          <w:rFonts w:ascii="Times New Roman" w:cs="Times New Roman" w:eastAsia="Times New Roman" w:hAnsi="Times New Roman"/>
          <w:sz w:val="20"/>
          <w:szCs w:val="20"/>
          <w:color w:val="auto"/>
        </w:rPr>
        <w:t xml:space="preserve"> COBRA coverage, the </w:t>
      </w:r>
      <w:r>
        <w:rPr>
          <w:rFonts w:ascii="Times New Roman" w:cs="Times New Roman" w:eastAsia="Times New Roman" w:hAnsi="Times New Roman"/>
          <w:sz w:val="20"/>
          <w:szCs w:val="20"/>
          <w:b w:val="1"/>
          <w:bCs w:val="1"/>
          <w:color w:val="auto"/>
        </w:rPr>
        <w:t>Company will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subsidize twelve (12) months of the employer portion of the premium </w:t>
      </w:r>
      <w:r>
        <w:rPr>
          <w:rFonts w:ascii="Times New Roman" w:cs="Times New Roman" w:eastAsia="Times New Roman" w:hAnsi="Times New Roman"/>
          <w:sz w:val="20"/>
          <w:szCs w:val="20"/>
          <w:color w:val="auto"/>
        </w:rPr>
        <w:t>(Employee will be responsible for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portion of the premium); all subsequent months beyond the twelve (12) month period must be fully covered at the Employee’s own expense. If at any time, the Employee elects to discontinue coverage during the initial twelve (12) month period, Company will not be obligated to provide the value of any remaining employer portion of the premium.</w:t>
      </w:r>
    </w:p>
    <w:p>
      <w:pPr>
        <w:sectPr>
          <w:pgSz w:w="11900" w:h="16838" w:orient="portrait"/>
          <w:cols w:equalWidth="0" w:num="1">
            <w:col w:w="11240"/>
          </w:cols>
          <w:pgMar w:left="320" w:top="1373" w:right="339" w:bottom="1440" w:gutter="0" w:footer="0" w:header="0"/>
        </w:sectPr>
      </w:pPr>
    </w:p>
    <w:bookmarkStart w:id="42" w:name="page43"/>
    <w:bookmarkEnd w:id="42"/>
    <w:p>
      <w:pPr>
        <w:jc w:val="both"/>
        <w:ind w:left="316"/>
        <w:spacing w:after="0" w:line="254" w:lineRule="auto"/>
        <w:rPr>
          <w:sz w:val="20"/>
          <w:szCs w:val="20"/>
          <w:color w:val="auto"/>
        </w:rPr>
      </w:pPr>
      <w:r>
        <w:rPr>
          <w:rFonts w:ascii="Times New Roman" w:cs="Times New Roman" w:eastAsia="Times New Roman" w:hAnsi="Times New Roman"/>
          <w:sz w:val="21"/>
          <w:szCs w:val="21"/>
          <w:color w:val="auto"/>
        </w:rPr>
        <w:t>Employee expressly acknowledges that the Severance Payments exceed any amounts he may be entitled to receive from the Company under any contract, plans, policies, procedures or handbooks utilized by the Company, or any other legal obligations which the Company may have made and Employee is not entitled to and will not receive any additional compensation or benefits of any kind from the Company other than what is set forth in this Agreement. Employee expressly agrees that the Severance Payments, independently and in the aggregate, are sufficient consideration for the promises and mutual covenants set forth in this Agreement.</w:t>
      </w:r>
    </w:p>
    <w:p>
      <w:pPr>
        <w:spacing w:after="0" w:line="175" w:lineRule="exact"/>
        <w:rPr>
          <w:sz w:val="20"/>
          <w:szCs w:val="20"/>
          <w:color w:val="auto"/>
        </w:rPr>
      </w:pPr>
    </w:p>
    <w:p>
      <w:pPr>
        <w:ind w:left="316" w:right="540" w:hanging="316"/>
        <w:spacing w:after="0" w:line="302" w:lineRule="auto"/>
        <w:tabs>
          <w:tab w:leader="none" w:pos="31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agrees that on or before the Termination Date, Employee will enter into a Consulting Services Agreement with Company to provide services to the Company as set forth therein for a period of six months following the Termination Date.</w:t>
      </w:r>
    </w:p>
    <w:p>
      <w:pPr>
        <w:spacing w:after="0" w:line="138" w:lineRule="exact"/>
        <w:rPr>
          <w:rFonts w:ascii="Times New Roman" w:cs="Times New Roman" w:eastAsia="Times New Roman" w:hAnsi="Times New Roman"/>
          <w:sz w:val="20"/>
          <w:szCs w:val="20"/>
          <w:color w:val="auto"/>
        </w:rPr>
      </w:pPr>
    </w:p>
    <w:p>
      <w:pPr>
        <w:ind w:left="316" w:right="40" w:hanging="316"/>
        <w:spacing w:after="0" w:line="265" w:lineRule="auto"/>
        <w:tabs>
          <w:tab w:leader="none" w:pos="304" w:val="left"/>
        </w:tabs>
        <w:numPr>
          <w:ilvl w:val="0"/>
          <w:numId w:val="23"/>
        </w:numPr>
        <w:rPr>
          <w:rFonts w:ascii="Calibri" w:cs="Calibri" w:eastAsia="Calibri" w:hAnsi="Calibri"/>
          <w:sz w:val="20"/>
          <w:szCs w:val="20"/>
          <w:color w:val="auto"/>
        </w:rPr>
      </w:pPr>
      <w:r>
        <w:rPr>
          <w:rFonts w:ascii="Times New Roman" w:cs="Times New Roman" w:eastAsia="Times New Roman" w:hAnsi="Times New Roman"/>
          <w:sz w:val="20"/>
          <w:szCs w:val="20"/>
          <w:color w:val="auto"/>
        </w:rPr>
        <w:t>Employee is hereby advised to consult with an attorney of Employee’s own choice (at Employee’s own cost) prior to signing this Agreement. Employee shall have a period of forty-five (45) days from the Termination Date in which to consider the terms of this Agreement, and Employee may execute this Agreement before or during the 45-day period. Upon receipt of the signed Agreement there is a (7) day revocation period during which Employee may revoke this Agreement pursuant to the terms defined in Sections 4 &amp; 14 of this Agreement. The offer of severance shall be withdrawn if the signed Agreement is not returned to the Company by</w:t>
      </w:r>
    </w:p>
    <w:p>
      <w:pPr>
        <w:spacing w:after="0" w:line="3" w:lineRule="exact"/>
        <w:rPr>
          <w:rFonts w:ascii="Calibri" w:cs="Calibri" w:eastAsia="Calibri" w:hAnsi="Calibri"/>
          <w:sz w:val="20"/>
          <w:szCs w:val="20"/>
          <w:color w:val="auto"/>
        </w:rPr>
      </w:pPr>
    </w:p>
    <w:p>
      <w:pPr>
        <w:ind w:left="316"/>
        <w:spacing w:after="0"/>
        <w:rPr>
          <w:rFonts w:ascii="Calibri" w:cs="Calibri" w:eastAsia="Calibri" w:hAnsi="Calibri"/>
          <w:sz w:val="20"/>
          <w:szCs w:val="20"/>
          <w:color w:val="auto"/>
        </w:rPr>
      </w:pPr>
      <w:r>
        <w:rPr>
          <w:rFonts w:ascii="Times New Roman" w:cs="Times New Roman" w:eastAsia="Times New Roman" w:hAnsi="Times New Roman"/>
          <w:sz w:val="21"/>
          <w:szCs w:val="21"/>
          <w:b w:val="1"/>
          <w:bCs w:val="1"/>
          <w:color w:val="auto"/>
        </w:rPr>
        <w:t>February 15, 2024.</w:t>
      </w:r>
    </w:p>
    <w:p>
      <w:pPr>
        <w:spacing w:after="0" w:line="203" w:lineRule="exact"/>
        <w:rPr>
          <w:rFonts w:ascii="Calibri" w:cs="Calibri" w:eastAsia="Calibri" w:hAnsi="Calibri"/>
          <w:sz w:val="20"/>
          <w:szCs w:val="20"/>
          <w:color w:val="auto"/>
        </w:rPr>
      </w:pPr>
    </w:p>
    <w:p>
      <w:pPr>
        <w:ind w:left="316" w:right="40" w:hanging="316"/>
        <w:spacing w:after="0" w:line="250" w:lineRule="auto"/>
        <w:tabs>
          <w:tab w:leader="none" w:pos="31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full understanding of Employee’s legal rights and of Employee’s own free will, except as provided by Section 5, below, Employee voluntarily, irrevocably and unconditionally releases and forever discharges the Company (including its current and former owners, shareholders, officers, parents, subsidiaries, affiliates, agents, employees, representatives, successors and assigns, past and present, jointly and individually) (collectively, the “Released Parties”) from any and all liabilities, claims, causes of action, charges, complaints, benefits, grievances, damages, injuries, attorneys’ fees, contracts, promises, agreements, and other legal responsibilities which can be legally waived by private agreement (collectively referred to as “Claims”) regardless of whether such Claims are unknown, unforeseen, and/or unanticipated, which Employee has or may have from the beginning of the world to the date Employee signs this Agreement including but not limited to any and all matters arising out of Employee’s employment with or termination of employment from the Company. Employee’s release of Claims includes, but is not limited to, any and all Claims under any state, federal, and/or local statutory, constitutional, common law, wrongful termination, discrimination, harassment, constructive discharge, defamation, intentional or negligent infliction of emotional distress, negligent or fraudulent misrepresentation, retaliation, pain, anguish and suffering, loss of consortium, physical harm, assault, breach of contract or implied contract, unjust enrichment, as well as any alleged violation of the Age Discrimination in Employment Act “ADEA”), Title VII of the Civil Rights Act of 1964, the Reconstruction Era Civil Rights Acts, the Civil Rights Act of 1991, the Equal Pay Act, the Americans With Disabilities Act, the Occupational Safety and Health Act, the Employee Retirement Income Security Act, the Worker Adjustment and Retraining Notification Act, the Vietnam Era Veterans Readjustment Assistance Act, the Immigration Reform and</w:t>
      </w:r>
    </w:p>
    <w:p>
      <w:pPr>
        <w:sectPr>
          <w:pgSz w:w="11900" w:h="16838" w:orient="portrait"/>
          <w:cols w:equalWidth="0" w:num="1">
            <w:col w:w="11236"/>
          </w:cols>
          <w:pgMar w:left="324" w:top="1377" w:right="339" w:bottom="1440" w:gutter="0" w:footer="0" w:header="0"/>
        </w:sectPr>
      </w:pPr>
    </w:p>
    <w:bookmarkStart w:id="43" w:name="page44"/>
    <w:bookmarkEnd w:id="43"/>
    <w:p>
      <w:pPr>
        <w:ind w:left="316" w:right="300"/>
        <w:spacing w:after="0" w:line="256" w:lineRule="auto"/>
        <w:rPr>
          <w:sz w:val="20"/>
          <w:szCs w:val="20"/>
          <w:color w:val="auto"/>
        </w:rPr>
      </w:pPr>
      <w:r>
        <w:rPr>
          <w:rFonts w:ascii="Times New Roman" w:cs="Times New Roman" w:eastAsia="Times New Roman" w:hAnsi="Times New Roman"/>
          <w:sz w:val="21"/>
          <w:szCs w:val="21"/>
          <w:color w:val="auto"/>
        </w:rPr>
        <w:t>Control Act, the Rehabilitation Act, the Consolidated Omnibus Budget Reconciliation Act, the Fair Credit Reporting Act, the National Labor Relations Act, the Pennsylvania Human Relation Act, The Pennsylvania Wage Payment and Collection Law, as amended, the New Jersey Family Leave Act, the New Jersey Law Against Discrimination, the New Jersey Conscientious Employee Protection Act, New Jersey wage-hour laws, the New Jersey Constitution, and/or any other alleged violation of any federal, state or local law, regulation, order or ordinance dealing with employment to the greatest extent such claims can be released by private agreement.</w:t>
      </w:r>
      <w:r>
        <w:rPr>
          <w:rFonts w:ascii="Times New Roman" w:cs="Times New Roman" w:eastAsia="Times New Roman" w:hAnsi="Times New Roman"/>
          <w:sz w:val="27"/>
          <w:szCs w:val="27"/>
          <w:color w:val="auto"/>
          <w:vertAlign w:val="superscript"/>
        </w:rPr>
        <w:t>1</w:t>
      </w:r>
    </w:p>
    <w:p>
      <w:pPr>
        <w:spacing w:after="0" w:line="89" w:lineRule="exact"/>
        <w:rPr>
          <w:sz w:val="20"/>
          <w:szCs w:val="20"/>
          <w:color w:val="auto"/>
        </w:rPr>
      </w:pPr>
    </w:p>
    <w:p>
      <w:pPr>
        <w:ind w:left="316" w:right="20" w:hanging="316"/>
        <w:spacing w:after="0" w:line="244" w:lineRule="auto"/>
        <w:tabs>
          <w:tab w:leader="none" w:pos="31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further agrees to waive and release any claims Employee may have against the Released Parties as of the date Employee executes this Agreement arising out of the Federal Age Discrimination in Employment Act (“ADEA,”) 29 U.S.C. § 621, et seq., and in connection with such waiver: (a) Employee is hereby advised to consult with an attorney of Employee’s own choice (and at Employee’s own cost) prior to signing this Agreement; (b) Employee shall have a period of forty five (45) days from the Termination Date in which to consider the terms of this Agreement, and Employee may execute this Agreement before or during the 45-day period; (c) Employee may revoke this Agreement at any time during the first seven (7) days following Employee’s execution of this Agreement, and this Agreement shall not be effective or enforceable until the seven-day period has expired; and (d) Employee is not waiving new ADEA claims that arise after the date Employee signs this Agreement. The “Effective Date” of this Agreement shall be eighth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Employee signs this Agreement and returns it to the Company, provided that Employee does not timely revoke this Agreement as specified in Section 144 below.</w:t>
      </w:r>
    </w:p>
    <w:p>
      <w:pPr>
        <w:spacing w:after="0" w:line="173" w:lineRule="exact"/>
        <w:rPr>
          <w:rFonts w:ascii="Times New Roman" w:cs="Times New Roman" w:eastAsia="Times New Roman" w:hAnsi="Times New Roman"/>
          <w:sz w:val="21"/>
          <w:szCs w:val="21"/>
          <w:color w:val="auto"/>
        </w:rPr>
      </w:pPr>
    </w:p>
    <w:p>
      <w:pPr>
        <w:ind w:left="316" w:right="280" w:hanging="316"/>
        <w:spacing w:after="0" w:line="276" w:lineRule="auto"/>
        <w:tabs>
          <w:tab w:leader="none" w:pos="31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applicable, Employee also expressly waives and releases any and all rights and benefits under Section 1542 of the </w:t>
      </w:r>
      <w:r>
        <w:rPr>
          <w:rFonts w:ascii="Times New Roman" w:cs="Times New Roman" w:eastAsia="Times New Roman" w:hAnsi="Times New Roman"/>
          <w:sz w:val="21"/>
          <w:szCs w:val="21"/>
          <w:i w:val="1"/>
          <w:iCs w:val="1"/>
          <w:color w:val="auto"/>
        </w:rPr>
        <w:t xml:space="preserve">Civil Code of the State of California </w:t>
      </w:r>
      <w:r>
        <w:rPr>
          <w:rFonts w:ascii="Times New Roman" w:cs="Times New Roman" w:eastAsia="Times New Roman" w:hAnsi="Times New Roman"/>
          <w:sz w:val="21"/>
          <w:szCs w:val="21"/>
          <w:color w:val="auto"/>
        </w:rPr>
        <w:t>(or any analogous law of any other state), which reads as follows:</w:t>
      </w:r>
    </w:p>
    <w:p>
      <w:pPr>
        <w:spacing w:after="0" w:line="132" w:lineRule="exact"/>
        <w:rPr>
          <w:sz w:val="20"/>
          <w:szCs w:val="20"/>
          <w:color w:val="auto"/>
        </w:rPr>
      </w:pPr>
    </w:p>
    <w:p>
      <w:pPr>
        <w:jc w:val="both"/>
        <w:ind w:left="1256" w:right="380"/>
        <w:spacing w:after="0" w:line="263" w:lineRule="auto"/>
        <w:rPr>
          <w:sz w:val="20"/>
          <w:szCs w:val="20"/>
          <w:color w:val="auto"/>
        </w:rPr>
      </w:pPr>
      <w:r>
        <w:rPr>
          <w:rFonts w:ascii="Times New Roman" w:cs="Times New Roman" w:eastAsia="Times New Roman" w:hAnsi="Times New Roman"/>
          <w:sz w:val="21"/>
          <w:szCs w:val="21"/>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9" w:lineRule="exact"/>
        <w:rPr>
          <w:sz w:val="20"/>
          <w:szCs w:val="20"/>
          <w:color w:val="auto"/>
        </w:rPr>
      </w:pPr>
    </w:p>
    <w:p>
      <w:pPr>
        <w:ind w:left="396" w:right="540"/>
        <w:spacing w:after="0" w:line="280" w:lineRule="auto"/>
        <w:rPr>
          <w:sz w:val="20"/>
          <w:szCs w:val="20"/>
          <w:color w:val="auto"/>
        </w:rPr>
      </w:pPr>
      <w:r>
        <w:rPr>
          <w:rFonts w:ascii="Times New Roman" w:cs="Times New Roman" w:eastAsia="Times New Roman" w:hAnsi="Times New Roman"/>
          <w:sz w:val="20"/>
          <w:szCs w:val="20"/>
          <w:color w:val="auto"/>
        </w:rPr>
        <w:t>In connection with such waiver and relinquishment, Employee hereby acknowledges that Employee may hereafter discover claims or facts in addition to, or different from, those which Employee now knows or believes to exist, but that Employee expressly agrees to fully, finally and forever settle and release any and all claims, known or unknown, suspected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1656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225" w:lineRule="exact"/>
        <w:rPr>
          <w:sz w:val="20"/>
          <w:szCs w:val="20"/>
          <w:color w:val="auto"/>
        </w:rPr>
      </w:pPr>
    </w:p>
    <w:p>
      <w:pPr>
        <w:jc w:val="both"/>
        <w:ind w:left="-4" w:firstLine="4"/>
        <w:spacing w:after="0" w:line="246" w:lineRule="auto"/>
        <w:tabs>
          <w:tab w:leader="none" w:pos="95"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Including </w:t>
      </w:r>
      <w:r>
        <w:rPr>
          <w:rFonts w:ascii="Times New Roman" w:cs="Times New Roman" w:eastAsia="Times New Roman" w:hAnsi="Times New Roman"/>
          <w:sz w:val="17"/>
          <w:szCs w:val="17"/>
          <w:i w:val="1"/>
          <w:iCs w:val="1"/>
          <w:color w:val="auto"/>
        </w:rPr>
        <w:t>without limitation</w:t>
      </w:r>
      <w:r>
        <w:rPr>
          <w:rFonts w:ascii="Times New Roman" w:cs="Times New Roman" w:eastAsia="Times New Roman" w:hAnsi="Times New Roman"/>
          <w:sz w:val="17"/>
          <w:szCs w:val="17"/>
          <w:color w:val="auto"/>
        </w:rPr>
        <w:t xml:space="preserve"> the California Fair Employment and Housing Act, the Illinois Human Rights Act, the Washington State Labor and Industries Laws, the Washington Law Against Discrimination, the Arizona Civil Rights Act, the Arizona Employment Practices Act, Arizona Wage Laws, the New York State Human Rights Law, the Maryland Fair Employment Practices Act, the Virginia Human Rights Act and Virginians with Disabilities, the Georgia Age Discrimination in Employment Act, the Equal Employment for Persons with Disabilities Code, the Sex Discrimination in Employment Act, the Common Day of Rest Act, and the Fair Employment Practices, the Florida Civil Rights Act, the Colorado Wage Act, the Colorado Anti-Discrimination Act, and Chapters 21 and 451 of the Texas Labor Code.</w:t>
      </w:r>
    </w:p>
    <w:p>
      <w:pPr>
        <w:sectPr>
          <w:pgSz w:w="11900" w:h="16838" w:orient="portrait"/>
          <w:cols w:equalWidth="0" w:num="1">
            <w:col w:w="11236"/>
          </w:cols>
          <w:pgMar w:left="324" w:top="1377" w:right="339" w:bottom="1440" w:gutter="0" w:footer="0" w:header="0"/>
        </w:sectPr>
      </w:pPr>
    </w:p>
    <w:bookmarkStart w:id="44" w:name="page45"/>
    <w:bookmarkEnd w:id="44"/>
    <w:p>
      <w:pPr>
        <w:ind w:left="396" w:right="600"/>
        <w:spacing w:after="0" w:line="276" w:lineRule="auto"/>
        <w:rPr>
          <w:sz w:val="20"/>
          <w:szCs w:val="20"/>
          <w:color w:val="auto"/>
        </w:rPr>
      </w:pPr>
      <w:r>
        <w:rPr>
          <w:rFonts w:ascii="Times New Roman" w:cs="Times New Roman" w:eastAsia="Times New Roman" w:hAnsi="Times New Roman"/>
          <w:sz w:val="21"/>
          <w:szCs w:val="21"/>
          <w:color w:val="auto"/>
        </w:rPr>
        <w:t>or unsuspected, which exist or may exist on Employee’s behalf against the Released Parties at the time of execution of this Agreement.</w:t>
      </w:r>
    </w:p>
    <w:p>
      <w:pPr>
        <w:spacing w:after="0" w:line="149" w:lineRule="exact"/>
        <w:rPr>
          <w:sz w:val="20"/>
          <w:szCs w:val="20"/>
          <w:color w:val="auto"/>
        </w:rPr>
      </w:pPr>
    </w:p>
    <w:p>
      <w:pPr>
        <w:ind w:left="396" w:hanging="396"/>
        <w:spacing w:after="0" w:line="250" w:lineRule="auto"/>
        <w:tabs>
          <w:tab w:leader="none" w:pos="39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that he has no complaints, lawsuits or claims of any kind pending against the Company, and Employee further agrees that, except as set forth in this Section 6, Employee will not institute any action, complaint, lawsuit, charge, grievance or claim of any kind against the Company or any of the Released Parties, either individually or as a member of a class in any class or collective action, in any court or other forum with regard to any claim, demand, liability, obligation or matter arising out of his employment with the Company, separation from employment or otherwise, Nothing in this Agreement (including but not limited to the release of claims, promise not to sue, confidentiality, non-disparagement, no cooperation and any other limiting provisions) (i) limits or affects Employee’s right to challenge the validity of this Agreement under the Age Discrimination in Employment Act or the Older Worker Benefit Protection Act; (ii) prevents Employee filing a charge or complaint with or from participating in an investigation or proceeding conducted by the Equal Employment Opportunity Commission (EEOC), the National Labor Relations Board (NLRB), the Securities and Exchange Commission (SEC), or any other federal, state or local agency charged with the enforcement of any laws, including providing documents or other information, or (iii) prevents Employee from exercising Employee’s rights under Section 7 of the National Labor Relations Act to engage in protected, concerted activity with other employees, although by signing this Agreement Employee is waiving Employee’s right to recover any individual relief (including back pay, front pay, reinstatement or other legal or equitable relief) in any charge, complaint, or lawsuit or other proceeding brought by Employee or on Employee’s behalf by any third party, except for any right Employee may have to receive a payment from a government agency (and not the Company) for information provided to the government agency. This promise not to sue does not apply to any claims or rights that may arise after the date Employee signed this Agreement, claims for breach of or enforcement of this Agreement, claims for vested rights under the Company’s ERISA-covered employee benefit plans as applicable on the date Employee signs this release, and any claims that the controlling law clearly states may not be released by private agreement, such as claims for unemployment insurance or workers’ compensation.</w:t>
      </w:r>
    </w:p>
    <w:p>
      <w:pPr>
        <w:spacing w:after="0" w:line="180" w:lineRule="exact"/>
        <w:rPr>
          <w:rFonts w:ascii="Times New Roman" w:cs="Times New Roman" w:eastAsia="Times New Roman" w:hAnsi="Times New Roman"/>
          <w:sz w:val="21"/>
          <w:szCs w:val="21"/>
          <w:color w:val="auto"/>
        </w:rPr>
      </w:pPr>
    </w:p>
    <w:p>
      <w:pPr>
        <w:ind w:left="396" w:right="120" w:hanging="396"/>
        <w:spacing w:after="0" w:line="254" w:lineRule="auto"/>
        <w:tabs>
          <w:tab w:leader="none" w:pos="39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signing below, Employee acknowledges and reaffirms his obligation to remain bound, at all times in the future, by the Company’s Proprietary Information and Invention Agreement (“PIIA”) signed by Employee during the course of Employee’s employment with the Company. A copy of Employee’s signed PIIA will be included in the Transition Packet and is incorporated herein by reference. Employee represents and warrants that he: (a) has returned to the Company all Company property as required by Company, including, but not limited to, any papers, files, documents, equipment, phone(s), keys, access cards, software, disks, or other storage devices containing any Company information; (b) have not made and/or retained copies of any Company property or confidential information; and (c) have not disclosed to any third-party any Company Confidential Information (as defined therein).</w:t>
      </w:r>
    </w:p>
    <w:p>
      <w:pPr>
        <w:sectPr>
          <w:pgSz w:w="11900" w:h="16838" w:orient="portrait"/>
          <w:cols w:equalWidth="0" w:num="1">
            <w:col w:w="11236"/>
          </w:cols>
          <w:pgMar w:left="324" w:top="1364" w:right="339" w:bottom="1440" w:gutter="0" w:footer="0" w:header="0"/>
        </w:sectPr>
      </w:pPr>
    </w:p>
    <w:bookmarkStart w:id="45" w:name="page46"/>
    <w:bookmarkEnd w:id="45"/>
    <w:p>
      <w:pPr>
        <w:ind w:left="396" w:right="100" w:hanging="396"/>
        <w:spacing w:after="0" w:line="252" w:lineRule="auto"/>
        <w:tabs>
          <w:tab w:leader="none" w:pos="3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the terms of this Agreement are confidential and that except as outlined in Section 6 above, Employee will not disclose the terms of this Agreement or the negotiations leading to this Agreement to any person or entity, including but not limited to any current or former employee of the Company, with the exception of a disclosure (a) required by law or to enforce any obligations in this Agreement; and (b) to Employee’s spouse, attorneys, accountants, immediate family, and financial advisors, who must be advised of the confidential nature of this Agreement and must agree to be bound by this confidentiality provision. Employee acknowledges he has no pending discrimination, harassment or retaliation claim against the Company or any other Released Party, and that this Agreement is not a settlement agreement and does not constitute the resolution of such a claim. Employee also acknowledges that nothing in this Agreement prevents Employee from disclosing the details relating to a discrimination, harassment or retaliation claim, or prevents the Company or any Released Party from disclosing the details regarding the denial of such a claim.</w:t>
      </w:r>
    </w:p>
    <w:p>
      <w:pPr>
        <w:spacing w:after="0" w:line="176" w:lineRule="exact"/>
        <w:rPr>
          <w:rFonts w:ascii="Times New Roman" w:cs="Times New Roman" w:eastAsia="Times New Roman" w:hAnsi="Times New Roman"/>
          <w:sz w:val="21"/>
          <w:szCs w:val="21"/>
          <w:color w:val="auto"/>
        </w:rPr>
      </w:pPr>
    </w:p>
    <w:p>
      <w:pPr>
        <w:ind w:left="396" w:right="100" w:hanging="396"/>
        <w:spacing w:after="0" w:line="254" w:lineRule="auto"/>
        <w:tabs>
          <w:tab w:leader="none" w:pos="3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certifies that Employee has reported to the Company any and all injuries, accidents, diseases, conditions and/or any other health related issue which arise(s) out of or are related to Employee’s employment with the Company. Employee further certifies and warrants that Employee has (1) received all compensation due to Employee as a result of services performed for the Company with the receipt of Employee’s final paycheck; and (2) been properly provided any leave of absence because of Employee’s or a family member’s family or medical condition or military status, and Employee has not been subjected to any improper treatment, conduct or actions due to a request for or taking such leave.</w:t>
      </w:r>
    </w:p>
    <w:p>
      <w:pPr>
        <w:spacing w:after="0" w:line="200" w:lineRule="exact"/>
        <w:rPr>
          <w:rFonts w:ascii="Times New Roman" w:cs="Times New Roman" w:eastAsia="Times New Roman" w:hAnsi="Times New Roman"/>
          <w:sz w:val="21"/>
          <w:szCs w:val="21"/>
          <w:color w:val="auto"/>
        </w:rPr>
      </w:pPr>
    </w:p>
    <w:p>
      <w:pPr>
        <w:jc w:val="both"/>
        <w:ind w:left="396" w:hanging="396"/>
        <w:spacing w:after="0" w:line="257" w:lineRule="auto"/>
        <w:tabs>
          <w:tab w:leader="none" w:pos="38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except as expressly provided in Sections 2 and 7 of this Agreement, this Agreement renders null and void any and all prior agreements between Employee and the Company. Employee and the Company agree that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except as set forth in Sections 2 and 7 above, this Agreement constitutes the entire agreement between Employee and the Company regarding the subject matter of this Agreement, and that this Agreement may be modified only in a written document signed by Employee and a duly authorized officer of the Company.</w:t>
      </w:r>
    </w:p>
    <w:p>
      <w:pPr>
        <w:spacing w:after="0" w:line="167" w:lineRule="exact"/>
        <w:rPr>
          <w:rFonts w:ascii="Times New Roman" w:cs="Times New Roman" w:eastAsia="Times New Roman" w:hAnsi="Times New Roman"/>
          <w:sz w:val="21"/>
          <w:szCs w:val="21"/>
          <w:color w:val="auto"/>
        </w:rPr>
      </w:pPr>
    </w:p>
    <w:p>
      <w:pPr>
        <w:ind w:left="396" w:right="60" w:hanging="396"/>
        <w:spacing w:after="0" w:line="254" w:lineRule="auto"/>
        <w:tabs>
          <w:tab w:leader="none" w:pos="3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to this Agreement consents to (i) the exclusive jurisdiction and venue of the Courts of the State of New Jersey in any and all actions between or among any of the parties, and (ii) service of process by first-class certified mail, return receipt requested, postage prepaid. This Agreement and any issues arising from it or regarding its provisions shall be governed and construed under the procedural and substantive laws of the State of New Jersey without reference to New Jersey’s choice of law rules. Whenever possible, each provision of this Agreement shall be interpreted in such a manner as to be effective and valid under applicable laws.</w:t>
      </w:r>
    </w:p>
    <w:p>
      <w:pPr>
        <w:spacing w:after="0" w:line="174" w:lineRule="exact"/>
        <w:rPr>
          <w:rFonts w:ascii="Times New Roman" w:cs="Times New Roman" w:eastAsia="Times New Roman" w:hAnsi="Times New Roman"/>
          <w:sz w:val="21"/>
          <w:szCs w:val="21"/>
          <w:color w:val="auto"/>
        </w:rPr>
      </w:pPr>
    </w:p>
    <w:p>
      <w:pPr>
        <w:ind w:left="396" w:right="620" w:hanging="396"/>
        <w:spacing w:after="0" w:line="276" w:lineRule="auto"/>
        <w:tabs>
          <w:tab w:leader="none" w:pos="3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this Agreement may be executed in counterparts, each of which shall be an original, but all of which together shall constitute one agreement.</w:t>
      </w:r>
    </w:p>
    <w:p>
      <w:pPr>
        <w:sectPr>
          <w:pgSz w:w="11900" w:h="16838" w:orient="portrait"/>
          <w:cols w:equalWidth="0" w:num="1">
            <w:col w:w="11236"/>
          </w:cols>
          <w:pgMar w:left="324" w:top="1377" w:right="339" w:bottom="1440" w:gutter="0" w:footer="0" w:header="0"/>
        </w:sectPr>
      </w:pPr>
    </w:p>
    <w:bookmarkStart w:id="46" w:name="page47"/>
    <w:bookmarkEnd w:id="46"/>
    <w:p>
      <w:pPr>
        <w:jc w:val="both"/>
        <w:ind w:left="396" w:hanging="396"/>
        <w:spacing w:after="0" w:line="261" w:lineRule="auto"/>
        <w:tabs>
          <w:tab w:leader="none" w:pos="39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any provision of this Agreement be held to be illegal, void or unenforceable by a court of competent jurisdiction, such provision shall be of no force and effect. However, the illegality or unenforceability of any such provision shall have no effect upon, and shall not impair the enforceability of, any other provision of this Agreement.</w:t>
      </w:r>
    </w:p>
    <w:p>
      <w:pPr>
        <w:spacing w:after="0" w:line="177" w:lineRule="exact"/>
        <w:rPr>
          <w:rFonts w:ascii="Times New Roman" w:cs="Times New Roman" w:eastAsia="Times New Roman" w:hAnsi="Times New Roman"/>
          <w:sz w:val="21"/>
          <w:szCs w:val="21"/>
          <w:color w:val="auto"/>
        </w:rPr>
      </w:pPr>
    </w:p>
    <w:p>
      <w:pPr>
        <w:ind w:left="396" w:right="60" w:hanging="396"/>
        <w:spacing w:after="0" w:line="250" w:lineRule="auto"/>
        <w:tabs>
          <w:tab w:leader="none" w:pos="39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STATED IN SECTION 4 ABOVE, THIS AGREEMENT MAY BE REVOKED BY EMPLOYEE WITHIN SEVEN (7) DAYS AFTER THE DATE EMPLOYEE SIGNS IT. THIS AGREEMENT IS NOT BINDING OR ENFORCEABLE AGAINST EITHER EMPLOYEE OR THE COMPANY UNTIL THIS SEVEN-DAY PERIOD HAS EXPIRED. ANY SUCH REVOCATION MUST BE MADE IN A SIGNED LETTER EXECUTED BY EMPLOYEE AND RECEIVED BY JEFF MILLER, PRESIDENT &amp; CEO AT HRAMERICAS@SYNCHRONOSS.COM, NO LATER THAN 5:00 P.M. ON THE SEVENTH DAY AFTER EMPLOYEE EXECUTES THIS AGREEMENT. EMPLOYEE EXPRESSLY UNDERSTANDS AND AGREES THAT, IF EMLOYEE REVOKES THIS AGREEMENT, IT WILL NOT BE EFFECTIVE OR ENFORCEABLE AND EMPLOYEE WILL NOT BE ENTITLED TO THE SEVERANCE PAYMENTS.</w:t>
      </w:r>
    </w:p>
    <w:p>
      <w:pPr>
        <w:spacing w:after="0" w:line="6" w:lineRule="exact"/>
        <w:rPr>
          <w:rFonts w:ascii="Times New Roman" w:cs="Times New Roman" w:eastAsia="Times New Roman" w:hAnsi="Times New Roman"/>
          <w:sz w:val="21"/>
          <w:szCs w:val="21"/>
          <w:color w:val="auto"/>
        </w:rPr>
      </w:pPr>
    </w:p>
    <w:p>
      <w:pPr>
        <w:ind w:left="396" w:right="100" w:hanging="396"/>
        <w:spacing w:after="0" w:line="249" w:lineRule="auto"/>
        <w:tabs>
          <w:tab w:leader="none" w:pos="39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understand and agree that this Agreement is not an admission of liability, wrongdoing or a violation of any federal or state law or regulation, by either Employee or the Company, and both parties expressly deny any liability, wrongdoing or violation of law.</w:t>
      </w:r>
    </w:p>
    <w:p>
      <w:pPr>
        <w:spacing w:after="0" w:line="189" w:lineRule="exact"/>
        <w:rPr>
          <w:rFonts w:ascii="Times New Roman" w:cs="Times New Roman" w:eastAsia="Times New Roman" w:hAnsi="Times New Roman"/>
          <w:sz w:val="21"/>
          <w:szCs w:val="21"/>
          <w:color w:val="auto"/>
        </w:rPr>
      </w:pPr>
    </w:p>
    <w:p>
      <w:pPr>
        <w:jc w:val="both"/>
        <w:ind w:left="396"/>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not to engage in any act or say anything that is intended, or may reasonably be expected, to harm the reputation, business or operations of the Company, its customers, employees, officers, directors or shareholders, except as permitted by Section 7 above.</w:t>
      </w:r>
    </w:p>
    <w:p>
      <w:pPr>
        <w:sectPr>
          <w:pgSz w:w="11900" w:h="16838" w:orient="portrait"/>
          <w:cols w:equalWidth="0" w:num="1">
            <w:col w:w="11236"/>
          </w:cols>
          <w:pgMar w:left="324" w:top="1377" w:right="339" w:bottom="1440" w:gutter="0" w:footer="0" w:header="0"/>
        </w:sectPr>
      </w:pPr>
    </w:p>
    <w:bookmarkStart w:id="47" w:name="page48"/>
    <w:bookmarkEnd w:id="47"/>
    <w:p>
      <w:pPr>
        <w:ind w:right="720"/>
        <w:spacing w:after="0" w:line="280" w:lineRule="auto"/>
        <w:rPr>
          <w:sz w:val="20"/>
          <w:szCs w:val="20"/>
          <w:color w:val="auto"/>
        </w:rPr>
      </w:pPr>
      <w:r>
        <w:rPr>
          <w:rFonts w:ascii="Times New Roman" w:cs="Times New Roman" w:eastAsia="Times New Roman" w:hAnsi="Times New Roman"/>
          <w:sz w:val="21"/>
          <w:szCs w:val="21"/>
          <w:color w:val="auto"/>
        </w:rPr>
        <w:t xml:space="preserve">Please indicate Employee’s agreement with the above terms by physically signing the below and returning </w:t>
      </w:r>
      <w:r>
        <w:rPr>
          <w:rFonts w:ascii="Times New Roman" w:cs="Times New Roman" w:eastAsia="Times New Roman" w:hAnsi="Times New Roman"/>
          <w:sz w:val="21"/>
          <w:szCs w:val="21"/>
          <w:b w:val="1"/>
          <w:bCs w:val="1"/>
          <w:color w:val="auto"/>
        </w:rPr>
        <w:t>ALL</w:t>
      </w:r>
      <w:r>
        <w:rPr>
          <w:rFonts w:ascii="Times New Roman" w:cs="Times New Roman" w:eastAsia="Times New Roman" w:hAnsi="Times New Roman"/>
          <w:sz w:val="21"/>
          <w:szCs w:val="21"/>
          <w:color w:val="auto"/>
        </w:rPr>
        <w:t xml:space="preserve"> pages of this Agreement via email to HRAmericas@synchronoss.com.</w:t>
      </w:r>
    </w:p>
    <w:p>
      <w:pPr>
        <w:spacing w:after="0" w:line="200" w:lineRule="exact"/>
        <w:rPr>
          <w:sz w:val="20"/>
          <w:szCs w:val="20"/>
          <w:color w:val="auto"/>
        </w:rPr>
      </w:pPr>
    </w:p>
    <w:p>
      <w:pPr>
        <w:spacing w:after="0" w:line="38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Executed on behalf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38100</wp:posOffset>
            </wp:positionV>
            <wp:extent cx="3568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Jeff Miller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President &amp; CEO</w:t>
      </w:r>
    </w:p>
    <w:p>
      <w:pPr>
        <w:spacing w:after="0" w:line="3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1"/>
          <w:szCs w:val="21"/>
          <w:color w:val="auto"/>
        </w:rPr>
        <w:t>Employee agrees with the above terms as signified by Employee’s signature below. Furthermore, Employee acknowledges that he has read and understands this Agreement and that Employee voluntarily signs this release of all claims, known and unknown, with full understanding that at no time in the future may Employee pursue any of the rights Employee has waived in this Agreement.</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920" w:val="left"/>
          <w:tab w:leader="none" w:pos="5800" w:val="left"/>
          <w:tab w:leader="none" w:pos="6880" w:val="left"/>
        </w:tabs>
        <w:rPr>
          <w:sz w:val="20"/>
          <w:szCs w:val="20"/>
          <w:color w:val="auto"/>
        </w:rPr>
      </w:pPr>
      <w:r>
        <w:rPr>
          <w:rFonts w:ascii="Times New Roman" w:cs="Times New Roman" w:eastAsia="Times New Roman" w:hAnsi="Times New Roman"/>
          <w:sz w:val="21"/>
          <w:szCs w:val="21"/>
          <w:color w:val="auto"/>
        </w:rPr>
        <w:t>Signed:</w:t>
      </w:r>
      <w:r>
        <w:rPr>
          <w:sz w:val="20"/>
          <w:szCs w:val="20"/>
          <w:color w:val="auto"/>
        </w:rPr>
        <w:tab/>
      </w:r>
      <w:r>
        <w:rPr>
          <w:rFonts w:ascii="Times New Roman" w:cs="Times New Roman" w:eastAsia="Times New Roman" w:hAnsi="Times New Roman"/>
          <w:sz w:val="21"/>
          <w:szCs w:val="21"/>
          <w:color w:val="auto"/>
        </w:rPr>
        <w:t>/s/ Christopher Hill</w:t>
      </w:r>
      <w:r>
        <w:rPr>
          <w:sz w:val="20"/>
          <w:szCs w:val="20"/>
          <w:color w:val="auto"/>
        </w:rPr>
        <w:tab/>
      </w:r>
      <w:r>
        <w:rPr>
          <w:rFonts w:ascii="Times New Roman" w:cs="Times New Roman" w:eastAsia="Times New Roman" w:hAnsi="Times New Roman"/>
          <w:sz w:val="21"/>
          <w:szCs w:val="21"/>
          <w:color w:val="auto"/>
        </w:rPr>
        <w:t>Dated:</w:t>
      </w:r>
      <w:r>
        <w:rPr>
          <w:sz w:val="20"/>
          <w:szCs w:val="20"/>
          <w:color w:val="auto"/>
        </w:rPr>
        <w:tab/>
      </w:r>
      <w:r>
        <w:rPr>
          <w:rFonts w:ascii="Times New Roman" w:cs="Times New Roman" w:eastAsia="Times New Roman" w:hAnsi="Times New Roman"/>
          <w:sz w:val="20"/>
          <w:szCs w:val="20"/>
          <w:color w:val="auto"/>
        </w:rPr>
        <w:t>December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38100</wp:posOffset>
            </wp:positionV>
            <wp:extent cx="56216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21655" cy="8255"/>
                    </a:xfrm>
                    <a:prstGeom prst="rect">
                      <a:avLst/>
                    </a:prstGeom>
                    <a:noFill/>
                  </pic:spPr>
                </pic:pic>
              </a:graphicData>
            </a:graphic>
          </wp:anchor>
        </w:drawing>
      </w:r>
    </w:p>
    <w:p>
      <w:pPr>
        <w:spacing w:after="0" w:line="7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EMPLOYEE NAME</w:t>
      </w:r>
    </w:p>
    <w:p>
      <w:pPr>
        <w:sectPr>
          <w:pgSz w:w="11900" w:h="16838" w:orient="portrait"/>
          <w:cols w:equalWidth="0" w:num="1">
            <w:col w:w="11180"/>
          </w:cols>
          <w:pgMar w:left="320" w:top="1373" w:right="3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certify that:</w:t>
      </w:r>
    </w:p>
    <w:p>
      <w:pPr>
        <w:spacing w:after="0" w:line="224" w:lineRule="exact"/>
        <w:rPr>
          <w:sz w:val="20"/>
          <w:szCs w:val="20"/>
          <w:color w:val="auto"/>
        </w:rPr>
      </w:pPr>
    </w:p>
    <w:p>
      <w:pPr>
        <w:ind w:left="640" w:hanging="323"/>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March 31, 2024;</w:t>
      </w:r>
    </w:p>
    <w:p>
      <w:pPr>
        <w:spacing w:after="0" w:line="182" w:lineRule="exact"/>
        <w:rPr>
          <w:rFonts w:ascii="Times New Roman" w:cs="Times New Roman" w:eastAsia="Times New Roman" w:hAnsi="Times New Roman"/>
          <w:sz w:val="17"/>
          <w:szCs w:val="17"/>
          <w:color w:val="auto"/>
        </w:rPr>
      </w:pPr>
    </w:p>
    <w:p>
      <w:pPr>
        <w:jc w:val="both"/>
        <w:ind w:left="640" w:hanging="323"/>
        <w:spacing w:after="0" w:line="294"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640" w:hanging="323"/>
        <w:spacing w:after="0" w:line="275"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5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2024</w:t>
      </w:r>
    </w:p>
    <w:p>
      <w:pPr>
        <w:spacing w:after="0" w:line="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21590</wp:posOffset>
            </wp:positionV>
            <wp:extent cx="2103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6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Louis Ferraro</w:t>
      </w:r>
      <w:r>
        <w:rPr>
          <w:rFonts w:ascii="Times New Roman" w:cs="Times New Roman" w:eastAsia="Times New Roman" w:hAnsi="Times New Roman"/>
          <w:sz w:val="17"/>
          <w:szCs w:val="17"/>
          <w:color w:val="auto"/>
        </w:rPr>
        <w:t>, certify that:</w:t>
      </w:r>
    </w:p>
    <w:p>
      <w:pPr>
        <w:spacing w:after="0" w:line="224" w:lineRule="exact"/>
        <w:rPr>
          <w:sz w:val="20"/>
          <w:szCs w:val="20"/>
          <w:color w:val="auto"/>
        </w:rPr>
      </w:pPr>
    </w:p>
    <w:p>
      <w:pPr>
        <w:ind w:left="640" w:hanging="323"/>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March 31, 2024;</w:t>
      </w:r>
    </w:p>
    <w:p>
      <w:pPr>
        <w:spacing w:after="0" w:line="182" w:lineRule="exact"/>
        <w:rPr>
          <w:rFonts w:ascii="Times New Roman" w:cs="Times New Roman" w:eastAsia="Times New Roman" w:hAnsi="Times New Roman"/>
          <w:sz w:val="17"/>
          <w:szCs w:val="17"/>
          <w:color w:val="auto"/>
        </w:rPr>
      </w:pPr>
    </w:p>
    <w:p>
      <w:pPr>
        <w:jc w:val="both"/>
        <w:ind w:left="640" w:hanging="323"/>
        <w:spacing w:after="0" w:line="294"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640" w:hanging="323"/>
        <w:spacing w:after="0" w:line="275"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5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2024</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21590</wp:posOffset>
            </wp:positionV>
            <wp:extent cx="2955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1240"/>
          </w:cols>
          <w:pgMar w:left="320" w:top="86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March 31, 2024, as filed with the Securities and Exchange Commission on the date hereof (the “Report”), 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the Chief Executive Officer of the Company, hereby certify, pursuant to 18 U.S.C. 1350, as adopted pursuant to Section 906 of the Sarbanes-Oxley Act of 2002, to the best of my knowledge and belief that:</w:t>
      </w:r>
    </w:p>
    <w:p>
      <w:pPr>
        <w:spacing w:after="0" w:line="123" w:lineRule="exact"/>
        <w:rPr>
          <w:sz w:val="20"/>
          <w:szCs w:val="20"/>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2024</w:t>
      </w:r>
    </w:p>
    <w:p>
      <w:pPr>
        <w:spacing w:after="0" w:line="1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21590</wp:posOffset>
            </wp:positionV>
            <wp:extent cx="2285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March 31, 2024, as filed with the Securities and Exchange Commission on the date hereof (the “Report”), I, </w:t>
      </w:r>
      <w:r>
        <w:rPr>
          <w:rFonts w:ascii="Times New Roman" w:cs="Times New Roman" w:eastAsia="Times New Roman" w:hAnsi="Times New Roman"/>
          <w:sz w:val="17"/>
          <w:szCs w:val="17"/>
          <w:b w:val="1"/>
          <w:bCs w:val="1"/>
          <w:color w:val="auto"/>
        </w:rPr>
        <w:t>Louis Ferraro</w:t>
      </w:r>
      <w:r>
        <w:rPr>
          <w:rFonts w:ascii="Times New Roman" w:cs="Times New Roman" w:eastAsia="Times New Roman" w:hAnsi="Times New Roman"/>
          <w:sz w:val="17"/>
          <w:szCs w:val="17"/>
          <w:color w:val="auto"/>
        </w:rPr>
        <w:t>, the Chief Financial Officer of the Company, hereby certify, pursuant to 18 U.S.C. 1350, as adopted pursuant to Section 906 of the Sarbanes-Oxley Act of 2002, to the best of my knowledge and belief that:</w:t>
      </w:r>
    </w:p>
    <w:p>
      <w:pPr>
        <w:spacing w:after="0" w:line="123" w:lineRule="exact"/>
        <w:rPr>
          <w:sz w:val="20"/>
          <w:szCs w:val="20"/>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2024</w:t>
      </w:r>
    </w:p>
    <w:p>
      <w:pPr>
        <w:spacing w:after="0" w:line="1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21590</wp:posOffset>
            </wp:positionV>
            <wp:extent cx="28727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872740" cy="8255"/>
                    </a:xfrm>
                    <a:prstGeom prst="rect">
                      <a:avLst/>
                    </a:prstGeom>
                    <a:noFill/>
                  </pic:spPr>
                </pic:pic>
              </a:graphicData>
            </a:graphic>
          </wp:anchor>
        </w:drawing>
      </w:r>
    </w:p>
    <w:p>
      <w:pPr>
        <w:spacing w:after="0" w:line="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0" w:lineRule="exact"/>
        <w:rPr>
          <w:sz w:val="20"/>
          <w:szCs w:val="20"/>
          <w:color w:val="auto"/>
        </w:rPr>
      </w:pPr>
    </w:p>
    <w:p>
      <w:pPr>
        <w:spacing w:after="0" w:line="21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2"/>
      <w:numFmt w:val="bullet"/>
      <w:start w:val="1"/>
    </w:lvl>
  </w:abstractNum>
  <w:abstractNum w:abstractNumId="5">
    <w:nsid w:val="7C83E458"/>
    <w:multiLevelType w:val="hybridMultilevel"/>
    <w:lvl w:ilvl="0">
      <w:lvlJc w:val="left"/>
      <w:lvlText w:val="1"/>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1"/>
      <w:numFmt w:val="bullet"/>
      <w:start w:val="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1"/>
      <w:numFmt w:val="bullet"/>
      <w:start w:val="1"/>
    </w:lvl>
  </w:abstractNum>
  <w:abstractNum w:abstractNumId="15">
    <w:nsid w:val="75A2A8D4"/>
    <w:multiLevelType w:val="hybridMultilevel"/>
    <w:lvl w:ilvl="0">
      <w:lvlJc w:val="left"/>
      <w:lvlText w:val="2"/>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bullet"/>
      <w:start w:val="1"/>
    </w:lvl>
  </w:abstractNum>
  <w:abstractNum w:abstractNumId="18">
    <w:nsid w:val="4353D0CD"/>
    <w:multiLevelType w:val="hybridMultilevel"/>
    <w:lvl w:ilvl="0">
      <w:lvlJc w:val="left"/>
      <w:lvlText w:val="1"/>
      <w:numFmt w:val="bullet"/>
      <w:start w:val="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lvl w:ilvl="1">
      <w:lvlJc w:val="left"/>
      <w:lvlText w:val="(%2)"/>
      <w:numFmt w:val="lowerRoman"/>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decimal"/>
      <w:start w:val="5"/>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1."/>
      <w:numFmt w:val="decimal"/>
      <w:start w:val="7"/>
    </w:lvl>
  </w:abstractNum>
  <w:abstractNum w:abstractNumId="26">
    <w:nsid w:val="3A95F874"/>
    <w:multiLevelType w:val="hybridMultilevel"/>
    <w:lvl w:ilvl="0">
      <w:lvlJc w:val="left"/>
      <w:lvlText w:val="%1."/>
      <w:numFmt w:val="decimal"/>
      <w:start w:val="9"/>
    </w:lvl>
  </w:abstractNum>
  <w:abstractNum w:abstractNumId="27">
    <w:nsid w:val="8138641"/>
    <w:multiLevelType w:val="hybridMultilevel"/>
    <w:lvl w:ilvl="0">
      <w:lvlJc w:val="left"/>
      <w:lvlText w:val="%1."/>
      <w:numFmt w:val="decimal"/>
      <w:start w:val="1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51" Type="http://schemas.openxmlformats.org/officeDocument/2006/relationships/hyperlink" Target="https://www.sec.gov/Archives/edgar/data/1131554/000113155423000013/sncr-123122xex31restatedce.htm" TargetMode="External"/><Relationship Id="rId52" Type="http://schemas.openxmlformats.org/officeDocument/2006/relationships/hyperlink" Target="https://www.sec.gov/Archives/edgar/data/1131554/000113155422000035/sncr-exhx31certificateofam.htm" TargetMode="External"/><Relationship Id="rId53" Type="http://schemas.openxmlformats.org/officeDocument/2006/relationships/hyperlink" Target="https://www.sec.gov/Archives/edgar/data/1131554/000095012306005985/y15440a2exv3w4.txt" TargetMode="External"/><Relationship Id="rId54" Type="http://schemas.openxmlformats.org/officeDocument/2006/relationships/hyperlink" Target="https://www.sec.gov/Archives/edgar/data/1131554/000110465918010721/a18-6289_1ex3d2.htm" TargetMode="External"/><Relationship Id="rId55" Type="http://schemas.openxmlformats.org/officeDocument/2006/relationships/hyperlink" Target="https://www.sec.gov/Archives/edgar/data/1131554/000110465921087598/tm2120300d3_ex3-3.htm" TargetMode="External"/><Relationship Id="rId56" Type="http://schemas.openxmlformats.org/officeDocument/2006/relationships/hyperlink" Target="https://www.sec.gov/Archives/edgar/data/1131554/000110465921087598/tm2120300d3_ex3-1.htm" TargetMode="External"/><Relationship Id="rId57" Type="http://schemas.openxmlformats.org/officeDocument/2006/relationships/hyperlink" Target="https://www.sec.gov/Archives/edgar/data/1131554/000113155423000098/exh31sncr-certificateofa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2024-05-09T16:26:54Z</dcterms:created>
  <dcterms:modified xsi:type="dcterms:W3CDTF">2024-05-09T16:26:54Z</dcterms:modified>
</cp:coreProperties>
</file>