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16"/>
          <w:szCs w:val="16"/>
          <w:b w:val="1"/>
          <w:bCs w:val="1"/>
          <w:color w:val="auto"/>
        </w:rPr>
        <w:t>UNITED STATES</w:t>
      </w:r>
    </w:p>
    <w:p>
      <w:pPr>
        <w:jc w:val="center"/>
        <w:spacing w:after="0" w:line="232" w:lineRule="auto"/>
        <w:rPr>
          <w:sz w:val="20"/>
          <w:szCs w:val="20"/>
          <w:color w:val="auto"/>
        </w:rPr>
      </w:pPr>
      <w:r>
        <w:rPr>
          <w:rFonts w:ascii="Calibri" w:cs="Calibri" w:eastAsia="Calibri" w:hAnsi="Calibri"/>
          <w:sz w:val="16"/>
          <w:szCs w:val="16"/>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Calibri" w:cs="Calibri" w:eastAsia="Calibri" w:hAnsi="Calibri"/>
          <w:sz w:val="16"/>
          <w:szCs w:val="16"/>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Calibri" w:cs="Calibri" w:eastAsia="Calibri" w:hAnsi="Calibri"/>
          <w:sz w:val="16"/>
          <w:szCs w:val="16"/>
          <w:b w:val="1"/>
          <w:bCs w:val="1"/>
          <w:color w:val="auto"/>
        </w:rPr>
        <w:t>FORM 8-K</w:t>
      </w:r>
    </w:p>
    <w:p>
      <w:pPr>
        <w:spacing w:after="0" w:line="183" w:lineRule="exact"/>
        <w:rPr>
          <w:sz w:val="24"/>
          <w:szCs w:val="24"/>
          <w:color w:val="auto"/>
        </w:rPr>
      </w:pPr>
    </w:p>
    <w:p>
      <w:pPr>
        <w:ind w:left="5020"/>
        <w:spacing w:after="0"/>
        <w:rPr>
          <w:sz w:val="20"/>
          <w:szCs w:val="20"/>
          <w:color w:val="auto"/>
        </w:rPr>
      </w:pPr>
      <w:r>
        <w:rPr>
          <w:rFonts w:ascii="Calibri" w:cs="Calibri" w:eastAsia="Calibri" w:hAnsi="Calibri"/>
          <w:sz w:val="16"/>
          <w:szCs w:val="16"/>
          <w:b w:val="1"/>
          <w:bCs w:val="1"/>
          <w:color w:val="auto"/>
        </w:rPr>
        <w:t>CURRENT REPORT</w:t>
      </w:r>
    </w:p>
    <w:p>
      <w:pPr>
        <w:spacing w:after="0" w:line="7" w:lineRule="exact"/>
        <w:rPr>
          <w:sz w:val="24"/>
          <w:szCs w:val="24"/>
          <w:color w:val="auto"/>
        </w:rPr>
      </w:pPr>
    </w:p>
    <w:p>
      <w:pPr>
        <w:ind w:left="4420"/>
        <w:spacing w:after="0"/>
        <w:rPr>
          <w:sz w:val="20"/>
          <w:szCs w:val="20"/>
          <w:color w:val="auto"/>
        </w:rPr>
      </w:pPr>
      <w:r>
        <w:rPr>
          <w:rFonts w:ascii="Calibri" w:cs="Calibri" w:eastAsia="Calibri" w:hAnsi="Calibri"/>
          <w:sz w:val="16"/>
          <w:szCs w:val="16"/>
          <w:b w:val="1"/>
          <w:bCs w:val="1"/>
          <w:color w:val="auto"/>
        </w:rPr>
        <w:t>PURSUANT TO SECTION 13 OR 15(d)</w:t>
      </w:r>
    </w:p>
    <w:p>
      <w:pPr>
        <w:jc w:val="center"/>
        <w:spacing w:after="0" w:line="232" w:lineRule="auto"/>
        <w:rPr>
          <w:sz w:val="20"/>
          <w:szCs w:val="20"/>
          <w:color w:val="auto"/>
        </w:rPr>
      </w:pPr>
      <w:r>
        <w:rPr>
          <w:rFonts w:ascii="Calibri" w:cs="Calibri" w:eastAsia="Calibri" w:hAnsi="Calibri"/>
          <w:sz w:val="16"/>
          <w:szCs w:val="16"/>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Calibri" w:cs="Calibri" w:eastAsia="Calibri" w:hAnsi="Calibri"/>
          <w:sz w:val="16"/>
          <w:szCs w:val="16"/>
          <w:color w:val="auto"/>
        </w:rPr>
        <w:t xml:space="preserve">Date of report (Date of earliest event reported): </w:t>
      </w:r>
      <w:r>
        <w:rPr>
          <w:rFonts w:ascii="Calibri" w:cs="Calibri" w:eastAsia="Calibri" w:hAnsi="Calibri"/>
          <w:sz w:val="16"/>
          <w:szCs w:val="16"/>
          <w:b w:val="1"/>
          <w:bCs w:val="1"/>
          <w:color w:val="auto"/>
        </w:rPr>
        <w:t>December 12, 2024 (December 6, 2024)</w:t>
      </w:r>
    </w:p>
    <w:p>
      <w:pPr>
        <w:spacing w:after="0" w:line="189" w:lineRule="exact"/>
        <w:rPr>
          <w:sz w:val="24"/>
          <w:szCs w:val="24"/>
          <w:color w:val="auto"/>
        </w:rPr>
      </w:pPr>
    </w:p>
    <w:p>
      <w:pPr>
        <w:jc w:val="center"/>
        <w:spacing w:after="0"/>
        <w:rPr>
          <w:sz w:val="20"/>
          <w:szCs w:val="20"/>
          <w:color w:val="auto"/>
        </w:rPr>
      </w:pPr>
      <w:r>
        <w:rPr>
          <w:rFonts w:ascii="Calibri" w:cs="Calibri" w:eastAsia="Calibri" w:hAnsi="Calibri"/>
          <w:sz w:val="32"/>
          <w:szCs w:val="32"/>
          <w:b w:val="1"/>
          <w:bCs w:val="1"/>
          <w:color w:val="auto"/>
        </w:rPr>
        <w:t>Synchronoss Technologies, Inc.</w:t>
      </w:r>
    </w:p>
    <w:p>
      <w:pPr>
        <w:spacing w:after="0" w:line="21" w:lineRule="exact"/>
        <w:rPr>
          <w:sz w:val="24"/>
          <w:szCs w:val="24"/>
          <w:color w:val="auto"/>
        </w:rPr>
      </w:pPr>
    </w:p>
    <w:p>
      <w:pPr>
        <w:jc w:val="center"/>
        <w:spacing w:after="0"/>
        <w:rPr>
          <w:sz w:val="20"/>
          <w:szCs w:val="20"/>
          <w:color w:val="auto"/>
        </w:rPr>
      </w:pPr>
      <w:r>
        <w:rPr>
          <w:rFonts w:ascii="Calibri" w:cs="Calibri" w:eastAsia="Calibri" w:hAnsi="Calibri"/>
          <w:sz w:val="16"/>
          <w:szCs w:val="16"/>
          <w:color w:val="auto"/>
        </w:rPr>
        <w:t>(Exact Name of Registrant as Specifed in its Charter)</w:t>
      </w:r>
    </w:p>
    <w:p>
      <w:pPr>
        <w:spacing w:after="0" w:line="331" w:lineRule="exact"/>
        <w:rPr>
          <w:sz w:val="24"/>
          <w:szCs w:val="24"/>
          <w:color w:val="auto"/>
        </w:rPr>
      </w:pPr>
    </w:p>
    <w:p>
      <w:pPr>
        <w:ind w:left="1420"/>
        <w:spacing w:after="0"/>
        <w:tabs>
          <w:tab w:leader="none" w:pos="5220" w:val="left"/>
          <w:tab w:leader="none" w:pos="9060" w:val="left"/>
        </w:tabs>
        <w:rPr>
          <w:sz w:val="20"/>
          <w:szCs w:val="20"/>
          <w:color w:val="auto"/>
        </w:rPr>
      </w:pPr>
      <w:r>
        <w:rPr>
          <w:rFonts w:ascii="Calibri" w:cs="Calibri" w:eastAsia="Calibri" w:hAnsi="Calibri"/>
          <w:sz w:val="16"/>
          <w:szCs w:val="16"/>
          <w:b w:val="1"/>
          <w:bCs w:val="1"/>
          <w:color w:val="auto"/>
        </w:rPr>
        <w:t>Delaware</w:t>
      </w:r>
      <w:r>
        <w:rPr>
          <w:sz w:val="20"/>
          <w:szCs w:val="20"/>
          <w:color w:val="auto"/>
        </w:rPr>
        <w:tab/>
      </w:r>
      <w:r>
        <w:rPr>
          <w:rFonts w:ascii="Calibri" w:cs="Calibri" w:eastAsia="Calibri" w:hAnsi="Calibri"/>
          <w:sz w:val="16"/>
          <w:szCs w:val="16"/>
          <w:b w:val="1"/>
          <w:bCs w:val="1"/>
          <w:color w:val="auto"/>
        </w:rPr>
        <w:t>001-40574</w:t>
      </w:r>
      <w:r>
        <w:rPr>
          <w:sz w:val="20"/>
          <w:szCs w:val="20"/>
          <w:color w:val="auto"/>
        </w:rPr>
        <w:tab/>
      </w:r>
      <w:r>
        <w:rPr>
          <w:rFonts w:ascii="Calibri" w:cs="Calibri" w:eastAsia="Calibri" w:hAnsi="Calibri"/>
          <w:sz w:val="16"/>
          <w:szCs w:val="16"/>
          <w:b w:val="1"/>
          <w:bCs w:val="1"/>
          <w:color w:val="auto"/>
        </w:rPr>
        <w:t>06-1594540</w:t>
      </w:r>
    </w:p>
    <w:p>
      <w:pPr>
        <w:spacing w:after="0" w:line="21" w:lineRule="exact"/>
        <w:rPr>
          <w:sz w:val="24"/>
          <w:szCs w:val="24"/>
          <w:color w:val="auto"/>
        </w:rPr>
      </w:pPr>
    </w:p>
    <w:p>
      <w:pPr>
        <w:ind w:left="840"/>
        <w:spacing w:after="0"/>
        <w:tabs>
          <w:tab w:leader="none" w:pos="5140" w:val="left"/>
          <w:tab w:leader="none" w:pos="9000" w:val="left"/>
        </w:tabs>
        <w:rPr>
          <w:sz w:val="20"/>
          <w:szCs w:val="20"/>
          <w:color w:val="auto"/>
        </w:rPr>
      </w:pPr>
      <w:r>
        <w:rPr>
          <w:rFonts w:ascii="Calibri" w:cs="Calibri" w:eastAsia="Calibri" w:hAnsi="Calibri"/>
          <w:sz w:val="16"/>
          <w:szCs w:val="16"/>
          <w:color w:val="auto"/>
        </w:rPr>
        <w:t>(State or Other Jurisdicton</w:t>
      </w:r>
      <w:r>
        <w:rPr>
          <w:sz w:val="20"/>
          <w:szCs w:val="20"/>
          <w:color w:val="auto"/>
        </w:rPr>
        <w:tab/>
      </w:r>
      <w:r>
        <w:rPr>
          <w:rFonts w:ascii="Calibri" w:cs="Calibri" w:eastAsia="Calibri" w:hAnsi="Calibri"/>
          <w:sz w:val="16"/>
          <w:szCs w:val="16"/>
          <w:color w:val="auto"/>
        </w:rPr>
        <w:t>(Commission</w:t>
      </w:r>
      <w:r>
        <w:rPr>
          <w:sz w:val="20"/>
          <w:szCs w:val="20"/>
          <w:color w:val="auto"/>
        </w:rPr>
        <w:tab/>
      </w:r>
      <w:r>
        <w:rPr>
          <w:rFonts w:ascii="Calibri" w:cs="Calibri" w:eastAsia="Calibri" w:hAnsi="Calibri"/>
          <w:sz w:val="15"/>
          <w:szCs w:val="15"/>
          <w:color w:val="auto"/>
        </w:rPr>
        <w:t>(IRS Employer</w:t>
      </w:r>
    </w:p>
    <w:p>
      <w:pPr>
        <w:spacing w:after="0" w:line="21" w:lineRule="exact"/>
        <w:rPr>
          <w:sz w:val="24"/>
          <w:szCs w:val="24"/>
          <w:color w:val="auto"/>
        </w:rPr>
      </w:pPr>
    </w:p>
    <w:p>
      <w:pPr>
        <w:ind w:left="1180"/>
        <w:spacing w:after="0"/>
        <w:tabs>
          <w:tab w:leader="none" w:pos="5140" w:val="left"/>
          <w:tab w:leader="none" w:pos="8860" w:val="left"/>
        </w:tabs>
        <w:rPr>
          <w:sz w:val="20"/>
          <w:szCs w:val="20"/>
          <w:color w:val="auto"/>
        </w:rPr>
      </w:pPr>
      <w:r>
        <w:rPr>
          <w:rFonts w:ascii="Calibri" w:cs="Calibri" w:eastAsia="Calibri" w:hAnsi="Calibri"/>
          <w:sz w:val="16"/>
          <w:szCs w:val="16"/>
          <w:color w:val="auto"/>
        </w:rPr>
        <w:t>of Incorporaton)</w:t>
      </w:r>
      <w:r>
        <w:rPr>
          <w:sz w:val="20"/>
          <w:szCs w:val="20"/>
          <w:color w:val="auto"/>
        </w:rPr>
        <w:tab/>
      </w:r>
      <w:r>
        <w:rPr>
          <w:rFonts w:ascii="Calibri" w:cs="Calibri" w:eastAsia="Calibri" w:hAnsi="Calibri"/>
          <w:sz w:val="16"/>
          <w:szCs w:val="16"/>
          <w:color w:val="auto"/>
        </w:rPr>
        <w:t>File Number)</w:t>
      </w:r>
      <w:r>
        <w:rPr>
          <w:sz w:val="20"/>
          <w:szCs w:val="20"/>
          <w:color w:val="auto"/>
        </w:rPr>
        <w:tab/>
      </w:r>
      <w:r>
        <w:rPr>
          <w:rFonts w:ascii="Calibri" w:cs="Calibri" w:eastAsia="Calibri" w:hAnsi="Calibri"/>
          <w:sz w:val="16"/>
          <w:szCs w:val="16"/>
          <w:color w:val="auto"/>
        </w:rPr>
        <w:t>Identfcaton No.)</w:t>
      </w:r>
    </w:p>
    <w:p>
      <w:pPr>
        <w:spacing w:after="0" w:line="200" w:lineRule="exact"/>
        <w:rPr>
          <w:sz w:val="24"/>
          <w:szCs w:val="24"/>
          <w:color w:val="auto"/>
        </w:rPr>
      </w:pPr>
    </w:p>
    <w:p>
      <w:pPr>
        <w:spacing w:after="0" w:line="212" w:lineRule="exact"/>
        <w:rPr>
          <w:sz w:val="24"/>
          <w:szCs w:val="24"/>
          <w:color w:val="auto"/>
        </w:rPr>
      </w:pPr>
    </w:p>
    <w:p>
      <w:pPr>
        <w:ind w:left="1580"/>
        <w:spacing w:after="0"/>
        <w:rPr>
          <w:sz w:val="20"/>
          <w:szCs w:val="20"/>
          <w:color w:val="auto"/>
        </w:rPr>
      </w:pPr>
      <w:r>
        <w:rPr>
          <w:rFonts w:ascii="Calibri" w:cs="Calibri" w:eastAsia="Calibri" w:hAnsi="Calibri"/>
          <w:sz w:val="16"/>
          <w:szCs w:val="16"/>
          <w:b w:val="1"/>
          <w:bCs w:val="1"/>
          <w:color w:val="auto"/>
        </w:rPr>
        <w:t>200 Crossing Boulevard, 8th Floor</w:t>
      </w:r>
    </w:p>
    <w:p>
      <w:pPr>
        <w:spacing w:after="0" w:line="17" w:lineRule="exact"/>
        <w:rPr>
          <w:sz w:val="24"/>
          <w:szCs w:val="24"/>
          <w:color w:val="auto"/>
        </w:rPr>
      </w:pPr>
    </w:p>
    <w:p>
      <w:pPr>
        <w:ind w:left="1880"/>
        <w:spacing w:after="0"/>
        <w:tabs>
          <w:tab w:leader="none" w:pos="8260" w:val="left"/>
        </w:tabs>
        <w:rPr>
          <w:sz w:val="20"/>
          <w:szCs w:val="20"/>
          <w:color w:val="auto"/>
        </w:rPr>
      </w:pPr>
      <w:r>
        <w:rPr>
          <w:rFonts w:ascii="Calibri" w:cs="Calibri" w:eastAsia="Calibri" w:hAnsi="Calibri"/>
          <w:sz w:val="16"/>
          <w:szCs w:val="16"/>
          <w:b w:val="1"/>
          <w:bCs w:val="1"/>
          <w:color w:val="auto"/>
        </w:rPr>
        <w:t>Bridgewater, New Jersey</w:t>
      </w:r>
      <w:r>
        <w:rPr>
          <w:sz w:val="20"/>
          <w:szCs w:val="20"/>
          <w:color w:val="auto"/>
        </w:rPr>
        <w:tab/>
      </w:r>
      <w:r>
        <w:rPr>
          <w:rFonts w:ascii="Calibri" w:cs="Calibri" w:eastAsia="Calibri" w:hAnsi="Calibri"/>
          <w:sz w:val="17"/>
          <w:szCs w:val="17"/>
          <w:b w:val="1"/>
          <w:bCs w:val="1"/>
          <w:color w:val="auto"/>
        </w:rPr>
        <w:t>08807</w:t>
      </w:r>
    </w:p>
    <w:p>
      <w:pPr>
        <w:spacing w:after="0" w:line="24" w:lineRule="exact"/>
        <w:rPr>
          <w:sz w:val="24"/>
          <w:szCs w:val="24"/>
          <w:color w:val="auto"/>
        </w:rPr>
      </w:pPr>
    </w:p>
    <w:p>
      <w:pPr>
        <w:ind w:left="1420"/>
        <w:spacing w:after="0"/>
        <w:tabs>
          <w:tab w:leader="none" w:pos="8140" w:val="left"/>
        </w:tabs>
        <w:rPr>
          <w:sz w:val="20"/>
          <w:szCs w:val="20"/>
          <w:color w:val="auto"/>
        </w:rPr>
      </w:pPr>
      <w:r>
        <w:rPr>
          <w:rFonts w:ascii="Calibri" w:cs="Calibri" w:eastAsia="Calibri" w:hAnsi="Calibri"/>
          <w:sz w:val="16"/>
          <w:szCs w:val="16"/>
          <w:color w:val="auto"/>
        </w:rPr>
        <w:t>(Address of Principal Executve Ofces)</w:t>
      </w:r>
      <w:r>
        <w:rPr>
          <w:sz w:val="20"/>
          <w:szCs w:val="20"/>
          <w:color w:val="auto"/>
        </w:rPr>
        <w:tab/>
      </w:r>
      <w:r>
        <w:rPr>
          <w:rFonts w:ascii="Calibri" w:cs="Calibri" w:eastAsia="Calibri" w:hAnsi="Calibri"/>
          <w:sz w:val="16"/>
          <w:szCs w:val="16"/>
          <w:color w:val="auto"/>
        </w:rPr>
        <w:t>(Zip Code)</w:t>
      </w:r>
    </w:p>
    <w:p>
      <w:pPr>
        <w:spacing w:after="0" w:line="291" w:lineRule="exact"/>
        <w:rPr>
          <w:sz w:val="24"/>
          <w:szCs w:val="24"/>
          <w:color w:val="auto"/>
        </w:rPr>
      </w:pPr>
    </w:p>
    <w:p>
      <w:pPr>
        <w:jc w:val="center"/>
        <w:spacing w:after="0"/>
        <w:rPr>
          <w:sz w:val="20"/>
          <w:szCs w:val="20"/>
          <w:color w:val="auto"/>
        </w:rPr>
      </w:pPr>
      <w:r>
        <w:rPr>
          <w:rFonts w:ascii="Calibri" w:cs="Calibri" w:eastAsia="Calibri" w:hAnsi="Calibri"/>
          <w:sz w:val="16"/>
          <w:szCs w:val="16"/>
          <w:color w:val="auto"/>
        </w:rPr>
        <w:t xml:space="preserve">Registrant’s telephone number, including area code: </w:t>
      </w:r>
      <w:r>
        <w:rPr>
          <w:rFonts w:ascii="Calibri" w:cs="Calibri" w:eastAsia="Calibri" w:hAnsi="Calibri"/>
          <w:sz w:val="16"/>
          <w:szCs w:val="16"/>
          <w:b w:val="1"/>
          <w:bCs w:val="1"/>
          <w:color w:val="auto"/>
        </w:rPr>
        <w:t>(866) 620-3940</w:t>
      </w:r>
    </w:p>
    <w:p>
      <w:pPr>
        <w:spacing w:after="0" w:line="196" w:lineRule="exact"/>
        <w:rPr>
          <w:sz w:val="24"/>
          <w:szCs w:val="24"/>
          <w:color w:val="auto"/>
        </w:rPr>
      </w:pPr>
    </w:p>
    <w:p>
      <w:pPr>
        <w:jc w:val="center"/>
        <w:spacing w:after="0"/>
        <w:rPr>
          <w:sz w:val="20"/>
          <w:szCs w:val="20"/>
          <w:color w:val="auto"/>
        </w:rPr>
      </w:pPr>
      <w:r>
        <w:rPr>
          <w:rFonts w:ascii="Calibri" w:cs="Calibri" w:eastAsia="Calibri" w:hAnsi="Calibri"/>
          <w:sz w:val="16"/>
          <w:szCs w:val="16"/>
          <w:b w:val="1"/>
          <w:bCs w:val="1"/>
          <w:color w:val="auto"/>
        </w:rPr>
        <w:t>Not Applicable</w:t>
      </w:r>
    </w:p>
    <w:p>
      <w:pPr>
        <w:jc w:val="center"/>
        <w:spacing w:after="0" w:line="232" w:lineRule="auto"/>
        <w:rPr>
          <w:sz w:val="20"/>
          <w:szCs w:val="20"/>
          <w:color w:val="auto"/>
        </w:rPr>
      </w:pPr>
      <w:r>
        <w:rPr>
          <w:rFonts w:ascii="Calibri" w:cs="Calibri" w:eastAsia="Calibri" w:hAnsi="Calibri"/>
          <w:sz w:val="16"/>
          <w:szCs w:val="16"/>
          <w:color w:val="auto"/>
        </w:rPr>
        <w:t>(Former Name or Former Address, if Changed Since Last Report)</w:t>
      </w:r>
    </w:p>
    <w:p>
      <w:pPr>
        <w:spacing w:after="0" w:line="196" w:lineRule="exact"/>
        <w:rPr>
          <w:sz w:val="24"/>
          <w:szCs w:val="24"/>
          <w:color w:val="auto"/>
        </w:rPr>
      </w:pPr>
    </w:p>
    <w:p>
      <w:pPr>
        <w:ind w:left="340"/>
        <w:spacing w:after="0"/>
        <w:rPr>
          <w:sz w:val="20"/>
          <w:szCs w:val="20"/>
          <w:color w:val="auto"/>
        </w:rPr>
      </w:pPr>
      <w:r>
        <w:rPr>
          <w:rFonts w:ascii="Calibri" w:cs="Calibri" w:eastAsia="Calibri" w:hAnsi="Calibri"/>
          <w:sz w:val="16"/>
          <w:szCs w:val="16"/>
          <w:color w:val="auto"/>
        </w:rPr>
        <w:t>Check the appropriate box below if the Form 8-K fling is intended to simultaneously satsfy the fling obligaton of the registrant under any of the following provisions:</w:t>
      </w:r>
    </w:p>
    <w:p>
      <w:pPr>
        <w:spacing w:after="0" w:line="210" w:lineRule="exact"/>
        <w:rPr>
          <w:sz w:val="24"/>
          <w:szCs w:val="24"/>
          <w:color w:val="auto"/>
        </w:rPr>
      </w:pPr>
    </w:p>
    <w:p>
      <w:pPr>
        <w:ind w:left="1160" w:hanging="828"/>
        <w:spacing w:after="0"/>
        <w:tabs>
          <w:tab w:leader="none" w:pos="1160" w:val="left"/>
        </w:tabs>
        <w:numPr>
          <w:ilvl w:val="0"/>
          <w:numId w:val="1"/>
        </w:numPr>
        <w:rPr>
          <w:rFonts w:ascii="MS PGothic" w:cs="MS PGothic" w:eastAsia="MS PGothic" w:hAnsi="MS PGothic"/>
          <w:sz w:val="16"/>
          <w:szCs w:val="16"/>
          <w:color w:val="auto"/>
        </w:rPr>
      </w:pPr>
      <w:r>
        <w:rPr>
          <w:rFonts w:ascii="Calibri" w:cs="Calibri" w:eastAsia="Calibri" w:hAnsi="Calibri"/>
          <w:sz w:val="16"/>
          <w:szCs w:val="16"/>
          <w:color w:val="auto"/>
        </w:rPr>
        <w:t>Writen communicatons pursuant to Rule 425 under the Securites Act (17 CFR 230.425)</w:t>
      </w:r>
    </w:p>
    <w:p>
      <w:pPr>
        <w:spacing w:after="0" w:line="209" w:lineRule="exact"/>
        <w:rPr>
          <w:rFonts w:ascii="MS PGothic" w:cs="MS PGothic" w:eastAsia="MS PGothic" w:hAnsi="MS PGothic"/>
          <w:sz w:val="16"/>
          <w:szCs w:val="16"/>
          <w:color w:val="auto"/>
        </w:rPr>
      </w:pPr>
    </w:p>
    <w:p>
      <w:pPr>
        <w:ind w:left="1160" w:hanging="828"/>
        <w:spacing w:after="0"/>
        <w:tabs>
          <w:tab w:leader="none" w:pos="1160" w:val="left"/>
        </w:tabs>
        <w:numPr>
          <w:ilvl w:val="0"/>
          <w:numId w:val="1"/>
        </w:numPr>
        <w:rPr>
          <w:rFonts w:ascii="MS PGothic" w:cs="MS PGothic" w:eastAsia="MS PGothic" w:hAnsi="MS PGothic"/>
          <w:sz w:val="16"/>
          <w:szCs w:val="16"/>
          <w:color w:val="auto"/>
        </w:rPr>
      </w:pPr>
      <w:r>
        <w:rPr>
          <w:rFonts w:ascii="Calibri" w:cs="Calibri" w:eastAsia="Calibri" w:hAnsi="Calibri"/>
          <w:sz w:val="16"/>
          <w:szCs w:val="16"/>
          <w:color w:val="auto"/>
        </w:rPr>
        <w:t>Solicitng material pursuant to Rule 14a-12 under the Exchange Act (17 CFR 240.14a-12)</w:t>
      </w:r>
    </w:p>
    <w:p>
      <w:pPr>
        <w:spacing w:after="0" w:line="209" w:lineRule="exact"/>
        <w:rPr>
          <w:rFonts w:ascii="MS PGothic" w:cs="MS PGothic" w:eastAsia="MS PGothic" w:hAnsi="MS PGothic"/>
          <w:sz w:val="16"/>
          <w:szCs w:val="16"/>
          <w:color w:val="auto"/>
        </w:rPr>
      </w:pPr>
    </w:p>
    <w:p>
      <w:pPr>
        <w:ind w:left="1160" w:hanging="828"/>
        <w:spacing w:after="0"/>
        <w:tabs>
          <w:tab w:leader="none" w:pos="1160" w:val="left"/>
        </w:tabs>
        <w:numPr>
          <w:ilvl w:val="0"/>
          <w:numId w:val="1"/>
        </w:numPr>
        <w:rPr>
          <w:rFonts w:ascii="MS PGothic" w:cs="MS PGothic" w:eastAsia="MS PGothic" w:hAnsi="MS PGothic"/>
          <w:sz w:val="16"/>
          <w:szCs w:val="16"/>
          <w:color w:val="auto"/>
        </w:rPr>
      </w:pPr>
      <w:r>
        <w:rPr>
          <w:rFonts w:ascii="Calibri" w:cs="Calibri" w:eastAsia="Calibri" w:hAnsi="Calibri"/>
          <w:sz w:val="16"/>
          <w:szCs w:val="16"/>
          <w:color w:val="auto"/>
        </w:rPr>
        <w:t>Pre-commencement communicatons pursuant to Rule 14d-2(b) under the Exchange Act (17 CFR 240.14d-2(b))</w:t>
      </w:r>
    </w:p>
    <w:p>
      <w:pPr>
        <w:spacing w:after="0" w:line="196" w:lineRule="exact"/>
        <w:rPr>
          <w:rFonts w:ascii="MS PGothic" w:cs="MS PGothic" w:eastAsia="MS PGothic" w:hAnsi="MS PGothic"/>
          <w:sz w:val="16"/>
          <w:szCs w:val="16"/>
          <w:color w:val="auto"/>
        </w:rPr>
      </w:pPr>
    </w:p>
    <w:p>
      <w:pPr>
        <w:ind w:left="1160" w:hanging="828"/>
        <w:spacing w:after="0"/>
        <w:tabs>
          <w:tab w:leader="none" w:pos="1160" w:val="left"/>
        </w:tabs>
        <w:numPr>
          <w:ilvl w:val="0"/>
          <w:numId w:val="1"/>
        </w:numPr>
        <w:rPr>
          <w:rFonts w:ascii="MS PGothic" w:cs="MS PGothic" w:eastAsia="MS PGothic" w:hAnsi="MS PGothic"/>
          <w:sz w:val="16"/>
          <w:szCs w:val="16"/>
          <w:color w:val="auto"/>
        </w:rPr>
      </w:pPr>
      <w:r>
        <w:rPr>
          <w:rFonts w:ascii="Calibri" w:cs="Calibri" w:eastAsia="Calibri" w:hAnsi="Calibri"/>
          <w:sz w:val="16"/>
          <w:szCs w:val="16"/>
          <w:color w:val="auto"/>
        </w:rPr>
        <w:t>Pre-commencement communicatons pursuant to Rule 13e-4(c) under the Exchange Act (17 CFR 240.13e-4(c))</w:t>
      </w:r>
    </w:p>
    <w:p>
      <w:pPr>
        <w:spacing w:after="0" w:line="198" w:lineRule="exact"/>
        <w:rPr>
          <w:sz w:val="24"/>
          <w:szCs w:val="24"/>
          <w:color w:val="auto"/>
        </w:rPr>
      </w:pPr>
    </w:p>
    <w:p>
      <w:pPr>
        <w:spacing w:after="0" w:line="246" w:lineRule="auto"/>
        <w:rPr>
          <w:sz w:val="20"/>
          <w:szCs w:val="20"/>
          <w:color w:val="auto"/>
        </w:rPr>
      </w:pPr>
      <w:r>
        <w:rPr>
          <w:rFonts w:ascii="Calibri" w:cs="Calibri" w:eastAsia="Calibri" w:hAnsi="Calibri"/>
          <w:sz w:val="16"/>
          <w:szCs w:val="16"/>
          <w:color w:val="auto"/>
        </w:rPr>
        <w:t>Indicate by check mark whether the registrant is an emerging growth company as defned in Rule 405 of the Securites Act of 1933 (§230.405 of this chapter) or Rule 12b-2 of the Securites Exchange Act of 1934 (§240.12b-2 of this chapter).</w:t>
      </w:r>
    </w:p>
    <w:p>
      <w:pPr>
        <w:spacing w:after="0" w:line="135" w:lineRule="exact"/>
        <w:rPr>
          <w:sz w:val="24"/>
          <w:szCs w:val="24"/>
          <w:color w:val="auto"/>
        </w:rPr>
      </w:pPr>
    </w:p>
    <w:p>
      <w:pPr>
        <w:spacing w:after="0" w:line="196" w:lineRule="exact"/>
        <w:rPr>
          <w:sz w:val="20"/>
          <w:szCs w:val="20"/>
          <w:color w:val="auto"/>
        </w:rPr>
      </w:pPr>
      <w:r>
        <w:rPr>
          <w:rFonts w:ascii="Calibri" w:cs="Calibri" w:eastAsia="Calibri" w:hAnsi="Calibri"/>
          <w:sz w:val="16"/>
          <w:szCs w:val="16"/>
          <w:color w:val="auto"/>
        </w:rPr>
        <w:t xml:space="preserve">Emerging growth company </w:t>
      </w:r>
      <w:r>
        <w:rPr>
          <w:rFonts w:ascii="MS PGothic" w:cs="MS PGothic" w:eastAsia="MS PGothic" w:hAnsi="MS PGothic"/>
          <w:sz w:val="16"/>
          <w:szCs w:val="16"/>
          <w:color w:val="auto"/>
        </w:rPr>
        <w:t>☐</w:t>
      </w:r>
    </w:p>
    <w:p>
      <w:pPr>
        <w:spacing w:after="0" w:line="241" w:lineRule="exact"/>
        <w:rPr>
          <w:sz w:val="24"/>
          <w:szCs w:val="24"/>
          <w:color w:val="auto"/>
        </w:rPr>
      </w:pPr>
    </w:p>
    <w:p>
      <w:pPr>
        <w:spacing w:after="0" w:line="246" w:lineRule="auto"/>
        <w:rPr>
          <w:sz w:val="20"/>
          <w:szCs w:val="20"/>
          <w:color w:val="auto"/>
        </w:rPr>
      </w:pPr>
      <w:r>
        <w:rPr>
          <w:rFonts w:ascii="Calibri" w:cs="Calibri" w:eastAsia="Calibri" w:hAnsi="Calibri"/>
          <w:sz w:val="16"/>
          <w:szCs w:val="16"/>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Wingdings" w:cs="Wingdings" w:eastAsia="Wingdings" w:hAnsi="Wingdings"/>
          <w:sz w:val="16"/>
          <w:szCs w:val="16"/>
          <w:b w:val="1"/>
          <w:bCs w:val="1"/>
          <w:color w:val="auto"/>
        </w:rPr>
        <w:t>o</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620" w:type="dxa"/>
            <w:vAlign w:val="bottom"/>
            <w:gridSpan w:val="2"/>
          </w:tcPr>
          <w:p>
            <w:pPr>
              <w:spacing w:after="0"/>
              <w:rPr>
                <w:sz w:val="20"/>
                <w:szCs w:val="20"/>
                <w:color w:val="auto"/>
              </w:rPr>
            </w:pPr>
            <w:r>
              <w:rPr>
                <w:rFonts w:ascii="Calibri" w:cs="Calibri" w:eastAsia="Calibri" w:hAnsi="Calibri"/>
                <w:sz w:val="16"/>
                <w:szCs w:val="16"/>
                <w:color w:val="auto"/>
              </w:rPr>
              <w:t>Securites registered pursuant to Secton 12(b) of the Act:</w:t>
            </w: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60" w:type="dxa"/>
            <w:vAlign w:val="bottom"/>
          </w:tcPr>
          <w:p>
            <w:pPr>
              <w:spacing w:after="0"/>
              <w:rPr>
                <w:sz w:val="16"/>
                <w:szCs w:val="16"/>
                <w:color w:val="auto"/>
              </w:rPr>
            </w:pPr>
          </w:p>
        </w:tc>
      </w:tr>
      <w:tr>
        <w:trPr>
          <w:trHeight w:val="324"/>
        </w:trPr>
        <w:tc>
          <w:tcPr>
            <w:tcW w:w="4620" w:type="dxa"/>
            <w:vAlign w:val="bottom"/>
            <w:gridSpan w:val="2"/>
          </w:tcPr>
          <w:p>
            <w:pPr>
              <w:jc w:val="center"/>
              <w:ind w:right="80"/>
              <w:spacing w:after="0"/>
              <w:rPr>
                <w:sz w:val="20"/>
                <w:szCs w:val="20"/>
                <w:color w:val="auto"/>
              </w:rPr>
            </w:pPr>
            <w:r>
              <w:rPr>
                <w:rFonts w:ascii="Calibri" w:cs="Calibri" w:eastAsia="Calibri" w:hAnsi="Calibri"/>
                <w:sz w:val="16"/>
                <w:szCs w:val="16"/>
                <w:color w:val="auto"/>
                <w:w w:val="99"/>
              </w:rPr>
              <w:t>Title of each class</w:t>
            </w:r>
          </w:p>
        </w:tc>
        <w:tc>
          <w:tcPr>
            <w:tcW w:w="2060" w:type="dxa"/>
            <w:vAlign w:val="bottom"/>
            <w:gridSpan w:val="2"/>
          </w:tcPr>
          <w:p>
            <w:pPr>
              <w:jc w:val="center"/>
              <w:ind w:right="60"/>
              <w:spacing w:after="0"/>
              <w:rPr>
                <w:sz w:val="20"/>
                <w:szCs w:val="20"/>
                <w:color w:val="auto"/>
              </w:rPr>
            </w:pPr>
            <w:r>
              <w:rPr>
                <w:rFonts w:ascii="Calibri" w:cs="Calibri" w:eastAsia="Calibri" w:hAnsi="Calibri"/>
                <w:sz w:val="16"/>
                <w:szCs w:val="16"/>
                <w:color w:val="auto"/>
                <w:w w:val="99"/>
              </w:rPr>
              <w:t>Trading Symbol(s)</w:t>
            </w:r>
          </w:p>
        </w:tc>
        <w:tc>
          <w:tcPr>
            <w:tcW w:w="4560" w:type="dxa"/>
            <w:vAlign w:val="bottom"/>
          </w:tcPr>
          <w:p>
            <w:pPr>
              <w:jc w:val="center"/>
              <w:spacing w:after="0"/>
              <w:rPr>
                <w:sz w:val="20"/>
                <w:szCs w:val="20"/>
                <w:color w:val="auto"/>
              </w:rPr>
            </w:pPr>
            <w:r>
              <w:rPr>
                <w:rFonts w:ascii="Calibri" w:cs="Calibri" w:eastAsia="Calibri" w:hAnsi="Calibri"/>
                <w:sz w:val="16"/>
                <w:szCs w:val="16"/>
                <w:color w:val="auto"/>
              </w:rPr>
              <w:t>Name of each exchange on which registered</w:t>
            </w:r>
          </w:p>
        </w:tc>
      </w:tr>
      <w:tr>
        <w:trPr>
          <w:trHeight w:val="28"/>
        </w:trPr>
        <w:tc>
          <w:tcPr>
            <w:tcW w:w="4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187"/>
        </w:trPr>
        <w:tc>
          <w:tcPr>
            <w:tcW w:w="4540" w:type="dxa"/>
            <w:vAlign w:val="bottom"/>
          </w:tcPr>
          <w:p>
            <w:pPr>
              <w:jc w:val="center"/>
              <w:spacing w:after="0" w:line="187" w:lineRule="exact"/>
              <w:rPr>
                <w:sz w:val="20"/>
                <w:szCs w:val="20"/>
                <w:color w:val="auto"/>
              </w:rPr>
            </w:pPr>
            <w:r>
              <w:rPr>
                <w:rFonts w:ascii="Calibri" w:cs="Calibri" w:eastAsia="Calibri" w:hAnsi="Calibri"/>
                <w:sz w:val="16"/>
                <w:szCs w:val="16"/>
                <w:color w:val="auto"/>
              </w:rPr>
              <w:t>Common Stock, par value $.0001 par value</w:t>
            </w:r>
          </w:p>
        </w:tc>
        <w:tc>
          <w:tcPr>
            <w:tcW w:w="80" w:type="dxa"/>
            <w:vAlign w:val="bottom"/>
          </w:tcPr>
          <w:p>
            <w:pPr>
              <w:spacing w:after="0"/>
              <w:rPr>
                <w:sz w:val="16"/>
                <w:szCs w:val="16"/>
                <w:color w:val="auto"/>
              </w:rPr>
            </w:pPr>
          </w:p>
        </w:tc>
        <w:tc>
          <w:tcPr>
            <w:tcW w:w="1960" w:type="dxa"/>
            <w:vAlign w:val="bottom"/>
          </w:tcPr>
          <w:p>
            <w:pPr>
              <w:jc w:val="center"/>
              <w:spacing w:after="0" w:line="187" w:lineRule="exact"/>
              <w:rPr>
                <w:sz w:val="20"/>
                <w:szCs w:val="20"/>
                <w:color w:val="auto"/>
              </w:rPr>
            </w:pPr>
            <w:r>
              <w:rPr>
                <w:rFonts w:ascii="Calibri" w:cs="Calibri" w:eastAsia="Calibri" w:hAnsi="Calibri"/>
                <w:sz w:val="16"/>
                <w:szCs w:val="16"/>
                <w:color w:val="auto"/>
              </w:rPr>
              <w:t>SNCR</w:t>
            </w:r>
          </w:p>
        </w:tc>
        <w:tc>
          <w:tcPr>
            <w:tcW w:w="100" w:type="dxa"/>
            <w:vAlign w:val="bottom"/>
          </w:tcPr>
          <w:p>
            <w:pPr>
              <w:spacing w:after="0"/>
              <w:rPr>
                <w:sz w:val="16"/>
                <w:szCs w:val="16"/>
                <w:color w:val="auto"/>
              </w:rPr>
            </w:pPr>
          </w:p>
        </w:tc>
        <w:tc>
          <w:tcPr>
            <w:tcW w:w="4560" w:type="dxa"/>
            <w:vAlign w:val="bottom"/>
          </w:tcPr>
          <w:p>
            <w:pPr>
              <w:jc w:val="center"/>
              <w:spacing w:after="0" w:line="187" w:lineRule="exact"/>
              <w:rPr>
                <w:sz w:val="20"/>
                <w:szCs w:val="20"/>
                <w:color w:val="auto"/>
              </w:rPr>
            </w:pPr>
            <w:r>
              <w:rPr>
                <w:rFonts w:ascii="Calibri" w:cs="Calibri" w:eastAsia="Calibri" w:hAnsi="Calibri"/>
                <w:sz w:val="16"/>
                <w:szCs w:val="16"/>
                <w:color w:val="auto"/>
                <w:w w:val="99"/>
              </w:rPr>
              <w:t>The Nasdaq Stock Market, LLC</w:t>
            </w:r>
          </w:p>
        </w:tc>
      </w:tr>
      <w:tr>
        <w:trPr>
          <w:trHeight w:val="211"/>
        </w:trPr>
        <w:tc>
          <w:tcPr>
            <w:tcW w:w="4620" w:type="dxa"/>
            <w:vAlign w:val="bottom"/>
            <w:gridSpan w:val="2"/>
          </w:tcPr>
          <w:p>
            <w:pPr>
              <w:jc w:val="center"/>
              <w:ind w:right="80"/>
              <w:spacing w:after="0"/>
              <w:rPr>
                <w:sz w:val="20"/>
                <w:szCs w:val="20"/>
                <w:color w:val="auto"/>
              </w:rPr>
            </w:pPr>
            <w:r>
              <w:rPr>
                <w:rFonts w:ascii="Calibri" w:cs="Calibri" w:eastAsia="Calibri" w:hAnsi="Calibri"/>
                <w:sz w:val="16"/>
                <w:szCs w:val="16"/>
                <w:color w:val="auto"/>
              </w:rPr>
              <w:t>8.375% Senior Notes due 2026</w:t>
            </w:r>
          </w:p>
        </w:tc>
        <w:tc>
          <w:tcPr>
            <w:tcW w:w="2060" w:type="dxa"/>
            <w:vAlign w:val="bottom"/>
            <w:gridSpan w:val="2"/>
          </w:tcPr>
          <w:p>
            <w:pPr>
              <w:jc w:val="center"/>
              <w:ind w:right="80"/>
              <w:spacing w:after="0"/>
              <w:rPr>
                <w:sz w:val="20"/>
                <w:szCs w:val="20"/>
                <w:color w:val="auto"/>
              </w:rPr>
            </w:pPr>
            <w:r>
              <w:rPr>
                <w:rFonts w:ascii="Calibri" w:cs="Calibri" w:eastAsia="Calibri" w:hAnsi="Calibri"/>
                <w:sz w:val="16"/>
                <w:szCs w:val="16"/>
                <w:color w:val="auto"/>
              </w:rPr>
              <w:t>SNCRL</w:t>
            </w:r>
          </w:p>
        </w:tc>
        <w:tc>
          <w:tcPr>
            <w:tcW w:w="4560" w:type="dxa"/>
            <w:vAlign w:val="bottom"/>
          </w:tcPr>
          <w:p>
            <w:pPr>
              <w:jc w:val="center"/>
              <w:spacing w:after="0"/>
              <w:rPr>
                <w:sz w:val="20"/>
                <w:szCs w:val="20"/>
                <w:color w:val="auto"/>
              </w:rPr>
            </w:pPr>
            <w:r>
              <w:rPr>
                <w:rFonts w:ascii="Calibri" w:cs="Calibri" w:eastAsia="Calibri" w:hAnsi="Calibri"/>
                <w:sz w:val="16"/>
                <w:szCs w:val="16"/>
                <w:color w:val="auto"/>
                <w:w w:val="99"/>
              </w:rPr>
              <w:t>The Nasdaq Stock Market, LLC</w:t>
            </w:r>
          </w:p>
        </w:tc>
      </w:tr>
    </w:tbl>
    <w:p>
      <w:pPr>
        <w:spacing w:after="0" w:line="200" w:lineRule="exact"/>
        <w:rPr>
          <w:sz w:val="24"/>
          <w:szCs w:val="24"/>
          <w:color w:val="auto"/>
        </w:rPr>
      </w:pPr>
    </w:p>
    <w:p>
      <w:pPr>
        <w:sectPr>
          <w:pgSz w:w="11900" w:h="16838" w:orient="portrait"/>
          <w:cols w:equalWidth="0" w:num="1">
            <w:col w:w="11240"/>
          </w:cols>
          <w:pgMar w:left="320" w:top="99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11160"/>
        <w:spacing w:after="0"/>
        <w:rPr>
          <w:sz w:val="20"/>
          <w:szCs w:val="20"/>
          <w:color w:val="auto"/>
        </w:rPr>
      </w:pPr>
      <w:r>
        <w:rPr>
          <w:rFonts w:ascii="Calibri" w:cs="Calibri" w:eastAsia="Calibri" w:hAnsi="Calibri"/>
          <w:sz w:val="15"/>
          <w:szCs w:val="15"/>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type w:val="continuous"/>
        </w:sectPr>
      </w:pPr>
    </w:p>
    <w:bookmarkStart w:id="1" w:name="page2"/>
    <w:bookmarkEnd w:id="1"/>
    <w:p>
      <w:pPr>
        <w:ind w:left="20"/>
        <w:spacing w:after="0"/>
        <w:tabs>
          <w:tab w:leader="none" w:pos="1040" w:val="left"/>
        </w:tabs>
        <w:rPr>
          <w:sz w:val="20"/>
          <w:szCs w:val="20"/>
          <w:color w:val="auto"/>
        </w:rPr>
      </w:pPr>
      <w:r>
        <w:rPr>
          <w:rFonts w:ascii="Calibri" w:cs="Calibri" w:eastAsia="Calibri" w:hAnsi="Calibri"/>
          <w:sz w:val="18"/>
          <w:szCs w:val="18"/>
          <w:b w:val="1"/>
          <w:bCs w:val="1"/>
          <w:color w:val="auto"/>
        </w:rPr>
        <w:t>Item 1.01.</w:t>
      </w:r>
      <w:r>
        <w:rPr>
          <w:sz w:val="20"/>
          <w:szCs w:val="20"/>
          <w:color w:val="auto"/>
        </w:rPr>
        <w:tab/>
      </w:r>
      <w:r>
        <w:rPr>
          <w:rFonts w:ascii="Calibri" w:cs="Calibri" w:eastAsia="Calibri" w:hAnsi="Calibri"/>
          <w:sz w:val="17"/>
          <w:szCs w:val="17"/>
          <w:b w:val="1"/>
          <w:bCs w:val="1"/>
          <w:color w:val="auto"/>
        </w:rPr>
        <w:t>Entry into a Material Defnitve Agreement.</w:t>
      </w:r>
    </w:p>
    <w:p>
      <w:pPr>
        <w:spacing w:after="0" w:line="352" w:lineRule="exact"/>
        <w:rPr>
          <w:sz w:val="20"/>
          <w:szCs w:val="20"/>
          <w:color w:val="auto"/>
        </w:rPr>
      </w:pPr>
    </w:p>
    <w:p>
      <w:pPr>
        <w:jc w:val="both"/>
        <w:ind w:firstLine="324"/>
        <w:spacing w:after="0" w:line="221" w:lineRule="auto"/>
        <w:rPr>
          <w:sz w:val="20"/>
          <w:szCs w:val="20"/>
          <w:color w:val="auto"/>
        </w:rPr>
      </w:pPr>
      <w:r>
        <w:rPr>
          <w:rFonts w:ascii="Calibri" w:cs="Calibri" w:eastAsia="Calibri" w:hAnsi="Calibri"/>
          <w:sz w:val="18"/>
          <w:szCs w:val="18"/>
          <w:color w:val="auto"/>
        </w:rPr>
        <w:t>On December 6, 2024, Synchronoss Technologies, Inc. (the “Company”) entered into an amendment (the “Amendment”) with AT&amp;T Services, Inc. (“AT&amp;T”) to amend and restate the terms of an order (as amended by the Amendment, the “Amended Order”) under the Master Services Agreement dated September 1, 2005, as amended (the “Master Agreement”) between the Company and AT&amp;T. Pursuant to the Amended Order, the Company agreed to contnue to provide its Synchronoss Personal Cloud™ platorm to AT&amp;T’s customers in conformance with certain specifcatons and requirements set forth therein in consideraton for the payment of monthly Cloud Services fees based on the number and type of AT&amp;T Subscriber utlizing the Company’s services, plus an annual maintenance fee. The Amended Order is efectve untl December 30, 2027, unless terminated earlier by AT&amp;T upon specifed prior writen notce or in accordance with the Master Agreement.</w:t>
      </w:r>
    </w:p>
    <w:p>
      <w:pPr>
        <w:spacing w:after="0" w:line="231" w:lineRule="exact"/>
        <w:rPr>
          <w:sz w:val="20"/>
          <w:szCs w:val="20"/>
          <w:color w:val="auto"/>
        </w:rPr>
      </w:pPr>
    </w:p>
    <w:p>
      <w:pPr>
        <w:jc w:val="both"/>
        <w:ind w:firstLine="324"/>
        <w:spacing w:after="0" w:line="227" w:lineRule="auto"/>
        <w:rPr>
          <w:sz w:val="20"/>
          <w:szCs w:val="20"/>
          <w:color w:val="auto"/>
        </w:rPr>
      </w:pPr>
      <w:r>
        <w:rPr>
          <w:rFonts w:ascii="Calibri" w:cs="Calibri" w:eastAsia="Calibri" w:hAnsi="Calibri"/>
          <w:sz w:val="18"/>
          <w:szCs w:val="18"/>
          <w:color w:val="auto"/>
        </w:rPr>
        <w:t>The foregoing descripton of the Amendment and the Amended Order does not purport to be complete and is qualifed in its entrety by the full text of the Amendment, a copy of which will be fled with the exhibits to the Company’s Annual Report on Form 10-K for the year ending December 31, 2024.</w:t>
      </w:r>
    </w:p>
    <w:p>
      <w:pPr>
        <w:spacing w:after="0" w:line="228"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A copy of the press release announcing the Amended Order is atached hereto as Exhibit 99.1 and is incorporated herein by reference.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80" w:type="dxa"/>
            <w:vAlign w:val="bottom"/>
          </w:tcPr>
          <w:p>
            <w:pPr>
              <w:ind w:left="20"/>
              <w:spacing w:after="0"/>
              <w:rPr>
                <w:sz w:val="20"/>
                <w:szCs w:val="20"/>
                <w:color w:val="auto"/>
              </w:rPr>
            </w:pPr>
            <w:r>
              <w:rPr>
                <w:rFonts w:ascii="Calibri" w:cs="Calibri" w:eastAsia="Calibri" w:hAnsi="Calibri"/>
                <w:sz w:val="18"/>
                <w:szCs w:val="18"/>
                <w:b w:val="1"/>
                <w:bCs w:val="1"/>
                <w:color w:val="auto"/>
              </w:rPr>
              <w:t>Item 9.01.</w:t>
            </w:r>
          </w:p>
        </w:tc>
        <w:tc>
          <w:tcPr>
            <w:tcW w:w="8880" w:type="dxa"/>
            <w:vAlign w:val="bottom"/>
            <w:gridSpan w:val="6"/>
          </w:tcPr>
          <w:p>
            <w:pPr>
              <w:ind w:left="80"/>
              <w:spacing w:after="0"/>
              <w:rPr>
                <w:sz w:val="20"/>
                <w:szCs w:val="20"/>
                <w:color w:val="auto"/>
              </w:rPr>
            </w:pPr>
            <w:r>
              <w:rPr>
                <w:rFonts w:ascii="Calibri" w:cs="Calibri" w:eastAsia="Calibri" w:hAnsi="Calibri"/>
                <w:sz w:val="18"/>
                <w:szCs w:val="18"/>
                <w:b w:val="1"/>
                <w:bCs w:val="1"/>
                <w:color w:val="auto"/>
              </w:rPr>
              <w:t>Financial Statements and Exhibits.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980" w:type="dxa"/>
            <w:vAlign w:val="bottom"/>
          </w:tcPr>
          <w:p>
            <w:pPr>
              <w:spacing w:after="0"/>
              <w:rPr>
                <w:sz w:val="20"/>
                <w:szCs w:val="20"/>
                <w:color w:val="auto"/>
              </w:rPr>
            </w:pPr>
            <w:r>
              <w:rPr>
                <w:rFonts w:ascii="Calibri" w:cs="Calibri" w:eastAsia="Calibri" w:hAnsi="Calibri"/>
                <w:sz w:val="18"/>
                <w:szCs w:val="18"/>
                <w:color w:val="auto"/>
              </w:rPr>
              <w:t>(d) Exhibits.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980" w:type="dxa"/>
            <w:vAlign w:val="bottom"/>
          </w:tcPr>
          <w:p>
            <w:pPr>
              <w:jc w:val="center"/>
              <w:ind w:left="257"/>
              <w:spacing w:after="0"/>
              <w:rPr>
                <w:sz w:val="20"/>
                <w:szCs w:val="20"/>
                <w:color w:val="auto"/>
              </w:rPr>
            </w:pPr>
            <w:r>
              <w:rPr>
                <w:rFonts w:ascii="Calibri" w:cs="Calibri" w:eastAsia="Calibri" w:hAnsi="Calibri"/>
                <w:sz w:val="14"/>
                <w:szCs w:val="14"/>
                <w:b w:val="1"/>
                <w:bCs w:val="1"/>
                <w:color w:val="auto"/>
                <w:w w:val="99"/>
              </w:rPr>
              <w:t>Exhibit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40" w:type="dxa"/>
            <w:vAlign w:val="bottom"/>
            <w:gridSpan w:val="3"/>
            <w:vMerge w:val="restart"/>
          </w:tcPr>
          <w:p>
            <w:pPr>
              <w:spacing w:after="0"/>
              <w:rPr>
                <w:sz w:val="20"/>
                <w:szCs w:val="20"/>
                <w:color w:val="auto"/>
              </w:rPr>
            </w:pPr>
            <w:r>
              <w:rPr>
                <w:rFonts w:ascii="Calibri" w:cs="Calibri" w:eastAsia="Calibri" w:hAnsi="Calibri"/>
                <w:sz w:val="14"/>
                <w:szCs w:val="14"/>
                <w:b w:val="1"/>
                <w:bCs w:val="1"/>
                <w:color w:val="auto"/>
              </w:rPr>
              <w:t>Descripton</w:t>
            </w:r>
          </w:p>
        </w:tc>
        <w:tc>
          <w:tcPr>
            <w:tcW w:w="104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rPr>
              <w:t>Filed Herewith</w:t>
            </w:r>
          </w:p>
        </w:tc>
        <w:tc>
          <w:tcPr>
            <w:tcW w:w="0" w:type="dxa"/>
            <w:vAlign w:val="bottom"/>
          </w:tcPr>
          <w:p>
            <w:pPr>
              <w:spacing w:after="0"/>
              <w:rPr>
                <w:sz w:val="1"/>
                <w:szCs w:val="1"/>
                <w:color w:val="auto"/>
              </w:rPr>
            </w:pPr>
          </w:p>
        </w:tc>
      </w:tr>
      <w:tr>
        <w:trPr>
          <w:trHeight w:val="170"/>
        </w:trPr>
        <w:tc>
          <w:tcPr>
            <w:tcW w:w="980" w:type="dxa"/>
            <w:vAlign w:val="bottom"/>
          </w:tcPr>
          <w:p>
            <w:pPr>
              <w:jc w:val="center"/>
              <w:ind w:left="257"/>
              <w:spacing w:after="0"/>
              <w:rPr>
                <w:sz w:val="20"/>
                <w:szCs w:val="20"/>
                <w:color w:val="auto"/>
              </w:rPr>
            </w:pPr>
            <w:r>
              <w:rPr>
                <w:rFonts w:ascii="Calibri" w:cs="Calibri" w:eastAsia="Calibri" w:hAnsi="Calibri"/>
                <w:sz w:val="14"/>
                <w:szCs w:val="14"/>
                <w:b w:val="1"/>
                <w:bCs w:val="1"/>
                <w:color w:val="auto"/>
              </w:rPr>
              <w:t>Number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40" w:type="dxa"/>
            <w:vAlign w:val="bottom"/>
            <w:gridSpan w:val="3"/>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80" w:type="dxa"/>
            <w:vAlign w:val="bottom"/>
          </w:tcPr>
          <w:p>
            <w:pPr>
              <w:jc w:val="center"/>
              <w:ind w:left="257"/>
              <w:spacing w:after="0" w:line="169" w:lineRule="exact"/>
              <w:rPr>
                <w:sz w:val="20"/>
                <w:szCs w:val="20"/>
                <w:color w:val="auto"/>
              </w:rPr>
            </w:pPr>
            <w:r>
              <w:rPr>
                <w:rFonts w:ascii="Calibri" w:cs="Calibri" w:eastAsia="Calibri" w:hAnsi="Calibri"/>
                <w:sz w:val="18"/>
                <w:szCs w:val="18"/>
                <w:color w:val="auto"/>
              </w:rPr>
              <w:t>99.1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40" w:type="dxa"/>
            <w:vAlign w:val="bottom"/>
            <w:gridSpan w:val="2"/>
          </w:tcPr>
          <w:p>
            <w:pPr>
              <w:spacing w:after="0" w:line="169" w:lineRule="exact"/>
              <w:rPr>
                <w:sz w:val="20"/>
                <w:szCs w:val="20"/>
                <w:color w:val="auto"/>
              </w:rPr>
            </w:pPr>
            <w:r>
              <w:rPr>
                <w:rFonts w:ascii="Calibri" w:cs="Calibri" w:eastAsia="Calibri" w:hAnsi="Calibri"/>
                <w:sz w:val="18"/>
                <w:szCs w:val="18"/>
                <w:color w:val="0000FF"/>
              </w:rPr>
              <w:t>Press Release of Synchronoss Technologies, Inc. dated December 12, 2024.</w:t>
            </w:r>
          </w:p>
        </w:tc>
        <w:tc>
          <w:tcPr>
            <w:tcW w:w="10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00" w:type="dxa"/>
            <w:vAlign w:val="bottom"/>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SIGNATURES</w:t>
      </w:r>
    </w:p>
    <w:p>
      <w:pPr>
        <w:spacing w:after="0" w:line="217" w:lineRule="exact"/>
        <w:rPr>
          <w:sz w:val="20"/>
          <w:szCs w:val="20"/>
          <w:color w:val="auto"/>
        </w:rPr>
      </w:pPr>
    </w:p>
    <w:p>
      <w:pPr>
        <w:ind w:firstLine="324"/>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hereunto duly authorized.</w:t>
      </w:r>
    </w:p>
    <w:p>
      <w:pPr>
        <w:spacing w:after="0" w:line="240"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Date: December 12, 2024</w:t>
      </w:r>
    </w:p>
    <w:p>
      <w:pPr>
        <w:spacing w:after="0" w:line="347" w:lineRule="exact"/>
        <w:rPr>
          <w:sz w:val="20"/>
          <w:szCs w:val="20"/>
          <w:color w:val="auto"/>
        </w:rPr>
      </w:pPr>
    </w:p>
    <w:p>
      <w:pPr>
        <w:ind w:left="4420"/>
        <w:spacing w:after="0"/>
        <w:rPr>
          <w:sz w:val="20"/>
          <w:szCs w:val="20"/>
          <w:color w:val="auto"/>
        </w:rPr>
      </w:pPr>
      <w:r>
        <w:rPr>
          <w:rFonts w:ascii="Calibri" w:cs="Calibri" w:eastAsia="Calibri" w:hAnsi="Calibri"/>
          <w:sz w:val="18"/>
          <w:szCs w:val="18"/>
          <w:b w:val="1"/>
          <w:bCs w:val="1"/>
          <w:color w:val="auto"/>
        </w:rPr>
        <w:t>Synchronoss Technologies, Inc.</w:t>
      </w:r>
    </w:p>
    <w:p>
      <w:pPr>
        <w:spacing w:after="0" w:line="10" w:lineRule="exact"/>
        <w:rPr>
          <w:sz w:val="20"/>
          <w:szCs w:val="20"/>
          <w:color w:val="auto"/>
        </w:rPr>
      </w:pPr>
    </w:p>
    <w:p>
      <w:pPr>
        <w:ind w:left="4420"/>
        <w:spacing w:after="0"/>
        <w:rPr>
          <w:sz w:val="20"/>
          <w:szCs w:val="20"/>
          <w:color w:val="auto"/>
        </w:rPr>
      </w:pPr>
      <w:r>
        <w:rPr>
          <w:rFonts w:ascii="Calibri" w:cs="Calibri" w:eastAsia="Calibri" w:hAnsi="Calibri"/>
          <w:sz w:val="18"/>
          <w:szCs w:val="18"/>
          <w:color w:val="auto"/>
        </w:rPr>
        <w:t>/s/ Jefrey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14605</wp:posOffset>
            </wp:positionV>
            <wp:extent cx="2366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3" w:lineRule="exact"/>
        <w:rPr>
          <w:sz w:val="20"/>
          <w:szCs w:val="20"/>
          <w:color w:val="auto"/>
        </w:rPr>
      </w:pPr>
    </w:p>
    <w:p>
      <w:pPr>
        <w:ind w:left="3740"/>
        <w:spacing w:after="0"/>
        <w:tabs>
          <w:tab w:leader="none" w:pos="4400" w:val="left"/>
        </w:tabs>
        <w:rPr>
          <w:sz w:val="20"/>
          <w:szCs w:val="20"/>
          <w:color w:val="auto"/>
        </w:rPr>
      </w:pPr>
      <w:r>
        <w:rPr>
          <w:rFonts w:ascii="Calibri" w:cs="Calibri" w:eastAsia="Calibri" w:hAnsi="Calibri"/>
          <w:sz w:val="18"/>
          <w:szCs w:val="18"/>
          <w:color w:val="auto"/>
        </w:rPr>
        <w:t>Name:</w:t>
      </w:r>
      <w:r>
        <w:rPr>
          <w:sz w:val="20"/>
          <w:szCs w:val="20"/>
          <w:color w:val="auto"/>
        </w:rPr>
        <w:tab/>
      </w:r>
      <w:r>
        <w:rPr>
          <w:rFonts w:ascii="Calibri" w:cs="Calibri" w:eastAsia="Calibri" w:hAnsi="Calibri"/>
          <w:sz w:val="18"/>
          <w:szCs w:val="18"/>
          <w:b w:val="1"/>
          <w:bCs w:val="1"/>
          <w:color w:val="auto"/>
        </w:rPr>
        <w:t>Jefrey Miller</w:t>
      </w:r>
    </w:p>
    <w:p>
      <w:pPr>
        <w:spacing w:after="0" w:line="10" w:lineRule="exact"/>
        <w:rPr>
          <w:sz w:val="20"/>
          <w:szCs w:val="20"/>
          <w:color w:val="auto"/>
        </w:rPr>
      </w:pPr>
    </w:p>
    <w:p>
      <w:pPr>
        <w:ind w:left="3860"/>
        <w:spacing w:after="0"/>
        <w:tabs>
          <w:tab w:leader="none" w:pos="4400" w:val="left"/>
        </w:tabs>
        <w:rPr>
          <w:sz w:val="20"/>
          <w:szCs w:val="20"/>
          <w:color w:val="auto"/>
        </w:rPr>
      </w:pPr>
      <w:r>
        <w:rPr>
          <w:rFonts w:ascii="Calibri" w:cs="Calibri" w:eastAsia="Calibri" w:hAnsi="Calibri"/>
          <w:sz w:val="18"/>
          <w:szCs w:val="18"/>
          <w:color w:val="auto"/>
        </w:rPr>
        <w:t>Title:</w:t>
      </w:r>
      <w:r>
        <w:rPr>
          <w:sz w:val="20"/>
          <w:szCs w:val="20"/>
          <w:color w:val="auto"/>
        </w:rPr>
        <w:tab/>
      </w:r>
      <w:r>
        <w:rPr>
          <w:rFonts w:ascii="Calibri" w:cs="Calibri" w:eastAsia="Calibri" w:hAnsi="Calibri"/>
          <w:sz w:val="18"/>
          <w:szCs w:val="18"/>
          <w:b w:val="1"/>
          <w:bCs w:val="1"/>
          <w:color w:val="auto"/>
        </w:rPr>
        <w:t>Chief Executve Ofcer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2</w:t>
      </w:r>
    </w:p>
    <w:p>
      <w:pPr>
        <w:sectPr>
          <w:pgSz w:w="11900" w:h="16838" w:orient="portrait"/>
          <w:cols w:equalWidth="0" w:num="1">
            <w:col w:w="11240"/>
          </w:cols>
          <w:pgMar w:left="320" w:top="922" w:right="339" w:bottom="1440" w:gutter="0" w:footer="0" w:header="0"/>
        </w:sectPr>
      </w:pPr>
    </w:p>
    <w:bookmarkStart w:id="2" w:name="page3"/>
    <w:bookmarkEnd w:id="2"/>
    <w:p>
      <w:pPr>
        <w:ind w:left="10260"/>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1354455"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445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Calibri" w:cs="Calibri" w:eastAsia="Calibri" w:hAnsi="Calibri"/>
          <w:sz w:val="29"/>
          <w:szCs w:val="29"/>
          <w:b w:val="1"/>
          <w:bCs w:val="1"/>
          <w:color w:val="auto"/>
        </w:rPr>
        <w:t>Synchronoss Announces Three-Year Contract Extension with Major U.S Telecom Provider</w:t>
      </w:r>
    </w:p>
    <w:p>
      <w:pPr>
        <w:spacing w:after="0" w:line="226" w:lineRule="exact"/>
        <w:rPr>
          <w:sz w:val="20"/>
          <w:szCs w:val="20"/>
          <w:color w:val="auto"/>
        </w:rPr>
      </w:pPr>
    </w:p>
    <w:p>
      <w:pPr>
        <w:jc w:val="center"/>
        <w:spacing w:after="0" w:line="223" w:lineRule="auto"/>
        <w:rPr>
          <w:sz w:val="20"/>
          <w:szCs w:val="20"/>
          <w:color w:val="auto"/>
        </w:rPr>
      </w:pPr>
      <w:r>
        <w:rPr>
          <w:rFonts w:ascii="Calibri" w:cs="Calibri" w:eastAsia="Calibri" w:hAnsi="Calibri"/>
          <w:sz w:val="22"/>
          <w:szCs w:val="22"/>
          <w:i w:val="1"/>
          <w:iCs w:val="1"/>
          <w:color w:val="auto"/>
        </w:rPr>
        <w:t>Synchronoss Personal Cloud Enables Subscribers to Securely Backup, Manage, and Share All Types of Content Between Smartphones, Devices, and the Cloud</w:t>
      </w:r>
    </w:p>
    <w:p>
      <w:pPr>
        <w:spacing w:after="0" w:line="230" w:lineRule="exact"/>
        <w:rPr>
          <w:sz w:val="20"/>
          <w:szCs w:val="20"/>
          <w:color w:val="auto"/>
        </w:rPr>
      </w:pPr>
    </w:p>
    <w:p>
      <w:pPr>
        <w:ind w:right="120"/>
        <w:spacing w:after="0" w:line="220" w:lineRule="auto"/>
        <w:rPr>
          <w:sz w:val="20"/>
          <w:szCs w:val="20"/>
          <w:color w:val="auto"/>
        </w:rPr>
      </w:pPr>
      <w:r>
        <w:rPr>
          <w:rFonts w:ascii="Calibri" w:cs="Calibri" w:eastAsia="Calibri" w:hAnsi="Calibri"/>
          <w:sz w:val="22"/>
          <w:szCs w:val="22"/>
          <w:b w:val="1"/>
          <w:bCs w:val="1"/>
          <w:color w:val="auto"/>
        </w:rPr>
        <w:t xml:space="preserve">BRIDGEWATER, NJ (December 12, 2024) </w:t>
      </w:r>
      <w:r>
        <w:rPr>
          <w:rFonts w:ascii="Calibri" w:cs="Calibri" w:eastAsia="Calibri" w:hAnsi="Calibri"/>
          <w:sz w:val="22"/>
          <w:szCs w:val="22"/>
          <w:color w:val="auto"/>
        </w:rPr>
        <w:t>– Synchronoss Technologies, Inc. (“Synchronoss” or the “Company”) (NASDAQ: SNCR),</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 global leader and innovator in personal cloud platorms, today announced a three-year contract extension with a leading U.S. telecom provider. Synchronoss Personal Cloud™ enables the provider to deliver cloud oferings for users to securely backup, manage, and share content across smartphones, devices, and the cloud.</w:t>
      </w:r>
    </w:p>
    <w:p>
      <w:pPr>
        <w:spacing w:after="0" w:line="230" w:lineRule="exact"/>
        <w:rPr>
          <w:sz w:val="20"/>
          <w:szCs w:val="20"/>
          <w:color w:val="auto"/>
        </w:rPr>
      </w:pPr>
    </w:p>
    <w:p>
      <w:pPr>
        <w:ind w:right="60"/>
        <w:spacing w:after="0" w:line="217" w:lineRule="auto"/>
        <w:rPr>
          <w:sz w:val="20"/>
          <w:szCs w:val="20"/>
          <w:color w:val="auto"/>
        </w:rPr>
      </w:pPr>
      <w:r>
        <w:rPr>
          <w:rFonts w:ascii="Calibri" w:cs="Calibri" w:eastAsia="Calibri" w:hAnsi="Calibri"/>
          <w:sz w:val="22"/>
          <w:szCs w:val="22"/>
          <w:color w:val="auto"/>
        </w:rPr>
        <w:t>“We’re proud of our long-standing relatonship with this key partner and the contnued growth of our cloud user base,” said Jef Miller, President and CEO of Synchronoss. “The latest version of the Synchronoss Personal Cloud platorm integrates AI functonality, giving users new ways to enhance, create, and organize their digital content. Through AI, machine learning and other functonality, we contnue to introduce new capabilites that allow service providers to deliver value to their subscribers and, create revenue-generatng opportunites.”</w:t>
      </w:r>
    </w:p>
    <w:p>
      <w:pPr>
        <w:spacing w:after="0" w:line="230" w:lineRule="exact"/>
        <w:rPr>
          <w:sz w:val="20"/>
          <w:szCs w:val="20"/>
          <w:color w:val="auto"/>
        </w:rPr>
      </w:pPr>
    </w:p>
    <w:p>
      <w:pPr>
        <w:ind w:right="120"/>
        <w:spacing w:after="0" w:line="219" w:lineRule="auto"/>
        <w:rPr>
          <w:sz w:val="20"/>
          <w:szCs w:val="20"/>
          <w:color w:val="auto"/>
        </w:rPr>
      </w:pPr>
      <w:r>
        <w:rPr>
          <w:rFonts w:ascii="Calibri" w:cs="Calibri" w:eastAsia="Calibri" w:hAnsi="Calibri"/>
          <w:sz w:val="22"/>
          <w:szCs w:val="22"/>
          <w:color w:val="auto"/>
        </w:rPr>
        <w:t>Synchronoss Personal Cloud is a leading choice for white-label cloud solutons among global service providers and ensures data security and privacy. It provides the fexibility for operators and service providers to select which capabilites and functonality they want to ofer subscribers as part of tered plans, such as basic, value-added, and premium oferings. As a private-label, branded soluton, service providers can monetze the cloud in new ways, ofering subscribers upgrade optons to beter engage with digital content, thus reducing churn and increasing average revenue per user (ARPU).</w:t>
      </w:r>
    </w:p>
    <w:p>
      <w:pPr>
        <w:spacing w:after="0" w:line="222" w:lineRule="exact"/>
        <w:rPr>
          <w:sz w:val="20"/>
          <w:szCs w:val="20"/>
          <w:color w:val="auto"/>
        </w:rPr>
      </w:pPr>
    </w:p>
    <w:p>
      <w:pPr>
        <w:spacing w:after="0"/>
        <w:rPr>
          <w:sz w:val="20"/>
          <w:szCs w:val="20"/>
          <w:color w:val="auto"/>
        </w:rPr>
      </w:pPr>
      <w:r>
        <w:rPr>
          <w:rFonts w:ascii="Calibri" w:cs="Calibri" w:eastAsia="Calibri" w:hAnsi="Calibri"/>
          <w:sz w:val="22"/>
          <w:szCs w:val="22"/>
          <w:color w:val="auto"/>
        </w:rPr>
        <w:t>For additonal details, visit the 8K fling.</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Synchronoss</w:t>
      </w:r>
    </w:p>
    <w:p>
      <w:pPr>
        <w:spacing w:after="0" w:line="216" w:lineRule="exact"/>
        <w:rPr>
          <w:sz w:val="20"/>
          <w:szCs w:val="20"/>
          <w:color w:val="auto"/>
        </w:rPr>
      </w:pPr>
    </w:p>
    <w:p>
      <w:pPr>
        <w:ind w:right="80"/>
        <w:spacing w:after="0" w:line="219" w:lineRule="auto"/>
        <w:rPr>
          <w:sz w:val="20"/>
          <w:szCs w:val="20"/>
          <w:color w:val="auto"/>
        </w:rPr>
      </w:pPr>
      <w:r>
        <w:rPr>
          <w:rFonts w:ascii="Calibri" w:cs="Calibri" w:eastAsia="Calibri" w:hAnsi="Calibri"/>
          <w:sz w:val="22"/>
          <w:szCs w:val="22"/>
          <w:color w:val="auto"/>
        </w:rPr>
        <w:t xml:space="preserve">Synchronoss Technologies (Nasdaq: SNCR), a global leader in personal Cloud solutons, empowers service providers to establish secure and meaningful connectons with their subscribers. Our SaaS Cloud platorm simplifes onboarding processes and fosters subscriber engagement, resultng in enhanced revenue streams, reduced expenses, and faster tme-to-market. Millions of subscribers trust Synchronoss to safeguard their most cherished memories and important digital content. Explore how our Cloud-focused solutons redefne the way you connect with your digital world at </w:t>
      </w:r>
      <w:r>
        <w:rPr>
          <w:rFonts w:ascii="Calibri" w:cs="Calibri" w:eastAsia="Calibri" w:hAnsi="Calibri"/>
          <w:sz w:val="22"/>
          <w:szCs w:val="22"/>
          <w:u w:val="single" w:color="auto"/>
          <w:color w:val="0000FF"/>
        </w:rPr>
        <w:t>www.synchronoss.com</w:t>
      </w:r>
      <w:r>
        <w:rPr>
          <w:rFonts w:ascii="Calibri" w:cs="Calibri" w:eastAsia="Calibri" w:hAnsi="Calibri"/>
          <w:sz w:val="22"/>
          <w:szCs w:val="22"/>
          <w:color w:val="auto"/>
        </w:rPr>
        <w:t>.</w:t>
      </w:r>
    </w:p>
    <w:p>
      <w:pPr>
        <w:spacing w:after="0" w:line="220"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1</w:t>
      </w:r>
    </w:p>
    <w:p>
      <w:pPr>
        <w:sectPr>
          <w:pgSz w:w="11900" w:h="16838" w:orient="portrait"/>
          <w:cols w:equalWidth="0" w:num="1">
            <w:col w:w="11240"/>
          </w:cols>
          <w:pgMar w:left="320" w:top="875" w:right="339" w:bottom="1440" w:gutter="0" w:footer="0" w:header="0"/>
        </w:sectPr>
      </w:pPr>
    </w:p>
    <w:bookmarkStart w:id="3" w:name="page4"/>
    <w:bookmarkEnd w:id="3"/>
    <w:p>
      <w:pPr>
        <w:spacing w:after="0"/>
        <w:rPr>
          <w:sz w:val="20"/>
          <w:szCs w:val="20"/>
          <w:color w:val="auto"/>
        </w:rPr>
      </w:pPr>
      <w:r>
        <w:rPr>
          <w:rFonts w:ascii="Calibri" w:cs="Calibri" w:eastAsia="Calibri" w:hAnsi="Calibri"/>
          <w:sz w:val="20"/>
          <w:szCs w:val="20"/>
          <w:b w:val="1"/>
          <w:bCs w:val="1"/>
          <w:color w:val="auto"/>
        </w:rPr>
        <w:t>Media Relatons Contact:</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Domenick Cilea</w:t>
      </w:r>
    </w:p>
    <w:p>
      <w:pPr>
        <w:spacing w:after="0" w:line="225" w:lineRule="auto"/>
        <w:rPr>
          <w:sz w:val="20"/>
          <w:szCs w:val="20"/>
          <w:color w:val="auto"/>
        </w:rPr>
      </w:pPr>
      <w:r>
        <w:rPr>
          <w:rFonts w:ascii="Calibri" w:cs="Calibri" w:eastAsia="Calibri" w:hAnsi="Calibri"/>
          <w:sz w:val="20"/>
          <w:szCs w:val="20"/>
          <w:color w:val="auto"/>
        </w:rPr>
        <w:t>Springboard</w:t>
      </w:r>
    </w:p>
    <w:p>
      <w:pPr>
        <w:spacing w:after="0"/>
        <w:rPr>
          <w:sz w:val="20"/>
          <w:szCs w:val="20"/>
          <w:color w:val="auto"/>
        </w:rPr>
      </w:pPr>
      <w:r>
        <w:rPr>
          <w:rFonts w:ascii="Calibri" w:cs="Calibri" w:eastAsia="Calibri" w:hAnsi="Calibri"/>
          <w:sz w:val="20"/>
          <w:szCs w:val="20"/>
          <w:u w:val="single" w:color="auto"/>
          <w:color w:val="3051F2"/>
        </w:rPr>
        <w:t>dcilea@springboardpr.com</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Investor Relatons Contact:</w:t>
      </w:r>
    </w:p>
    <w:p>
      <w:pPr>
        <w:spacing w:after="0" w:line="93" w:lineRule="exact"/>
        <w:rPr>
          <w:sz w:val="20"/>
          <w:szCs w:val="20"/>
          <w:color w:val="auto"/>
        </w:rPr>
      </w:pPr>
    </w:p>
    <w:p>
      <w:pPr>
        <w:spacing w:after="0"/>
        <w:rPr>
          <w:sz w:val="20"/>
          <w:szCs w:val="20"/>
          <w:color w:val="auto"/>
        </w:rPr>
      </w:pPr>
      <w:r>
        <w:rPr>
          <w:rFonts w:ascii="Calibri" w:cs="Calibri" w:eastAsia="Calibri" w:hAnsi="Calibri"/>
          <w:sz w:val="20"/>
          <w:szCs w:val="20"/>
          <w:color w:val="auto"/>
        </w:rPr>
        <w:t>Ryan Gardella</w:t>
      </w:r>
    </w:p>
    <w:p>
      <w:pPr>
        <w:spacing w:after="0" w:line="212" w:lineRule="auto"/>
        <w:rPr>
          <w:sz w:val="20"/>
          <w:szCs w:val="20"/>
          <w:color w:val="auto"/>
        </w:rPr>
      </w:pPr>
      <w:r>
        <w:rPr>
          <w:rFonts w:ascii="Calibri" w:cs="Calibri" w:eastAsia="Calibri" w:hAnsi="Calibri"/>
          <w:sz w:val="20"/>
          <w:szCs w:val="20"/>
          <w:color w:val="auto"/>
        </w:rPr>
        <w:t>ICR for Synchronoss</w:t>
      </w:r>
    </w:p>
    <w:p>
      <w:pPr>
        <w:spacing w:after="0" w:line="225" w:lineRule="auto"/>
        <w:rPr>
          <w:sz w:val="20"/>
          <w:szCs w:val="20"/>
          <w:color w:val="auto"/>
        </w:rPr>
      </w:pPr>
      <w:r>
        <w:rPr>
          <w:rFonts w:ascii="Calibri" w:cs="Calibri" w:eastAsia="Calibri" w:hAnsi="Calibri"/>
          <w:sz w:val="20"/>
          <w:szCs w:val="20"/>
          <w:u w:val="single" w:color="auto"/>
          <w:color w:val="0000FF"/>
        </w:rPr>
        <w:t>SNCRIR@icrinc.com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2</w:t>
      </w:r>
    </w:p>
    <w:sectPr>
      <w:pgSz w:w="11900" w:h="16838" w:orient="portrait"/>
      <w:cols w:equalWidth="0" w:num="1">
        <w:col w:w="11240"/>
      </w:cols>
      <w:pgMar w:left="320" w:top="8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2024-12-12T06:54:38Z</dcterms:created>
  <dcterms:modified xsi:type="dcterms:W3CDTF">2024-12-12T06:54:38Z</dcterms:modified>
</cp:coreProperties>
</file>