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122" w:right="239" w:bottom="1440" w:gutter="0" w:footer="0" w:header="0"/>
        </w:sectPr>
      </w:pPr>
    </w:p>
    <w:p>
      <w:pPr>
        <w:spacing w:after="0" w:line="64"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62" w:lineRule="exact"/>
        <w:rPr>
          <w:sz w:val="20"/>
          <w:szCs w:val="20"/>
          <w:color w:val="auto"/>
        </w:rPr>
      </w:pPr>
    </w:p>
    <w:p>
      <w:pPr>
        <w:sectPr>
          <w:pgSz w:w="11900" w:h="16838" w:orient="portrait"/>
          <w:cols w:equalWidth="0" w:num="2">
            <w:col w:w="3980" w:space="720"/>
            <w:col w:w="6720"/>
          </w:cols>
          <w:pgMar w:left="240" w:top="122"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000-52049</w:t>
      </w:r>
    </w:p>
    <w:p>
      <w:pPr>
        <w:sectPr>
          <w:pgSz w:w="11900" w:h="16838" w:orient="portrait"/>
          <w:cols w:equalWidth="0" w:num="1">
            <w:col w:w="11420"/>
          </w:cols>
          <w:pgMar w:left="240" w:top="122"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65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750 Route 202 South, Suite 600</w:t>
            </w:r>
          </w:p>
        </w:tc>
        <w:tc>
          <w:tcPr>
            <w:tcW w:w="1560" w:type="dxa"/>
            <w:vAlign w:val="bottom"/>
          </w:tcPr>
          <w:p>
            <w:pPr>
              <w:spacing w:after="0"/>
              <w:rPr>
                <w:sz w:val="24"/>
                <w:szCs w:val="24"/>
                <w:color w:val="auto"/>
              </w:rPr>
            </w:pPr>
          </w:p>
        </w:tc>
      </w:tr>
      <w:tr>
        <w:trPr>
          <w:trHeight w:val="220"/>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Bridgewater, New Jersey</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08807</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310"/>
        </w:trPr>
        <w:tc>
          <w:tcPr>
            <w:tcW w:w="6540" w:type="dxa"/>
            <w:vAlign w:val="bottom"/>
          </w:tcPr>
          <w:p>
            <w:pPr>
              <w:jc w:val="right"/>
              <w:ind w:right="1450"/>
              <w:spacing w:after="0"/>
              <w:rPr>
                <w:sz w:val="20"/>
                <w:szCs w:val="20"/>
                <w:color w:val="auto"/>
              </w:rPr>
            </w:pPr>
            <w:r>
              <w:rPr>
                <w:rFonts w:ascii="Arial" w:cs="Arial" w:eastAsia="Arial" w:hAnsi="Arial"/>
                <w:sz w:val="18"/>
                <w:szCs w:val="18"/>
                <w:b w:val="1"/>
                <w:bCs w:val="1"/>
                <w:color w:val="auto"/>
              </w:rPr>
              <w:t>(866) 620-3940</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122" w:right="23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jc w:val="center"/>
        <w:ind w:right="40"/>
        <w:spacing w:after="0" w:line="167"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00" w:space="720"/>
            <w:col w:w="1460" w:space="720"/>
            <w:col w:w="3760" w:space="720"/>
            <w:col w:w="2240"/>
          </w:cols>
          <w:pgMar w:left="240" w:top="122" w:right="239" w:bottom="1440" w:gutter="0" w:footer="0" w:header="0"/>
          <w:type w:val="continuous"/>
        </w:sect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Shares outstanding of the Registrant’s common stock: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jc w:val="center"/>
              <w:ind w:right="399"/>
              <w:spacing w:after="0"/>
              <w:rPr>
                <w:sz w:val="20"/>
                <w:szCs w:val="20"/>
                <w:color w:val="auto"/>
              </w:rPr>
            </w:pPr>
            <w:r>
              <w:rPr>
                <w:rFonts w:ascii="Arial" w:cs="Arial" w:eastAsia="Arial" w:hAnsi="Arial"/>
                <w:sz w:val="14"/>
                <w:szCs w:val="14"/>
                <w:color w:val="auto"/>
                <w:w w:val="91"/>
              </w:rPr>
              <w:t>Class</w:t>
            </w:r>
          </w:p>
        </w:tc>
        <w:tc>
          <w:tcPr>
            <w:tcW w:w="5500" w:type="dxa"/>
            <w:vAlign w:val="bottom"/>
          </w:tcPr>
          <w:p>
            <w:pPr>
              <w:jc w:val="center"/>
              <w:spacing w:after="0"/>
              <w:rPr>
                <w:sz w:val="20"/>
                <w:szCs w:val="20"/>
                <w:color w:val="auto"/>
              </w:rPr>
            </w:pPr>
            <w:r>
              <w:rPr>
                <w:rFonts w:ascii="Arial" w:cs="Arial" w:eastAsia="Arial" w:hAnsi="Arial"/>
                <w:sz w:val="14"/>
                <w:szCs w:val="14"/>
                <w:color w:val="auto"/>
                <w:w w:val="93"/>
              </w:rPr>
              <w:t>Outstanding at July 29, 2009</w:t>
            </w:r>
          </w:p>
        </w:tc>
      </w:tr>
      <w:tr>
        <w:trPr>
          <w:trHeight w:val="230"/>
        </w:trPr>
        <w:tc>
          <w:tcPr>
            <w:tcW w:w="5920" w:type="dxa"/>
            <w:vAlign w:val="bottom"/>
          </w:tcPr>
          <w:p>
            <w:pPr>
              <w:jc w:val="center"/>
              <w:ind w:right="399"/>
              <w:spacing w:after="0"/>
              <w:rPr>
                <w:sz w:val="20"/>
                <w:szCs w:val="20"/>
                <w:color w:val="auto"/>
              </w:rPr>
            </w:pPr>
            <w:r>
              <w:rPr>
                <w:rFonts w:ascii="Arial" w:cs="Arial" w:eastAsia="Arial" w:hAnsi="Arial"/>
                <w:sz w:val="18"/>
                <w:szCs w:val="18"/>
                <w:color w:val="auto"/>
                <w:w w:val="90"/>
              </w:rPr>
              <w:t>Common stock, $0.0001 par value</w:t>
            </w:r>
          </w:p>
        </w:tc>
        <w:tc>
          <w:tcPr>
            <w:tcW w:w="5500" w:type="dxa"/>
            <w:vAlign w:val="bottom"/>
          </w:tcPr>
          <w:p>
            <w:pPr>
              <w:jc w:val="center"/>
              <w:spacing w:after="0"/>
              <w:rPr>
                <w:sz w:val="20"/>
                <w:szCs w:val="20"/>
                <w:color w:val="auto"/>
              </w:rPr>
            </w:pPr>
            <w:r>
              <w:rPr>
                <w:rFonts w:ascii="Arial" w:cs="Arial" w:eastAsia="Arial" w:hAnsi="Arial"/>
                <w:sz w:val="18"/>
                <w:szCs w:val="18"/>
                <w:color w:val="auto"/>
                <w:w w:val="87"/>
              </w:rPr>
              <w:t>31,008,168 shares</w:t>
            </w:r>
          </w:p>
        </w:tc>
      </w:tr>
      <w:tr>
        <w:trPr>
          <w:trHeight w:val="189"/>
        </w:trPr>
        <w:tc>
          <w:tcPr>
            <w:tcW w:w="592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8"/>
        </w:trPr>
        <w:tc>
          <w:tcPr>
            <w:tcW w:w="59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18"/>
        </w:trPr>
        <w:tc>
          <w:tcPr>
            <w:tcW w:w="592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9"/>
              </w:rPr>
              <w:t>SYNCHRONOSS TECHNOLOGIES, INC.</w:t>
            </w:r>
          </w:p>
        </w:tc>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2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rPr>
              <w:t>FORM 10-Q INDEX</w:t>
            </w:r>
          </w:p>
        </w:tc>
        <w:tc>
          <w:tcPr>
            <w:tcW w:w="1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940" w:type="dxa"/>
            <w:vAlign w:val="bottom"/>
            <w:gridSpan w:val="18"/>
            <w:vMerge w:val="restart"/>
          </w:tcPr>
          <w:p>
            <w:pPr>
              <w:spacing w:after="0"/>
              <w:rPr>
                <w:sz w:val="20"/>
                <w:szCs w:val="20"/>
                <w:color w:val="auto"/>
              </w:rPr>
            </w:pPr>
            <w:r>
              <w:rPr>
                <w:rFonts w:ascii="Arial" w:cs="Arial" w:eastAsia="Arial" w:hAnsi="Arial"/>
                <w:sz w:val="18"/>
                <w:szCs w:val="18"/>
                <w:color w:val="auto"/>
              </w:rPr>
              <w:t>PART I. FINANCIAL INFORMATION</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10"/>
        </w:trPr>
        <w:tc>
          <w:tcPr>
            <w:tcW w:w="8940" w:type="dxa"/>
            <w:vAlign w:val="bottom"/>
            <w:gridSpan w:val="18"/>
            <w:vMerge w:val="continue"/>
          </w:tcPr>
          <w:p>
            <w:pPr>
              <w:spacing w:after="0"/>
              <w:rPr>
                <w:sz w:val="18"/>
                <w:szCs w:val="18"/>
                <w:color w:val="auto"/>
              </w:rPr>
            </w:pPr>
          </w:p>
        </w:tc>
        <w:tc>
          <w:tcPr>
            <w:tcW w:w="15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gridSpan w:val="18"/>
          </w:tcPr>
          <w:p>
            <w:pPr>
              <w:spacing w:after="0"/>
              <w:rPr>
                <w:sz w:val="20"/>
                <w:szCs w:val="20"/>
                <w:color w:val="auto"/>
              </w:rPr>
            </w:pPr>
            <w:r>
              <w:rPr>
                <w:rFonts w:ascii="Arial" w:cs="Arial" w:eastAsia="Arial" w:hAnsi="Arial"/>
                <w:sz w:val="18"/>
                <w:szCs w:val="18"/>
                <w:color w:val="auto"/>
              </w:rPr>
              <w:t>Item 1. Consolidated Financial Statements and Notes</w:t>
            </w: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29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(unaudited)</w:t>
              </w:r>
            </w:hyperlink>
          </w:p>
        </w:tc>
        <w:tc>
          <w:tcPr>
            <w:tcW w:w="5760" w:type="dxa"/>
            <w:vAlign w:val="bottom"/>
            <w:gridSpan w:val="8"/>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36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w:t>
              </w:r>
            </w:hyperlink>
          </w:p>
        </w:tc>
        <w:tc>
          <w:tcPr>
            <w:tcW w:w="5040" w:type="dxa"/>
            <w:vAlign w:val="bottom"/>
            <w:gridSpan w:val="7"/>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37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(unaudited)</w:t>
              </w:r>
            </w:hyperlink>
          </w:p>
        </w:tc>
        <w:tc>
          <w:tcPr>
            <w:tcW w:w="4980" w:type="dxa"/>
            <w:vAlign w:val="bottom"/>
            <w:gridSpan w:val="6"/>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4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 (unaudited)</w:t>
              </w:r>
            </w:hyperlink>
          </w:p>
        </w:tc>
        <w:tc>
          <w:tcPr>
            <w:tcW w:w="4700" w:type="dxa"/>
            <w:vAlign w:val="bottom"/>
            <w:gridSpan w:val="5"/>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Item 4. Controls and Procedures</w:t>
              </w:r>
            </w:hyperlink>
          </w:p>
        </w:tc>
        <w:tc>
          <w:tcPr>
            <w:tcW w:w="6600" w:type="dxa"/>
            <w:vAlign w:val="bottom"/>
            <w:gridSpan w:val="11"/>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 OTHER INFORMATION</w:t>
              </w:r>
            </w:hyperlink>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24"/>
                <w:szCs w:val="24"/>
                <w:color w:val="auto"/>
              </w:rPr>
            </w:pPr>
          </w:p>
        </w:tc>
        <w:tc>
          <w:tcPr>
            <w:tcW w:w="6360" w:type="dxa"/>
            <w:vAlign w:val="bottom"/>
            <w:gridSpan w:val="10"/>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1A. Risk Factors</w:t>
              </w:r>
            </w:hyperlink>
          </w:p>
        </w:tc>
        <w:tc>
          <w:tcPr>
            <w:tcW w:w="7340" w:type="dxa"/>
            <w:vAlign w:val="bottom"/>
            <w:gridSpan w:val="14"/>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2. Unregistered Sales of Equity Securities and Use of Proceeds</w:t>
              </w:r>
            </w:hyperlink>
          </w:p>
        </w:tc>
        <w:tc>
          <w:tcPr>
            <w:tcW w:w="4020" w:type="dxa"/>
            <w:vAlign w:val="bottom"/>
            <w:gridSpan w:val="3"/>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 Defaults Upon Senior Securities</w:t>
              </w:r>
            </w:hyperlink>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 Submission of Matters to a Vote of Security Holders</w:t>
              </w:r>
            </w:hyperlink>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9"/>
          </w:tcPr>
          <w:p>
            <w:pPr>
              <w:spacing w:after="0"/>
              <w:rPr>
                <w:sz w:val="24"/>
                <w:szCs w:val="24"/>
                <w:color w:val="auto"/>
              </w:rPr>
            </w:pPr>
          </w:p>
        </w:tc>
        <w:tc>
          <w:tcPr>
            <w:tcW w:w="4620" w:type="dxa"/>
            <w:vAlign w:val="bottom"/>
            <w:gridSpan w:val="4"/>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 Exhibits</w:t>
              </w:r>
            </w:hyperlink>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3"/>
          </w:tcPr>
          <w:p>
            <w:pPr>
              <w:spacing w:after="0"/>
              <w:rPr>
                <w:rFonts w:ascii="Arial" w:cs="Arial" w:eastAsia="Arial" w:hAnsi="Arial"/>
                <w:sz w:val="18"/>
                <w:szCs w:val="18"/>
                <w:color w:val="0000EE"/>
                <w:w w:val="97"/>
              </w:rPr>
            </w:pPr>
            <w:hyperlink w:anchor="page24">
              <w:r>
                <w:rPr>
                  <w:rFonts w:ascii="Arial" w:cs="Arial" w:eastAsia="Arial" w:hAnsi="Arial"/>
                  <w:sz w:val="18"/>
                  <w:szCs w:val="18"/>
                  <w:color w:val="0000EE"/>
                  <w:w w:val="97"/>
                </w:rPr>
                <w:t>SIGNATURES</w:t>
              </w:r>
            </w:hyperlink>
          </w:p>
        </w:tc>
        <w:tc>
          <w:tcPr>
            <w:tcW w:w="7780" w:type="dxa"/>
            <w:vAlign w:val="bottom"/>
            <w:gridSpan w:val="15"/>
          </w:tcPr>
          <w:p>
            <w:pPr>
              <w:spacing w:after="0"/>
              <w:rPr>
                <w:sz w:val="24"/>
                <w:szCs w:val="24"/>
                <w:color w:val="auto"/>
              </w:rPr>
            </w:pP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73,200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2,565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$255 and $193 at June 30, 2009 and December 31,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2008, respectively</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27,200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5,271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109,287</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24,956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157,001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145,319</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6,616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Lease Financing Obligation — Current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12,896</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Financing Obligation — Long Term</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8,766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tcPr>
          <w:p>
            <w:pPr>
              <w:spacing w:after="0" w:line="201" w:lineRule="exact"/>
              <w:rPr>
                <w:sz w:val="20"/>
                <w:szCs w:val="20"/>
                <w:color w:val="auto"/>
              </w:rPr>
            </w:pPr>
            <w:r>
              <w:rPr>
                <w:rFonts w:ascii="Arial" w:cs="Arial" w:eastAsia="Arial" w:hAnsi="Arial"/>
                <w:sz w:val="18"/>
                <w:szCs w:val="18"/>
                <w:color w:val="auto"/>
                <w:w w:val="93"/>
              </w:rPr>
              <w:t>Preferred stock, $0.0001 par value; 10,000 shares authorized, 0 shares issued and outstanding at June 30, 2009 and</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December 31, 2008</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$0.0001 par value; 100,000 shares authorized, 33,002 and 32,878 shares issued; 31,002 and 30,878</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June 30, 2009 and December 31, 2008, respectively</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Treasury stock, at cost (2,000 shares at June 30, 2009 and December 31, 2008)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(23,713)</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112,788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44,749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40,087</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133,980</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157,001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30,554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24,315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60,107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services *</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15,190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11,865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30,389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2,388</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6,116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4,861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11,657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4,110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26,048</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20,594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52,272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43,155</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(1,857)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(1,793)</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(3,229)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Basic</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30,769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32,400</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30,722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31,378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33,050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31,289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is shown separately.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4,662</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4,110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Non-cash interest on leased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(1,711)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3,778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Tax benefit from stock option exercise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43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fixed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Purchases of marketable securities available for sale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(1,165)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Sale of marketable securities available for 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24"/>
        </w:trPr>
        <w:tc>
          <w:tcPr>
            <w:tcW w:w="92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(8,947)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733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 option exercise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(10,444)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72,203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92,756</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73,200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4,327</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Non-cash increase in building and related lease liability</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2,123</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consolidated financial statements at June 30, 2009 and for the three and six months ended June 30, 2009 and 2008 are unaudited, but in the opinion of management include all adjustments (consisting only of normal recurring adjustments) necessary for a fair presentation of the results for the interim periods. They do not include all of the information and footnotes required by U.S. generally accepted accounting principles (“GAAP”) for complete financial statements and should be read in conjunction with the financial statements and notes in the Annual Report of Synchronoss Technologies, Inc. (the “Company” or “Synchronoss”) incorporated by reference in the Company’s Form 10-K for calendar year 2008. The consolidated financial statements include the accounts of the Company and its wholly owned subsidiaries, Synchronoss Technologies UK Ltd., Wisor Telecom Corporation (“Wisor”) and Wisor Telecom India Private Ltd. All significant intercompany balances and transactions are eliminated in consolidation. The Company has no unconsolidated subsidiaries or investments accounted for under the equity method. The results reported in these consolidated financial statements should not necessarily be taken as indicative of results that may be expected for the entire year. The balance sheet at December 31, 2008 has been derived from the audited financial statements at that date but does not include all of the information and footnotes required by GAAP for complete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140" w:firstLine="225"/>
        <w:spacing w:after="0" w:line="286" w:lineRule="auto"/>
        <w:rPr>
          <w:sz w:val="20"/>
          <w:szCs w:val="20"/>
          <w:color w:val="auto"/>
        </w:rPr>
      </w:pPr>
      <w:r>
        <w:rPr>
          <w:rFonts w:ascii="Arial" w:cs="Arial" w:eastAsia="Arial" w:hAnsi="Arial"/>
          <w:sz w:val="16"/>
          <w:szCs w:val="16"/>
          <w:color w:val="auto"/>
        </w:rPr>
        <w:t>Synchronoss Technologies, Inc. (the “Company” or “Synchronoss”) is a leading provider of on-demand transaction management platforms that enable communications service providers (CSPs), equipment manufacturers with embedded connectivity (e.g., handsets, mobile internet devices, laptops, cameras, etc.) (EMECs) and other customers to automate subscriber activation, order management and service provisioning from any channel (e.g., e-commerce, telesales, customer stores and other retail outlets, etc.) to any communication service (e.g., wireless, high speed access, local access, Internet Protocol TV, cable satellite TV, etc.) across any device type. The Company’s business model enables delivery of its proprietary solutions over the Web as a service. The Company’s ConvergenceNow</w:t>
      </w:r>
      <w:r>
        <w:rPr>
          <w:rFonts w:ascii="Arial" w:cs="Arial" w:eastAsia="Arial" w:hAnsi="Arial"/>
          <w:sz w:val="13"/>
          <w:szCs w:val="13"/>
          <w:color w:val="auto"/>
        </w:rPr>
        <w:t>®</w:t>
      </w:r>
      <w:r>
        <w:rPr>
          <w:rFonts w:ascii="Arial" w:cs="Arial" w:eastAsia="Arial" w:hAnsi="Arial"/>
          <w:sz w:val="16"/>
          <w:szCs w:val="16"/>
          <w:color w:val="auto"/>
        </w:rPr>
        <w:t xml:space="preserve"> platforms (including ConvergenceNow</w:t>
      </w:r>
      <w:r>
        <w:rPr>
          <w:rFonts w:ascii="Arial" w:cs="Arial" w:eastAsia="Arial" w:hAnsi="Arial"/>
          <w:sz w:val="13"/>
          <w:szCs w:val="13"/>
          <w:color w:val="auto"/>
        </w:rPr>
        <w:t>®</w:t>
      </w:r>
      <w:r>
        <w:rPr>
          <w:rFonts w:ascii="Arial" w:cs="Arial" w:eastAsia="Arial" w:hAnsi="Arial"/>
          <w:sz w:val="16"/>
          <w:szCs w:val="16"/>
          <w:color w:val="auto"/>
        </w:rPr>
        <w:t xml:space="preserve"> Plus</w:t>
      </w:r>
      <w:r>
        <w:rPr>
          <w:rFonts w:ascii="Arial" w:cs="Arial" w:eastAsia="Arial" w:hAnsi="Arial"/>
          <w:sz w:val="13"/>
          <w:szCs w:val="13"/>
          <w:color w:val="auto"/>
        </w:rPr>
        <w:t>+</w:t>
      </w:r>
      <w:r>
        <w:rPr>
          <w:rFonts w:ascii="Arial" w:cs="Arial" w:eastAsia="Arial" w:hAnsi="Arial"/>
          <w:sz w:val="16"/>
          <w:szCs w:val="16"/>
          <w:color w:val="auto"/>
        </w:rPr>
        <w:t xml:space="preserve"> and InterconnectNow™) provide end-to-end seamless integration between customer-facing channels/applications, communication services, devices and “back-office” infrastructure-related systems and processes. The Company’s customers rely on the Company’s Web-based solutions and technology to automate the process of activating customers while delivering additional communication services, including new service offerings and ongoing customer care. Synchronoss has designed its ConvergenceNow</w:t>
      </w:r>
      <w:r>
        <w:rPr>
          <w:rFonts w:ascii="Arial" w:cs="Arial" w:eastAsia="Arial" w:hAnsi="Arial"/>
          <w:sz w:val="13"/>
          <w:szCs w:val="13"/>
          <w:color w:val="auto"/>
        </w:rPr>
        <w:t>®</w:t>
      </w:r>
      <w:r>
        <w:rPr>
          <w:rFonts w:ascii="Arial" w:cs="Arial" w:eastAsia="Arial" w:hAnsi="Arial"/>
          <w:sz w:val="16"/>
          <w:szCs w:val="16"/>
          <w:color w:val="auto"/>
        </w:rPr>
        <w:t xml:space="preserve"> platforms to be flexible and scalable to enable multiple converged communication services to be managed across multiple distribution channels, including e-commerce, telesales, customer stores and other retail outlets, etc., allowing the Company to meet the rapidly changing and converging services offered by its customers. By simplifying the processes associated with managing the Company’s customers’ subscribers’ experience for ordering and activating services through the use of the Company’s ConvergenceNow</w:t>
      </w:r>
      <w:r>
        <w:rPr>
          <w:rFonts w:ascii="Arial" w:cs="Arial" w:eastAsia="Arial" w:hAnsi="Arial"/>
          <w:sz w:val="13"/>
          <w:szCs w:val="13"/>
          <w:color w:val="auto"/>
        </w:rPr>
        <w:t>®</w:t>
      </w:r>
      <w:r>
        <w:rPr>
          <w:rFonts w:ascii="Arial" w:cs="Arial" w:eastAsia="Arial" w:hAnsi="Arial"/>
          <w:sz w:val="16"/>
          <w:szCs w:val="16"/>
          <w:color w:val="auto"/>
        </w:rPr>
        <w:t xml:space="preserve"> platforms to automate and integrate their disparate systems, Synchronoss enables its customers to acquire, retain, and service subscribers quickly, reliably and cost-effectively.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 Basis of Presentation</w:t>
      </w:r>
    </w:p>
    <w:p>
      <w:pPr>
        <w:spacing w:after="0" w:line="121"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For further information about the Company’s basis of presentation or its significant accounting policies, refer to the financial statements and footnotes thereto included in the Company’s annual report on Form 10-K for the year ended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117" w:lineRule="exact"/>
        <w:rPr>
          <w:sz w:val="20"/>
          <w:szCs w:val="20"/>
          <w:color w:val="auto"/>
        </w:rPr>
      </w:pPr>
    </w:p>
    <w:p>
      <w:pPr>
        <w:jc w:val="both"/>
        <w:ind w:right="160" w:firstLine="225"/>
        <w:spacing w:after="0" w:line="279" w:lineRule="auto"/>
        <w:rPr>
          <w:sz w:val="20"/>
          <w:szCs w:val="20"/>
          <w:color w:val="auto"/>
        </w:rPr>
      </w:pPr>
      <w:r>
        <w:rPr>
          <w:rFonts w:ascii="Arial" w:cs="Arial" w:eastAsia="Arial" w:hAnsi="Arial"/>
          <w:sz w:val="17"/>
          <w:szCs w:val="17"/>
          <w:i w:val="1"/>
          <w:iCs w:val="1"/>
          <w:color w:val="auto"/>
        </w:rPr>
        <w:t>Staff Position No. 115-2, Financial Accounting Standards (FAS) 124-2 and Emerging Issues Task Force (EITF) 99-20-2, Recognition and Presentation of Other-Than-Temporary Impairments (FASB Staff Position (FSP) 115-2)</w:t>
      </w:r>
      <w:r>
        <w:rPr>
          <w:rFonts w:ascii="Arial" w:cs="Arial" w:eastAsia="Arial" w:hAnsi="Arial"/>
          <w:sz w:val="17"/>
          <w:szCs w:val="17"/>
          <w:color w:val="auto"/>
        </w:rPr>
        <w:t>. FSP 115-2 provides new guidance on the recognition of an Other Than Temporary</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and provides new disclosure requirements. The recognition and presentation provisions apply only to debt securities classified as available-for-sale and held to maturity. The adoption of this standard had no impact on the Company’s historical accounting.</w:t>
      </w:r>
    </w:p>
    <w:p>
      <w:pPr>
        <w:spacing w:after="0" w:line="6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Staff Position No. FAS 107-1 and Accounting Principles Board (APB) 28-1, Interim Disclosures about Fair Value of Financial Instruments; an amendment of Financial Accounting Standards Board (FASB) Statement No 107 (FSP 107-1)</w:t>
      </w:r>
      <w:r>
        <w:rPr>
          <w:rFonts w:ascii="Arial" w:cs="Arial" w:eastAsia="Arial" w:hAnsi="Arial"/>
          <w:sz w:val="18"/>
          <w:szCs w:val="18"/>
          <w:color w:val="auto"/>
        </w:rPr>
        <w:t>. FSP 107-1 extends the disclosure requirements to FASB Statement No. 107,</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about Fair Value of Financial Instruments (Statement No. 107), to interim financial statements of publicly traded companies. Statement No. 107 requires disclosures of the fair value of all financial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instruments (recognized or unrecognized), when practicable to do so. These fair value disclosures must be presented together with the carrying amount of the financial instruments in a manner that clearly distinguishes between assets and liabilities and indicates how the carrying amounts relate to amounts reported on the balance sheet. An entity must also disclose the methods and significant assumptions used to estimate the fair value of the financial instruments.</w:t>
      </w:r>
    </w:p>
    <w:p>
      <w:pPr>
        <w:spacing w:after="0" w:line="3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FASB Staff Position No. FAS 157-4, Determining Fair Value When the Volume and Level of Activity for the Asset or Liability has Significantly Decreased and Identifying Transactions that are Not Orderly (FSP 157-4). FSP 157-4 amends FASB Statement No. 157, Fair Value Measurement, to provide additional guidance on estimating fair value when the volume and level of activity for an asset or liability has significantly decreased in relation to normal market activity for the asset or liability.</w:t>
      </w:r>
    </w:p>
    <w:p>
      <w:pPr>
        <w:spacing w:after="0" w:line="79"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 xml:space="preserve">FASB Statement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provides authoritative literature for a topic that was previously addressed only in the accounting literature, AICPA AU Section 560, Subsequent Events. The new statement resulted in three modifications to the guidance under AU Section 560: 1. The names of the two types of subsequent events have been changed to </w:t>
      </w:r>
      <w:r>
        <w:rPr>
          <w:rFonts w:ascii="Arial" w:cs="Arial" w:eastAsia="Arial" w:hAnsi="Arial"/>
          <w:sz w:val="18"/>
          <w:szCs w:val="18"/>
          <w:i w:val="1"/>
          <w:iCs w:val="1"/>
          <w:color w:val="auto"/>
        </w:rPr>
        <w:t>recognized</w:t>
      </w:r>
      <w:r>
        <w:rPr>
          <w:rFonts w:ascii="Arial" w:cs="Arial" w:eastAsia="Arial" w:hAnsi="Arial"/>
          <w:sz w:val="18"/>
          <w:szCs w:val="18"/>
          <w:color w:val="auto"/>
        </w:rPr>
        <w:t xml:space="preserve"> subsequent events (currently referred to as Type I) or </w:t>
      </w:r>
      <w:r>
        <w:rPr>
          <w:rFonts w:ascii="Arial" w:cs="Arial" w:eastAsia="Arial" w:hAnsi="Arial"/>
          <w:sz w:val="18"/>
          <w:szCs w:val="18"/>
          <w:i w:val="1"/>
          <w:iCs w:val="1"/>
          <w:color w:val="auto"/>
        </w:rPr>
        <w:t>non-recognized</w:t>
      </w:r>
      <w:r>
        <w:rPr>
          <w:rFonts w:ascii="Arial" w:cs="Arial" w:eastAsia="Arial" w:hAnsi="Arial"/>
          <w:sz w:val="18"/>
          <w:szCs w:val="18"/>
          <w:color w:val="auto"/>
        </w:rPr>
        <w:t xml:space="preserve"> subsequent events (currently referred to as Type II); 2. The definition of subsequent events has been modified to refer to events or transactions that occur after the balance sheet date, but before the issuance of the financial statements; and 3. Establishing a requirement for all entities to disclose the date through which the entity has evaluated subsequent events.</w:t>
      </w:r>
    </w:p>
    <w:p>
      <w:pPr>
        <w:spacing w:after="0" w:line="85"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Company adopted the above standards during the quarter-ended June 30, 2009. The adoption of these accounting pronouncements did not have a material impact on the consolidated financial statements.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June 2009, the FASB issued SFAS 168, “The FASB Accounting Standards Codification and the Hierarchy of Generally Accepted Accounting Principles</w:t>
      </w:r>
    </w:p>
    <w:p>
      <w:pPr>
        <w:spacing w:after="0" w:line="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a replacement of FASB Statement No. 162” (the “Codification”). The Codification does not change current GAAP but reorganizes all authoritative literature in one place. SFAS 168 is effective for financial statements issued for interim and annual periods ending after September 15, 2009. Once effective, the Codification will supersede existing GAAP and become the source of authoritative accounting principles recognized by the FASB. The adoption of SFAS 168 will not have an impact on the Company’s results of operations, financial condition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Common Share</w:t>
      </w:r>
    </w:p>
    <w:p>
      <w:pPr>
        <w:spacing w:after="0" w:line="121"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 xml:space="preserve">The Company calculates net income per share in accordance with Statement of Financial Accounting Standards (SFAS) No. 128,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The following table provides a reconciliation of the numerator and denominator used in computing basic and diluted net income attributable to common stockholders per common share. Stock options that are anti-dilutive and excluded from the following table totaled 523 and 789 for the three months ended June 30, 2009 and 2008, respectively and 1,217 and 761 for the six months ended June 30, 2009 and 2008,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74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3"/>
          </w:tcPr>
          <w:p>
            <w:pPr>
              <w:jc w:val="right"/>
              <w:ind w:right="40"/>
              <w:spacing w:after="0"/>
              <w:rPr>
                <w:sz w:val="20"/>
                <w:szCs w:val="20"/>
                <w:color w:val="auto"/>
              </w:rPr>
            </w:pPr>
            <w:r>
              <w:rPr>
                <w:rFonts w:ascii="Arial" w:cs="Arial" w:eastAsia="Arial" w:hAnsi="Arial"/>
                <w:sz w:val="18"/>
                <w:szCs w:val="18"/>
                <w:color w:val="auto"/>
              </w:rPr>
              <w:t>$  2,557</w:t>
            </w: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  2,555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  4,662</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  6,861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380" w:type="dxa"/>
            <w:vAlign w:val="bottom"/>
            <w:gridSpan w:val="3"/>
          </w:tcPr>
          <w:p>
            <w:pPr>
              <w:jc w:val="right"/>
              <w:ind w:right="40"/>
              <w:spacing w:after="0"/>
              <w:rPr>
                <w:sz w:val="20"/>
                <w:szCs w:val="20"/>
                <w:color w:val="auto"/>
              </w:rPr>
            </w:pPr>
            <w:r>
              <w:rPr>
                <w:rFonts w:ascii="Arial" w:cs="Arial" w:eastAsia="Arial" w:hAnsi="Arial"/>
                <w:sz w:val="18"/>
                <w:szCs w:val="18"/>
                <w:color w:val="auto"/>
              </w:rPr>
              <w:t>30,769</w:t>
            </w: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32,400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30,722</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32,465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Options and unvested restricted shares</w:t>
            </w:r>
          </w:p>
        </w:tc>
        <w:tc>
          <w:tcPr>
            <w:tcW w:w="1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650</w:t>
            </w:r>
          </w:p>
        </w:tc>
        <w:tc>
          <w:tcPr>
            <w:tcW w:w="6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6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31,378</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33,050</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31,289</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40" w:type="dxa"/>
            <w:vAlign w:val="bottom"/>
            <w:vMerge w:val="restart"/>
          </w:tcPr>
          <w:p>
            <w:pPr>
              <w:jc w:val="right"/>
              <w:ind w:right="690"/>
              <w:spacing w:after="0"/>
              <w:rPr>
                <w:sz w:val="20"/>
                <w:szCs w:val="20"/>
                <w:color w:val="auto"/>
              </w:rPr>
            </w:pPr>
            <w:r>
              <w:rPr>
                <w:rFonts w:ascii="Arial" w:cs="Arial" w:eastAsia="Arial" w:hAnsi="Arial"/>
                <w:sz w:val="18"/>
                <w:szCs w:val="18"/>
                <w:color w:val="auto"/>
              </w:rPr>
              <w:t>6</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comprehensive income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2,557</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securities,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total 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of Cash, Cash Equivalents and Marketable Securities</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 xml:space="preserve">The following is a summary of cash, cash equivalents and marketable securities held by the Company and their related classifications under FAS 157. The Company classifies marketable securities as available-for-sale in accordance with SFAS 115, </w:t>
      </w:r>
      <w:r>
        <w:rPr>
          <w:rFonts w:ascii="Arial" w:cs="Arial" w:eastAsia="Arial" w:hAnsi="Arial"/>
          <w:sz w:val="18"/>
          <w:szCs w:val="18"/>
          <w:i w:val="1"/>
          <w:iCs w:val="1"/>
          <w:color w:val="auto"/>
        </w:rPr>
        <w:t>Accounting for Certain Investments in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2"/>
              </w:rPr>
              <w:t>Level 1</w:t>
            </w: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73,200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72,203</w:t>
            </w: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2"/>
              </w:rPr>
              <w:t>Level 2</w:t>
            </w:r>
          </w:p>
        </w:tc>
        <w:tc>
          <w:tcPr>
            <w:tcW w:w="4400" w:type="dxa"/>
            <w:vAlign w:val="bottom"/>
          </w:tcPr>
          <w:p>
            <w:pPr>
              <w:ind w:left="20"/>
              <w:spacing w:after="0"/>
              <w:rPr>
                <w:sz w:val="20"/>
                <w:szCs w:val="20"/>
                <w:color w:val="auto"/>
              </w:rPr>
            </w:pPr>
            <w:r>
              <w:rPr>
                <w:rFonts w:ascii="Arial" w:cs="Arial" w:eastAsia="Arial" w:hAnsi="Arial"/>
                <w:sz w:val="18"/>
                <w:szCs w:val="18"/>
                <w:color w:val="auto"/>
              </w:rPr>
              <w:t>(B)</w:t>
            </w:r>
          </w:p>
        </w:tc>
        <w:tc>
          <w:tcPr>
            <w:tcW w:w="4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79,470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78,763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assets include money market funds which are classified as cash equivalents.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assets include certificates of deposit which are classified as marketable securities.</w:t>
      </w:r>
    </w:p>
    <w:p>
      <w:pPr>
        <w:spacing w:after="0" w:line="11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aggregate fair value of available for sale securities and aggregate amount of unrealized gains and losses for available for sale securities at June 30, 2009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7"/>
          </w:tcPr>
          <w:p>
            <w:pPr>
              <w:jc w:val="right"/>
              <w:ind w:right="560"/>
              <w:spacing w:after="0"/>
              <w:rPr>
                <w:sz w:val="20"/>
                <w:szCs w:val="20"/>
                <w:color w:val="auto"/>
              </w:rPr>
            </w:pPr>
            <w:r>
              <w:rPr>
                <w:rFonts w:ascii="Arial" w:cs="Arial" w:eastAsia="Arial" w:hAnsi="Arial"/>
                <w:sz w:val="14"/>
                <w:szCs w:val="14"/>
                <w:color w:val="auto"/>
              </w:rPr>
              <w:t>Aggregate Amount of</w:t>
            </w:r>
          </w:p>
        </w:tc>
      </w:tr>
      <w:tr>
        <w:trPr>
          <w:trHeight w:val="167"/>
        </w:trPr>
        <w:tc>
          <w:tcPr>
            <w:tcW w:w="7440" w:type="dxa"/>
            <w:vAlign w:val="bottom"/>
          </w:tcPr>
          <w:p>
            <w:pPr>
              <w:spacing w:after="0"/>
              <w:rPr>
                <w:sz w:val="14"/>
                <w:szCs w:val="14"/>
                <w:color w:val="auto"/>
              </w:rPr>
            </w:pPr>
          </w:p>
        </w:tc>
        <w:tc>
          <w:tcPr>
            <w:tcW w:w="1620" w:type="dxa"/>
            <w:vAlign w:val="bottom"/>
            <w:gridSpan w:val="4"/>
          </w:tcPr>
          <w:p>
            <w:pPr>
              <w:jc w:val="center"/>
              <w:ind w:right="540"/>
              <w:spacing w:after="0"/>
              <w:rPr>
                <w:sz w:val="20"/>
                <w:szCs w:val="20"/>
                <w:color w:val="auto"/>
              </w:rPr>
            </w:pPr>
            <w:r>
              <w:rPr>
                <w:rFonts w:ascii="Arial" w:cs="Arial" w:eastAsia="Arial" w:hAnsi="Arial"/>
                <w:sz w:val="14"/>
                <w:szCs w:val="14"/>
                <w:color w:val="auto"/>
                <w:w w:val="92"/>
              </w:rPr>
              <w:t>Aggregate</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color w:val="auto"/>
              </w:rPr>
              <w:t>Unrealized</w:t>
            </w:r>
          </w:p>
        </w:tc>
      </w:tr>
      <w:tr>
        <w:trPr>
          <w:trHeight w:val="142"/>
        </w:trPr>
        <w:tc>
          <w:tcPr>
            <w:tcW w:w="7440" w:type="dxa"/>
            <w:vAlign w:val="bottom"/>
          </w:tcPr>
          <w:p>
            <w:pPr>
              <w:spacing w:after="0"/>
              <w:rPr>
                <w:sz w:val="12"/>
                <w:szCs w:val="12"/>
                <w:color w:val="auto"/>
              </w:rPr>
            </w:pPr>
          </w:p>
        </w:tc>
        <w:tc>
          <w:tcPr>
            <w:tcW w:w="1620" w:type="dxa"/>
            <w:vAlign w:val="bottom"/>
            <w:gridSpan w:val="4"/>
          </w:tcPr>
          <w:p>
            <w:pPr>
              <w:jc w:val="center"/>
              <w:ind w:right="540"/>
              <w:spacing w:after="0" w:line="142" w:lineRule="exact"/>
              <w:rPr>
                <w:sz w:val="20"/>
                <w:szCs w:val="20"/>
                <w:color w:val="auto"/>
              </w:rPr>
            </w:pPr>
            <w:r>
              <w:rPr>
                <w:rFonts w:ascii="Arial" w:cs="Arial" w:eastAsia="Arial" w:hAnsi="Arial"/>
                <w:sz w:val="14"/>
                <w:szCs w:val="14"/>
                <w:color w:val="auto"/>
                <w:w w:val="93"/>
              </w:rPr>
              <w:t>Fair Value</w:t>
            </w:r>
          </w:p>
        </w:tc>
        <w:tc>
          <w:tcPr>
            <w:tcW w:w="7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Gains</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3"/>
          </w:tcPr>
          <w:p>
            <w:pPr>
              <w:jc w:val="right"/>
              <w:ind w:right="240"/>
              <w:spacing w:after="0" w:line="142" w:lineRule="exact"/>
              <w:rPr>
                <w:sz w:val="20"/>
                <w:szCs w:val="20"/>
                <w:color w:val="auto"/>
              </w:rPr>
            </w:pPr>
            <w:r>
              <w:rPr>
                <w:rFonts w:ascii="Arial" w:cs="Arial" w:eastAsia="Arial" w:hAnsi="Arial"/>
                <w:sz w:val="14"/>
                <w:szCs w:val="14"/>
                <w:color w:val="auto"/>
              </w:rPr>
              <w:t>Losses</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0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8"/>
              </w:rPr>
              <w:t>2,565</w:t>
            </w:r>
          </w:p>
        </w:tc>
        <w:tc>
          <w:tcPr>
            <w:tcW w:w="540" w:type="dxa"/>
            <w:vAlign w:val="bottom"/>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Due after one year, less than five years</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8"/>
              </w:rPr>
              <w:t>3,705</w:t>
            </w:r>
          </w:p>
        </w:tc>
        <w:tc>
          <w:tcPr>
            <w:tcW w:w="5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620" w:type="dxa"/>
            <w:vAlign w:val="bottom"/>
            <w:gridSpan w:val="5"/>
          </w:tcPr>
          <w:p>
            <w:pPr>
              <w:jc w:val="right"/>
              <w:ind w:right="280"/>
              <w:spacing w:after="0"/>
              <w:rPr>
                <w:sz w:val="20"/>
                <w:szCs w:val="20"/>
                <w:color w:val="auto"/>
              </w:rPr>
            </w:pPr>
            <w:r>
              <w:rPr>
                <w:rFonts w:ascii="Arial" w:cs="Arial" w:eastAsia="Arial" w:hAnsi="Arial"/>
                <w:sz w:val="18"/>
                <w:szCs w:val="18"/>
                <w:color w:val="auto"/>
              </w:rPr>
              <w:t>(4)</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6,270</w:t>
            </w:r>
          </w:p>
        </w:tc>
        <w:tc>
          <w:tcPr>
            <w:tcW w:w="5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6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aggregate fair value of available for sale securities and aggregate amount of unrealized gains and losses for available for sale securities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7"/>
          </w:tcPr>
          <w:p>
            <w:pPr>
              <w:jc w:val="center"/>
              <w:ind w:right="340"/>
              <w:spacing w:after="0"/>
              <w:rPr>
                <w:sz w:val="20"/>
                <w:szCs w:val="20"/>
                <w:color w:val="auto"/>
              </w:rPr>
            </w:pPr>
            <w:r>
              <w:rPr>
                <w:rFonts w:ascii="Arial" w:cs="Arial" w:eastAsia="Arial" w:hAnsi="Arial"/>
                <w:sz w:val="14"/>
                <w:szCs w:val="14"/>
                <w:color w:val="auto"/>
                <w:w w:val="95"/>
              </w:rPr>
              <w:t>Aggregate Amount of</w:t>
            </w:r>
          </w:p>
        </w:tc>
      </w:tr>
      <w:tr>
        <w:trPr>
          <w:trHeight w:val="167"/>
        </w:trPr>
        <w:tc>
          <w:tcPr>
            <w:tcW w:w="7480" w:type="dxa"/>
            <w:vAlign w:val="bottom"/>
          </w:tcPr>
          <w:p>
            <w:pPr>
              <w:spacing w:after="0"/>
              <w:rPr>
                <w:sz w:val="14"/>
                <w:szCs w:val="14"/>
                <w:color w:val="auto"/>
              </w:rPr>
            </w:pPr>
          </w:p>
        </w:tc>
        <w:tc>
          <w:tcPr>
            <w:tcW w:w="1640" w:type="dxa"/>
            <w:vAlign w:val="bottom"/>
            <w:gridSpan w:val="4"/>
          </w:tcPr>
          <w:p>
            <w:pPr>
              <w:jc w:val="center"/>
              <w:ind w:right="540"/>
              <w:spacing w:after="0"/>
              <w:rPr>
                <w:sz w:val="20"/>
                <w:szCs w:val="20"/>
                <w:color w:val="auto"/>
              </w:rPr>
            </w:pPr>
            <w:r>
              <w:rPr>
                <w:rFonts w:ascii="Arial" w:cs="Arial" w:eastAsia="Arial" w:hAnsi="Arial"/>
                <w:sz w:val="14"/>
                <w:szCs w:val="14"/>
                <w:color w:val="auto"/>
                <w:w w:val="89"/>
              </w:rPr>
              <w:t>Aggregate</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color w:val="auto"/>
                <w:w w:val="92"/>
              </w:rPr>
              <w:t>Unrealized</w:t>
            </w:r>
          </w:p>
        </w:tc>
      </w:tr>
      <w:tr>
        <w:trPr>
          <w:trHeight w:val="142"/>
        </w:trPr>
        <w:tc>
          <w:tcPr>
            <w:tcW w:w="7480" w:type="dxa"/>
            <w:vAlign w:val="bottom"/>
          </w:tcPr>
          <w:p>
            <w:pPr>
              <w:spacing w:after="0"/>
              <w:rPr>
                <w:sz w:val="12"/>
                <w:szCs w:val="12"/>
                <w:color w:val="auto"/>
              </w:rPr>
            </w:pPr>
          </w:p>
        </w:tc>
        <w:tc>
          <w:tcPr>
            <w:tcW w:w="1640" w:type="dxa"/>
            <w:vAlign w:val="bottom"/>
            <w:gridSpan w:val="4"/>
          </w:tcPr>
          <w:p>
            <w:pPr>
              <w:jc w:val="center"/>
              <w:ind w:right="540"/>
              <w:spacing w:after="0" w:line="142" w:lineRule="exact"/>
              <w:rPr>
                <w:sz w:val="20"/>
                <w:szCs w:val="20"/>
                <w:color w:val="auto"/>
              </w:rPr>
            </w:pPr>
            <w:r>
              <w:rPr>
                <w:rFonts w:ascii="Arial" w:cs="Arial" w:eastAsia="Arial" w:hAnsi="Arial"/>
                <w:sz w:val="14"/>
                <w:szCs w:val="14"/>
                <w:color w:val="auto"/>
                <w:w w:val="90"/>
              </w:rPr>
              <w:t>Fair Value</w:t>
            </w:r>
          </w:p>
        </w:tc>
        <w:tc>
          <w:tcPr>
            <w:tcW w:w="720" w:type="dxa"/>
            <w:vAlign w:val="bottom"/>
            <w:gridSpan w:val="3"/>
          </w:tcPr>
          <w:p>
            <w:pPr>
              <w:jc w:val="center"/>
              <w:ind w:left="59"/>
              <w:spacing w:after="0" w:line="142" w:lineRule="exact"/>
              <w:rPr>
                <w:sz w:val="20"/>
                <w:szCs w:val="20"/>
                <w:color w:val="auto"/>
              </w:rPr>
            </w:pPr>
            <w:r>
              <w:rPr>
                <w:rFonts w:ascii="Arial" w:cs="Arial" w:eastAsia="Arial" w:hAnsi="Arial"/>
                <w:sz w:val="14"/>
                <w:szCs w:val="14"/>
                <w:color w:val="auto"/>
                <w:w w:val="92"/>
              </w:rPr>
              <w:t>Gains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85"/>
              </w:rPr>
              <w:t>Losses</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1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2,277</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center"/>
              <w:ind w:left="99"/>
              <w:spacing w:after="0"/>
              <w:rPr>
                <w:sz w:val="20"/>
                <w:szCs w:val="20"/>
                <w:color w:val="auto"/>
              </w:rPr>
            </w:pPr>
            <w:r>
              <w:rPr>
                <w:rFonts w:ascii="Arial" w:cs="Arial" w:eastAsia="Arial" w:hAnsi="Arial"/>
                <w:sz w:val="18"/>
                <w:szCs w:val="18"/>
                <w:color w:val="auto"/>
                <w:w w:val="89"/>
              </w:rPr>
              <w:t>14</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Due after one year, less than five years</w:t>
            </w:r>
          </w:p>
        </w:tc>
        <w:tc>
          <w:tcPr>
            <w:tcW w:w="3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4,283</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r>
      <w:tr>
        <w:trPr>
          <w:trHeight w:val="27"/>
        </w:trPr>
        <w:tc>
          <w:tcPr>
            <w:tcW w:w="7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6,560</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r>
      <w:tr>
        <w:trPr>
          <w:trHeight w:val="20"/>
        </w:trPr>
        <w:tc>
          <w:tcPr>
            <w:tcW w:w="7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available for sale securities have been in a continuous unrealized loss position for twelve months or longer.</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stock-based awards. The weighted-average assumptions used in the Black-Scholes option pricing model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5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w:t>
            </w:r>
          </w:p>
        </w:tc>
      </w:tr>
      <w:tr>
        <w:trPr>
          <w:trHeight w:val="149"/>
        </w:trPr>
        <w:tc>
          <w:tcPr>
            <w:tcW w:w="57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57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57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5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5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2009</w:t>
            </w:r>
          </w:p>
        </w:tc>
        <w:tc>
          <w:tcPr>
            <w:tcW w:w="5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62%</w:t>
            </w:r>
          </w:p>
        </w:tc>
        <w:tc>
          <w:tcPr>
            <w:tcW w:w="1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56%</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62%</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2.90%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3.11%</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2.93%</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3.33%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0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4.93</w:t>
            </w:r>
          </w:p>
        </w:tc>
        <w:tc>
          <w:tcPr>
            <w:tcW w:w="15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4.69</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4.93</w:t>
            </w:r>
          </w:p>
        </w:tc>
        <w:tc>
          <w:tcPr>
            <w:tcW w:w="15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4.29</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08"/>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jc w:val="both"/>
        <w:ind w:right="260" w:firstLine="222"/>
        <w:spacing w:after="0" w:line="288" w:lineRule="auto"/>
        <w:rPr>
          <w:sz w:val="20"/>
          <w:szCs w:val="20"/>
          <w:color w:val="auto"/>
        </w:rPr>
      </w:pPr>
      <w:r>
        <w:rPr>
          <w:rFonts w:ascii="Arial" w:cs="Arial" w:eastAsia="Arial" w:hAnsi="Arial"/>
          <w:sz w:val="16"/>
          <w:szCs w:val="16"/>
          <w:color w:val="auto"/>
        </w:rPr>
        <w:t>The weighted-average fair value (as of the date of grant) of the options granted was $6.23 and $6.86 per share for the three months ended June 30, 2009 and 2008, respectively, and $6.05 and $12.37 for the six months ended June 30, 2009 and 2008, respectively. During the three months ended June 30, 2009 and 2008, the Company recorded total pre-tax stock-based compensation expense of $2.0 million ($1.4 million after tax or $0.04 per diluted share) and</w:t>
      </w:r>
    </w:p>
    <w:p>
      <w:pPr>
        <w:ind w:right="20"/>
        <w:spacing w:after="0" w:line="270" w:lineRule="auto"/>
        <w:rPr>
          <w:sz w:val="20"/>
          <w:szCs w:val="20"/>
          <w:color w:val="auto"/>
        </w:rPr>
      </w:pPr>
      <w:r>
        <w:rPr>
          <w:rFonts w:ascii="Arial" w:cs="Arial" w:eastAsia="Arial" w:hAnsi="Arial"/>
          <w:sz w:val="17"/>
          <w:szCs w:val="17"/>
          <w:color w:val="auto"/>
        </w:rPr>
        <w:t>$1.7 million ($1.2 million after tax or $0.04 per diluted share), respectively, which includes both intrinsic value for equity awards issued prior to 2006 and fair value for equity awards issued after January 1, 2006. During the six months ended June 30, 2009 and 2008, the Company recorded total pre-tax stock-based compensation expense of $3.9 million ($2.8 million after tax or $0.09 per diluted share) and $3.4 million ($2.3 million after tax or $0.07 per diluted share), respectively, which includes both intrinsic value for equity awards issued prior to 2006 and fair value for equity awards issued after January 1, 2006. The total stock-based compensation cost related to non-vested equity awards not yet recognized as an expense as of June 30, 2009 was approximately $14.3 million. That cost is expected to be recognized over a weighted-average period of approximately 2.61 years.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3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0"/>
                <w:szCs w:val="10"/>
                <w:color w:val="auto"/>
              </w:rPr>
            </w:pPr>
          </w:p>
        </w:tc>
        <w:tc>
          <w:tcPr>
            <w:tcW w:w="162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Available</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6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Range</w:t>
            </w:r>
          </w:p>
        </w:tc>
        <w:tc>
          <w:tcPr>
            <w:tcW w:w="64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1,654</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3,683</w:t>
            </w:r>
          </w:p>
        </w:tc>
        <w:tc>
          <w:tcPr>
            <w:tcW w:w="194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$ 0.29 - 38.62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(607)</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607</w:t>
            </w:r>
          </w:p>
        </w:tc>
        <w:tc>
          <w:tcPr>
            <w:tcW w:w="19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$ 8.67 - 13.28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94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$ 0.29 - 12.68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6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9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$ 6.95 - 38.62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1,124</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4,089</w:t>
            </w:r>
          </w:p>
        </w:tc>
        <w:tc>
          <w:tcPr>
            <w:tcW w:w="194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$ 0.29 - 38.62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 summary of the Company’s non-vested restricted stock at June 30, 2009, and changes during the six months ended June 30, 2009,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Stock</w:t>
            </w:r>
          </w:p>
        </w:tc>
        <w:tc>
          <w:tcPr>
            <w:tcW w:w="5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67"/>
        </w:trPr>
        <w:tc>
          <w:tcPr>
            <w:tcW w:w="3940" w:type="dxa"/>
            <w:vAlign w:val="bottom"/>
            <w:gridSpan w:val="2"/>
            <w:vMerge w:val="continue"/>
          </w:tcPr>
          <w:p>
            <w:pPr>
              <w:spacing w:after="0"/>
              <w:rPr>
                <w:sz w:val="14"/>
                <w:szCs w:val="14"/>
                <w:color w:val="auto"/>
              </w:rPr>
            </w:pPr>
          </w:p>
        </w:tc>
        <w:tc>
          <w:tcPr>
            <w:tcW w:w="5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59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Vested</w:t>
            </w:r>
          </w:p>
        </w:tc>
        <w:tc>
          <w:tcPr>
            <w:tcW w:w="6880" w:type="dxa"/>
            <w:vAlign w:val="bottom"/>
            <w:gridSpan w:val="3"/>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2009</w:t>
            </w:r>
          </w:p>
        </w:tc>
        <w:tc>
          <w:tcPr>
            <w:tcW w:w="748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960" w:type="dxa"/>
            <w:vAlign w:val="bottom"/>
            <w:vMerge w:val="restart"/>
          </w:tcPr>
          <w:p>
            <w:pPr>
              <w:jc w:val="right"/>
              <w:ind w:right="405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5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In 2008, the Company’s board of directors authorized a stock repurchase program to purchase up to $25.0 million of the Company’s outstanding common stock. The duration of the repurchase program was up to twelve months. Under the program, the Company was entitled to purchase shares of its common stock in the open market, through block trades or otherwise at prices deemed appropriate by the Company. The timing and amount of repurchase transactions under the program were dependent on market conditions and corporate and regulatory considerations. A total of 2.0 million shares were repurchased under the program for an aggregate purchase price of approximately $23.7 million. The purchases were funded from available working capital. The Company classifies common stock repurchased as treasury stock on its balance sheet. As of June 30, 2009, the Company has no plans to repurchase additional shares of the Company’s common stock under the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 Accounting</w:t>
      </w:r>
    </w:p>
    <w:p>
      <w:pPr>
        <w:spacing w:after="0" w:line="121"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In May 2008, the Company entered into an agreement to lease space for its Pennsylvania offices and data center in a newly constructed facility. The lease has a term of 10 years and 5 months with an option to extend the term of the lease for two consecutive five year periods. In August 2008, the Company amended its lease whereby the Company agreed to reimburse the landlord for certain leasehold improvements the Company had requested. The construction phase of the improvements was complete as of June 30, 2009. Since the tenant improvements, under the lease amendment, are considered structural in nature and the Company is primarily responsible for reimbursement to the landlord for the cost of these improvements, for accounting purposes, under EITF Issue No. 97-10 “The Effect of Lessee Involvement in Asset Construction” (“EITF 97-10”), the Company is considered to be the owner of the construction project. In accordance with EITF 97-10, the Company recorded assets on its balance sheet for all of the costs paid by the lessor to construct the Pennsylvania facility through June 30, 2009, along with corresponding financing liabilities for amounts equal to these lessor-paid construction costs through June 30, 2009. As of June 30, 2009 the Company recorded $8.8 million of construction costs funded by the landlord, with an offsetting amount recorded as financing liabilities. The lease did not qualify for sale leaseback treatment and therefore the lease is treated as a financing lease. For the three and six months ended June 30, 2009 the Company recorded $226 thousand of interest expense and $73 thousand of depreciation expense related to the lease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Legal Matters</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On September 5, 2008, September 18, 2008, and September 23, 2008, three complaints were filed against the Company and certain of its officers and directors in the United States District Court for the District of New Jersey purportedly on behalf of a class of shareholders who purchased the Company’s common stock between February 4, 2008 and June 9, 2008 (the “Securities Law Actions”). The complaints were consolidated and an amended complaint was filed by the plaintiffs on March 13, 2009. The Company filed a Motion to Dismiss all of the claims under the complaint on April 24, 2009. The Motion to Dismiss has been fully briefed by the parties and the Company is awaiting the Court’s decision. The plaintiffs in each complaint assert claims under Sections 10(b) and 20(a) of the Securities Exchange Act of 1934. They allege that certain of the Company’s public disclosures regarding its financial prospects during the proposed class period were false and/or misleading. The principal allegation set forth in each complaint is that the Company issued misleading statements concerning its business prospects relating to the activation of Apple Inc.’s iPhone product. The plaintiffs seek compensatory damages, costs, fees, and other relief within the Court’s discretion. The Company believes that the claims described above are without merit, and it intends to defend against all of the claims vigorously. Due to the inherent uncertainties of litigation, the Company cannot predict the outcome of the actions at this time, and it can give no assurance that these claims will not have a material adverse effect on the Company’s financial position or results of operations.</w:t>
      </w:r>
    </w:p>
    <w:p>
      <w:pPr>
        <w:spacing w:after="0" w:line="65"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On October 23, 2008 and November 3, 2008, complaints were filed in the state court of New Jersey and the United States District Court for the District of New Jersey against certain of our officers and directors, purportedly derivatively on behalf of the Company (the “Derivative Suits”). The Complaints in the Derivative Suits assert that the named officers and directors breached their fiduciary duties and other obligations in connection with the disclosures that also are the subject of the Securities Law Actions described above. The Company is also named as a nominal defendant in the Derivative Suits, although the lawsuits are derivative in nature and purportedly asserted on the Company’s behalf. The plaintiffs seek compensatory damages, costs, fees, and other relief within the Court’s discretion. The plaintiffs in the Derivative Suits have agreed to stay their claims pending the court’s decision in the Defendant’s Motion to Dismiss in the Securities Laws Actions. Due to the inherent uncertainties of litigation, the Company cannot predict the outcome of the Derivative Suits at this time, and we can give no assurance that the claims in these complaints will not have a material adverse effect on its financial position or results of operations.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Except for the above claims, the Company is not currently subject to any legal proceedings that could have a material adverse effect on its operations; however, it may from time to time become a party to various legal proceedings arising in the ordinary course of its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 Review</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has evaluated all subsequent events and transactions through August 3, 2009. No recognized or unrecognized events require disclosure as significant subsequent events.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222"/>
        <w:spacing w:after="0" w:line="289" w:lineRule="auto"/>
        <w:rPr>
          <w:sz w:val="20"/>
          <w:szCs w:val="20"/>
          <w:color w:val="auto"/>
        </w:rPr>
      </w:pPr>
      <w:r>
        <w:rPr>
          <w:rFonts w:ascii="Arial" w:cs="Arial" w:eastAsia="Arial" w:hAnsi="Arial"/>
          <w:sz w:val="16"/>
          <w:szCs w:val="16"/>
          <w:color w:val="auto"/>
        </w:rPr>
        <w:t>The following discussion and analysis should be read in conjunction with the information set forth in our consolidated financial statements and related notes included elsewhere in this quarterly report on Form 10-Q and in our Form 10-K for the year ended December 31, 2008. This report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report. These statements speak only as of the date of this report (unless another date is indicated), and we undertake no obligation to update or revise the statements in light of future developments. All numbers are expressed in thousands unless otherwise stated.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We are a leading provider of on-demand transaction management platforms that enable communications service providers (CSPs) and equipment manufacturers with embedded connectivity (i.e., handsets, mobile internet devices, laptops, cameras, etc.) (EMECs) and other customers to automate subscriber activation, order management and service provisioning from any channel (e.g., e-commerce, telesales, customer stores and other retail outlets, etc.) to any communication service (e.g., wireless, high speed access, local access, Internet Protocol TV, cable, satellite TV, etc.) across any device type. Our business model enables delivery of our proprietary solutions over the Web as a service. Our ConvergenceNow</w:t>
      </w:r>
      <w:r>
        <w:rPr>
          <w:rFonts w:ascii="Arial" w:cs="Arial" w:eastAsia="Arial" w:hAnsi="Arial"/>
          <w:sz w:val="14"/>
          <w:szCs w:val="14"/>
          <w:color w:val="auto"/>
        </w:rPr>
        <w:t>®</w:t>
      </w:r>
      <w:r>
        <w:rPr>
          <w:rFonts w:ascii="Arial" w:cs="Arial" w:eastAsia="Arial" w:hAnsi="Arial"/>
          <w:sz w:val="17"/>
          <w:szCs w:val="17"/>
          <w:color w:val="auto"/>
        </w:rPr>
        <w:t xml:space="preserve"> platforms (including ConvergenceNow</w:t>
      </w:r>
      <w:r>
        <w:rPr>
          <w:rFonts w:ascii="Arial" w:cs="Arial" w:eastAsia="Arial" w:hAnsi="Arial"/>
          <w:sz w:val="14"/>
          <w:szCs w:val="14"/>
          <w:color w:val="auto"/>
        </w:rPr>
        <w:t>®</w:t>
      </w:r>
      <w:r>
        <w:rPr>
          <w:rFonts w:ascii="Arial" w:cs="Arial" w:eastAsia="Arial" w:hAnsi="Arial"/>
          <w:sz w:val="17"/>
          <w:szCs w:val="17"/>
          <w:color w:val="auto"/>
        </w:rPr>
        <w:t xml:space="preserve"> Plus</w:t>
      </w:r>
      <w:r>
        <w:rPr>
          <w:rFonts w:ascii="Arial" w:cs="Arial" w:eastAsia="Arial" w:hAnsi="Arial"/>
          <w:sz w:val="14"/>
          <w:szCs w:val="14"/>
          <w:color w:val="auto"/>
        </w:rPr>
        <w:t>+</w:t>
      </w:r>
      <w:r>
        <w:rPr>
          <w:rFonts w:ascii="Arial" w:cs="Arial" w:eastAsia="Arial" w:hAnsi="Arial"/>
          <w:sz w:val="17"/>
          <w:szCs w:val="17"/>
          <w:color w:val="auto"/>
        </w:rPr>
        <w:t xml:space="preserve"> and InterconnectNow</w:t>
      </w:r>
      <w:r>
        <w:rPr>
          <w:rFonts w:ascii="Arial" w:cs="Arial" w:eastAsia="Arial" w:hAnsi="Arial"/>
          <w:sz w:val="14"/>
          <w:szCs w:val="14"/>
          <w:color w:val="auto"/>
        </w:rPr>
        <w:t>TM</w:t>
      </w:r>
      <w:r>
        <w:rPr>
          <w:rFonts w:ascii="Arial" w:cs="Arial" w:eastAsia="Arial" w:hAnsi="Arial"/>
          <w:sz w:val="17"/>
          <w:szCs w:val="17"/>
          <w:color w:val="auto"/>
        </w:rPr>
        <w:t>) provide seamless integration between customer-facing channels/applications, communication services, devices and “back-office” infrastructure-related systems and processes. Our customers rely on our Web-based solutions and technology to automate the process of activating customers while delivering additional communications services including new service offerings and ongoing customer care. We have designed our ConvergenceNow</w:t>
      </w:r>
      <w:r>
        <w:rPr>
          <w:rFonts w:ascii="Arial" w:cs="Arial" w:eastAsia="Arial" w:hAnsi="Arial"/>
          <w:sz w:val="14"/>
          <w:szCs w:val="14"/>
          <w:color w:val="auto"/>
        </w:rPr>
        <w:t>®</w:t>
      </w:r>
      <w:r>
        <w:rPr>
          <w:rFonts w:ascii="Arial" w:cs="Arial" w:eastAsia="Arial" w:hAnsi="Arial"/>
          <w:sz w:val="17"/>
          <w:szCs w:val="17"/>
          <w:color w:val="auto"/>
        </w:rPr>
        <w:t xml:space="preserve"> platforms to be flexible and scalable to enable multiple converged communication services to be managed across multiple distribution channels including e-commerce, telesales, customer stores and other retail outlets, allowing us to meet the rapidly changing and converging services offered by our customers. By simplifying the processes associated with managing our customers’ subscribers’ experience for ordering and activating services through the use of our ConvergenceNow</w:t>
      </w:r>
      <w:r>
        <w:rPr>
          <w:rFonts w:ascii="Arial" w:cs="Arial" w:eastAsia="Arial" w:hAnsi="Arial"/>
          <w:sz w:val="14"/>
          <w:szCs w:val="14"/>
          <w:color w:val="auto"/>
        </w:rPr>
        <w:t>®</w:t>
      </w:r>
      <w:r>
        <w:rPr>
          <w:rFonts w:ascii="Arial" w:cs="Arial" w:eastAsia="Arial" w:hAnsi="Arial"/>
          <w:sz w:val="17"/>
          <w:szCs w:val="17"/>
          <w:color w:val="auto"/>
        </w:rPr>
        <w:t xml:space="preserve"> platforms to automate and integrate their disparate systems, we enable our customers to acquire, retain and service subscribers quickly, reliably and cost-effectively.</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industry-leading customers include Apple Inc., AT&amp;T Inc., British Telecom, Cablevision, Charter Communications, Clearwire, Comcast, Cox Communications, Embarq, Fairpoint, Frontier, Global Crossing, Level 3 Communications, RaySat Broadcasting Corporation, Sprint Nextel, Time Warner Cable, Time Warner Telecom, Verizon Business Solutions, Verizon Wireless, Vodafone, Vonage Network, and XO Communications. These customers utilize a combination of our platforms, technology and services enabling them to provide services to both their consumer and business customers, including over 300 of the Fortune 500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generate a substantial portion of our revenues on a per-transaction basis, most of which is derived from contracts that extend up to 48 months from execution. For the three months ended June 30, 2009, we derived approximately 81% of our revenues from transactions processed. Most of the remainder of our revenues was generated by professional services.</w:t>
      </w:r>
    </w:p>
    <w:p>
      <w:pPr>
        <w:spacing w:after="0" w:line="7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Historically, our revenues have been directly impacted by the number of transactions processed. In recent years, the fourth quarter has had the highest volume of transactions processed due to increased consumer activation activity during the holiday season. The future success of our business depends on the continued growth of consumer and business transactions and, as such, the volume of transactions that we process could fluctuate on a quarterly basis. See “Current Trends Affecting Our Results of Operations” for certain matters regarding future results of operations.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currently derive a significant portion of our revenues from one customer, AT&amp;T. For the three months ended June 30, 2009,</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AT&amp;T accounted for approximately 66% of our revenues, compared to 67% for the three months ended June 30, 2008. Our five largest customers, AT&amp;T,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Vonage, Level 3 Communications, Time Warner Cable and Cablevision, accounted for approximately 86% of our revenues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2009, compared to 90% of our revenues for the three months ended June 30, 2008. See “Risk Factors” for certain matters bearing risks on our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costs and expenses consist of cost of services, research and development, selling, general and administrative and depreciation and amortization.</w:t>
      </w:r>
    </w:p>
    <w:p>
      <w:pPr>
        <w:spacing w:after="0" w:line="14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Cost of services includes all direct materials, direct labor, cost of facilities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64"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Research and development costs have been expensed as incurred. Software development costs incurred prior to the establishment of technological feasibility are expensed as incurred. Research and development expense consists primarily of costs related to personnel, including salaries and other personnel-related expenses, consulting fees and the cost of facilities, computer and support services used in service technology development. We also expense costs relating to developing modifications and minor enhancements of our existing technology and services.</w:t>
      </w:r>
    </w:p>
    <w:p>
      <w:pPr>
        <w:spacing w:after="0" w:line="6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bad debt expense.</w:t>
      </w:r>
    </w:p>
    <w:p>
      <w:pPr>
        <w:spacing w:after="0" w:line="63"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Depreciation and amortization relates to our property and equipment and includes our network infrastructure and facilities. Amortization relates to the customer lists and technology acquired from Wisor in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121"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Our on-demand business model enables delivery of our proprietary solutions over the Web as a service and has been driven by market trends such as various forms of order provisioning, local number portability, the implementation of new technologies, subscriber growth, competitive churn, network changes, growth of the emerging device market (i.e., smartphone devices, netbooks, etc.) and consolidations in the industry. In particular, the emergence of order provisioning of e-commerce transactions for smartphone devices, wireless, VoIP, LNP, and other communication services surrounding the convergence of bundled services has increased the need for our services and we believe will continue to be a source of growth for us.</w:t>
      </w:r>
    </w:p>
    <w:p>
      <w:pPr>
        <w:spacing w:after="0" w:line="64"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these opportunities will continue to provide future benefits and position us to support revenue growth. In addition, we anticipate further automation of the transactions generated by our more mature customers and additional transaction types. Our cost of services can fluctuate from period to period based upon the level of automation and the onboarding of new transaction types.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520" w:firstLine="222"/>
        <w:spacing w:after="0" w:line="264"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which have been prepared in accordance with U.S. generally accepted accounting principles (“GAAP”). The preparation of these consolidated financial statements in accordance with GAAP requires us to utilize accounting policies and make certain estimates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correct and reasonable under the circumstances, actual results may differ from those estimates.</w:t>
      </w:r>
    </w:p>
    <w:p>
      <w:pPr>
        <w:spacing w:after="0" w:line="70"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believe that of our significant accounting policies, which are described in Note 2 in our Annual Report on Form 10-K for the year ended December 31, 2008, the following accounting policies involve a greater degree of judgment and complexity. Accordingly, these are the policies we believe are the most critical to aid in fully understanding and evaluating our consolidated financial condition and results of operations.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64"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Revenue Recognition and Deferred Revenue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Goodwill and Impairment of Long-Lived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Stock-Based Compensation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There were no significant changes in our critical accounting policies and estimates during the three months ended June 30, 2009. Please refer to Management’s Discussion and Analysis of Financial Condition and Results of Operations contained in Part II, Item 7 of our Annual Report on Form 10-K for the year ended December 31, 2008 for a more complete discussion of our critical accounting policies and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2009 compared to the three months ended June 30, 2008</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June 30,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jc w:val="center"/>
              <w:ind w:right="880"/>
              <w:spacing w:after="0" w:line="142"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 of</w:t>
            </w: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4"/>
          </w:tcPr>
          <w:p>
            <w:pPr>
              <w:jc w:val="center"/>
              <w:ind w:right="39"/>
              <w:spacing w:after="0" w:line="142" w:lineRule="exact"/>
              <w:rPr>
                <w:sz w:val="20"/>
                <w:szCs w:val="20"/>
                <w:color w:val="auto"/>
              </w:rPr>
            </w:pPr>
            <w:r>
              <w:rPr>
                <w:rFonts w:ascii="Arial" w:cs="Arial" w:eastAsia="Arial" w:hAnsi="Arial"/>
                <w:sz w:val="14"/>
                <w:szCs w:val="14"/>
                <w:b w:val="1"/>
                <w:bCs w:val="1"/>
                <w:color w:val="auto"/>
                <w:w w:val="91"/>
              </w:rPr>
              <w:t>2009 vs 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right"/>
              <w:ind w:right="668"/>
              <w:spacing w:after="0" w:line="142" w:lineRule="exact"/>
              <w:rPr>
                <w:sz w:val="20"/>
                <w:szCs w:val="20"/>
                <w:color w:val="auto"/>
              </w:rPr>
            </w:pPr>
            <w:r>
              <w:rPr>
                <w:rFonts w:ascii="Arial" w:cs="Arial" w:eastAsia="Arial" w:hAnsi="Arial"/>
                <w:sz w:val="14"/>
                <w:szCs w:val="14"/>
                <w:b w:val="1"/>
                <w:bCs w:val="1"/>
                <w:color w:val="auto"/>
                <w:w w:val="99"/>
              </w:rPr>
              <w:t>Revenue</w:t>
            </w:r>
          </w:p>
        </w:tc>
        <w:tc>
          <w:tcPr>
            <w:tcW w:w="740" w:type="dxa"/>
            <w:vAlign w:val="bottom"/>
            <w:gridSpan w:val="2"/>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w w:val="99"/>
              </w:rPr>
              <w:t>Revenue</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Change</w:t>
            </w:r>
          </w:p>
        </w:tc>
        <w:tc>
          <w:tcPr>
            <w:tcW w:w="64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$ 30,554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100.0%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$ 24,315</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6,239</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2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15,190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gridSpan w:val="2"/>
          </w:tcPr>
          <w:p>
            <w:pPr>
              <w:jc w:val="right"/>
              <w:ind w:right="448"/>
              <w:spacing w:after="0"/>
              <w:rPr>
                <w:sz w:val="20"/>
                <w:szCs w:val="20"/>
                <w:color w:val="auto"/>
              </w:rPr>
            </w:pPr>
            <w:r>
              <w:rPr>
                <w:rFonts w:ascii="Arial" w:cs="Arial" w:eastAsia="Arial" w:hAnsi="Arial"/>
                <w:sz w:val="18"/>
                <w:szCs w:val="18"/>
                <w:color w:val="auto"/>
              </w:rPr>
              <w:t>49.7%</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11,865</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3,325</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9.8%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2,388</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5,588</w:t>
            </w:r>
          </w:p>
        </w:tc>
        <w:tc>
          <w:tcPr>
            <w:tcW w:w="1920" w:type="dxa"/>
            <w:vAlign w:val="bottom"/>
            <w:gridSpan w:val="3"/>
          </w:tcPr>
          <w:p>
            <w:pPr>
              <w:jc w:val="right"/>
              <w:ind w:right="448"/>
              <w:spacing w:after="0"/>
              <w:rPr>
                <w:sz w:val="20"/>
                <w:szCs w:val="20"/>
                <w:color w:val="auto"/>
              </w:rPr>
            </w:pPr>
            <w:r>
              <w:rPr>
                <w:rFonts w:ascii="Arial" w:cs="Arial" w:eastAsia="Arial" w:hAnsi="Arial"/>
                <w:sz w:val="18"/>
                <w:szCs w:val="18"/>
                <w:color w:val="auto"/>
              </w:rPr>
              <w:t>18.3%</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4,861</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7.4%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1,480</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26,048</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340" w:type="dxa"/>
            <w:vAlign w:val="bottom"/>
            <w:gridSpan w:val="2"/>
          </w:tcPr>
          <w:p>
            <w:pPr>
              <w:jc w:val="right"/>
              <w:ind w:right="448"/>
              <w:spacing w:after="0"/>
              <w:rPr>
                <w:sz w:val="20"/>
                <w:szCs w:val="20"/>
                <w:color w:val="auto"/>
              </w:rPr>
            </w:pPr>
            <w:r>
              <w:rPr>
                <w:rFonts w:ascii="Arial" w:cs="Arial" w:eastAsia="Arial" w:hAnsi="Arial"/>
                <w:sz w:val="18"/>
                <w:szCs w:val="18"/>
                <w:color w:val="auto"/>
              </w:rPr>
              <w:t>85.3%</w:t>
            </w:r>
          </w:p>
        </w:tc>
        <w:tc>
          <w:tcPr>
            <w:tcW w:w="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20,594</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5,454</w:t>
            </w:r>
          </w:p>
        </w:tc>
        <w:tc>
          <w:tcPr>
            <w:tcW w:w="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4,506</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14.7%</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3,721</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4980" w:hanging="5612"/>
        <w:spacing w:after="0" w:line="571" w:lineRule="auto"/>
        <w:tabs>
          <w:tab w:leader="none" w:pos="45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 of services excludes depreciation and amortization which is shown separately.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b w:val="1"/>
          <w:bCs w:val="1"/>
          <w:i w:val="1"/>
          <w:iCs w:val="1"/>
          <w:color w:val="auto"/>
        </w:rPr>
        <w:t xml:space="preserve">Net Revenue. </w:t>
      </w:r>
      <w:r>
        <w:rPr>
          <w:rFonts w:ascii="Arial" w:cs="Arial" w:eastAsia="Arial" w:hAnsi="Arial"/>
          <w:sz w:val="17"/>
          <w:szCs w:val="17"/>
          <w:color w:val="auto"/>
        </w:rPr>
        <w:t>Net revenues increased $6.2 million to $30.6 million for the three months ended June 30, 2009, compared to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2008. This increase was due primarily to increased revenues from our AT&amp;T relationship and our other customers. Net revenues related to AT&amp;T increased $3.9 million to $20.1 million for the three months ended June 30, 2009 compared to the same period in 2008. This increase was primarily due to increased revenues associated with the expansion of our relationship with AT&amp;T across new business channels. AT&amp;T represented 66% and 67% of our revenues for the three months ended June 30, 2009 and 2008, respectively. Net revenues outside of AT&amp;T generated $10.4 million of our revenues during the three months ended June 30, 2009 as compared to $8.1 million during the three months ended June 30, 2008. Net revenues outside of AT&amp;T represented 34% and 33% of our revenues during the three months ended June 30, 2009 and 2008, respectively. Transaction revenues recognized for the three months ended June 30, 2009 and 2008 represented 81% or $24.6 million and 80% or $19.4 million of net revenues, respectively. Professional service revenues decreased as a percentage of sales to 18% or $5.6 million for the three months ended June 30, 2009, compared to 19% or $4.7 million for the previous three months ended June 30,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increased $3.3 million to $15.2 million for the three months ended June 30, 2009, compared to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2008, due primarily to an increase of $2.7 million in personnel and related costs and third party consulting service costs and an increase of $229 thousand in stock-based compensation. The increase in personnel and related costs was due primarily to an increase in headcount. In addition, an increase of $274 thousand in telecommunication costs related to the transition to our new facility. Cost of services as a percentage of revenues increased to 49.7% for the three months ended June 30, 2009, as compared to 48.8% for the three months ended June 30, 2008.</w:t>
      </w:r>
    </w:p>
    <w:p>
      <w:pPr>
        <w:spacing w:after="0" w:line="64" w:lineRule="exact"/>
        <w:rPr>
          <w:sz w:val="20"/>
          <w:szCs w:val="20"/>
          <w:color w:val="auto"/>
        </w:rPr>
      </w:pPr>
    </w:p>
    <w:p>
      <w:pPr>
        <w:ind w:right="500" w:firstLine="225"/>
        <w:spacing w:after="0" w:line="312"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increased $612 thousand to $3.0 million for the three months ended June 30,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three months ended June 30, 2008, due to the addition of our Indian subsidiary and its employees offset by reduced use of outside consultants. Research and development expense as a percentage of revenues remained 9.8% for the three months ended June 30, 2009 and 2008.</w:t>
      </w:r>
    </w:p>
    <w:p>
      <w:pPr>
        <w:spacing w:after="0" w:line="39"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increased $727 thousand to $5.6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2009, compared to the three months ended June 30, 2008 due to an increase in personnel and related costs and stock-based compensation expense of $781 thousand. The increase in personnel and related costs was primarily due to an increase in headcount offset by reduced use of outside consultants. Selling, general and administrative expense as a percentage of revenues decreased to 18.3% for the three months ended June 30, 2009, compared to 20.0% for the three months ended June 30, 2008. The decrease in percentage was a result of a higher revenue base as compared to the same period 2008.</w:t>
      </w:r>
    </w:p>
    <w:p>
      <w:pPr>
        <w:spacing w:after="0" w:line="5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expense increased $790 thousand to $2.3 million for the three months ended June 30,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2008, related to investments in the new facility and the amortization of intangibles related to the Wisor acquisition of $253 thousand. Depreciation and amortization expense as a percentage of revenues increased to 7.4% for the three months ended June 30, 2009, as compared to 6.1% for the same period in 2008.</w:t>
      </w:r>
    </w:p>
    <w:p>
      <w:pPr>
        <w:spacing w:after="0" w:line="79"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$785 thousand to $4.5 million for the three months ended June 30, 2009,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2008. Income from operations decreased as a percentage of revenues to 14.7% for the three months ended June 30, 2009, as compared to 15.3% for the three months ended June 30, 2008.</w:t>
      </w:r>
    </w:p>
    <w:p>
      <w:pPr>
        <w:spacing w:after="0" w:line="73"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was approximately 42.1% and approximately 41.2% during the three months ended June 30, 2009 and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three months ended June 30, 2009 and 2008, we recognized approximately $1.9 million and $1.8 million in related tax expense,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2009, compared to the six months ended June 30, 2008</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presents an overview of our results of operations for the six months ended June 30, 2009 and 2008.</w:t>
      </w:r>
    </w:p>
    <w:p>
      <w:pPr>
        <w:spacing w:after="0" w:line="240"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auto"/>
        </w:rPr>
        <w:t>Six Months Ended</w:t>
      </w:r>
    </w:p>
    <w:p>
      <w:pPr>
        <w:jc w:val="center"/>
        <w:ind w:left="33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8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560" w:type="dxa"/>
            <w:vAlign w:val="bottom"/>
            <w:vMerge w:val="restart"/>
          </w:tcPr>
          <w:p>
            <w:pPr>
              <w:spacing w:after="0"/>
              <w:rPr>
                <w:sz w:val="11"/>
                <w:szCs w:val="11"/>
                <w:color w:val="auto"/>
              </w:rPr>
            </w:pPr>
          </w:p>
        </w:tc>
        <w:tc>
          <w:tcPr>
            <w:tcW w:w="6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0" w:type="dxa"/>
            <w:vAlign w:val="bottom"/>
            <w:gridSpan w:val="5"/>
          </w:tcPr>
          <w:p>
            <w:pPr>
              <w:jc w:val="center"/>
              <w:ind w:right="160"/>
              <w:spacing w:after="0" w:line="128"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Net revenue</w:t>
            </w: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4"/>
              </w:rPr>
              <w:t>$ 60,107</w:t>
            </w: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4"/>
              </w:rPr>
              <w:t>$ 53,425</w:t>
            </w: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Six Months Ended</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June 30,</w:t>
      </w:r>
    </w:p>
    <w:p>
      <w:pPr>
        <w:ind w:left="620"/>
        <w:spacing w:after="0" w:line="231" w:lineRule="auto"/>
        <w:rPr>
          <w:sz w:val="20"/>
          <w:szCs w:val="20"/>
          <w:color w:val="auto"/>
        </w:rPr>
      </w:pPr>
      <w:r>
        <w:rPr>
          <w:rFonts w:ascii="Arial" w:cs="Arial" w:eastAsia="Arial" w:hAnsi="Arial"/>
          <w:sz w:val="14"/>
          <w:szCs w:val="14"/>
          <w:b w:val="1"/>
          <w:bCs w:val="1"/>
          <w:color w:val="auto"/>
        </w:rPr>
        <w:t>2009 vs 2008</w:t>
      </w:r>
    </w:p>
    <w:tbl>
      <w:tblPr>
        <w:tblLayout w:type="fixed"/>
        <w:tblInd w:w="0" w:type="dxa"/>
        <w:tblCellMar>
          <w:top w:w="0" w:type="dxa"/>
          <w:left w:w="0" w:type="dxa"/>
          <w:bottom w:w="0" w:type="dxa"/>
          <w:right w:w="0" w:type="dxa"/>
        </w:tblCellMar>
      </w:tblPr>
      <w:tr>
        <w:trPr>
          <w:trHeight w:val="142"/>
        </w:trPr>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 Change</w:t>
            </w: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2"/>
                <w:szCs w:val="12"/>
                <w:color w:val="auto"/>
              </w:rPr>
            </w:pPr>
          </w:p>
        </w:tc>
      </w:tr>
      <w:tr>
        <w:trPr>
          <w:trHeight w:val="358"/>
        </w:trPr>
        <w:tc>
          <w:tcPr>
            <w:tcW w:w="13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  6,682</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12.5%</w:t>
            </w:r>
          </w:p>
        </w:tc>
      </w:tr>
    </w:tbl>
    <w:p>
      <w:pPr>
        <w:spacing w:after="0" w:line="200" w:lineRule="exact"/>
        <w:rPr>
          <w:sz w:val="20"/>
          <w:szCs w:val="20"/>
          <w:color w:val="auto"/>
        </w:rPr>
      </w:pPr>
    </w:p>
    <w:p>
      <w:pPr>
        <w:sectPr>
          <w:pgSz w:w="11900" w:h="16838" w:orient="portrait"/>
          <w:cols w:equalWidth="0" w:num="2">
            <w:col w:w="8820" w:space="360"/>
            <w:col w:w="2240"/>
          </w:cols>
          <w:pgMar w:left="240" w:top="419"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Cost of services*</w:t>
            </w:r>
          </w:p>
        </w:tc>
        <w:tc>
          <w:tcPr>
            <w:tcW w:w="1760" w:type="dxa"/>
            <w:vAlign w:val="bottom"/>
            <w:gridSpan w:val="2"/>
          </w:tcPr>
          <w:p>
            <w:pPr>
              <w:jc w:val="right"/>
              <w:ind w:right="410"/>
              <w:spacing w:after="0"/>
              <w:rPr>
                <w:sz w:val="20"/>
                <w:szCs w:val="20"/>
                <w:color w:val="auto"/>
              </w:rPr>
            </w:pPr>
            <w:r>
              <w:rPr>
                <w:rFonts w:ascii="Arial" w:cs="Arial" w:eastAsia="Arial" w:hAnsi="Arial"/>
                <w:sz w:val="18"/>
                <w:szCs w:val="18"/>
                <w:color w:val="auto"/>
              </w:rPr>
              <w:t>30,389</w:t>
            </w: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1760" w:type="dxa"/>
            <w:vAlign w:val="bottom"/>
            <w:gridSpan w:val="2"/>
          </w:tcPr>
          <w:p>
            <w:pPr>
              <w:jc w:val="right"/>
              <w:ind w:right="430"/>
              <w:spacing w:after="0"/>
              <w:rPr>
                <w:sz w:val="20"/>
                <w:szCs w:val="20"/>
                <w:color w:val="auto"/>
              </w:rPr>
            </w:pPr>
            <w:r>
              <w:rPr>
                <w:rFonts w:ascii="Arial" w:cs="Arial" w:eastAsia="Arial" w:hAnsi="Arial"/>
                <w:sz w:val="18"/>
                <w:szCs w:val="18"/>
                <w:color w:val="auto"/>
              </w:rPr>
              <w:t>25,272</w:t>
            </w:r>
          </w:p>
        </w:tc>
        <w:tc>
          <w:tcPr>
            <w:tcW w:w="1000" w:type="dxa"/>
            <w:vAlign w:val="bottom"/>
          </w:tcPr>
          <w:p>
            <w:pPr>
              <w:jc w:val="right"/>
              <w:spacing w:after="0"/>
              <w:rPr>
                <w:sz w:val="20"/>
                <w:szCs w:val="20"/>
                <w:color w:val="auto"/>
              </w:rPr>
            </w:pPr>
            <w:r>
              <w:rPr>
                <w:rFonts w:ascii="Arial" w:cs="Arial" w:eastAsia="Arial" w:hAnsi="Arial"/>
                <w:sz w:val="18"/>
                <w:szCs w:val="18"/>
                <w:color w:val="auto"/>
              </w:rPr>
              <w:t>47.3%</w:t>
            </w:r>
          </w:p>
        </w:tc>
        <w:tc>
          <w:tcPr>
            <w:tcW w:w="1760" w:type="dxa"/>
            <w:vAlign w:val="bottom"/>
            <w:gridSpan w:val="2"/>
          </w:tcPr>
          <w:p>
            <w:pPr>
              <w:jc w:val="right"/>
              <w:ind w:right="430"/>
              <w:spacing w:after="0"/>
              <w:rPr>
                <w:sz w:val="20"/>
                <w:szCs w:val="20"/>
                <w:color w:val="auto"/>
              </w:rPr>
            </w:pPr>
            <w:r>
              <w:rPr>
                <w:rFonts w:ascii="Arial" w:cs="Arial" w:eastAsia="Arial" w:hAnsi="Arial"/>
                <w:sz w:val="18"/>
                <w:szCs w:val="18"/>
                <w:color w:val="auto"/>
              </w:rPr>
              <w:t>5,117</w:t>
            </w: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6,116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7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4,810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7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1,306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gridSpan w:val="2"/>
          </w:tcPr>
          <w:p>
            <w:pPr>
              <w:jc w:val="right"/>
              <w:ind w:right="410"/>
              <w:spacing w:after="0"/>
              <w:rPr>
                <w:sz w:val="20"/>
                <w:szCs w:val="20"/>
                <w:color w:val="auto"/>
              </w:rPr>
            </w:pPr>
            <w:r>
              <w:rPr>
                <w:rFonts w:ascii="Arial" w:cs="Arial" w:eastAsia="Arial" w:hAnsi="Arial"/>
                <w:sz w:val="18"/>
                <w:szCs w:val="18"/>
                <w:color w:val="auto"/>
              </w:rPr>
              <w:t>11,657</w:t>
            </w: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1760" w:type="dxa"/>
            <w:vAlign w:val="bottom"/>
            <w:gridSpan w:val="2"/>
          </w:tcPr>
          <w:p>
            <w:pPr>
              <w:jc w:val="right"/>
              <w:ind w:right="430"/>
              <w:spacing w:after="0"/>
              <w:rPr>
                <w:sz w:val="20"/>
                <w:szCs w:val="20"/>
                <w:color w:val="auto"/>
              </w:rPr>
            </w:pPr>
            <w:r>
              <w:rPr>
                <w:rFonts w:ascii="Arial" w:cs="Arial" w:eastAsia="Arial" w:hAnsi="Arial"/>
                <w:sz w:val="18"/>
                <w:szCs w:val="18"/>
                <w:color w:val="auto"/>
              </w:rPr>
              <w:t>10,128</w:t>
            </w: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1760" w:type="dxa"/>
            <w:vAlign w:val="bottom"/>
            <w:gridSpan w:val="2"/>
          </w:tcPr>
          <w:p>
            <w:pPr>
              <w:jc w:val="right"/>
              <w:ind w:right="430"/>
              <w:spacing w:after="0"/>
              <w:rPr>
                <w:sz w:val="20"/>
                <w:szCs w:val="20"/>
                <w:color w:val="auto"/>
              </w:rPr>
            </w:pPr>
            <w:r>
              <w:rPr>
                <w:rFonts w:ascii="Arial" w:cs="Arial" w:eastAsia="Arial" w:hAnsi="Arial"/>
                <w:sz w:val="18"/>
                <w:szCs w:val="18"/>
                <w:color w:val="auto"/>
              </w:rPr>
              <w:t>1,529</w:t>
            </w: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4,110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7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2,945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7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1,165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3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52,272</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5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43,155</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5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9,117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0"/>
        </w:trPr>
        <w:tc>
          <w:tcPr>
            <w:tcW w:w="3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3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17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  7,835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7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$ 10,270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7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  (2,435)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is shown separately.</w:t>
      </w:r>
    </w:p>
    <w:p>
      <w:pPr>
        <w:spacing w:after="0" w:line="117"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increased $6.7 million to $60.1 million for the six months ended June 30, 2009, compared to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This increase was primarily due to increased revenues from existing customers. Net revenues related to AT&amp;T increased $1.4 million to $38.6 million for the six months ended June 30, 2009 as compared to $37.2 million during the six months ended June 30, 2008. AT&amp;T represented 64% and 70% of our revenues for the six months ended June 30, 2009 and 2008, respectively. Net revenues outside of AT&amp;T increased $5.4 million to $21.5 million during the six months ended June 30, 2009 as compared to $16.1 million during the six months ended June 30, 2008. Net revenues outside of AT&amp;T represented 36% and 30% of our revenues during the six months ended June 30, 2009 and 2008, respectively. Transaction revenues recognized for the six months ended June 30, 2009 and 2008 represented 84% or $50.3 million and 83% or $44.5 million of net revenues, respectively. Professional service revenues as a percentage of sales were 15% or $9.3 million for the six months ended June 30, 2009, compared to 16% or $8.3 million for the six months ended June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increased $5.1 million to $30.4 million for the six months ended June 30, 2009, compared to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2008, due primarily to an increase of $2.3 million in personnel and related costs and an increase of $2.1 million in third party consulting service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an increase of $355 thousand in stock-based compensation. The increase in personnel and related costs was due primarily to an increase in headcount.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additional telecommunication, and facility expenses related to our data facilities, contributed approximately $422 thousand to the increase in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Cost of services as a percentage of revenues increased to 50.6% for the six months ended June 30, 2009, as compared to 47.3%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2008.</w:t>
      </w:r>
    </w:p>
    <w:p>
      <w:pPr>
        <w:spacing w:after="0" w:line="103"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$1.3 million to $6.1 million for the six months ended June 30, 2009,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six months ended June 30, 2008, due primarily to an increase of $1.9 million in personnel and related costs offset by a decrease of $578 thousand in third party consulting service cost. The increase in personnel and related costs was due primarily to an increase in headcount. Research and development expense as a percentage of revenues increased to 10.2% for the six months ended June 30, 2009, as compared to 9.0% for the six months ended June 30, 2008.</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 xml:space="preserve">Selling, General and Administrative. </w:t>
      </w:r>
      <w:r>
        <w:rPr>
          <w:rFonts w:ascii="Arial" w:cs="Arial" w:eastAsia="Arial" w:hAnsi="Arial"/>
          <w:sz w:val="17"/>
          <w:szCs w:val="17"/>
          <w:color w:val="auto"/>
        </w:rPr>
        <w:t>Selling, general and administrative expense increased $1.5 million to $11.7 million for the six months ended</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June 30, 2009, compared to the six months ended June 30, 2008, due primarily to increases of $987 thousand in personnel and related costs and an increase in stock-based compensation expense of $227 thousand offset by a decrease of $194 thousand in third party consulting service cost. Also, legal and accounting professional services increased approximately $494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thousand. Selling, general and administrative expense as a percentage of revenues increased to 19.4% for the six months ended June 30, 2009, as compared to 19.0% for the six months ended June 30, 2008.</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$1.2 million to $4.1 million for the six months ended June 30,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six months ended June 30, 2008, related to investments in the new facility and the amortization of intangibles related to the Wisor acquisition of $346 thousand. Depreciation and amortization expense as a percentage of revenues increased to 6.8% for the six months ended June 30, 2009, as compared to 5.5% for the six months ended June 30, 2008.</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decreased $2.4 million to $7.8 million for the six months ended June 30, 2009,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2008. Income from operations decreased as a percentage of revenues to 13.0% for the six months ended June 30, 2009, as compared to 19.2% for the six months ended June 30, 2008. This decrease was primarily due to increases in cost of services, research and development and depreciation and amortization.</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was approximately 40.9% and approximately 41.6% during the six months ended June 30, 2009 and 2008,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six months ended June 30, 2009 and 2008, we recognized approximately $3.2 million and $4.9 million in related tax expense,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Our principal source of liquidity has been cash provided by operations. Our cash, cash equivalents and marketable securities balance was $79.5 million at June 30, 2009, an increase of $707 thousand as compared to the end of 2008. This increase was due to cash provided by operations offset by purchases of fixed assets associated with our new facility in Pennsylvania. We anticipate that our principal uses of cash in the future will be to fund the expansion of our business through both organic growth as well as possible acquisition activities and to expand our customer base internationally. Uses of cash will also include facility expansion, capital expenditures and working capital.</w:t>
      </w:r>
    </w:p>
    <w:p>
      <w:pPr>
        <w:spacing w:after="0" w:line="80"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In May 2008, we entered into an agreement to lease space for our Pennsylvania offices and data center in a newly constructed facility. The lease has a term of 10 years and 5 months with an option to extend the term of the lease for two consecutive five year periods. In August 2008, we amended the lease whereby we agreed to reimburse the landlord for certain leasehold improvements we had requested. The construction phase of the improvements was complete as of June 30, 2009. Since the tenant improvements, under the lease amendment, are considered structural in nature and we are responsible for reimbursement to the landlord for the cost of these improvements, for accounting purposes, under EITF Issue No. 97-10 “The Effect of Lessee Involvement in Asset Construction” (“EITF 97-10”), we are considered to be the owner of the construction project. In accordance with EITF 97-10, we recorded assets on our balance sheet for all of the costs paid by the lessor to construct the Pennsylvania facility through June 30, 2009, along with corresponding financing liabilities for amounts equal to these lessor-paid construction costs through June 30, 2009. Post construction-period accounting requires determination of a portion of the monthly lease payments to be construed as interest, depreciation, and principal payments. At June 30, 2009, we had recorded $8.8 million of construction costs funded by the landlord, with an offsetting amount recorded as financing liabilities. The lease did not qualify for a sale lease back treatment and therefore the lease was treated as a financing lease. For the three and six months ended June 30, 2009, we recorded $226 thousand of interest expense and $73 thousand of depreciation expense related to this lease.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21" w:lineRule="exact"/>
        <w:rPr>
          <w:sz w:val="20"/>
          <w:szCs w:val="20"/>
          <w:color w:val="auto"/>
        </w:rPr>
      </w:pPr>
    </w:p>
    <w:p>
      <w:pPr>
        <w:jc w:val="both"/>
        <w:ind w:right="160" w:firstLine="225"/>
        <w:spacing w:after="0" w:line="312" w:lineRule="auto"/>
        <w:rPr>
          <w:sz w:val="20"/>
          <w:szCs w:val="20"/>
          <w:color w:val="auto"/>
        </w:rPr>
      </w:pPr>
      <w:r>
        <w:rPr>
          <w:rFonts w:ascii="Arial" w:cs="Arial" w:eastAsia="Arial" w:hAnsi="Arial"/>
          <w:sz w:val="16"/>
          <w:szCs w:val="16"/>
          <w:i w:val="1"/>
          <w:iCs w:val="1"/>
          <w:color w:val="auto"/>
        </w:rPr>
        <w:t xml:space="preserve">Cash flows from operations. </w:t>
      </w:r>
      <w:r>
        <w:rPr>
          <w:rFonts w:ascii="Arial" w:cs="Arial" w:eastAsia="Arial" w:hAnsi="Arial"/>
          <w:sz w:val="16"/>
          <w:szCs w:val="16"/>
          <w:color w:val="auto"/>
        </w:rPr>
        <w:t>Net cash provided by operating activities for the six months ended June 30, 2009 was $9.0 million compared to $9.5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2008. The decrease of $464 thousand is primarily due to an increase in accounts receivable of $1.9 million and a decrease in accrued expenses of $5.5 million offset by an increase in accounts payable of $3.8 million as compared to the six months ended June 30, 2008.</w:t>
      </w:r>
    </w:p>
    <w:p>
      <w:pPr>
        <w:spacing w:after="0" w:line="39"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i w:val="1"/>
          <w:iCs w:val="1"/>
          <w:color w:val="auto"/>
        </w:rPr>
        <w:t xml:space="preserve">Cash flows from investing. </w:t>
      </w:r>
      <w:r>
        <w:rPr>
          <w:rFonts w:ascii="Arial" w:cs="Arial" w:eastAsia="Arial" w:hAnsi="Arial"/>
          <w:sz w:val="18"/>
          <w:szCs w:val="18"/>
          <w:color w:val="auto"/>
        </w:rPr>
        <w:t>Net cash used in investing activities for the six months ended June 30, 2008 was $8.9 million compared to $2.8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June 30, 2008. The increase was primarily due to leasehold improvements and fixed asset purchases associated with the move to our new facility in Pennsylvania.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i w:val="1"/>
          <w:iCs w:val="1"/>
          <w:color w:val="auto"/>
        </w:rPr>
        <w:t xml:space="preserve">Cash flows from financing. </w:t>
      </w:r>
      <w:r>
        <w:rPr>
          <w:rFonts w:ascii="Arial" w:cs="Arial" w:eastAsia="Arial" w:hAnsi="Arial"/>
          <w:sz w:val="18"/>
          <w:szCs w:val="18"/>
          <w:color w:val="auto"/>
        </w:rPr>
        <w:t>Net cash provided by financing activities for the six months ended June 30, 2009 was $948 thousand compared to cash used by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of $8.6 million for the six months ended June 30, 2008. In May 2008, we initiated a stock repurchase program that, as of June 30, 2008, repurchased 875 thousand shares for an aggregate purchase price of approximately $10.4 million. There were no shares repurchased for the six months ended June 30, 2009.</w:t>
      </w:r>
    </w:p>
    <w:p>
      <w:pPr>
        <w:spacing w:after="0" w:line="79"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We believe that our existing cash and cash equivalents, and cash generated from our operations will be sufficient to fund our operations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three and six months ended June 30, 2009 and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jc w:val="both"/>
        <w:ind w:right="120" w:firstLine="225"/>
        <w:spacing w:after="0" w:line="259" w:lineRule="auto"/>
        <w:rPr>
          <w:sz w:val="20"/>
          <w:szCs w:val="20"/>
          <w:color w:val="auto"/>
        </w:rPr>
      </w:pPr>
      <w:r>
        <w:rPr>
          <w:rFonts w:ascii="Arial" w:cs="Arial" w:eastAsia="Arial" w:hAnsi="Arial"/>
          <w:sz w:val="18"/>
          <w:szCs w:val="18"/>
          <w:color w:val="auto"/>
        </w:rPr>
        <w:t>Staff Position No. 115-2, Financial Accounting Standards (FAS) 124-2 and Emerging Issues Task Force (EITF) 99-20-2, Recognition and Presentation of Other-Than-Temporary Impairments (FASB Staff Position (FSP) 115-2). FSP 115-2 provides new guidance on the recognition of an Other Than Temporary Impairment and provides new disclosure requirements. The recognition and presentation provisions apply only to debt securities classified as available-for-sale and held to maturity.</w:t>
      </w:r>
    </w:p>
    <w:p>
      <w:pPr>
        <w:spacing w:after="0" w:line="79"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Proposed Staff Position No. FAS 107-1 and Accounting Principles Board (APB) 28-1, Interim Disclosures about Fair Value of Financial Instruments; an amendment of Financial Accounting Standards Board (FASB) Statement No 107 (FSP 107-1). FSP 107-1 extends the disclosure requirements to FASB Statement No. 107, Disclosures about Fair Value of Financial Instruments (Statement No. 107), to interim financial statements of publicly traded companies. Statement No. 107 requires disclosures of the fair value of all financial instruments (recognized or unrecognized), when practicable to do so. These fair value disclosures must be presented together with the carrying amount of the financial instruments in a manner that clearly distinguishes between assets and liabilities and indicates how the carrying amounts relate to amounts reported on the balance sheet. An entity must also disclose the methods and significant assumptions used to estimate the fair value of the financial instruments.</w:t>
      </w:r>
    </w:p>
    <w:p>
      <w:pPr>
        <w:spacing w:after="0" w:line="7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FASB Staff Position No. FAS 157-4, Determining Fair Value When the Volume and Level of Activity for the Asset or Liability has Significantly Decreased and Identifying Transactions that are Not Orderly (FSP 157-4). FSP 157-4 amends FASB Statement No. 157, Fair Value Measurement, to provide additional guidance on estimating fair value when the volume and level of activity for an asset or liability has significantly decreased in relation to normal market activity for the asset or liability.</w:t>
      </w:r>
    </w:p>
    <w:p>
      <w:pPr>
        <w:spacing w:after="0" w:line="79"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FASB Statement No. 165,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provides authoritative literature for a topic that was previously addressed only in the accounting literature, AICPA AU Section 560, Subsequent Events. The new statement resulted in three modifications to the guidance under AU Section 560: 1. The names of the two types of subsequent events have been changed to </w:t>
      </w:r>
      <w:r>
        <w:rPr>
          <w:rFonts w:ascii="Arial" w:cs="Arial" w:eastAsia="Arial" w:hAnsi="Arial"/>
          <w:sz w:val="18"/>
          <w:szCs w:val="18"/>
          <w:i w:val="1"/>
          <w:iCs w:val="1"/>
          <w:color w:val="auto"/>
        </w:rPr>
        <w:t>recognized</w:t>
      </w:r>
      <w:r>
        <w:rPr>
          <w:rFonts w:ascii="Arial" w:cs="Arial" w:eastAsia="Arial" w:hAnsi="Arial"/>
          <w:sz w:val="18"/>
          <w:szCs w:val="18"/>
          <w:color w:val="auto"/>
        </w:rPr>
        <w:t xml:space="preserve"> subsequent events (currently referred to as Type I) or </w:t>
      </w:r>
      <w:r>
        <w:rPr>
          <w:rFonts w:ascii="Arial" w:cs="Arial" w:eastAsia="Arial" w:hAnsi="Arial"/>
          <w:sz w:val="18"/>
          <w:szCs w:val="18"/>
          <w:i w:val="1"/>
          <w:iCs w:val="1"/>
          <w:color w:val="auto"/>
        </w:rPr>
        <w:t>nonrecognized</w:t>
      </w:r>
      <w:r>
        <w:rPr>
          <w:rFonts w:ascii="Arial" w:cs="Arial" w:eastAsia="Arial" w:hAnsi="Arial"/>
          <w:sz w:val="18"/>
          <w:szCs w:val="18"/>
          <w:color w:val="auto"/>
        </w:rPr>
        <w:t xml:space="preserve"> subsequent events (currently referred to as Type II); 2. The definition of subsequent events has been modified to refer to events or transactions that occur after the balance sheet date, but before the issuance of the financial statements; and 3. Establishing a requirement for all entities to disclose the date through which the entity has evaluated subsequent events.</w:t>
      </w:r>
    </w:p>
    <w:p>
      <w:pPr>
        <w:spacing w:after="0" w:line="85"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adopted the above standards during the quarter-ended June 30, 2009. The adoption of these accounting pronouncements did not have a material impact on our consolidated financial statements.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June 2009, the FASB issued SFAS 168, “The FASB Accounting Standards Codification and the Hierarchy of Generally Accepted Accounting Principles</w:t>
      </w:r>
    </w:p>
    <w:p>
      <w:pPr>
        <w:spacing w:after="0" w:line="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a replacement of FASB Statement No. 162” (the “Codification”). The Codification does not change current GAAP but reorganizes all authoritative literature in one place. SFAS 168 is effective for financial statements issued for interim and annual periods ending after September 15, 2009. Once effective, the Codification will supersede existing GAAP and become the source of authoritative accounting principles recognized by the FASB. The adoption of SFAS 168 will not have an impact on our results of operations, financial condition or cash flows.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no off-balance sheet arrangements as of June 30, 2009 and December 31, 2008.</w:t>
      </w:r>
    </w:p>
    <w:p>
      <w:pPr>
        <w:spacing w:after="0" w:line="221"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Market Risk</w:t>
      </w:r>
    </w:p>
    <w:p>
      <w:pPr>
        <w:ind w:right="60" w:firstLine="222"/>
        <w:spacing w:after="0" w:line="276"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deposit our excess cash in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We do not expect the current rate of inflation to have a material impact on our business. These investments are denominated in United States dollars.</w:t>
      </w:r>
    </w:p>
    <w:p>
      <w:pPr>
        <w:spacing w:after="0" w:line="64"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debt securities. Our cash, cash equivalents and marketable securities at June 30, 2009 and December 31, 2008 were invested in liquid money market accounts and certificates of deposit. All market-risk sensitive instruments were entered into for non-trading purposes.</w:t>
      </w:r>
    </w:p>
    <w:p>
      <w:pPr>
        <w:spacing w:after="0" w:line="64"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recent severe tightening of the credit markets, disruptions in the financial markets and challenging economic conditions have adversely affected the United States and world economies. Investors in many industry sectors have experienced substantial decreases in asset valuations and uncertain market liquidity. Furthermore, credit rating authorities have, in many cases, been slow to respond to the rapid changes in the underlying value of certain securities and pervasive market illiquidity, regarding these securities.</w:t>
      </w:r>
    </w:p>
    <w:p>
      <w:pPr>
        <w:spacing w:after="0" w:line="79" w:lineRule="exact"/>
        <w:rPr>
          <w:sz w:val="20"/>
          <w:szCs w:val="20"/>
          <w:color w:val="auto"/>
        </w:rPr>
      </w:pPr>
    </w:p>
    <w:p>
      <w:pPr>
        <w:jc w:val="both"/>
        <w:ind w:right="40" w:firstLine="215"/>
        <w:spacing w:after="0" w:line="286" w:lineRule="auto"/>
        <w:rPr>
          <w:sz w:val="20"/>
          <w:szCs w:val="20"/>
          <w:color w:val="auto"/>
        </w:rPr>
      </w:pPr>
      <w:r>
        <w:rPr>
          <w:rFonts w:ascii="Arial" w:cs="Arial" w:eastAsia="Arial" w:hAnsi="Arial"/>
          <w:sz w:val="17"/>
          <w:szCs w:val="17"/>
          <w:color w:val="auto"/>
        </w:rPr>
        <w:t>As a result, this “credit crisis” may have a potential impact on the determination of the fair value of financial instruments or possibly require impairments in the future should the value of certain investments suffer a decline in value which is determined to be other than temporary. We currently do not believe any change in the market value of our money market funds or other investments to be material or warrant a change in valuation.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evaluated the effectiveness of the design and operation of our disclosure controls and procedures (as defined in Rules 13a-15(e) and 15d-15(e) under the Securities Exchange Act of 1934, as amended) as of June 30, 2009. Based upon that evaluation, our Chief Executive Officer and Chief Financial Officer concluded that our disclosure controls and procedures are effective as of June 30, 2009, the end of the period covered by this quarterly report, to ensure that the information required to be disclosed by us in the reports that we file or submit under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 13a-15 that was conducted during the last fiscal quarter that have materially affected, or are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operations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On September 5, 2008, September 18, 2008, and September 23, 2008, three complaints were filed against the Company and certain of its officers and directors in the United States District Court for the District of New Jersey purportedly on behalf of a class of shareholders who purchased the Company’s common stock between February 4, 2008 and June 9, 2008 (the “Securities Law Actions”). The complaints were consolidated and an amended complaint was filed by the plaintiffs on March 13, 2009. The Company filed a Motion to Dismiss all of the claims under the complaint on April 24, 2009. The Motion to Dismiss has been fully briefed by the parties and the Company is awaiting the Court’s decision. The plaintiffs in each complaint assert claims under Sections 10(b) and 20(a) of the Securities Exchange Act of 1934. They allege that certain of the Company’s public disclosures regarding its financial prospects during the proposed class period were false and/or misleading. The principal allegation set forth in each complaint is that the Company issued misleading statements concerning its business prospects relating to the activation of Apple Inc.’s iPhone product. The plaintiffs seek compensatory damages, costs, fees, and other relief within the Court’s discretion. The Company believes that the claims described above are without merit, and it intends to defend against all of the claims vigorously. Due to the inherent uncertainties of litigation, the Company cannot predict the outcome of the actions at this time, and it can give no assurance that these claims will not have a material adverse effect on the Company’s financial position or results of operations.</w:t>
      </w:r>
    </w:p>
    <w:p>
      <w:pPr>
        <w:spacing w:after="0" w:line="65"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October 23, 2008 and November 3, 2008, complaints were filed in the state court of New Jersey and the United States District Court for the District of New Jersey against certain of our officers and directors, purportedly derivatively on behalf of the Company (the “Derivative Suits”). The Complaints in the Derivative Suits assert that the named officers and directors breached their fiduciary duties and other obligations in connection with the disclosures that also are the subject of the Securities Law Actions described above. The Company is also named as a nominal defendant in the Derivative Suits, although the lawsuits are derivative in nature and purportedly asserted on the Company’s behalf. The plaintiffs seek compensatory damages, costs, fees, and other relief within the Court’s discretion. We are in the process of evaluating the claims in the Derivative Suits. The plaintiffs in the Derivative Suits have agreed to stay their claims pending the court’s decision in the Defendant’s Motion to Dismiss in the Securities Laws Actions. Due to the inherent uncertainties of litigation, we cannot predict the outcome of the Derivative Suits at this time, and we can give no assurance that the claims in these complaints will not have a material adverse effect on our financial position or results of operations.</w:t>
      </w:r>
    </w:p>
    <w:p>
      <w:pPr>
        <w:spacing w:after="0" w:line="74"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Except for the above claims, the Company is not currently subject to any legal proceedings that could have a material adverse effect on its operations; however, the Company may from time to time become a party to various legal proceedings arising in the ordinary course of its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II, “Item 1A. Risk Factors” in our Annual Report on Form 10-K for the year ended December 31, 2008, which could materially affect our business,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negatively affected. In that case, the trading price of our stock could decline, and our stockholders may lose part or all of their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June 14, 2006, our Registration Statement on Form S-1 (File No. 333-132080) relating to the IPO was declared effective by the SEC. The managing underwriters of our IPO were Goldman, Sachs &amp; Co., Deutsche Bank Securities Inc. and Thomas Weisel Partners LLC. On June 20, 2006, we closed the sale of 6,532,107 shares of common stock in our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Part of our current growth strategy is to further penetrate the North American markets and expand our customer base internationally. We anticipate that a portion of the proceeds of the offering will enable us to finance this expansion. In addition, we could use a portion of the proceeds of our IPO to make strategic investments in, or pursue acquisitions of, other businesses, products or technologies.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SUBMISSIONS OF MATTERS TO A VOTE OF SECURITY HOLDERS</w:t>
      </w:r>
    </w:p>
    <w:p>
      <w:pPr>
        <w:spacing w:after="0" w:line="121" w:lineRule="exact"/>
        <w:rPr>
          <w:sz w:val="20"/>
          <w:szCs w:val="20"/>
          <w:color w:val="auto"/>
        </w:rPr>
      </w:pPr>
    </w:p>
    <w:p>
      <w:pPr>
        <w:ind w:right="240" w:firstLine="215"/>
        <w:spacing w:after="0" w:line="259" w:lineRule="auto"/>
        <w:rPr>
          <w:sz w:val="20"/>
          <w:szCs w:val="20"/>
          <w:color w:val="auto"/>
        </w:rPr>
      </w:pPr>
      <w:r>
        <w:rPr>
          <w:rFonts w:ascii="Arial" w:cs="Arial" w:eastAsia="Arial" w:hAnsi="Arial"/>
          <w:sz w:val="18"/>
          <w:szCs w:val="18"/>
          <w:color w:val="auto"/>
        </w:rPr>
        <w:t>At our Annual Meeting of Stockholders held on May 14, 2009, our stockholders elected two director nominees and, ratified the selection of our independent registered public accounting firm. Proxies for the Annual Meeting were solicited pursuant to Section 14(a) of the Securities Exchange Act of 1934 and there was no solicitation in opposition of management’s solicitation. The votes cast at our Annual Meeting of Stockholders held on May 14, 2009 were as follows:</w:t>
      </w:r>
    </w:p>
    <w:p>
      <w:pPr>
        <w:spacing w:after="0" w:line="17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Number of Shares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Voted For</w:t>
            </w:r>
          </w:p>
        </w:tc>
        <w:tc>
          <w:tcPr>
            <w:tcW w:w="9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Voted Against</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Abstain</w:t>
            </w:r>
          </w:p>
        </w:tc>
      </w:tr>
      <w:tr>
        <w:trPr>
          <w:trHeight w:val="195"/>
        </w:trPr>
        <w:tc>
          <w:tcPr>
            <w:tcW w:w="620" w:type="dxa"/>
            <w:vAlign w:val="bottom"/>
            <w:shd w:val="clear" w:color="auto" w:fill="CCEEFF"/>
          </w:tcPr>
          <w:p>
            <w:pPr>
              <w:jc w:val="right"/>
              <w:ind w:right="190"/>
              <w:spacing w:after="0" w:line="195" w:lineRule="exact"/>
              <w:rPr>
                <w:sz w:val="20"/>
                <w:szCs w:val="20"/>
                <w:color w:val="auto"/>
              </w:rPr>
            </w:pPr>
            <w:r>
              <w:rPr>
                <w:rFonts w:ascii="Arial" w:cs="Arial" w:eastAsia="Arial" w:hAnsi="Arial"/>
                <w:sz w:val="18"/>
                <w:szCs w:val="18"/>
                <w:color w:val="auto"/>
              </w:rPr>
              <w:t>1.</w:t>
            </w:r>
          </w:p>
        </w:tc>
        <w:tc>
          <w:tcPr>
            <w:tcW w:w="5020" w:type="dxa"/>
            <w:vAlign w:val="bottom"/>
            <w:shd w:val="clear" w:color="auto" w:fill="CCEEFF"/>
          </w:tcPr>
          <w:p>
            <w:pPr>
              <w:ind w:left="260"/>
              <w:spacing w:after="0" w:line="195" w:lineRule="exact"/>
              <w:rPr>
                <w:sz w:val="20"/>
                <w:szCs w:val="20"/>
                <w:color w:val="auto"/>
              </w:rPr>
            </w:pPr>
            <w:r>
              <w:rPr>
                <w:rFonts w:ascii="Arial" w:cs="Arial" w:eastAsia="Arial" w:hAnsi="Arial"/>
                <w:sz w:val="18"/>
                <w:szCs w:val="18"/>
                <w:color w:val="auto"/>
              </w:rPr>
              <w:t>The election of two (2) directors to serve until the 2012</w:t>
            </w:r>
          </w:p>
        </w:tc>
        <w:tc>
          <w:tcPr>
            <w:tcW w:w="820" w:type="dxa"/>
            <w:vAlign w:val="bottom"/>
            <w:tcBorders>
              <w:top w:val="single" w:sz="8" w:color="auto"/>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r>
      <w:tr>
        <w:trPr>
          <w:trHeight w:val="230"/>
        </w:trPr>
        <w:tc>
          <w:tcPr>
            <w:tcW w:w="620" w:type="dxa"/>
            <w:vAlign w:val="bottom"/>
            <w:shd w:val="clear" w:color="auto" w:fill="CCEEFF"/>
          </w:tcPr>
          <w:p>
            <w:pPr>
              <w:spacing w:after="0"/>
              <w:rPr>
                <w:sz w:val="20"/>
                <w:szCs w:val="20"/>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Annual Meeting of Stockholders of the Company.</w:t>
            </w:r>
          </w:p>
        </w:tc>
        <w:tc>
          <w:tcPr>
            <w:tcW w:w="8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5020" w:type="dxa"/>
            <w:vAlign w:val="bottom"/>
          </w:tcPr>
          <w:p>
            <w:pPr>
              <w:ind w:left="260"/>
              <w:spacing w:after="0"/>
              <w:rPr>
                <w:sz w:val="20"/>
                <w:szCs w:val="20"/>
                <w:color w:val="auto"/>
              </w:rPr>
            </w:pPr>
            <w:r>
              <w:rPr>
                <w:rFonts w:ascii="Arial" w:cs="Arial" w:eastAsia="Arial" w:hAnsi="Arial"/>
                <w:sz w:val="18"/>
                <w:szCs w:val="18"/>
                <w:color w:val="auto"/>
              </w:rPr>
              <w:t>William J. Cadogan</w:t>
            </w:r>
          </w:p>
        </w:tc>
        <w:tc>
          <w:tcPr>
            <w:tcW w:w="1800" w:type="dxa"/>
            <w:vAlign w:val="bottom"/>
            <w:gridSpan w:val="2"/>
          </w:tcPr>
          <w:p>
            <w:pPr>
              <w:spacing w:after="0"/>
              <w:rPr>
                <w:sz w:val="20"/>
                <w:szCs w:val="20"/>
                <w:color w:val="auto"/>
              </w:rPr>
            </w:pPr>
            <w:r>
              <w:rPr>
                <w:rFonts w:ascii="Arial" w:cs="Arial" w:eastAsia="Arial" w:hAnsi="Arial"/>
                <w:sz w:val="18"/>
                <w:szCs w:val="18"/>
                <w:color w:val="auto"/>
                <w:w w:val="91"/>
              </w:rPr>
              <w:t>28,354,054 Section 1.01</w:t>
            </w:r>
          </w:p>
        </w:tc>
        <w:tc>
          <w:tcPr>
            <w:tcW w:w="980" w:type="dxa"/>
            <w:vAlign w:val="bottom"/>
          </w:tcPr>
          <w:p>
            <w:pPr>
              <w:ind w:left="40"/>
              <w:spacing w:after="0"/>
              <w:rPr>
                <w:sz w:val="20"/>
                <w:szCs w:val="20"/>
                <w:color w:val="auto"/>
              </w:rPr>
            </w:pPr>
            <w:r>
              <w:rPr>
                <w:rFonts w:ascii="Arial" w:cs="Arial" w:eastAsia="Arial" w:hAnsi="Arial"/>
                <w:sz w:val="18"/>
                <w:szCs w:val="18"/>
                <w:color w:val="auto"/>
                <w:w w:val="91"/>
              </w:rPr>
              <w:t>Section 1.02</w:t>
            </w:r>
          </w:p>
        </w:tc>
        <w:tc>
          <w:tcPr>
            <w:tcW w:w="1000" w:type="dxa"/>
            <w:vAlign w:val="bottom"/>
          </w:tcPr>
          <w:p>
            <w:pPr>
              <w:ind w:left="60"/>
              <w:spacing w:after="0"/>
              <w:rPr>
                <w:sz w:val="20"/>
                <w:szCs w:val="20"/>
                <w:color w:val="auto"/>
              </w:rPr>
            </w:pPr>
            <w:r>
              <w:rPr>
                <w:rFonts w:ascii="Arial" w:cs="Arial" w:eastAsia="Arial" w:hAnsi="Arial"/>
                <w:sz w:val="18"/>
                <w:szCs w:val="18"/>
                <w:color w:val="auto"/>
                <w:w w:val="91"/>
              </w:rPr>
              <w:t>Section 1.03</w:t>
            </w:r>
          </w:p>
        </w:tc>
        <w:tc>
          <w:tcPr>
            <w:tcW w:w="1460" w:type="dxa"/>
            <w:vAlign w:val="bottom"/>
          </w:tcPr>
          <w:p>
            <w:pPr>
              <w:jc w:val="right"/>
              <w:ind w:right="276"/>
              <w:spacing w:after="0"/>
              <w:rPr>
                <w:sz w:val="20"/>
                <w:szCs w:val="20"/>
                <w:color w:val="auto"/>
              </w:rPr>
            </w:pPr>
            <w:r>
              <w:rPr>
                <w:rFonts w:ascii="Arial" w:cs="Arial" w:eastAsia="Arial" w:hAnsi="Arial"/>
                <w:sz w:val="18"/>
                <w:szCs w:val="18"/>
                <w:color w:val="auto"/>
              </w:rPr>
              <w:t>1,121,542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20" w:type="dxa"/>
            <w:vAlign w:val="bottom"/>
            <w:shd w:val="clear" w:color="auto" w:fill="CCEEFF"/>
          </w:tcPr>
          <w:p>
            <w:pPr>
              <w:spacing w:after="0"/>
              <w:rPr>
                <w:sz w:val="18"/>
                <w:szCs w:val="18"/>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Stephen G. Waldis</w:t>
            </w:r>
          </w:p>
        </w:tc>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29,133,328 Section 1.04</w:t>
            </w: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Section 1.05</w:t>
            </w:r>
          </w:p>
        </w:tc>
        <w:tc>
          <w:tcPr>
            <w:tcW w:w="10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Section 1.06</w:t>
            </w:r>
          </w:p>
        </w:tc>
        <w:tc>
          <w:tcPr>
            <w:tcW w:w="14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342,268</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other directors whose terms as directors continued after the Annual Meeting of Stockholders are: Charles E. Hoffman, Thomas J. Hopkins, James 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McCormick and Donnie M. Moore.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6"/>
              </w:rPr>
              <w:t>Number of Shares</w:t>
            </w: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 w:type="dxa"/>
            <w:vAlign w:val="bottom"/>
            <w:vMerge w:val="restart"/>
          </w:tcPr>
          <w:p>
            <w:pPr>
              <w:jc w:val="right"/>
              <w:ind w:right="370"/>
              <w:spacing w:after="0"/>
              <w:rPr>
                <w:sz w:val="20"/>
                <w:szCs w:val="20"/>
                <w:color w:val="auto"/>
              </w:rPr>
            </w:pPr>
            <w:r>
              <w:rPr>
                <w:rFonts w:ascii="Arial" w:cs="Arial" w:eastAsia="Arial" w:hAnsi="Arial"/>
                <w:sz w:val="18"/>
                <w:szCs w:val="18"/>
                <w:color w:val="auto"/>
                <w:w w:val="79"/>
              </w:rPr>
              <w:t>2.</w:t>
            </w:r>
          </w:p>
        </w:tc>
        <w:tc>
          <w:tcPr>
            <w:tcW w:w="4800" w:type="dxa"/>
            <w:vAlign w:val="bottom"/>
            <w:vMerge w:val="restart"/>
          </w:tcPr>
          <w:p>
            <w:pPr>
              <w:ind w:left="440"/>
              <w:spacing w:after="0"/>
              <w:rPr>
                <w:sz w:val="20"/>
                <w:szCs w:val="20"/>
                <w:color w:val="auto"/>
              </w:rPr>
            </w:pPr>
            <w:r>
              <w:rPr>
                <w:rFonts w:ascii="Arial" w:cs="Arial" w:eastAsia="Arial" w:hAnsi="Arial"/>
                <w:sz w:val="18"/>
                <w:szCs w:val="18"/>
                <w:color w:val="auto"/>
              </w:rPr>
              <w:t>Ratification of the appointment of Ernst &amp; Young</w:t>
            </w: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Voted For</w:t>
            </w:r>
          </w:p>
        </w:tc>
        <w:tc>
          <w:tcPr>
            <w:tcW w:w="440" w:type="dxa"/>
            <w:vAlign w:val="bottom"/>
          </w:tcPr>
          <w:p>
            <w:pPr>
              <w:spacing w:after="0"/>
              <w:rPr>
                <w:sz w:val="12"/>
                <w:szCs w:val="12"/>
                <w:color w:val="auto"/>
              </w:rPr>
            </w:pPr>
          </w:p>
        </w:tc>
        <w:tc>
          <w:tcPr>
            <w:tcW w:w="1860" w:type="dxa"/>
            <w:vAlign w:val="bottom"/>
            <w:gridSpan w:val="3"/>
          </w:tcPr>
          <w:p>
            <w:pPr>
              <w:jc w:val="center"/>
              <w:ind w:right="640"/>
              <w:spacing w:after="0" w:line="142" w:lineRule="exact"/>
              <w:rPr>
                <w:sz w:val="20"/>
                <w:szCs w:val="20"/>
                <w:color w:val="auto"/>
              </w:rPr>
            </w:pPr>
            <w:r>
              <w:rPr>
                <w:rFonts w:ascii="Arial" w:cs="Arial" w:eastAsia="Arial" w:hAnsi="Arial"/>
                <w:sz w:val="14"/>
                <w:szCs w:val="14"/>
                <w:b w:val="1"/>
                <w:bCs w:val="1"/>
                <w:color w:val="auto"/>
                <w:w w:val="91"/>
              </w:rPr>
              <w:t>Voted Against</w:t>
            </w:r>
          </w:p>
        </w:tc>
        <w:tc>
          <w:tcPr>
            <w:tcW w:w="8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Abstain</w:t>
            </w:r>
          </w:p>
        </w:tc>
        <w:tc>
          <w:tcPr>
            <w:tcW w:w="154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w w:val="90"/>
              </w:rPr>
              <w:t>Broker Non-Votes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0" w:type="dxa"/>
            <w:vAlign w:val="bottom"/>
            <w:vMerge w:val="continue"/>
          </w:tcPr>
          <w:p>
            <w:pPr>
              <w:spacing w:after="0"/>
              <w:rPr>
                <w:sz w:val="16"/>
                <w:szCs w:val="16"/>
                <w:color w:val="auto"/>
              </w:rPr>
            </w:pPr>
          </w:p>
        </w:tc>
        <w:tc>
          <w:tcPr>
            <w:tcW w:w="4800" w:type="dxa"/>
            <w:vAlign w:val="bottom"/>
            <w:vMerge w:val="continue"/>
          </w:tcPr>
          <w:p>
            <w:pPr>
              <w:spacing w:after="0"/>
              <w:rPr>
                <w:sz w:val="16"/>
                <w:szCs w:val="16"/>
                <w:color w:val="auto"/>
              </w:rPr>
            </w:pPr>
          </w:p>
        </w:tc>
        <w:tc>
          <w:tcPr>
            <w:tcW w:w="1340" w:type="dxa"/>
            <w:vAlign w:val="bottom"/>
            <w:tcBorders>
              <w:top w:val="single" w:sz="8" w:color="auto"/>
            </w:tcBorders>
          </w:tcPr>
          <w:p>
            <w:pPr>
              <w:jc w:val="right"/>
              <w:ind w:right="179"/>
              <w:spacing w:after="0" w:line="195" w:lineRule="exact"/>
              <w:rPr>
                <w:sz w:val="20"/>
                <w:szCs w:val="20"/>
                <w:color w:val="auto"/>
              </w:rPr>
            </w:pPr>
            <w:r>
              <w:rPr>
                <w:rFonts w:ascii="Arial" w:cs="Arial" w:eastAsia="Arial" w:hAnsi="Arial"/>
                <w:sz w:val="18"/>
                <w:szCs w:val="18"/>
                <w:color w:val="auto"/>
              </w:rPr>
              <w:t>29,409,530</w:t>
            </w:r>
          </w:p>
        </w:tc>
        <w:tc>
          <w:tcPr>
            <w:tcW w:w="440" w:type="dxa"/>
            <w:vAlign w:val="bottom"/>
          </w:tcPr>
          <w:p>
            <w:pPr>
              <w:spacing w:after="0"/>
              <w:rPr>
                <w:sz w:val="16"/>
                <w:szCs w:val="16"/>
                <w:color w:val="auto"/>
              </w:rPr>
            </w:pPr>
          </w:p>
        </w:tc>
        <w:tc>
          <w:tcPr>
            <w:tcW w:w="122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53,206</w:t>
            </w: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12,859</w:t>
            </w:r>
          </w:p>
        </w:tc>
        <w:tc>
          <w:tcPr>
            <w:tcW w:w="4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800" w:type="dxa"/>
            <w:vAlign w:val="bottom"/>
          </w:tcPr>
          <w:p>
            <w:pPr>
              <w:ind w:left="660"/>
              <w:spacing w:after="0"/>
              <w:rPr>
                <w:sz w:val="20"/>
                <w:szCs w:val="20"/>
                <w:color w:val="auto"/>
              </w:rPr>
            </w:pPr>
            <w:r>
              <w:rPr>
                <w:rFonts w:ascii="Arial" w:cs="Arial" w:eastAsia="Arial" w:hAnsi="Arial"/>
                <w:sz w:val="18"/>
                <w:szCs w:val="18"/>
                <w:color w:val="auto"/>
              </w:rPr>
              <w:t>LLP as our independent registered accounting firm</w:t>
            </w: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4800" w:type="dxa"/>
            <w:vAlign w:val="bottom"/>
          </w:tcPr>
          <w:p>
            <w:pPr>
              <w:ind w:left="660"/>
              <w:spacing w:after="0"/>
              <w:rPr>
                <w:sz w:val="20"/>
                <w:szCs w:val="20"/>
                <w:color w:val="auto"/>
              </w:rPr>
            </w:pPr>
            <w:r>
              <w:rPr>
                <w:rFonts w:ascii="Arial" w:cs="Arial" w:eastAsia="Arial" w:hAnsi="Arial"/>
                <w:sz w:val="18"/>
                <w:szCs w:val="18"/>
                <w:color w:val="auto"/>
              </w:rPr>
              <w:t>for our fiscal year ending December 31, 2009.</w:t>
            </w: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Restated Certificate of Incorporation of the Company</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Bylaws of the Company</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Company’s Common Stock certificate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8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Synchronoss Technologies,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Stephen G. Waldis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Chairman of the Board of Directors,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Lawrence R. Irving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Executive Vice President, Chief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Treasurer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August 3, 2009</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20"/>
          </w:cols>
          <w:pgMar w:left="240" w:top="419" w:right="11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2009;</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Chairman of the Board of Directors, President &amp; Chief</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2009;</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Chief Financial Officer &amp;</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w:t>
            </w:r>
          </w:p>
        </w:tc>
      </w:tr>
    </w:tbl>
    <w:p>
      <w:pPr>
        <w:sectPr>
          <w:pgSz w:w="11900" w:h="16838" w:orient="portrait"/>
          <w:cols w:equalWidth="0" w:num="1">
            <w:col w:w="11420"/>
          </w:cols>
          <w:pgMar w:left="240" w:top="553"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ended June 30, 2009, as filed with the Securities and Exchange Commission on the date hereof (the “Report”), I, Stephen G. Waldis, the Chairman of the Board of Directors, President &amp; Chief Executive Officer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Chairman of the Board of Directors, President &amp; Chief</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ended June 30, 2009, as filed with the Securities and Exchange Commission on the date hereof (the “Report”), I, Lawrence R. Irving, the Chief Financial Officer &amp; Treasurer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Chief Financial Officer &amp;</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emdash "/>
      <w:numFmt w:val="bullet"/>
      <w:start w:val="1"/>
    </w:lvl>
  </w:abstractNum>
  <w:abstractNum w:abstractNumId="4">
    <w:nsid w:val="12200854"/>
    <w:multiLevelType w:val="hybridMultilevel"/>
    <w:lvl w:ilvl="0">
      <w:lvlJc w:val="left"/>
      <w:lvlText w:val="(%1)"/>
      <w:numFmt w:val="upperLetter"/>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emdash "/>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2019-12-10T21:15:35Z</dcterms:created>
  <dcterms:modified xsi:type="dcterms:W3CDTF">2019-12-10T21:15:35Z</dcterms:modified>
</cp:coreProperties>
</file>