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343535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line="236" w:lineRule="auto"/>
        <w:rPr>
          <w:sz w:val="20"/>
          <w:szCs w:val="20"/>
          <w:color w:val="auto"/>
        </w:rPr>
      </w:pPr>
      <w:r>
        <w:rPr>
          <w:rFonts w:ascii="Arial" w:cs="Arial" w:eastAsia="Arial" w:hAnsi="Arial"/>
          <w:sz w:val="16"/>
          <w:szCs w:val="16"/>
          <w:color w:val="auto"/>
        </w:rPr>
        <w:t>Washington, D.C. 20549</w:t>
      </w:r>
    </w:p>
    <w:p>
      <w:pPr>
        <w:jc w:val="center"/>
        <w:spacing w:after="0" w:line="236" w:lineRule="auto"/>
        <w:rPr>
          <w:sz w:val="20"/>
          <w:szCs w:val="20"/>
          <w:color w:val="auto"/>
        </w:rPr>
      </w:pPr>
      <w:r>
        <w:rPr>
          <w:rFonts w:ascii="Arial" w:cs="Arial" w:eastAsia="Arial" w:hAnsi="Arial"/>
          <w:sz w:val="16"/>
          <w:szCs w:val="16"/>
          <w:b w:val="1"/>
          <w:bCs w:val="1"/>
          <w:color w:val="auto"/>
        </w:rPr>
        <w:t>FORM 10-Q</w:t>
      </w:r>
    </w:p>
    <w:p>
      <w:pPr>
        <w:jc w:val="center"/>
        <w:spacing w:after="0"/>
        <w:rPr>
          <w:sz w:val="20"/>
          <w:szCs w:val="20"/>
          <w:color w:val="auto"/>
        </w:rPr>
      </w:pPr>
      <w:r>
        <w:rPr>
          <w:rFonts w:ascii="Arial" w:cs="Arial" w:eastAsia="Arial" w:hAnsi="Arial"/>
          <w:sz w:val="16"/>
          <w:szCs w:val="16"/>
          <w:color w:val="auto"/>
        </w:rPr>
        <w:t>(Mark One)</w:t>
      </w:r>
    </w:p>
    <w:p>
      <w:pPr>
        <w:spacing w:after="0" w:line="18" w:lineRule="exact"/>
        <w:rPr>
          <w:sz w:val="24"/>
          <w:szCs w:val="24"/>
          <w:color w:val="auto"/>
        </w:rPr>
      </w:pPr>
    </w:p>
    <w:p>
      <w:pPr>
        <w:ind w:left="1000" w:hanging="576"/>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1000" w:hanging="576"/>
        <w:spacing w:after="0"/>
        <w:tabs>
          <w:tab w:leader="none" w:pos="10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305"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60" w:space="400"/>
            <w:col w:w="4480"/>
          </w:cols>
          <w:pgMar w:left="320" w:top="231"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001-40574</w:t>
      </w:r>
    </w:p>
    <w:p>
      <w:pPr>
        <w:sectPr>
          <w:pgSz w:w="11900" w:h="16838" w:orient="portrait"/>
          <w:cols w:equalWidth="0" w:num="1">
            <w:col w:w="11240"/>
          </w:cols>
          <w:pgMar w:left="320" w:top="231"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 w:lineRule="exact"/>
        <w:rPr>
          <w:sz w:val="24"/>
          <w:szCs w:val="24"/>
          <w:color w:val="auto"/>
        </w:rPr>
      </w:pPr>
    </w:p>
    <w:tbl>
      <w:tblPr>
        <w:tblLayout w:type="fixed"/>
        <w:tblInd w:w="1600" w:type="dxa"/>
        <w:tblCellMar>
          <w:top w:w="0" w:type="dxa"/>
          <w:left w:w="0" w:type="dxa"/>
          <w:bottom w:w="0" w:type="dxa"/>
          <w:right w:w="0" w:type="dxa"/>
        </w:tblCellMar>
      </w:tblPr>
      <w:tr>
        <w:trPr>
          <w:trHeight w:val="202"/>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8"/>
              </w:rPr>
              <w:t>Delaware</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6"/>
        </w:trPr>
        <w:tc>
          <w:tcPr>
            <w:tcW w:w="5940" w:type="dxa"/>
            <w:vAlign w:val="bottom"/>
          </w:tcPr>
          <w:p>
            <w:pPr>
              <w:jc w:val="center"/>
              <w:ind w:right="3422"/>
              <w:spacing w:after="0" w:line="166" w:lineRule="exact"/>
              <w:rPr>
                <w:sz w:val="20"/>
                <w:szCs w:val="20"/>
                <w:color w:val="auto"/>
              </w:rPr>
            </w:pPr>
            <w:r>
              <w:rPr>
                <w:rFonts w:ascii="Arial" w:cs="Arial" w:eastAsia="Arial" w:hAnsi="Arial"/>
                <w:sz w:val="16"/>
                <w:szCs w:val="16"/>
                <w:color w:val="auto"/>
                <w:w w:val="89"/>
              </w:rPr>
              <w:t>(State or other jurisdiction of</w:t>
            </w:r>
          </w:p>
        </w:tc>
        <w:tc>
          <w:tcPr>
            <w:tcW w:w="1460" w:type="dxa"/>
            <w:vAlign w:val="bottom"/>
          </w:tcPr>
          <w:p>
            <w:pPr>
              <w:jc w:val="center"/>
              <w:ind w:left="242"/>
              <w:spacing w:after="0" w:line="166" w:lineRule="exact"/>
              <w:rPr>
                <w:sz w:val="20"/>
                <w:szCs w:val="20"/>
                <w:color w:val="auto"/>
              </w:rPr>
            </w:pPr>
            <w:r>
              <w:rPr>
                <w:rFonts w:ascii="Arial" w:cs="Arial" w:eastAsia="Arial" w:hAnsi="Arial"/>
                <w:sz w:val="16"/>
                <w:szCs w:val="16"/>
                <w:color w:val="auto"/>
                <w:w w:val="90"/>
              </w:rPr>
              <w:t>(I.R.S. Employer</w:t>
            </w:r>
          </w:p>
        </w:tc>
        <w:tc>
          <w:tcPr>
            <w:tcW w:w="0" w:type="dxa"/>
            <w:vAlign w:val="bottom"/>
          </w:tcPr>
          <w:p>
            <w:pPr>
              <w:spacing w:after="0"/>
              <w:rPr>
                <w:sz w:val="1"/>
                <w:szCs w:val="1"/>
                <w:color w:val="auto"/>
              </w:rPr>
            </w:pPr>
          </w:p>
        </w:tc>
      </w:tr>
      <w:tr>
        <w:trPr>
          <w:trHeight w:val="196"/>
        </w:trPr>
        <w:tc>
          <w:tcPr>
            <w:tcW w:w="5940" w:type="dxa"/>
            <w:vAlign w:val="bottom"/>
          </w:tcPr>
          <w:p>
            <w:pPr>
              <w:jc w:val="center"/>
              <w:ind w:right="3422"/>
              <w:spacing w:after="0"/>
              <w:rPr>
                <w:sz w:val="20"/>
                <w:szCs w:val="20"/>
                <w:color w:val="auto"/>
              </w:rPr>
            </w:pPr>
            <w:r>
              <w:rPr>
                <w:rFonts w:ascii="Arial" w:cs="Arial" w:eastAsia="Arial" w:hAnsi="Arial"/>
                <w:sz w:val="16"/>
                <w:szCs w:val="16"/>
                <w:color w:val="auto"/>
                <w:w w:val="90"/>
              </w:rPr>
              <w:t>incorporation or organization)</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368"/>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7"/>
              </w:rPr>
              <w:t>200 Crossing Boulevard, 3rd Floor</w:t>
            </w:r>
          </w:p>
        </w:tc>
        <w:tc>
          <w:tcPr>
            <w:tcW w:w="14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6"/>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jc w:val="center"/>
              <w:ind w:right="3402"/>
              <w:spacing w:after="0"/>
              <w:rPr>
                <w:sz w:val="20"/>
                <w:szCs w:val="20"/>
                <w:color w:val="auto"/>
              </w:rPr>
            </w:pPr>
            <w:r>
              <w:rPr>
                <w:rFonts w:ascii="Arial" w:cs="Arial" w:eastAsia="Arial" w:hAnsi="Arial"/>
                <w:sz w:val="16"/>
                <w:szCs w:val="16"/>
                <w:color w:val="auto"/>
                <w:w w:val="89"/>
              </w:rPr>
              <w:t>(Address of principal executive offices)</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89"/>
              </w:rPr>
              <w:t>(Zip Code)</w:t>
            </w:r>
          </w:p>
        </w:tc>
        <w:tc>
          <w:tcPr>
            <w:tcW w:w="0" w:type="dxa"/>
            <w:vAlign w:val="bottom"/>
          </w:tcPr>
          <w:p>
            <w:pPr>
              <w:spacing w:after="0"/>
              <w:rPr>
                <w:sz w:val="1"/>
                <w:szCs w:val="1"/>
                <w:color w:val="auto"/>
              </w:rPr>
            </w:pPr>
          </w:p>
        </w:tc>
      </w:tr>
      <w:tr>
        <w:trPr>
          <w:trHeight w:val="450"/>
        </w:trPr>
        <w:tc>
          <w:tcPr>
            <w:tcW w:w="5940" w:type="dxa"/>
            <w:vAlign w:val="bottom"/>
          </w:tcPr>
          <w:p>
            <w:pPr>
              <w:jc w:val="right"/>
              <w:ind w:right="1362"/>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jc w:val="center"/>
              <w:ind w:left="1982"/>
              <w:spacing w:after="0"/>
              <w:rPr>
                <w:sz w:val="20"/>
                <w:szCs w:val="20"/>
                <w:color w:val="auto"/>
              </w:rPr>
            </w:pPr>
            <w:r>
              <w:rPr>
                <w:rFonts w:ascii="Arial" w:cs="Arial" w:eastAsia="Arial" w:hAnsi="Arial"/>
                <w:sz w:val="16"/>
                <w:szCs w:val="16"/>
                <w:color w:val="auto"/>
                <w:w w:val="87"/>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30"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9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57"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700" w:type="dxa"/>
        <w:tblCellMar>
          <w:top w:w="0" w:type="dxa"/>
          <w:left w:w="0" w:type="dxa"/>
          <w:bottom w:w="0" w:type="dxa"/>
          <w:right w:w="0" w:type="dxa"/>
        </w:tblCellMar>
      </w:tblPr>
      <w:tr>
        <w:trPr>
          <w:trHeight w:val="201"/>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8"/>
              </w:rPr>
              <w:t>Large 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102"/>
              <w:spacing w:after="0"/>
              <w:rPr>
                <w:sz w:val="20"/>
                <w:szCs w:val="20"/>
                <w:color w:val="auto"/>
              </w:rPr>
            </w:pPr>
            <w:r>
              <w:rPr>
                <w:rFonts w:ascii="Arial" w:cs="Arial" w:eastAsia="Arial" w:hAnsi="Arial"/>
                <w:sz w:val="16"/>
                <w:szCs w:val="16"/>
                <w:color w:val="auto"/>
                <w:w w:val="90"/>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9"/>
              </w:rPr>
              <w:t>Non-accelerated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4"/>
        </w:trPr>
        <w:tc>
          <w:tcPr>
            <w:tcW w:w="2080" w:type="dxa"/>
            <w:vAlign w:val="bottom"/>
          </w:tcPr>
          <w:p>
            <w:pPr>
              <w:jc w:val="center"/>
              <w:ind w:right="302"/>
              <w:spacing w:after="0"/>
              <w:rPr>
                <w:sz w:val="20"/>
                <w:szCs w:val="20"/>
                <w:color w:val="auto"/>
              </w:rPr>
            </w:pPr>
            <w:r>
              <w:rPr>
                <w:rFonts w:ascii="Arial" w:cs="Arial" w:eastAsia="Arial" w:hAnsi="Arial"/>
                <w:sz w:val="16"/>
                <w:szCs w:val="16"/>
                <w:color w:val="auto"/>
                <w:w w:val="89"/>
              </w:rPr>
              <w:t>Emerging growth company</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22" w:lineRule="exact"/>
        <w:rPr>
          <w:sz w:val="24"/>
          <w:szCs w:val="24"/>
          <w:color w:val="auto"/>
        </w:rPr>
      </w:pPr>
    </w:p>
    <w:p>
      <w:pPr>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3"/>
          <w:szCs w:val="13"/>
          <w:color w:val="auto"/>
        </w:rPr>
        <w:t>x</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8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23"/>
        </w:trPr>
        <w:tc>
          <w:tcPr>
            <w:tcW w:w="430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87"/>
              </w:rPr>
              <w:t>Title of each class</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Trading Symbol(s)</w:t>
            </w:r>
          </w:p>
        </w:tc>
        <w:tc>
          <w:tcPr>
            <w:tcW w:w="434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color w:val="auto"/>
                <w:w w:val="86"/>
              </w:rPr>
              <w:t>Name of each exchange on which registered</w:t>
            </w:r>
          </w:p>
        </w:tc>
      </w:tr>
      <w:tr>
        <w:trPr>
          <w:trHeight w:val="197"/>
        </w:trPr>
        <w:tc>
          <w:tcPr>
            <w:tcW w:w="4300" w:type="dxa"/>
            <w:vAlign w:val="bottom"/>
          </w:tcPr>
          <w:p>
            <w:pPr>
              <w:jc w:val="center"/>
              <w:ind w:left="222"/>
              <w:spacing w:after="0"/>
              <w:rPr>
                <w:sz w:val="20"/>
                <w:szCs w:val="20"/>
                <w:color w:val="auto"/>
              </w:rPr>
            </w:pPr>
            <w:r>
              <w:rPr>
                <w:rFonts w:ascii="Arial" w:cs="Arial" w:eastAsia="Arial" w:hAnsi="Arial"/>
                <w:sz w:val="16"/>
                <w:szCs w:val="16"/>
                <w:color w:val="auto"/>
                <w:w w:val="87"/>
              </w:rPr>
              <w:t>Common Stock, $.0001 par value</w:t>
            </w:r>
          </w:p>
        </w:tc>
        <w:tc>
          <w:tcPr>
            <w:tcW w:w="2580" w:type="dxa"/>
            <w:vAlign w:val="bottom"/>
          </w:tcPr>
          <w:p>
            <w:pPr>
              <w:jc w:val="center"/>
              <w:spacing w:after="0"/>
              <w:rPr>
                <w:sz w:val="20"/>
                <w:szCs w:val="20"/>
                <w:color w:val="auto"/>
              </w:rPr>
            </w:pPr>
            <w:r>
              <w:rPr>
                <w:rFonts w:ascii="Arial" w:cs="Arial" w:eastAsia="Arial" w:hAnsi="Arial"/>
                <w:sz w:val="16"/>
                <w:szCs w:val="16"/>
                <w:color w:val="auto"/>
                <w:w w:val="88"/>
              </w:rPr>
              <w:t>SNCR</w:t>
            </w:r>
          </w:p>
        </w:tc>
        <w:tc>
          <w:tcPr>
            <w:tcW w:w="4340" w:type="dxa"/>
            <w:vAlign w:val="bottom"/>
          </w:tcPr>
          <w:p>
            <w:pPr>
              <w:jc w:val="center"/>
              <w:ind w:right="202"/>
              <w:spacing w:after="0"/>
              <w:rPr>
                <w:sz w:val="20"/>
                <w:szCs w:val="20"/>
                <w:color w:val="auto"/>
              </w:rPr>
            </w:pPr>
            <w:r>
              <w:rPr>
                <w:rFonts w:ascii="Arial" w:cs="Arial" w:eastAsia="Arial" w:hAnsi="Arial"/>
                <w:sz w:val="16"/>
                <w:szCs w:val="16"/>
                <w:color w:val="auto"/>
                <w:w w:val="88"/>
              </w:rPr>
              <w:t>The Nasdaq Stock Market, LLC</w:t>
            </w:r>
          </w:p>
        </w:tc>
      </w:tr>
      <w:tr>
        <w:trPr>
          <w:trHeight w:val="207"/>
        </w:trPr>
        <w:tc>
          <w:tcPr>
            <w:tcW w:w="4300" w:type="dxa"/>
            <w:vAlign w:val="bottom"/>
          </w:tcPr>
          <w:p>
            <w:pPr>
              <w:jc w:val="center"/>
              <w:ind w:left="242"/>
              <w:spacing w:after="0"/>
              <w:rPr>
                <w:sz w:val="20"/>
                <w:szCs w:val="20"/>
                <w:color w:val="auto"/>
              </w:rPr>
            </w:pPr>
            <w:r>
              <w:rPr>
                <w:rFonts w:ascii="Arial" w:cs="Arial" w:eastAsia="Arial" w:hAnsi="Arial"/>
                <w:sz w:val="16"/>
                <w:szCs w:val="16"/>
                <w:color w:val="auto"/>
                <w:w w:val="87"/>
              </w:rPr>
              <w:t>8.375% Senior Notes due 2026</w:t>
            </w:r>
          </w:p>
        </w:tc>
        <w:tc>
          <w:tcPr>
            <w:tcW w:w="2580" w:type="dxa"/>
            <w:vAlign w:val="bottom"/>
          </w:tcPr>
          <w:p>
            <w:pPr>
              <w:ind w:left="840"/>
              <w:spacing w:after="0"/>
              <w:rPr>
                <w:sz w:val="20"/>
                <w:szCs w:val="20"/>
                <w:color w:val="auto"/>
              </w:rPr>
            </w:pPr>
            <w:r>
              <w:rPr>
                <w:rFonts w:ascii="Arial" w:cs="Arial" w:eastAsia="Arial" w:hAnsi="Arial"/>
                <w:sz w:val="16"/>
                <w:szCs w:val="16"/>
                <w:color w:val="auto"/>
              </w:rPr>
              <w:t>SNCRL</w:t>
            </w:r>
          </w:p>
        </w:tc>
        <w:tc>
          <w:tcPr>
            <w:tcW w:w="4340" w:type="dxa"/>
            <w:vAlign w:val="bottom"/>
          </w:tcPr>
          <w:p>
            <w:pPr>
              <w:jc w:val="center"/>
              <w:ind w:right="202"/>
              <w:spacing w:after="0"/>
              <w:rPr>
                <w:sz w:val="20"/>
                <w:szCs w:val="20"/>
                <w:color w:val="auto"/>
              </w:rPr>
            </w:pPr>
            <w:r>
              <w:rPr>
                <w:rFonts w:ascii="Arial" w:cs="Arial" w:eastAsia="Arial" w:hAnsi="Arial"/>
                <w:sz w:val="16"/>
                <w:szCs w:val="16"/>
                <w:color w:val="auto"/>
                <w:w w:val="88"/>
              </w:rPr>
              <w:t>The Nasdaq Stock Market, LLC</w:t>
            </w:r>
          </w:p>
        </w:tc>
      </w:tr>
    </w:tbl>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05, 2021, there were 88,340,870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499745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4"/>
          </w:tcPr>
          <w:p>
            <w:pPr>
              <w:jc w:val="center"/>
              <w:ind w:right="1734"/>
              <w:spacing w:after="0"/>
              <w:rPr>
                <w:sz w:val="20"/>
                <w:szCs w:val="20"/>
                <w:color w:val="auto"/>
              </w:rPr>
            </w:pPr>
            <w:r>
              <w:rPr>
                <w:rFonts w:ascii="Arial" w:cs="Arial" w:eastAsia="Arial" w:hAnsi="Arial"/>
                <w:sz w:val="17"/>
                <w:szCs w:val="17"/>
                <w:b w:val="1"/>
                <w:bCs w:val="1"/>
                <w:color w:val="auto"/>
              </w:rPr>
              <w:t>SYNCHRONOSS TECHNOLOGIES, INC.</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40" w:type="dxa"/>
            <w:vAlign w:val="bottom"/>
            <w:gridSpan w:val="3"/>
          </w:tcPr>
          <w:p>
            <w:pPr>
              <w:jc w:val="center"/>
              <w:ind w:right="3894"/>
              <w:spacing w:after="0"/>
              <w:rPr>
                <w:sz w:val="20"/>
                <w:szCs w:val="20"/>
                <w:color w:val="auto"/>
              </w:rPr>
            </w:pPr>
            <w:r>
              <w:rPr>
                <w:rFonts w:ascii="Arial" w:cs="Arial" w:eastAsia="Arial" w:hAnsi="Arial"/>
                <w:sz w:val="17"/>
                <w:szCs w:val="17"/>
                <w:b w:val="1"/>
                <w:bCs w:val="1"/>
                <w:color w:val="auto"/>
              </w:rPr>
              <w:t>FORM 10-Q INDEX</w:t>
            </w: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440"/>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PART</w:t>
              </w:r>
            </w:hyperlink>
          </w:p>
        </w:tc>
        <w:tc>
          <w:tcPr>
            <w:tcW w:w="8440" w:type="dxa"/>
            <w:vAlign w:val="bottom"/>
            <w:gridSpan w:val="3"/>
          </w:tcPr>
          <w:p>
            <w:pPr>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spacing w:after="0" w:line="148" w:lineRule="exact"/>
              <w:rPr>
                <w:rFonts w:ascii="Arial" w:cs="Arial" w:eastAsia="Arial" w:hAnsi="Arial"/>
                <w:sz w:val="17"/>
                <w:szCs w:val="17"/>
                <w:color w:val="0000FF"/>
              </w:rPr>
            </w:pPr>
            <w:hyperlink w:anchor="page2">
              <w:r>
                <w:rPr>
                  <w:rFonts w:ascii="Arial" w:cs="Arial" w:eastAsia="Arial" w:hAnsi="Arial"/>
                  <w:sz w:val="17"/>
                  <w:szCs w:val="17"/>
                  <w:color w:val="0000FF"/>
                </w:rPr>
                <w:t>I.</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4"/>
            <w:vMerge w:val="restart"/>
          </w:tcPr>
          <w:p>
            <w:pPr>
              <w:ind w:left="440"/>
              <w:spacing w:after="0"/>
              <w:rPr>
                <w:rFonts w:ascii="Arial" w:cs="Arial" w:eastAsia="Arial" w:hAnsi="Arial"/>
                <w:sz w:val="17"/>
                <w:szCs w:val="17"/>
                <w:color w:val="0000FF"/>
              </w:rPr>
            </w:pPr>
            <w:hyperlink w:anchor="page3">
              <w:r>
                <w:rPr>
                  <w:rFonts w:ascii="Arial" w:cs="Arial" w:eastAsia="Arial" w:hAnsi="Arial"/>
                  <w:sz w:val="17"/>
                  <w:szCs w:val="17"/>
                  <w:color w:val="0000FF"/>
                </w:rPr>
                <w:t>Item</w:t>
              </w:r>
            </w:hyperlink>
          </w:p>
        </w:tc>
        <w:tc>
          <w:tcPr>
            <w:tcW w:w="9000" w:type="dxa"/>
            <w:vAlign w:val="bottom"/>
            <w:gridSpan w:val="4"/>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Financial Statements and Notes</w:t>
              </w:r>
            </w:hyperlink>
          </w:p>
        </w:tc>
        <w:tc>
          <w:tcPr>
            <w:tcW w:w="0" w:type="dxa"/>
            <w:vAlign w:val="bottom"/>
          </w:tcPr>
          <w:p>
            <w:pPr>
              <w:spacing w:after="0" w:line="20" w:lineRule="exact"/>
              <w:rPr>
                <w:sz w:val="1"/>
                <w:szCs w:val="1"/>
                <w:color w:val="auto"/>
              </w:rPr>
            </w:pPr>
          </w:p>
        </w:tc>
      </w:tr>
      <w:tr>
        <w:trPr>
          <w:trHeight w:val="420"/>
        </w:trPr>
        <w:tc>
          <w:tcPr>
            <w:tcW w:w="180" w:type="dxa"/>
            <w:vAlign w:val="bottom"/>
            <w:gridSpan w:val="2"/>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1.</w:t>
              </w:r>
            </w:hyperlink>
          </w:p>
        </w:tc>
        <w:tc>
          <w:tcPr>
            <w:tcW w:w="1520" w:type="dxa"/>
            <w:vAlign w:val="bottom"/>
            <w:gridSpan w:val="4"/>
            <w:vMerge w:val="continue"/>
          </w:tcPr>
          <w:p>
            <w:pPr>
              <w:spacing w:after="0"/>
              <w:rPr>
                <w:sz w:val="24"/>
                <w:szCs w:val="24"/>
                <w:color w:val="auto"/>
              </w:rPr>
            </w:pPr>
          </w:p>
        </w:tc>
        <w:tc>
          <w:tcPr>
            <w:tcW w:w="90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0" w:type="dxa"/>
            <w:vAlign w:val="bottom"/>
            <w:tcBorders>
              <w:bottom w:val="single" w:sz="8" w:color="0000FF"/>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Balance Sheets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Statements of Operations (unaudited)</w:t>
        </w:r>
      </w:hyperlink>
    </w:p>
    <w:p>
      <w:pPr>
        <w:spacing w:after="0" w:line="270" w:lineRule="exact"/>
        <w:rPr>
          <w:sz w:val="20"/>
          <w:szCs w:val="20"/>
          <w:color w:val="auto"/>
        </w:rPr>
      </w:pPr>
    </w:p>
    <w:p>
      <w:pPr>
        <w:ind w:left="23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Condensed Consolidated Statements of Comprehensive (Loss) Income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Condensed Consolidated Statements of Stockholders’ Equity (unaudited)</w:t>
        </w:r>
      </w:hyperlink>
    </w:p>
    <w:p>
      <w:pPr>
        <w:spacing w:after="0" w:line="283" w:lineRule="exact"/>
        <w:rPr>
          <w:sz w:val="20"/>
          <w:szCs w:val="20"/>
          <w:color w:val="auto"/>
        </w:rPr>
      </w:pPr>
    </w:p>
    <w:p>
      <w:pPr>
        <w:ind w:left="234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Condensed Consolidated Statements of Cash Flows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Notes to Condensed Consolidated Financial Statements (unaudited)</w:t>
        </w:r>
      </w:hyperlink>
    </w:p>
    <w:p>
      <w:pPr>
        <w:spacing w:after="0" w:line="200" w:lineRule="exact"/>
        <w:rPr>
          <w:sz w:val="20"/>
          <w:szCs w:val="20"/>
          <w:color w:val="auto"/>
        </w:rPr>
      </w:pPr>
    </w:p>
    <w:p>
      <w:pPr>
        <w:spacing w:after="0" w:line="24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140" w:type="dxa"/>
            <w:vAlign w:val="bottom"/>
            <w:vMerge w:val="restart"/>
          </w:tcPr>
          <w:p>
            <w:pPr>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w:t>
              </w:r>
            </w:hyperlink>
          </w:p>
        </w:tc>
        <w:tc>
          <w:tcPr>
            <w:tcW w:w="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31">
              <w:r>
                <w:rPr>
                  <w:rFonts w:ascii="Arial" w:cs="Arial" w:eastAsia="Arial" w:hAnsi="Arial"/>
                  <w:sz w:val="17"/>
                  <w:szCs w:val="17"/>
                  <w:color w:val="0000FF"/>
                  <w:w w:val="90"/>
                </w:rPr>
                <w:t>Item</w:t>
              </w:r>
            </w:hyperlink>
          </w:p>
        </w:tc>
        <w:tc>
          <w:tcPr>
            <w:tcW w:w="760" w:type="dxa"/>
            <w:vAlign w:val="bottom"/>
            <w:gridSpan w:val="2"/>
          </w:tcPr>
          <w:p>
            <w:pPr>
              <w:spacing w:after="0"/>
              <w:rPr>
                <w:sz w:val="16"/>
                <w:szCs w:val="16"/>
                <w:color w:val="auto"/>
              </w:rPr>
            </w:pPr>
          </w:p>
        </w:tc>
        <w:tc>
          <w:tcPr>
            <w:tcW w:w="618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31">
              <w:r>
                <w:rPr>
                  <w:rFonts w:ascii="Arial" w:cs="Arial" w:eastAsia="Arial" w:hAnsi="Arial"/>
                  <w:sz w:val="17"/>
                  <w:szCs w:val="17"/>
                  <w:color w:val="0000FF"/>
                  <w:w w:val="92"/>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41">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80" w:type="dxa"/>
            <w:vAlign w:val="bottom"/>
            <w:gridSpan w:val="9"/>
            <w:vMerge w:val="restart"/>
          </w:tcPr>
          <w:p>
            <w:pPr>
              <w:spacing w:after="0"/>
              <w:rPr>
                <w:rFonts w:ascii="Arial" w:cs="Arial" w:eastAsia="Arial" w:hAnsi="Arial"/>
                <w:sz w:val="17"/>
                <w:szCs w:val="17"/>
                <w:color w:val="0000FF"/>
                <w:w w:val="93"/>
              </w:rPr>
            </w:pPr>
            <w:hyperlink w:anchor="page41">
              <w:r>
                <w:rPr>
                  <w:rFonts w:ascii="Arial" w:cs="Arial" w:eastAsia="Arial" w:hAnsi="Arial"/>
                  <w:sz w:val="17"/>
                  <w:szCs w:val="17"/>
                  <w:color w:val="0000FF"/>
                  <w:w w:val="93"/>
                </w:rPr>
                <w:t>Quantitative and Qualitative Disclosures About Market Risk</w:t>
              </w:r>
            </w:hyperlink>
          </w:p>
        </w:tc>
        <w:tc>
          <w:tcPr>
            <w:tcW w:w="20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41">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80" w:type="dxa"/>
            <w:vAlign w:val="bottom"/>
            <w:tcBorders>
              <w:bottom w:val="single" w:sz="8" w:color="0000FF"/>
            </w:tcBorders>
            <w:gridSpan w:val="9"/>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41">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gridSpan w:val="5"/>
            <w:vMerge w:val="restart"/>
          </w:tcPr>
          <w:p>
            <w:pPr>
              <w:spacing w:after="0"/>
              <w:rPr>
                <w:rFonts w:ascii="Arial" w:cs="Arial" w:eastAsia="Arial" w:hAnsi="Arial"/>
                <w:sz w:val="17"/>
                <w:szCs w:val="17"/>
                <w:color w:val="0000FF"/>
                <w:w w:val="89"/>
              </w:rPr>
            </w:pPr>
            <w:hyperlink w:anchor="page41">
              <w:r>
                <w:rPr>
                  <w:rFonts w:ascii="Arial" w:cs="Arial" w:eastAsia="Arial" w:hAnsi="Arial"/>
                  <w:sz w:val="17"/>
                  <w:szCs w:val="17"/>
                  <w:color w:val="0000FF"/>
                  <w:w w:val="89"/>
                </w:rPr>
                <w:t>Controls and Procedures</w:t>
              </w:r>
            </w:hyperlink>
          </w:p>
        </w:tc>
        <w:tc>
          <w:tcPr>
            <w:tcW w:w="4480" w:type="dxa"/>
            <w:vAlign w:val="bottom"/>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60" w:type="dxa"/>
            <w:vAlign w:val="bottom"/>
            <w:gridSpan w:val="2"/>
            <w:vMerge w:val="restart"/>
          </w:tcPr>
          <w:p>
            <w:pPr>
              <w:spacing w:after="0"/>
              <w:rPr>
                <w:rFonts w:ascii="Arial" w:cs="Arial" w:eastAsia="Arial" w:hAnsi="Arial"/>
                <w:sz w:val="17"/>
                <w:szCs w:val="17"/>
                <w:color w:val="0000FF"/>
                <w:w w:val="98"/>
              </w:rPr>
            </w:pPr>
            <w:hyperlink w:anchor="page41">
              <w:r>
                <w:rPr>
                  <w:rFonts w:ascii="Arial" w:cs="Arial" w:eastAsia="Arial" w:hAnsi="Arial"/>
                  <w:sz w:val="17"/>
                  <w:szCs w:val="17"/>
                  <w:color w:val="0000FF"/>
                  <w:w w:val="98"/>
                </w:rPr>
                <w:t>4.</w:t>
              </w:r>
            </w:hyperlink>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44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42">
              <w:r>
                <w:rPr>
                  <w:rFonts w:ascii="Arial" w:cs="Arial" w:eastAsia="Arial" w:hAnsi="Arial"/>
                  <w:sz w:val="17"/>
                  <w:szCs w:val="17"/>
                  <w:color w:val="0000FF"/>
                </w:rPr>
                <w:t>PART</w:t>
              </w:r>
            </w:hyperlink>
          </w:p>
        </w:tc>
        <w:tc>
          <w:tcPr>
            <w:tcW w:w="6180" w:type="dxa"/>
            <w:vAlign w:val="bottom"/>
            <w:gridSpan w:val="10"/>
            <w:vMerge w:val="restart"/>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OTHER INFORMATION</w:t>
              </w:r>
            </w:hyperlink>
          </w:p>
        </w:tc>
        <w:tc>
          <w:tcPr>
            <w:tcW w:w="0" w:type="dxa"/>
            <w:vAlign w:val="bottom"/>
          </w:tcPr>
          <w:p>
            <w:pPr>
              <w:spacing w:after="0"/>
              <w:rPr>
                <w:sz w:val="1"/>
                <w:szCs w:val="1"/>
                <w:color w:val="auto"/>
              </w:rPr>
            </w:pPr>
          </w:p>
        </w:tc>
      </w:tr>
      <w:tr>
        <w:trPr>
          <w:trHeight w:val="64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42">
              <w:r>
                <w:rPr>
                  <w:rFonts w:ascii="Arial" w:cs="Arial" w:eastAsia="Arial" w:hAnsi="Arial"/>
                  <w:sz w:val="17"/>
                  <w:szCs w:val="17"/>
                  <w:color w:val="0000FF"/>
                </w:rPr>
                <w:t>II.</w:t>
              </w:r>
            </w:hyperlink>
          </w:p>
        </w:tc>
        <w:tc>
          <w:tcPr>
            <w:tcW w:w="420" w:type="dxa"/>
            <w:vAlign w:val="bottom"/>
            <w:tcBorders>
              <w:top w:val="single" w:sz="8" w:color="0000FF"/>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60" w:type="dxa"/>
            <w:vAlign w:val="bottom"/>
            <w:tcBorders>
              <w:top w:val="single" w:sz="8" w:color="0000FF"/>
              <w:bottom w:val="single" w:sz="8" w:color="0000FF"/>
            </w:tcBorders>
            <w:gridSpan w:val="2"/>
            <w:vMerge w:val="restart"/>
          </w:tcPr>
          <w:p>
            <w:pPr>
              <w:spacing w:after="0"/>
              <w:rPr>
                <w:rFonts w:ascii="Arial" w:cs="Arial" w:eastAsia="Arial" w:hAnsi="Arial"/>
                <w:sz w:val="17"/>
                <w:szCs w:val="17"/>
                <w:color w:val="0000FF"/>
                <w:w w:val="98"/>
              </w:rPr>
            </w:pPr>
            <w:hyperlink w:anchor="page43">
              <w:r>
                <w:rPr>
                  <w:rFonts w:ascii="Arial" w:cs="Arial" w:eastAsia="Arial" w:hAnsi="Arial"/>
                  <w:sz w:val="17"/>
                  <w:szCs w:val="17"/>
                  <w:color w:val="0000FF"/>
                  <w:w w:val="98"/>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43">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7"/>
                <w:szCs w:val="17"/>
                <w:color w:val="0000FF"/>
                <w:w w:val="89"/>
              </w:rPr>
            </w:pPr>
            <w:hyperlink w:anchor="page43">
              <w:r>
                <w:rPr>
                  <w:rFonts w:ascii="Arial" w:cs="Arial" w:eastAsia="Arial" w:hAnsi="Arial"/>
                  <w:sz w:val="17"/>
                  <w:szCs w:val="17"/>
                  <w:color w:val="0000FF"/>
                  <w:w w:val="89"/>
                </w:rPr>
                <w:t>Legal Proceedings</w:t>
              </w:r>
            </w:hyperlink>
          </w:p>
        </w:tc>
        <w:tc>
          <w:tcPr>
            <w:tcW w:w="4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43">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Risk Factors</w:t>
              </w:r>
            </w:hyperlink>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43">
              <w:r>
                <w:rPr>
                  <w:rFonts w:ascii="Arial" w:cs="Arial" w:eastAsia="Arial" w:hAnsi="Arial"/>
                  <w:sz w:val="17"/>
                  <w:szCs w:val="17"/>
                  <w:color w:val="0000FF"/>
                </w:rPr>
                <w:t>1A.</w:t>
              </w:r>
            </w:hyperlink>
          </w:p>
        </w:tc>
        <w:tc>
          <w:tcPr>
            <w:tcW w:w="320" w:type="dxa"/>
            <w:vAlign w:val="bottom"/>
            <w:tcBorders>
              <w:top w:val="single" w:sz="8" w:color="0000FF"/>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vMerge w:val="restart"/>
          </w:tcPr>
          <w:p>
            <w:pPr>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2.</w:t>
              </w:r>
            </w:hyperlink>
          </w:p>
        </w:tc>
        <w:tc>
          <w:tcPr>
            <w:tcW w:w="20" w:type="dxa"/>
            <w:vAlign w:val="bottom"/>
            <w:tcBorders>
              <w:top w:val="single" w:sz="8" w:color="0000FF"/>
            </w:tcBorders>
            <w:vMerge w:val="restart"/>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rFonts w:ascii="Arial" w:cs="Arial" w:eastAsia="Arial" w:hAnsi="Arial"/>
                <w:sz w:val="17"/>
                <w:szCs w:val="17"/>
                <w:color w:val="0000FF"/>
                <w:w w:val="90"/>
              </w:rPr>
            </w:pPr>
            <w:hyperlink w:anchor="page47">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6180" w:type="dxa"/>
            <w:vAlign w:val="bottom"/>
            <w:gridSpan w:val="10"/>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Unregistered Sales of Equity Securities and Use of Proceeds</w:t>
              </w:r>
            </w:hyperlink>
          </w:p>
        </w:tc>
        <w:tc>
          <w:tcPr>
            <w:tcW w:w="0" w:type="dxa"/>
            <w:vAlign w:val="bottom"/>
          </w:tcPr>
          <w:p>
            <w:pPr>
              <w:spacing w:after="0"/>
              <w:rPr>
                <w:sz w:val="1"/>
                <w:szCs w:val="1"/>
                <w:color w:val="auto"/>
              </w:rPr>
            </w:pPr>
          </w:p>
        </w:tc>
      </w:tr>
      <w:tr>
        <w:trPr>
          <w:trHeight w:val="153"/>
        </w:trPr>
        <w:tc>
          <w:tcPr>
            <w:tcW w:w="140" w:type="dxa"/>
            <w:vAlign w:val="bottom"/>
            <w:tcBorders>
              <w:top w:val="single" w:sz="8" w:color="0000FF"/>
              <w:bottom w:val="single" w:sz="8" w:color="0000FF"/>
            </w:tcBorders>
            <w:vMerge w:val="continue"/>
          </w:tcPr>
          <w:p>
            <w:pPr>
              <w:spacing w:after="0"/>
              <w:rPr>
                <w:sz w:val="12"/>
                <w:szCs w:val="12"/>
                <w:color w:val="auto"/>
              </w:rPr>
            </w:pPr>
          </w:p>
        </w:tc>
        <w:tc>
          <w:tcPr>
            <w:tcW w:w="20" w:type="dxa"/>
            <w:vAlign w:val="bottom"/>
            <w:tcBorders>
              <w:top w:val="single" w:sz="8" w:color="0000FF"/>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47">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60" w:type="dxa"/>
            <w:vAlign w:val="bottom"/>
            <w:tcBorders>
              <w:top w:val="single" w:sz="8" w:color="0000FF"/>
              <w:bottom w:val="single" w:sz="8" w:color="0000FF"/>
            </w:tcBorders>
            <w:gridSpan w:val="8"/>
            <w:vMerge w:val="restart"/>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Defaults Upon Senior Securities</w:t>
              </w:r>
            </w:hyperlink>
          </w:p>
        </w:tc>
        <w:tc>
          <w:tcPr>
            <w:tcW w:w="20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60" w:type="dxa"/>
            <w:vAlign w:val="bottom"/>
            <w:gridSpan w:val="8"/>
            <w:vMerge w:val="continue"/>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47">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tcBorders>
              <w:top w:val="single" w:sz="8" w:color="0000FF"/>
              <w:bottom w:val="single" w:sz="8" w:color="0000FF"/>
            </w:tcBorders>
            <w:gridSpan w:val="5"/>
            <w:vMerge w:val="restart"/>
          </w:tcPr>
          <w:p>
            <w:pPr>
              <w:spacing w:after="0"/>
              <w:rPr>
                <w:rFonts w:ascii="Arial" w:cs="Arial" w:eastAsia="Arial" w:hAnsi="Arial"/>
                <w:sz w:val="17"/>
                <w:szCs w:val="17"/>
                <w:color w:val="0000FF"/>
                <w:w w:val="92"/>
              </w:rPr>
            </w:pPr>
            <w:hyperlink w:anchor="page47">
              <w:r>
                <w:rPr>
                  <w:rFonts w:ascii="Arial" w:cs="Arial" w:eastAsia="Arial" w:hAnsi="Arial"/>
                  <w:sz w:val="17"/>
                  <w:szCs w:val="17"/>
                  <w:color w:val="0000FF"/>
                  <w:w w:val="92"/>
                </w:rPr>
                <w:t>Mine Safety Disclosures</w:t>
              </w:r>
            </w:hyperlink>
          </w:p>
        </w:tc>
        <w:tc>
          <w:tcPr>
            <w:tcW w:w="520" w:type="dxa"/>
            <w:vAlign w:val="bottom"/>
            <w:tcBorders>
              <w:top w:val="single" w:sz="8" w:color="0000FF"/>
              <w:bottom w:val="single" w:sz="8" w:color="0000FF"/>
            </w:tcBorders>
            <w:gridSpan w:val="2"/>
            <w:vMerge w:val="restart"/>
          </w:tcPr>
          <w:p>
            <w:pPr>
              <w:spacing w:after="0"/>
              <w:rPr>
                <w:sz w:val="12"/>
                <w:szCs w:val="12"/>
                <w:color w:val="auto"/>
              </w:rPr>
            </w:pPr>
          </w:p>
        </w:tc>
        <w:tc>
          <w:tcPr>
            <w:tcW w:w="396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4.</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39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47">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260" w:type="dxa"/>
            <w:vAlign w:val="bottom"/>
            <w:gridSpan w:val="3"/>
            <w:vMerge w:val="restart"/>
          </w:tcPr>
          <w:p>
            <w:pPr>
              <w:spacing w:after="0"/>
              <w:rPr>
                <w:rFonts w:ascii="Arial" w:cs="Arial" w:eastAsia="Arial" w:hAnsi="Arial"/>
                <w:sz w:val="17"/>
                <w:szCs w:val="17"/>
                <w:color w:val="0000FF"/>
                <w:w w:val="93"/>
              </w:rPr>
            </w:pPr>
            <w:hyperlink w:anchor="page47">
              <w:r>
                <w:rPr>
                  <w:rFonts w:ascii="Arial" w:cs="Arial" w:eastAsia="Arial" w:hAnsi="Arial"/>
                  <w:sz w:val="17"/>
                  <w:szCs w:val="17"/>
                  <w:color w:val="0000FF"/>
                  <w:w w:val="93"/>
                </w:rPr>
                <w:t>Other Information</w:t>
              </w:r>
            </w:hyperlink>
          </w:p>
        </w:tc>
        <w:tc>
          <w:tcPr>
            <w:tcW w:w="4920" w:type="dxa"/>
            <w:vAlign w:val="bottom"/>
            <w:gridSpan w:val="7"/>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5.</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60" w:type="dxa"/>
            <w:vAlign w:val="bottom"/>
            <w:tcBorders>
              <w:bottom w:val="single" w:sz="8" w:color="0000FF"/>
            </w:tcBorders>
            <w:gridSpan w:val="3"/>
            <w:vMerge w:val="continue"/>
          </w:tcPr>
          <w:p>
            <w:pPr>
              <w:spacing w:after="0"/>
              <w:rPr>
                <w:sz w:val="24"/>
                <w:szCs w:val="24"/>
                <w:color w:val="auto"/>
              </w:rPr>
            </w:pPr>
          </w:p>
        </w:tc>
        <w:tc>
          <w:tcPr>
            <w:tcW w:w="49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47">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Exhibits</w:t>
              </w:r>
            </w:hyperlink>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6.</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260"/>
        <w:spacing w:after="0"/>
        <w:rPr>
          <w:rFonts w:ascii="Arial" w:cs="Arial" w:eastAsia="Arial" w:hAnsi="Arial"/>
          <w:sz w:val="17"/>
          <w:szCs w:val="17"/>
          <w:u w:val="single" w:color="auto"/>
          <w:color w:val="0000FF"/>
        </w:rPr>
      </w:pPr>
      <w:hyperlink w:anchor="page48">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1070610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20" w:type="dxa"/>
            <w:vAlign w:val="bottom"/>
          </w:tcPr>
          <w:p>
            <w:pPr>
              <w:jc w:val="right"/>
              <w:ind w:right="23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67"/>
        </w:trPr>
        <w:tc>
          <w:tcPr>
            <w:tcW w:w="7700" w:type="dxa"/>
            <w:vAlign w:val="bottom"/>
            <w:tcBorders>
              <w:top w:val="single" w:sz="8" w:color="CCEEFF"/>
            </w:tcBorders>
            <w:shd w:val="clear" w:color="auto" w:fill="CCEEFF"/>
          </w:tcPr>
          <w:p>
            <w:pPr>
              <w:ind w:left="356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33,671</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39,073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47,849</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&amp; 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47,239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39,847</w:t>
            </w:r>
          </w:p>
        </w:tc>
        <w:tc>
          <w:tcPr>
            <w:tcW w:w="0" w:type="dxa"/>
            <w:vAlign w:val="bottom"/>
          </w:tcPr>
          <w:p>
            <w:pPr>
              <w:spacing w:after="0"/>
              <w:rPr>
                <w:sz w:val="1"/>
                <w:szCs w:val="1"/>
                <w:color w:val="auto"/>
              </w:rPr>
            </w:pPr>
          </w:p>
        </w:tc>
      </w:tr>
      <w:tr>
        <w:trPr>
          <w:trHeight w:val="171"/>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110,453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121,367</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11,732</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34,538</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226,840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232,771</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69,593</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Loan receivable</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4,834</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non-current</w:t>
            </w:r>
          </w:p>
        </w:tc>
        <w:tc>
          <w:tcPr>
            <w:tcW w:w="1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7,420</w:t>
            </w:r>
          </w:p>
        </w:tc>
        <w:tc>
          <w:tcPr>
            <w:tcW w:w="0" w:type="dxa"/>
            <w:vAlign w:val="bottom"/>
          </w:tcPr>
          <w:p>
            <w:pPr>
              <w:spacing w:after="0"/>
              <w:rPr>
                <w:sz w:val="1"/>
                <w:szCs w:val="1"/>
                <w:color w:val="auto"/>
              </w:rPr>
            </w:pPr>
          </w:p>
        </w:tc>
      </w:tr>
      <w:tr>
        <w:trPr>
          <w:trHeight w:val="171"/>
        </w:trPr>
        <w:tc>
          <w:tcPr>
            <w:tcW w:w="77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337,922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360,888</w:t>
            </w:r>
          </w:p>
        </w:tc>
        <w:tc>
          <w:tcPr>
            <w:tcW w:w="0" w:type="dxa"/>
            <w:vAlign w:val="bottom"/>
          </w:tcPr>
          <w:p>
            <w:pPr>
              <w:spacing w:after="0"/>
              <w:rPr>
                <w:sz w:val="1"/>
                <w:szCs w:val="1"/>
                <w:color w:val="auto"/>
              </w:rPr>
            </w:pPr>
          </w:p>
        </w:tc>
      </w:tr>
      <w:tr>
        <w:trPr>
          <w:trHeight w:val="199"/>
        </w:trPr>
        <w:tc>
          <w:tcPr>
            <w:tcW w:w="770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448,375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482,255</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380"/>
              <w:spacing w:after="0"/>
              <w:rPr>
                <w:sz w:val="20"/>
                <w:szCs w:val="20"/>
                <w:color w:val="auto"/>
              </w:rPr>
            </w:pPr>
            <w:r>
              <w:rPr>
                <w:rFonts w:ascii="Arial" w:cs="Arial" w:eastAsia="Arial" w:hAnsi="Arial"/>
                <w:sz w:val="14"/>
                <w:szCs w:val="14"/>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6,795</w:t>
            </w:r>
          </w:p>
        </w:tc>
        <w:tc>
          <w:tcPr>
            <w:tcW w:w="10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12,749</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69,326</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Deferred revenues, current</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31,506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33,045</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current</w:t>
            </w: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71"/>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108,556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125,120</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net of debt issuance costs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revenues, non-current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12,569</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Leases, non-current</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38,013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44,273</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0" w:type="dxa"/>
            <w:vAlign w:val="bottom"/>
          </w:tcPr>
          <w:p>
            <w:pPr>
              <w:spacing w:after="0"/>
              <w:rPr>
                <w:sz w:val="1"/>
                <w:szCs w:val="1"/>
                <w:color w:val="auto"/>
              </w:rPr>
            </w:pPr>
          </w:p>
        </w:tc>
      </w:tr>
      <w:tr>
        <w:trPr>
          <w:trHeight w:val="178"/>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Redeemable noncontrolling interest</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77"/>
        </w:trPr>
        <w:tc>
          <w:tcPr>
            <w:tcW w:w="77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282,776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201,332</w:t>
            </w:r>
          </w:p>
        </w:tc>
        <w:tc>
          <w:tcPr>
            <w:tcW w:w="0" w:type="dxa"/>
            <w:vAlign w:val="bottom"/>
          </w:tcPr>
          <w:p>
            <w:pPr>
              <w:spacing w:after="0"/>
              <w:rPr>
                <w:sz w:val="1"/>
                <w:szCs w:val="1"/>
                <w:color w:val="auto"/>
              </w:rPr>
            </w:pPr>
          </w:p>
        </w:tc>
      </w:tr>
      <w:tr>
        <w:trPr>
          <w:trHeight w:val="158"/>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700" w:type="dxa"/>
            <w:vAlign w:val="bottom"/>
            <w:shd w:val="clear" w:color="auto" w:fill="CCEEFF"/>
          </w:tcPr>
          <w:p>
            <w:pPr>
              <w:ind w:left="220"/>
              <w:spacing w:after="0" w:line="133" w:lineRule="exact"/>
              <w:rPr>
                <w:sz w:val="20"/>
                <w:szCs w:val="20"/>
                <w:color w:val="auto"/>
              </w:rPr>
            </w:pPr>
            <w:r>
              <w:rPr>
                <w:rFonts w:ascii="Arial" w:cs="Arial" w:eastAsia="Arial" w:hAnsi="Arial"/>
                <w:sz w:val="14"/>
                <w:szCs w:val="14"/>
                <w:color w:val="auto"/>
                <w:w w:val="90"/>
              </w:rPr>
              <w:t>Series A Convertible Participating Perpetual Preferred Stock, $0.0001 par value; nil and 10,000 shares authorized, nil and 250 shares</w:t>
            </w:r>
          </w:p>
        </w:tc>
        <w:tc>
          <w:tcPr>
            <w:tcW w:w="180" w:type="dxa"/>
            <w:vAlign w:val="bottom"/>
            <w:shd w:val="clear" w:color="auto" w:fill="CCEEFF"/>
          </w:tcPr>
          <w:p>
            <w:pPr>
              <w:spacing w:after="0"/>
              <w:rPr>
                <w:sz w:val="11"/>
                <w:szCs w:val="11"/>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237,641</w:t>
            </w: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issued and outstanding at September 30, 2021 and December 31, 2020, respectively</w:t>
            </w:r>
          </w:p>
        </w:tc>
        <w:tc>
          <w:tcPr>
            <w:tcW w:w="180" w:type="dxa"/>
            <w:vAlign w:val="bottom"/>
            <w:shd w:val="clear" w:color="auto" w:fill="CCEEFF"/>
          </w:tcPr>
          <w:p>
            <w:pPr>
              <w:spacing w:after="0"/>
              <w:rPr>
                <w:sz w:val="15"/>
                <w:szCs w:val="15"/>
                <w:color w:val="auto"/>
              </w:rPr>
            </w:pPr>
          </w:p>
        </w:tc>
        <w:tc>
          <w:tcPr>
            <w:tcW w:w="16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700" w:type="dxa"/>
            <w:vAlign w:val="bottom"/>
          </w:tcPr>
          <w:p>
            <w:pPr>
              <w:ind w:left="220"/>
              <w:spacing w:after="0"/>
              <w:rPr>
                <w:sz w:val="20"/>
                <w:szCs w:val="20"/>
                <w:color w:val="auto"/>
              </w:rPr>
            </w:pPr>
            <w:r>
              <w:rPr>
                <w:rFonts w:ascii="Arial" w:cs="Arial" w:eastAsia="Arial" w:hAnsi="Arial"/>
                <w:sz w:val="14"/>
                <w:szCs w:val="14"/>
                <w:color w:val="auto"/>
                <w:w w:val="90"/>
              </w:rPr>
              <w:t>Series B Non-Convertible Perpetual Preferred Stock, $0.0001 par value; 150 and nil shares authorized, 75 and nil shares issued and</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220"/>
              <w:spacing w:after="0"/>
              <w:rPr>
                <w:sz w:val="20"/>
                <w:szCs w:val="20"/>
                <w:color w:val="auto"/>
              </w:rPr>
            </w:pPr>
            <w:r>
              <w:rPr>
                <w:rFonts w:ascii="Arial" w:cs="Arial" w:eastAsia="Arial" w:hAnsi="Arial"/>
                <w:sz w:val="14"/>
                <w:szCs w:val="14"/>
                <w:color w:val="auto"/>
              </w:rPr>
              <w:t>outstanding at September 30, 2021 and December 31, 2020,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72,505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20"/>
              <w:spacing w:after="0" w:line="129" w:lineRule="exact"/>
              <w:rPr>
                <w:sz w:val="20"/>
                <w:szCs w:val="20"/>
                <w:color w:val="auto"/>
              </w:rPr>
            </w:pPr>
            <w:r>
              <w:rPr>
                <w:rFonts w:ascii="Arial" w:cs="Arial" w:eastAsia="Arial" w:hAnsi="Arial"/>
                <w:sz w:val="14"/>
                <w:szCs w:val="14"/>
                <w:color w:val="auto"/>
                <w:w w:val="91"/>
              </w:rPr>
              <w:t>Common stock, $0.0001 par value; 100,000 shares authorized, 87,999 and 51,177 shares issued; 87,999 and 44,015 outstanding at</w:t>
            </w:r>
          </w:p>
        </w:tc>
        <w:tc>
          <w:tcPr>
            <w:tcW w:w="18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September 30, 2021 and December 31, 2020, respectively</w:t>
            </w:r>
          </w:p>
        </w:tc>
        <w:tc>
          <w:tcPr>
            <w:tcW w:w="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at cost (nil and 7,162 shares at September 30, 2021 and December 31, 2020, respectively)</w:t>
            </w: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(82,087)</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492,376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499,348</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(28,213)</w:t>
            </w:r>
          </w:p>
        </w:tc>
        <w:tc>
          <w:tcPr>
            <w:tcW w:w="0" w:type="dxa"/>
            <w:vAlign w:val="bottom"/>
          </w:tcPr>
          <w:p>
            <w:pPr>
              <w:spacing w:after="0"/>
              <w:rPr>
                <w:sz w:val="1"/>
                <w:szCs w:val="1"/>
                <w:color w:val="auto"/>
              </w:rPr>
            </w:pPr>
          </w:p>
        </w:tc>
      </w:tr>
      <w:tr>
        <w:trPr>
          <w:trHeight w:val="178"/>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(368,380)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(345,771)</w:t>
            </w:r>
          </w:p>
        </w:tc>
        <w:tc>
          <w:tcPr>
            <w:tcW w:w="0" w:type="dxa"/>
            <w:vAlign w:val="bottom"/>
          </w:tcPr>
          <w:p>
            <w:pPr>
              <w:spacing w:after="0"/>
              <w:rPr>
                <w:sz w:val="1"/>
                <w:szCs w:val="1"/>
                <w:color w:val="auto"/>
              </w:rPr>
            </w:pPr>
          </w:p>
        </w:tc>
      </w:tr>
      <w:tr>
        <w:trPr>
          <w:trHeight w:val="177"/>
        </w:trPr>
        <w:tc>
          <w:tcPr>
            <w:tcW w:w="77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93,094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43,282</w:t>
            </w:r>
          </w:p>
        </w:tc>
        <w:tc>
          <w:tcPr>
            <w:tcW w:w="0" w:type="dxa"/>
            <w:vAlign w:val="bottom"/>
          </w:tcPr>
          <w:p>
            <w:pPr>
              <w:spacing w:after="0"/>
              <w:rPr>
                <w:sz w:val="1"/>
                <w:szCs w:val="1"/>
                <w:color w:val="auto"/>
              </w:rPr>
            </w:pPr>
          </w:p>
        </w:tc>
      </w:tr>
      <w:tr>
        <w:trPr>
          <w:trHeight w:val="171"/>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448,375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482,255</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revenues</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Costs and expenses:</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p>
      <w:pPr>
        <w:ind w:left="420"/>
        <w:spacing w:after="0"/>
        <w:rPr>
          <w:sz w:val="20"/>
          <w:szCs w:val="20"/>
          <w:color w:val="auto"/>
        </w:rPr>
      </w:pPr>
      <w:r>
        <w:rPr>
          <w:rFonts w:ascii="Arial" w:cs="Arial" w:eastAsia="Arial" w:hAnsi="Arial"/>
          <w:sz w:val="17"/>
          <w:szCs w:val="17"/>
          <w:color w:val="auto"/>
        </w:rPr>
        <w:t>Research and development</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Selling, general and administrative</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Restructuring charges</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5140" w:type="dxa"/>
            <w:vAlign w:val="bottom"/>
            <w:gridSpan w:val="7"/>
          </w:tcPr>
          <w:p>
            <w:pPr>
              <w:jc w:val="center"/>
              <w:spacing w:after="0"/>
              <w:rPr>
                <w:sz w:val="20"/>
                <w:szCs w:val="20"/>
                <w:color w:val="auto"/>
              </w:rPr>
            </w:pPr>
            <w:r>
              <w:rPr>
                <w:rFonts w:ascii="Arial" w:cs="Arial" w:eastAsia="Arial" w:hAnsi="Arial"/>
                <w:sz w:val="17"/>
                <w:szCs w:val="17"/>
                <w:b w:val="1"/>
                <w:bCs w:val="1"/>
                <w:color w:val="auto"/>
              </w:rPr>
              <w:t>SYNCHRONOSS TECHNOLOGIES, INC.</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6"/>
        </w:trPr>
        <w:tc>
          <w:tcPr>
            <w:tcW w:w="5320" w:type="dxa"/>
            <w:vAlign w:val="bottom"/>
            <w:gridSpan w:val="8"/>
          </w:tcPr>
          <w:p>
            <w:pPr>
              <w:jc w:val="center"/>
              <w:ind w:right="74"/>
              <w:spacing w:after="0"/>
              <w:rPr>
                <w:sz w:val="20"/>
                <w:szCs w:val="20"/>
                <w:color w:val="auto"/>
              </w:rPr>
            </w:pPr>
            <w:r>
              <w:rPr>
                <w:rFonts w:ascii="Arial" w:cs="Arial" w:eastAsia="Arial" w:hAnsi="Arial"/>
                <w:sz w:val="17"/>
                <w:szCs w:val="17"/>
                <w:b w:val="1"/>
                <w:bCs w:val="1"/>
                <w:color w:val="auto"/>
              </w:rPr>
              <w:t>CONDENSED CONSOLIDATED STATEMENTS OF OPERATIONS</w:t>
            </w: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4"/>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7"/>
                <w:szCs w:val="17"/>
                <w:b w:val="1"/>
                <w:bCs w:val="1"/>
                <w:color w:val="auto"/>
              </w:rPr>
              <w:t>(Unaudited)</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4020" w:type="dxa"/>
            <w:vAlign w:val="bottom"/>
            <w:gridSpan w:val="5"/>
          </w:tcPr>
          <w:p>
            <w:pPr>
              <w:jc w:val="center"/>
              <w:ind w:left="1054"/>
              <w:spacing w:after="0"/>
              <w:rPr>
                <w:sz w:val="20"/>
                <w:szCs w:val="20"/>
                <w:color w:val="auto"/>
              </w:rPr>
            </w:pPr>
            <w:r>
              <w:rPr>
                <w:rFonts w:ascii="Arial" w:cs="Arial" w:eastAsia="Arial" w:hAnsi="Arial"/>
                <w:sz w:val="17"/>
                <w:szCs w:val="17"/>
                <w:b w:val="1"/>
                <w:bCs w:val="1"/>
                <w:color w:val="auto"/>
                <w:w w:val="90"/>
              </w:rPr>
              <w:t>(In thousands, except per share data)</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6"/>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40" w:type="dxa"/>
            <w:vAlign w:val="bottom"/>
            <w:gridSpan w:val="5"/>
          </w:tcPr>
          <w:p>
            <w:pPr>
              <w:ind w:left="40"/>
              <w:spacing w:after="0"/>
              <w:rPr>
                <w:sz w:val="20"/>
                <w:szCs w:val="20"/>
                <w:color w:val="auto"/>
              </w:rPr>
            </w:pPr>
            <w:r>
              <w:rPr>
                <w:rFonts w:ascii="Arial" w:cs="Arial" w:eastAsia="Arial" w:hAnsi="Arial"/>
                <w:sz w:val="17"/>
                <w:szCs w:val="17"/>
                <w:b w:val="1"/>
                <w:bCs w:val="1"/>
                <w:color w:val="auto"/>
              </w:rPr>
              <w:t>Three Months Ended September 30,</w:t>
            </w:r>
          </w:p>
        </w:tc>
        <w:tc>
          <w:tcPr>
            <w:tcW w:w="180" w:type="dxa"/>
            <w:vAlign w:val="bottom"/>
          </w:tcPr>
          <w:p>
            <w:pPr>
              <w:spacing w:after="0"/>
              <w:rPr>
                <w:sz w:val="21"/>
                <w:szCs w:val="21"/>
                <w:color w:val="auto"/>
              </w:rPr>
            </w:pPr>
          </w:p>
        </w:tc>
        <w:tc>
          <w:tcPr>
            <w:tcW w:w="2880" w:type="dxa"/>
            <w:vAlign w:val="bottom"/>
            <w:gridSpan w:val="4"/>
          </w:tcPr>
          <w:p>
            <w:pPr>
              <w:jc w:val="right"/>
              <w:ind w:right="154"/>
              <w:spacing w:after="0"/>
              <w:rPr>
                <w:sz w:val="20"/>
                <w:szCs w:val="20"/>
                <w:color w:val="auto"/>
              </w:rPr>
            </w:pPr>
            <w:r>
              <w:rPr>
                <w:rFonts w:ascii="Arial" w:cs="Arial" w:eastAsia="Arial" w:hAnsi="Arial"/>
                <w:sz w:val="17"/>
                <w:szCs w:val="17"/>
                <w:b w:val="1"/>
                <w:bCs w:val="1"/>
                <w:color w:val="auto"/>
                <w:w w:val="93"/>
              </w:rPr>
              <w:t>Nine Months Ended September 30,</w:t>
            </w:r>
          </w:p>
        </w:tc>
      </w:tr>
      <w:tr>
        <w:trPr>
          <w:trHeight w:val="213"/>
        </w:trPr>
        <w:tc>
          <w:tcPr>
            <w:tcW w:w="19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r>
      <w:tr>
        <w:trPr>
          <w:trHeight w:val="213"/>
        </w:trPr>
        <w:tc>
          <w:tcPr>
            <w:tcW w:w="21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69,753</w:t>
            </w:r>
          </w:p>
        </w:tc>
        <w:tc>
          <w:tcPr>
            <w:tcW w:w="14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68,636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206,784</w:t>
            </w:r>
          </w:p>
        </w:tc>
        <w:tc>
          <w:tcPr>
            <w:tcW w:w="14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222,293</w:t>
            </w:r>
          </w:p>
        </w:tc>
      </w:tr>
      <w:tr>
        <w:trPr>
          <w:trHeight w:val="440"/>
        </w:trPr>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27,245</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28,452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83,024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93,403</w:t>
            </w:r>
          </w:p>
        </w:tc>
      </w:tr>
      <w:tr>
        <w:trPr>
          <w:trHeight w:val="220"/>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15,368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20,885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49,962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59,769</w:t>
            </w:r>
          </w:p>
        </w:tc>
      </w:tr>
      <w:tr>
        <w:trPr>
          <w:trHeight w:val="220"/>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27,953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23,265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67,790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74,249</w:t>
            </w:r>
          </w:p>
        </w:tc>
      </w:tr>
      <w:tr>
        <w:trPr>
          <w:trHeight w:val="220"/>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1,485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3,075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6,763</w:t>
            </w:r>
          </w:p>
        </w:tc>
      </w:tr>
      <w:tr>
        <w:trPr>
          <w:trHeight w:val="220"/>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8,215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26,567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-984885</wp:posOffset>
            </wp:positionV>
            <wp:extent cx="7138035" cy="147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-697865</wp:posOffset>
            </wp:positionV>
            <wp:extent cx="7138035" cy="139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-418465</wp:posOffset>
            </wp:positionV>
            <wp:extent cx="7138035" cy="139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-139065</wp:posOffset>
            </wp:positionV>
            <wp:extent cx="7138035" cy="139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20" w:space="220"/>
            <w:col w:w="82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costs and expenses</w:t>
            </w: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80,266</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85,634</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230,418</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268,036</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(23,634)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(45,743)</w:t>
            </w:r>
          </w:p>
        </w:tc>
        <w:tc>
          <w:tcPr>
            <w:tcW w:w="0" w:type="dxa"/>
            <w:vAlign w:val="bottom"/>
          </w:tcPr>
          <w:p>
            <w:pPr>
              <w:spacing w:after="0"/>
              <w:rPr>
                <w:sz w:val="1"/>
                <w:szCs w:val="1"/>
                <w:color w:val="auto"/>
              </w:rPr>
            </w:pPr>
          </w:p>
        </w:tc>
      </w:tr>
      <w:tr>
        <w:trPr>
          <w:trHeight w:val="220"/>
        </w:trPr>
        <w:tc>
          <w:tcPr>
            <w:tcW w:w="500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 (expense)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(3,489)</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5,743</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 before taxes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(30,241)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(38,814)</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Benefit for income taxes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6,982</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29,148</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from continuing operations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(9,666)</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line="169" w:lineRule="exact"/>
              <w:rPr>
                <w:sz w:val="20"/>
                <w:szCs w:val="20"/>
                <w:color w:val="auto"/>
              </w:rPr>
            </w:pPr>
            <w:r>
              <w:rPr>
                <w:rFonts w:ascii="Arial" w:cs="Arial" w:eastAsia="Arial" w:hAnsi="Arial"/>
                <w:sz w:val="17"/>
                <w:szCs w:val="17"/>
                <w:color w:val="auto"/>
              </w:rPr>
              <w:t>Net income (loss) attributable to redeemable noncontrolling</w:t>
            </w:r>
          </w:p>
        </w:tc>
        <w:tc>
          <w:tcPr>
            <w:tcW w:w="4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19"/>
        </w:trPr>
        <w:tc>
          <w:tcPr>
            <w:tcW w:w="5000" w:type="dxa"/>
            <w:vAlign w:val="bottom"/>
          </w:tcPr>
          <w:p>
            <w:pPr>
              <w:ind w:left="220"/>
              <w:spacing w:after="0"/>
              <w:rPr>
                <w:sz w:val="20"/>
                <w:szCs w:val="20"/>
                <w:color w:val="auto"/>
              </w:rPr>
            </w:pPr>
            <w:r>
              <w:rPr>
                <w:rFonts w:ascii="Arial" w:cs="Arial" w:eastAsia="Arial" w:hAnsi="Arial"/>
                <w:sz w:val="17"/>
                <w:szCs w:val="17"/>
                <w:color w:val="auto"/>
              </w:rPr>
              <w:t>interests</w:t>
            </w: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dividend</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(9,685)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(33,728)</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(27,882)</w:t>
            </w:r>
          </w:p>
        </w:tc>
        <w:tc>
          <w:tcPr>
            <w:tcW w:w="0" w:type="dxa"/>
            <w:vAlign w:val="bottom"/>
          </w:tcPr>
          <w:p>
            <w:pPr>
              <w:spacing w:after="0"/>
              <w:rPr>
                <w:sz w:val="1"/>
                <w:szCs w:val="1"/>
                <w:color w:val="auto"/>
              </w:rPr>
            </w:pPr>
          </w:p>
        </w:tc>
      </w:tr>
      <w:tr>
        <w:trPr>
          <w:trHeight w:val="187"/>
        </w:trPr>
        <w:tc>
          <w:tcPr>
            <w:tcW w:w="5000" w:type="dxa"/>
            <w:vAlign w:val="bottom"/>
          </w:tcPr>
          <w:p>
            <w:pPr>
              <w:ind w:left="20"/>
              <w:spacing w:after="0" w:line="187" w:lineRule="exact"/>
              <w:rPr>
                <w:sz w:val="20"/>
                <w:szCs w:val="20"/>
                <w:color w:val="auto"/>
              </w:rPr>
            </w:pPr>
            <w:r>
              <w:rPr>
                <w:rFonts w:ascii="Arial" w:cs="Arial" w:eastAsia="Arial" w:hAnsi="Arial"/>
                <w:sz w:val="17"/>
                <w:szCs w:val="17"/>
                <w:color w:val="auto"/>
              </w:rPr>
              <w:t>Net loss attributable to Synchronoss</w:t>
            </w:r>
          </w:p>
        </w:tc>
        <w:tc>
          <w:tcPr>
            <w:tcW w:w="460" w:type="dxa"/>
            <w:vAlign w:val="bottom"/>
          </w:tcPr>
          <w:p>
            <w:pPr>
              <w:jc w:val="right"/>
              <w:ind w:right="274"/>
              <w:spacing w:after="0" w:line="187"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87" w:lineRule="exact"/>
              <w:rPr>
                <w:sz w:val="20"/>
                <w:szCs w:val="20"/>
                <w:color w:val="auto"/>
              </w:rPr>
            </w:pPr>
            <w:r>
              <w:rPr>
                <w:rFonts w:ascii="Arial" w:cs="Arial" w:eastAsia="Arial" w:hAnsi="Arial"/>
                <w:sz w:val="17"/>
                <w:szCs w:val="17"/>
                <w:color w:val="auto"/>
              </w:rPr>
              <w:t>(9,831)</w:t>
            </w:r>
          </w:p>
        </w:tc>
        <w:tc>
          <w:tcPr>
            <w:tcW w:w="620" w:type="dxa"/>
            <w:vAlign w:val="bottom"/>
            <w:gridSpan w:val="2"/>
          </w:tcPr>
          <w:p>
            <w:pPr>
              <w:jc w:val="right"/>
              <w:ind w:right="274"/>
              <w:spacing w:after="0" w:line="187"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7" w:lineRule="exact"/>
              <w:rPr>
                <w:sz w:val="20"/>
                <w:szCs w:val="20"/>
                <w:color w:val="auto"/>
              </w:rPr>
            </w:pPr>
            <w:r>
              <w:rPr>
                <w:rFonts w:ascii="Arial" w:cs="Arial" w:eastAsia="Arial" w:hAnsi="Arial"/>
                <w:sz w:val="17"/>
                <w:szCs w:val="17"/>
                <w:color w:val="auto"/>
              </w:rPr>
              <w:t>(15,367)</w:t>
            </w:r>
          </w:p>
        </w:tc>
        <w:tc>
          <w:tcPr>
            <w:tcW w:w="140" w:type="dxa"/>
            <w:vAlign w:val="bottom"/>
          </w:tcPr>
          <w:p>
            <w:pPr>
              <w:spacing w:after="0"/>
              <w:rPr>
                <w:sz w:val="16"/>
                <w:szCs w:val="16"/>
                <w:color w:val="auto"/>
              </w:rPr>
            </w:pPr>
          </w:p>
        </w:tc>
        <w:tc>
          <w:tcPr>
            <w:tcW w:w="460" w:type="dxa"/>
            <w:vAlign w:val="bottom"/>
          </w:tcPr>
          <w:p>
            <w:pPr>
              <w:jc w:val="right"/>
              <w:ind w:right="274"/>
              <w:spacing w:after="0" w:line="187"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7" w:lineRule="exact"/>
              <w:rPr>
                <w:sz w:val="20"/>
                <w:szCs w:val="20"/>
                <w:color w:val="auto"/>
              </w:rPr>
            </w:pPr>
            <w:r>
              <w:rPr>
                <w:rFonts w:ascii="Arial" w:cs="Arial" w:eastAsia="Arial" w:hAnsi="Arial"/>
                <w:sz w:val="17"/>
                <w:szCs w:val="17"/>
                <w:color w:val="auto"/>
              </w:rPr>
              <w:t>(56,337)</w:t>
            </w:r>
          </w:p>
        </w:tc>
        <w:tc>
          <w:tcPr>
            <w:tcW w:w="140" w:type="dxa"/>
            <w:vAlign w:val="bottom"/>
          </w:tcPr>
          <w:p>
            <w:pPr>
              <w:spacing w:after="0"/>
              <w:rPr>
                <w:sz w:val="16"/>
                <w:szCs w:val="16"/>
                <w:color w:val="auto"/>
              </w:rPr>
            </w:pPr>
          </w:p>
        </w:tc>
        <w:tc>
          <w:tcPr>
            <w:tcW w:w="480" w:type="dxa"/>
            <w:vAlign w:val="bottom"/>
          </w:tcPr>
          <w:p>
            <w:pPr>
              <w:jc w:val="right"/>
              <w:ind w:right="294"/>
              <w:spacing w:after="0" w:line="187"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87" w:lineRule="exact"/>
              <w:rPr>
                <w:sz w:val="20"/>
                <w:szCs w:val="20"/>
                <w:color w:val="auto"/>
              </w:rPr>
            </w:pPr>
            <w:r>
              <w:rPr>
                <w:rFonts w:ascii="Arial" w:cs="Arial" w:eastAsia="Arial" w:hAnsi="Arial"/>
                <w:sz w:val="17"/>
                <w:szCs w:val="17"/>
                <w:color w:val="auto"/>
              </w:rPr>
              <w:t>(37,790)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20"/>
              <w:spacing w:after="0"/>
              <w:rPr>
                <w:sz w:val="20"/>
                <w:szCs w:val="20"/>
                <w:color w:val="auto"/>
              </w:rPr>
            </w:pPr>
            <w:r>
              <w:rPr>
                <w:rFonts w:ascii="Arial" w:cs="Arial" w:eastAsia="Arial" w:hAnsi="Arial"/>
                <w:sz w:val="17"/>
                <w:szCs w:val="17"/>
                <w:color w:val="auto"/>
              </w:rPr>
              <w:t>Earnings (loss) per share</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00" w:type="dxa"/>
            <w:vAlign w:val="bottom"/>
            <w:tcBorders>
              <w:bottom w:val="single" w:sz="8" w:color="CCEEFF"/>
            </w:tcBorders>
            <w:shd w:val="clear" w:color="auto" w:fill="CCEEFF"/>
          </w:tcPr>
          <w:p>
            <w:pPr>
              <w:ind w:left="220"/>
              <w:spacing w:after="0" w:line="194" w:lineRule="exact"/>
              <w:rPr>
                <w:sz w:val="20"/>
                <w:szCs w:val="20"/>
                <w:color w:val="auto"/>
              </w:rPr>
            </w:pPr>
            <w:r>
              <w:rPr>
                <w:rFonts w:ascii="Arial" w:cs="Arial" w:eastAsia="Arial" w:hAnsi="Arial"/>
                <w:sz w:val="17"/>
                <w:szCs w:val="17"/>
                <w:color w:val="auto"/>
              </w:rPr>
              <w:t>Basic</w:t>
            </w:r>
          </w:p>
        </w:tc>
        <w:tc>
          <w:tcPr>
            <w:tcW w:w="460" w:type="dxa"/>
            <w:vAlign w:val="bottom"/>
            <w:tcBorders>
              <w:bottom w:val="single" w:sz="8" w:color="auto"/>
            </w:tcBorders>
            <w:shd w:val="clear" w:color="auto" w:fill="BFE4FF"/>
          </w:tcPr>
          <w:p>
            <w:pPr>
              <w:jc w:val="right"/>
              <w:ind w:right="274"/>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BFE4FF"/>
          </w:tcPr>
          <w:p>
            <w:pPr>
              <w:jc w:val="right"/>
              <w:spacing w:after="0" w:line="194" w:lineRule="exact"/>
              <w:rPr>
                <w:sz w:val="20"/>
                <w:szCs w:val="20"/>
                <w:color w:val="auto"/>
              </w:rPr>
            </w:pPr>
            <w:r>
              <w:rPr>
                <w:rFonts w:ascii="Arial" w:cs="Arial" w:eastAsia="Arial" w:hAnsi="Arial"/>
                <w:sz w:val="17"/>
                <w:szCs w:val="17"/>
                <w:color w:val="auto"/>
              </w:rPr>
              <w:t>(0.11)</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4"/>
              <w:spacing w:after="0" w:line="194"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(0.36)</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4"/>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(0.98)</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4"/>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7"/>
                <w:szCs w:val="17"/>
                <w:color w:val="auto"/>
              </w:rPr>
              <w:t>Diluted</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460" w:type="dxa"/>
            <w:vAlign w:val="bottom"/>
          </w:tcPr>
          <w:p>
            <w:pPr>
              <w:jc w:val="right"/>
              <w:ind w:right="274"/>
              <w:spacing w:after="0" w:line="192"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2" w:lineRule="exact"/>
              <w:rPr>
                <w:sz w:val="20"/>
                <w:szCs w:val="20"/>
                <w:color w:val="auto"/>
              </w:rPr>
            </w:pPr>
            <w:r>
              <w:rPr>
                <w:rFonts w:ascii="Arial" w:cs="Arial" w:eastAsia="Arial" w:hAnsi="Arial"/>
                <w:sz w:val="17"/>
                <w:szCs w:val="17"/>
                <w:color w:val="auto"/>
              </w:rPr>
              <w:t>(0.11)</w:t>
            </w:r>
          </w:p>
        </w:tc>
        <w:tc>
          <w:tcPr>
            <w:tcW w:w="620" w:type="dxa"/>
            <w:vAlign w:val="bottom"/>
            <w:gridSpan w:val="2"/>
          </w:tcPr>
          <w:p>
            <w:pPr>
              <w:jc w:val="right"/>
              <w:ind w:right="274"/>
              <w:spacing w:after="0" w:line="192"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2" w:lineRule="exact"/>
              <w:rPr>
                <w:sz w:val="20"/>
                <w:szCs w:val="20"/>
                <w:color w:val="auto"/>
              </w:rPr>
            </w:pPr>
            <w:r>
              <w:rPr>
                <w:rFonts w:ascii="Arial" w:cs="Arial" w:eastAsia="Arial" w:hAnsi="Arial"/>
                <w:sz w:val="17"/>
                <w:szCs w:val="17"/>
                <w:color w:val="auto"/>
              </w:rPr>
              <w:t>(0.36)</w:t>
            </w:r>
          </w:p>
        </w:tc>
        <w:tc>
          <w:tcPr>
            <w:tcW w:w="140" w:type="dxa"/>
            <w:vAlign w:val="bottom"/>
          </w:tcPr>
          <w:p>
            <w:pPr>
              <w:spacing w:after="0"/>
              <w:rPr>
                <w:sz w:val="16"/>
                <w:szCs w:val="16"/>
                <w:color w:val="auto"/>
              </w:rPr>
            </w:pPr>
          </w:p>
        </w:tc>
        <w:tc>
          <w:tcPr>
            <w:tcW w:w="460" w:type="dxa"/>
            <w:vAlign w:val="bottom"/>
          </w:tcPr>
          <w:p>
            <w:pPr>
              <w:jc w:val="right"/>
              <w:ind w:right="274"/>
              <w:spacing w:after="0" w:line="192"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2" w:lineRule="exact"/>
              <w:rPr>
                <w:sz w:val="20"/>
                <w:szCs w:val="20"/>
                <w:color w:val="auto"/>
              </w:rPr>
            </w:pPr>
            <w:r>
              <w:rPr>
                <w:rFonts w:ascii="Arial" w:cs="Arial" w:eastAsia="Arial" w:hAnsi="Arial"/>
                <w:sz w:val="17"/>
                <w:szCs w:val="17"/>
                <w:color w:val="auto"/>
              </w:rPr>
              <w:t>(0.98)</w:t>
            </w:r>
          </w:p>
        </w:tc>
        <w:tc>
          <w:tcPr>
            <w:tcW w:w="140" w:type="dxa"/>
            <w:vAlign w:val="bottom"/>
          </w:tcPr>
          <w:p>
            <w:pPr>
              <w:spacing w:after="0"/>
              <w:rPr>
                <w:sz w:val="16"/>
                <w:szCs w:val="16"/>
                <w:color w:val="auto"/>
              </w:rPr>
            </w:pPr>
          </w:p>
        </w:tc>
        <w:tc>
          <w:tcPr>
            <w:tcW w:w="480" w:type="dxa"/>
            <w:vAlign w:val="bottom"/>
          </w:tcPr>
          <w:p>
            <w:pPr>
              <w:jc w:val="right"/>
              <w:ind w:right="294"/>
              <w:spacing w:after="0" w:line="192"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2" w:lineRule="exact"/>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0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Weighted-average common shares outstanding:</w:t>
            </w: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220"/>
              <w:spacing w:after="0"/>
              <w:rPr>
                <w:sz w:val="20"/>
                <w:szCs w:val="20"/>
                <w:color w:val="auto"/>
              </w:rPr>
            </w:pPr>
            <w:r>
              <w:rPr>
                <w:rFonts w:ascii="Arial" w:cs="Arial" w:eastAsia="Arial" w:hAnsi="Arial"/>
                <w:sz w:val="17"/>
                <w:szCs w:val="17"/>
                <w:color w:val="auto"/>
              </w:rPr>
              <w:t>Basic</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85,646</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42,360</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57,662</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41,777</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85,646</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42,360</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57,662</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41,777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1220" w:type="dxa"/>
            <w:vAlign w:val="bottom"/>
            <w:tcBorders>
              <w:top w:val="single" w:sz="8" w:color="0000FF"/>
            </w:tcBorders>
          </w:tcPr>
          <w:p>
            <w:pPr>
              <w:spacing w:after="0"/>
              <w:rPr>
                <w:sz w:val="24"/>
                <w:szCs w:val="24"/>
                <w:color w:val="auto"/>
              </w:rPr>
            </w:pPr>
          </w:p>
        </w:tc>
        <w:tc>
          <w:tcPr>
            <w:tcW w:w="6960" w:type="dxa"/>
            <w:vAlign w:val="bottom"/>
            <w:gridSpan w:val="8"/>
          </w:tcPr>
          <w:p>
            <w:pPr>
              <w:jc w:val="center"/>
              <w:ind w:left="1754"/>
              <w:spacing w:after="0"/>
              <w:rPr>
                <w:sz w:val="20"/>
                <w:szCs w:val="20"/>
                <w:color w:val="auto"/>
              </w:rPr>
            </w:pPr>
            <w:r>
              <w:rPr>
                <w:rFonts w:ascii="Arial" w:cs="Arial" w:eastAsia="Arial" w:hAnsi="Arial"/>
                <w:sz w:val="17"/>
                <w:szCs w:val="17"/>
                <w:b w:val="1"/>
                <w:bCs w:val="1"/>
                <w:color w:val="auto"/>
              </w:rPr>
              <w:t>SYNCHRONOSS TECHNOLOGIES, INC.</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8560" w:type="dxa"/>
            <w:vAlign w:val="bottom"/>
            <w:gridSpan w:val="11"/>
          </w:tcPr>
          <w:p>
            <w:pPr>
              <w:jc w:val="center"/>
              <w:ind w:left="174"/>
              <w:spacing w:after="0"/>
              <w:rPr>
                <w:sz w:val="20"/>
                <w:szCs w:val="20"/>
                <w:color w:val="auto"/>
              </w:rPr>
            </w:pPr>
            <w:r>
              <w:rPr>
                <w:rFonts w:ascii="Arial" w:cs="Arial" w:eastAsia="Arial" w:hAnsi="Arial"/>
                <w:sz w:val="17"/>
                <w:szCs w:val="17"/>
                <w:b w:val="1"/>
                <w:bCs w:val="1"/>
                <w:color w:val="auto"/>
              </w:rPr>
              <w:t>CONDENSED CONSOLIDATED STATEMENTS OF COMPREHENSIVE (LOSS) 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320" w:type="dxa"/>
            <w:vAlign w:val="bottom"/>
            <w:gridSpan w:val="5"/>
          </w:tcPr>
          <w:p>
            <w:pPr>
              <w:jc w:val="right"/>
              <w:ind w:right="34"/>
              <w:spacing w:after="0"/>
              <w:rPr>
                <w:sz w:val="20"/>
                <w:szCs w:val="20"/>
                <w:color w:val="auto"/>
              </w:rPr>
            </w:pPr>
            <w:r>
              <w:rPr>
                <w:rFonts w:ascii="Arial" w:cs="Arial" w:eastAsia="Arial" w:hAnsi="Arial"/>
                <w:sz w:val="17"/>
                <w:szCs w:val="17"/>
                <w:b w:val="1"/>
                <w:bCs w:val="1"/>
                <w:color w:val="auto"/>
              </w:rPr>
              <w:t>(Unaudited) (In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1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40"/>
              <w:spacing w:after="0"/>
              <w:rPr>
                <w:sz w:val="20"/>
                <w:szCs w:val="20"/>
                <w:color w:val="auto"/>
              </w:rPr>
            </w:pPr>
            <w:r>
              <w:rPr>
                <w:rFonts w:ascii="Arial" w:cs="Arial" w:eastAsia="Arial" w:hAnsi="Arial"/>
                <w:sz w:val="17"/>
                <w:szCs w:val="17"/>
                <w:b w:val="1"/>
                <w:bCs w:val="1"/>
                <w:color w:val="auto"/>
              </w:rPr>
              <w:t>Three Months Ended September 30,</w:t>
            </w:r>
          </w:p>
        </w:tc>
        <w:tc>
          <w:tcPr>
            <w:tcW w:w="180" w:type="dxa"/>
            <w:vAlign w:val="bottom"/>
          </w:tcPr>
          <w:p>
            <w:pPr>
              <w:spacing w:after="0"/>
              <w:rPr>
                <w:sz w:val="24"/>
                <w:szCs w:val="24"/>
                <w:color w:val="auto"/>
              </w:rPr>
            </w:pPr>
          </w:p>
        </w:tc>
        <w:tc>
          <w:tcPr>
            <w:tcW w:w="2880" w:type="dxa"/>
            <w:vAlign w:val="bottom"/>
            <w:gridSpan w:val="4"/>
          </w:tcPr>
          <w:p>
            <w:pPr>
              <w:jc w:val="right"/>
              <w:ind w:right="154"/>
              <w:spacing w:after="0"/>
              <w:rPr>
                <w:sz w:val="20"/>
                <w:szCs w:val="20"/>
                <w:color w:val="auto"/>
              </w:rPr>
            </w:pPr>
            <w:r>
              <w:rPr>
                <w:rFonts w:ascii="Arial" w:cs="Arial" w:eastAsia="Arial" w:hAnsi="Arial"/>
                <w:sz w:val="17"/>
                <w:szCs w:val="17"/>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(9,666)</w:t>
            </w:r>
          </w:p>
        </w:tc>
        <w:tc>
          <w:tcPr>
            <w:tcW w:w="0" w:type="dxa"/>
            <w:vAlign w:val="bottom"/>
          </w:tcPr>
          <w:p>
            <w:pPr>
              <w:spacing w:after="0"/>
              <w:rPr>
                <w:sz w:val="1"/>
                <w:szCs w:val="1"/>
                <w:color w:val="auto"/>
              </w:rPr>
            </w:pPr>
          </w:p>
        </w:tc>
      </w:tr>
      <w:tr>
        <w:trPr>
          <w:trHeight w:val="220"/>
        </w:trPr>
        <w:tc>
          <w:tcPr>
            <w:tcW w:w="4740" w:type="dxa"/>
            <w:vAlign w:val="bottom"/>
            <w:gridSpan w:val="2"/>
          </w:tcPr>
          <w:p>
            <w:pPr>
              <w:ind w:left="220"/>
              <w:spacing w:after="0"/>
              <w:rPr>
                <w:sz w:val="20"/>
                <w:szCs w:val="20"/>
                <w:color w:val="auto"/>
              </w:rPr>
            </w:pPr>
            <w:r>
              <w:rPr>
                <w:rFonts w:ascii="Arial" w:cs="Arial" w:eastAsia="Arial" w:hAnsi="Arial"/>
                <w:sz w:val="17"/>
                <w:szCs w:val="17"/>
                <w:color w:val="auto"/>
              </w:rPr>
              <w:t>Other comprehensive (loss) income, net of tax</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20"/>
        </w:trPr>
        <w:tc>
          <w:tcPr>
            <w:tcW w:w="4740" w:type="dxa"/>
            <w:vAlign w:val="bottom"/>
            <w:gridSpan w:val="2"/>
          </w:tcPr>
          <w:p>
            <w:pPr>
              <w:ind w:left="420"/>
              <w:spacing w:after="0"/>
              <w:rPr>
                <w:sz w:val="20"/>
                <w:szCs w:val="20"/>
                <w:color w:val="auto"/>
              </w:rPr>
            </w:pPr>
            <w:r>
              <w:rPr>
                <w:rFonts w:ascii="Arial" w:cs="Arial" w:eastAsia="Arial" w:hAnsi="Arial"/>
                <w:sz w:val="17"/>
                <w:szCs w:val="17"/>
                <w:color w:val="auto"/>
              </w:rPr>
              <w:t>Unrealized gain on available for sale securities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20"/>
        </w:trPr>
        <w:tc>
          <w:tcPr>
            <w:tcW w:w="4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6"/>
              </w:rPr>
              <w:t>Net income on inter-company foreign currency transactions</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other comprehensive (loss) income</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(1,469)</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(8,595)</w:t>
            </w:r>
          </w:p>
        </w:tc>
        <w:tc>
          <w:tcPr>
            <w:tcW w:w="0" w:type="dxa"/>
            <w:vAlign w:val="bottom"/>
          </w:tcPr>
          <w:p>
            <w:pPr>
              <w:spacing w:after="0"/>
              <w:rPr>
                <w:sz w:val="1"/>
                <w:szCs w:val="1"/>
                <w:color w:val="auto"/>
              </w:rPr>
            </w:pPr>
          </w:p>
        </w:tc>
      </w:tr>
      <w:tr>
        <w:trPr>
          <w:trHeight w:val="169"/>
        </w:trPr>
        <w:tc>
          <w:tcPr>
            <w:tcW w:w="4740" w:type="dxa"/>
            <w:vAlign w:val="bottom"/>
            <w:gridSpan w:val="2"/>
          </w:tcPr>
          <w:p>
            <w:pPr>
              <w:ind w:left="220"/>
              <w:spacing w:after="0" w:line="169" w:lineRule="exact"/>
              <w:rPr>
                <w:sz w:val="20"/>
                <w:szCs w:val="20"/>
                <w:color w:val="auto"/>
              </w:rPr>
            </w:pPr>
            <w:r>
              <w:rPr>
                <w:rFonts w:ascii="Arial" w:cs="Arial" w:eastAsia="Arial" w:hAnsi="Arial"/>
                <w:sz w:val="17"/>
                <w:szCs w:val="17"/>
                <w:color w:val="auto"/>
              </w:rPr>
              <w:t>Comprehensive (loss) income attributable to redeemable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noncontrolling interests</w:t>
            </w: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 attributable to Synchronoss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(25,307)</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(8,837)</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left="340" w:right="2480"/>
        <w:spacing w:after="0" w:line="283" w:lineRule="auto"/>
        <w:rPr>
          <w:sz w:val="20"/>
          <w:szCs w:val="20"/>
          <w:color w:val="auto"/>
        </w:rPr>
      </w:pPr>
      <w:r>
        <w:rPr>
          <w:rFonts w:ascii="Arial" w:cs="Arial" w:eastAsia="Arial" w:hAnsi="Arial"/>
          <w:sz w:val="17"/>
          <w:szCs w:val="17"/>
          <w:b w:val="1"/>
          <w:bCs w:val="1"/>
          <w:color w:val="auto"/>
        </w:rPr>
        <w:t>SYNCHRONOSS TECHNOLOGIES, INC. CONDENSED CONSOLIDATED STATEMENTS OF STOCKHOLDERS’ EQUITY (Unaudited)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Three Months Ended September 30, 2021</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ind w:left="600"/>
              <w:spacing w:after="0"/>
              <w:rPr>
                <w:sz w:val="20"/>
                <w:szCs w:val="20"/>
                <w:color w:val="auto"/>
              </w:rPr>
            </w:pPr>
            <w:r>
              <w:rPr>
                <w:rFonts w:ascii="Arial" w:cs="Arial" w:eastAsia="Arial" w:hAnsi="Arial"/>
                <w:sz w:val="9"/>
                <w:szCs w:val="9"/>
                <w:b w:val="1"/>
                <w:bCs w:val="1"/>
                <w:color w:val="auto"/>
              </w:rPr>
              <w:t>Treasury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300" w:type="dxa"/>
            <w:vAlign w:val="bottom"/>
          </w:tcPr>
          <w:p>
            <w:pPr>
              <w:spacing w:after="0"/>
              <w:rPr>
                <w:sz w:val="8"/>
                <w:szCs w:val="8"/>
                <w:color w:val="auto"/>
              </w:rPr>
            </w:pPr>
          </w:p>
        </w:tc>
        <w:tc>
          <w:tcPr>
            <w:tcW w:w="68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40" w:type="dxa"/>
            <w:vAlign w:val="bottom"/>
            <w:vMerge w:val="restart"/>
          </w:tcPr>
          <w:p>
            <w:pPr>
              <w:ind w:left="280"/>
              <w:spacing w:after="0"/>
              <w:rPr>
                <w:sz w:val="20"/>
                <w:szCs w:val="20"/>
                <w:color w:val="auto"/>
              </w:rPr>
            </w:pPr>
            <w:r>
              <w:rPr>
                <w:rFonts w:ascii="Arial" w:cs="Arial" w:eastAsia="Arial" w:hAnsi="Arial"/>
                <w:sz w:val="9"/>
                <w:szCs w:val="9"/>
                <w:b w:val="1"/>
                <w:bCs w:val="1"/>
                <w:color w:val="auto"/>
                <w:w w:val="99"/>
              </w:rPr>
              <w:t>Amount</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2"/>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88,121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491,660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(29,442)</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(360,271)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101,956</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2,438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2,438</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(1,722)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(8,109)</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(1,469)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19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87,999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492,376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(368,380)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93,094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Three Months Ended September 30, 2020</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2020</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51,619</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517,794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(34,397)</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(339,313)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62,002</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4,336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4,336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(8,761)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(8,761)</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(5,622)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(5,622)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2,207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2,207</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Adoption of new credit loss accounting standard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2020</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51,514</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512,504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(32,190)</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(344,977)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53,255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40"/>
              <w:spacing w:after="0"/>
              <w:rPr>
                <w:sz w:val="20"/>
                <w:szCs w:val="20"/>
                <w:color w:val="auto"/>
              </w:rPr>
            </w:pPr>
            <w:r>
              <w:rPr>
                <w:rFonts w:ascii="Arial" w:cs="Arial" w:eastAsia="Arial" w:hAnsi="Arial"/>
                <w:sz w:val="12"/>
                <w:szCs w:val="12"/>
                <w:b w:val="1"/>
                <w:bCs w:val="1"/>
                <w:color w:val="auto"/>
              </w:rPr>
              <w:t>Nine Months Ended September 30, 2021</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51,177</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499,348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(28,213)</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(345,771)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43,282</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7,472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7,472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1,676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(20,937)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(20,937)</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Common stock issuance - Public Offering</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42,308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109,996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110,000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shares used in Public Offering</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82,087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Common Stock - Issuance Costs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(8,340)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(8,340)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(22,895)</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87,999</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492,376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(30,911)</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(368,380)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93,094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9" w:lineRule="auto"/>
        <w:tabs>
          <w:tab w:leader="none" w:pos="20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Includes amortization of preferred stock issuance costs accelerated due to Series A redemption.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40"/>
              <w:spacing w:after="0"/>
              <w:rPr>
                <w:sz w:val="20"/>
                <w:szCs w:val="20"/>
                <w:color w:val="auto"/>
              </w:rPr>
            </w:pPr>
            <w:r>
              <w:rPr>
                <w:rFonts w:ascii="Arial" w:cs="Arial" w:eastAsia="Arial" w:hAnsi="Arial"/>
                <w:sz w:val="12"/>
                <w:szCs w:val="12"/>
                <w:b w:val="1"/>
                <w:bCs w:val="1"/>
                <w:color w:val="auto"/>
              </w:rPr>
              <w:t>Nine Months Ended September 30, 2020</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51,704</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525,739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(33,261)</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(334,319)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76,077</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14,406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14,406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(25,373)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(25,373)</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(2,510)</w:t>
            </w:r>
          </w:p>
        </w:tc>
        <w:tc>
          <w:tcPr>
            <w:tcW w:w="0" w:type="dxa"/>
            <w:vAlign w:val="bottom"/>
          </w:tcPr>
          <w:p>
            <w:pPr>
              <w:spacing w:after="0"/>
              <w:rPr>
                <w:sz w:val="1"/>
                <w:szCs w:val="1"/>
                <w:color w:val="auto"/>
              </w:rPr>
            </w:pPr>
          </w:p>
        </w:tc>
      </w:tr>
      <w:tr>
        <w:trPr>
          <w:trHeight w:val="116"/>
        </w:trPr>
        <w:tc>
          <w:tcPr>
            <w:tcW w:w="3640" w:type="dxa"/>
            <w:vAlign w:val="bottom"/>
          </w:tcPr>
          <w:p>
            <w:pPr>
              <w:ind w:left="140"/>
              <w:spacing w:after="0" w:line="117" w:lineRule="exact"/>
              <w:rPr>
                <w:sz w:val="20"/>
                <w:szCs w:val="20"/>
                <w:color w:val="auto"/>
              </w:rPr>
            </w:pPr>
            <w:r>
              <w:rPr>
                <w:rFonts w:ascii="Arial" w:cs="Arial" w:eastAsia="Arial" w:hAnsi="Arial"/>
                <w:sz w:val="12"/>
                <w:szCs w:val="12"/>
                <w:color w:val="auto"/>
                <w:w w:val="99"/>
              </w:rPr>
              <w:t>Shares withheld for taxes in connection with issuance of restricted</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w:t>
            </w: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(9,666)</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1,071</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Adoption of new credit loss accounting standard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9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2020</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51,514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512,504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(32,190)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(344,977)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53,255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0"/>
        </w:trPr>
        <w:tc>
          <w:tcPr>
            <w:tcW w:w="80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Net loss continuing operations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(22,895)</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(9,666)</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33,852</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(Gain) loss on Disposals of fixed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Disposals of intangible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14,547</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Operating lease impairment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6,232</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11,357</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(8,400)</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10,063</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Deferred revenues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(36,924)</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(5,178)</w:t>
            </w:r>
          </w:p>
        </w:tc>
      </w:tr>
      <w:tr>
        <w:trPr>
          <w:trHeight w:val="197"/>
        </w:trPr>
        <w:tc>
          <w:tcPr>
            <w:tcW w:w="80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provided by (used in) operating activities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8,661</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Purchases of fixed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capitalized software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Acquisition of intangible assets</w:t>
            </w:r>
          </w:p>
        </w:tc>
        <w:tc>
          <w:tcPr>
            <w:tcW w:w="2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sale of intangibles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Maturity of marketable securities available for sale</w:t>
            </w:r>
          </w:p>
        </w:tc>
        <w:tc>
          <w:tcPr>
            <w:tcW w:w="2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(11,406)</w:t>
            </w:r>
          </w:p>
        </w:tc>
      </w:tr>
      <w:tr>
        <w:trPr>
          <w:trHeight w:val="20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compensation-related proceeds, net of taxes paid on withholding shares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Taxes paid on withholding shares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issuance costs related to long term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issuance of long term debt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revolving line of credit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Repayment of revolving line of credit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Common stock issuance costs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preferred stock</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Redemption of Series A Preferred stock</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(278,665)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Series B preferred stock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80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9,991</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197"/>
        </w:trPr>
        <w:tc>
          <w:tcPr>
            <w:tcW w:w="808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7,358</w:t>
            </w: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39,001</w:t>
            </w:r>
          </w:p>
        </w:tc>
      </w:tr>
      <w:tr>
        <w:trPr>
          <w:trHeight w:val="174"/>
        </w:trPr>
        <w:tc>
          <w:tcPr>
            <w:tcW w:w="808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tcPr>
          <w:p>
            <w:pPr>
              <w:jc w:val="right"/>
              <w:ind w:right="82"/>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24,141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2"/>
              <w:spacing w:after="0" w:line="175"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46,359</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808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68"/>
        </w:trPr>
        <w:tc>
          <w:tcPr>
            <w:tcW w:w="8080" w:type="dxa"/>
            <w:vAlign w:val="bottom"/>
          </w:tcPr>
          <w:p>
            <w:pPr>
              <w:ind w:left="220"/>
              <w:spacing w:after="0"/>
              <w:rPr>
                <w:sz w:val="20"/>
                <w:szCs w:val="20"/>
                <w:color w:val="auto"/>
              </w:rPr>
            </w:pPr>
            <w:r>
              <w:rPr>
                <w:rFonts w:ascii="Arial" w:cs="Arial" w:eastAsia="Arial" w:hAnsi="Arial"/>
                <w:sz w:val="16"/>
                <w:szCs w:val="16"/>
                <w:color w:val="auto"/>
              </w:rPr>
              <w:t xml:space="preserve">Paid in kind dividends on Series A Convertible Participating Perpetual Preferred Stock </w:t>
            </w:r>
            <w:r>
              <w:rPr>
                <w:rFonts w:ascii="Arial" w:cs="Arial" w:eastAsia="Arial" w:hAnsi="Arial"/>
                <w:sz w:val="20"/>
                <w:szCs w:val="20"/>
                <w:color w:val="auto"/>
                <w:vertAlign w:val="superscript"/>
              </w:rPr>
              <w:t>1</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31,277</w:t>
            </w:r>
          </w:p>
        </w:tc>
        <w:tc>
          <w:tcPr>
            <w:tcW w:w="100" w:type="dxa"/>
            <w:vAlign w:val="bottom"/>
          </w:tcPr>
          <w:p>
            <w:pPr>
              <w:spacing w:after="0"/>
              <w:rPr>
                <w:sz w:val="23"/>
                <w:szCs w:val="23"/>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26,995</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9" w:lineRule="auto"/>
        <w:tabs>
          <w:tab w:leader="none" w:pos="10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Current year amounts include amortization of preferred stock issuance costs accelerated due to Series A redemption.</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Synchronoss Technologies, Inc. (“Synchronoss” or the “Company”) Digital, Cloud, Messaging and Total Network Management platforms help the world’s leading companies, including operators, original equipment manufacturers (“OEMs”), and Media and Technology providers to deliver continuously transformative customer experiences that create high value engagement and new monetization opportunities.</w:t>
      </w:r>
    </w:p>
    <w:p>
      <w:pPr>
        <w:spacing w:after="0" w:line="10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delivers platforms, products and solutions including:</w:t>
      </w:r>
    </w:p>
    <w:p>
      <w:pPr>
        <w:spacing w:after="0" w:line="154" w:lineRule="exact"/>
        <w:rPr>
          <w:sz w:val="20"/>
          <w:szCs w:val="20"/>
          <w:color w:val="auto"/>
        </w:rPr>
      </w:pPr>
    </w:p>
    <w:p>
      <w:pPr>
        <w:ind w:left="940" w:hanging="316"/>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White Label Personal Cloud: Cloud sync, backup, storage, device set up, content transfer and content engagement for user generated content.</w:t>
      </w:r>
    </w:p>
    <w:p>
      <w:pPr>
        <w:spacing w:after="0" w:line="35" w:lineRule="exact"/>
        <w:rPr>
          <w:rFonts w:ascii="Arial" w:cs="Arial" w:eastAsia="Arial" w:hAnsi="Arial"/>
          <w:sz w:val="16"/>
          <w:szCs w:val="16"/>
          <w:color w:val="auto"/>
        </w:rPr>
      </w:pPr>
    </w:p>
    <w:p>
      <w:pPr>
        <w:ind w:left="940" w:right="260" w:hanging="316"/>
        <w:spacing w:after="0" w:line="254"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Messaging: White label consumer email solutions. Advanced, multi-channel messaging peer-to-peer (“P2P”) communications and application-to-person (“A2P”) commerce solutions.</w:t>
      </w:r>
    </w:p>
    <w:p>
      <w:pPr>
        <w:ind w:left="940" w:hanging="316"/>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Digital: Customer journey and workflow design, development, orchestration and experience management.</w:t>
      </w:r>
    </w:p>
    <w:p>
      <w:pPr>
        <w:spacing w:after="0" w:line="11" w:lineRule="exact"/>
        <w:rPr>
          <w:rFonts w:ascii="Arial" w:cs="Arial" w:eastAsia="Arial" w:hAnsi="Arial"/>
          <w:sz w:val="17"/>
          <w:szCs w:val="17"/>
          <w:color w:val="auto"/>
        </w:rPr>
      </w:pPr>
    </w:p>
    <w:p>
      <w:pPr>
        <w:ind w:left="940" w:hanging="316"/>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Network Management (“TNM”): integrated application suite that designs, procures, manages and optimizes telecom network infrastructure.</w:t>
      </w:r>
    </w:p>
    <w:p>
      <w:pPr>
        <w:spacing w:after="0" w:line="243"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11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7"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The Synchronoss Digital Platform is a suite of technology, tools and solutions that includes digital experience creation and management, automated provisioning, artificial intelligence and financial analytics that service a broad array of TMT markets. The products equip customers with a toolkit of capabilities where they can design, deploy and manage end user customer journeys and workflows easily and quickly from one central platform that also integrates across front end customer engagement channels as well as enterprise business systems (e.g. CRM, POS) allowing non-citizen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w:t>
      </w:r>
    </w:p>
    <w:p>
      <w:pPr>
        <w:spacing w:after="0" w:line="114" w:lineRule="exact"/>
        <w:rPr>
          <w:sz w:val="20"/>
          <w:szCs w:val="20"/>
          <w:color w:val="auto"/>
        </w:rPr>
      </w:pPr>
    </w:p>
    <w:p>
      <w:pPr>
        <w:jc w:val="both"/>
        <w:ind w:firstLine="311"/>
        <w:spacing w:after="0" w:line="299" w:lineRule="auto"/>
        <w:rPr>
          <w:sz w:val="20"/>
          <w:szCs w:val="20"/>
          <w:color w:val="auto"/>
        </w:rPr>
      </w:pPr>
      <w:r>
        <w:rPr>
          <w:rFonts w:ascii="Arial" w:cs="Arial" w:eastAsia="Arial" w:hAnsi="Arial"/>
          <w:sz w:val="16"/>
          <w:szCs w:val="16"/>
          <w:color w:val="auto"/>
        </w:rPr>
        <w:t>The Synchronoss Total Network Management application suite provides Operators with the tools and software to design their physical network, streamline their infrastructure purchases, and comprehensive network expense optimization and management for leading top tier carriers around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2020. The results of operations for the three and nine months ended September 30, 2021 are not necessarily indicative of the results to be expected for the year ending December 31, 2021.</w:t>
      </w:r>
    </w:p>
    <w:p>
      <w:pPr>
        <w:spacing w:after="0" w:line="20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1"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3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6"/>
          <w:szCs w:val="16"/>
          <w:color w:val="auto"/>
        </w:rPr>
        <w:t>There continue to be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three and nine months ended September 30, 2021,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8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Standard</w:t>
            </w:r>
          </w:p>
        </w:tc>
        <w:tc>
          <w:tcPr>
            <w:tcW w:w="4720" w:type="dxa"/>
            <w:vAlign w:val="bottom"/>
            <w:tcBorders>
              <w:top w:val="single" w:sz="8" w:color="auto"/>
              <w:bottom w:val="single" w:sz="8" w:color="auto"/>
            </w:tcBorders>
          </w:tcPr>
          <w:p>
            <w:pPr>
              <w:jc w:val="right"/>
              <w:ind w:right="3482"/>
              <w:spacing w:after="0"/>
              <w:rPr>
                <w:sz w:val="20"/>
                <w:szCs w:val="20"/>
                <w:color w:val="auto"/>
              </w:rPr>
            </w:pPr>
            <w:r>
              <w:rPr>
                <w:rFonts w:ascii="Arial" w:cs="Arial" w:eastAsia="Arial" w:hAnsi="Arial"/>
                <w:sz w:val="16"/>
                <w:szCs w:val="16"/>
                <w:color w:val="auto"/>
              </w:rPr>
              <w:t>Description</w:t>
            </w:r>
          </w:p>
        </w:tc>
        <w:tc>
          <w:tcPr>
            <w:tcW w:w="44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Effect on the financial statements</w:t>
            </w:r>
          </w:p>
        </w:tc>
      </w:tr>
      <w:tr>
        <w:trPr>
          <w:trHeight w:val="156"/>
        </w:trPr>
        <w:tc>
          <w:tcPr>
            <w:tcW w:w="1880" w:type="dxa"/>
            <w:vAlign w:val="bottom"/>
          </w:tcPr>
          <w:p>
            <w:pPr>
              <w:ind w:left="320"/>
              <w:spacing w:after="0" w:line="156" w:lineRule="exact"/>
              <w:rPr>
                <w:sz w:val="20"/>
                <w:szCs w:val="20"/>
                <w:color w:val="auto"/>
              </w:rPr>
            </w:pPr>
            <w:r>
              <w:rPr>
                <w:rFonts w:ascii="Arial" w:cs="Arial" w:eastAsia="Arial" w:hAnsi="Arial"/>
                <w:sz w:val="16"/>
                <w:szCs w:val="16"/>
                <w:color w:val="auto"/>
              </w:rPr>
              <w:t>Update 2019-12 -</w:t>
            </w:r>
          </w:p>
        </w:tc>
        <w:tc>
          <w:tcPr>
            <w:tcW w:w="4720" w:type="dxa"/>
            <w:vAlign w:val="bottom"/>
          </w:tcPr>
          <w:p>
            <w:pPr>
              <w:jc w:val="right"/>
              <w:ind w:right="2"/>
              <w:spacing w:after="0" w:line="156" w:lineRule="exact"/>
              <w:rPr>
                <w:sz w:val="20"/>
                <w:szCs w:val="20"/>
                <w:color w:val="auto"/>
              </w:rPr>
            </w:pPr>
            <w:r>
              <w:rPr>
                <w:rFonts w:ascii="Arial" w:cs="Arial" w:eastAsia="Arial" w:hAnsi="Arial"/>
                <w:sz w:val="16"/>
                <w:szCs w:val="16"/>
                <w:color w:val="auto"/>
              </w:rPr>
              <w:t>The ASU removes the exception to the general principles in ASC</w:t>
            </w:r>
          </w:p>
        </w:tc>
        <w:tc>
          <w:tcPr>
            <w:tcW w:w="4420" w:type="dxa"/>
            <w:vAlign w:val="bottom"/>
          </w:tcPr>
          <w:p>
            <w:pPr>
              <w:ind w:left="380"/>
              <w:spacing w:after="0" w:line="156" w:lineRule="exact"/>
              <w:rPr>
                <w:sz w:val="20"/>
                <w:szCs w:val="20"/>
                <w:color w:val="auto"/>
              </w:rPr>
            </w:pPr>
            <w:r>
              <w:rPr>
                <w:rFonts w:ascii="Arial" w:cs="Arial" w:eastAsia="Arial" w:hAnsi="Arial"/>
                <w:sz w:val="16"/>
                <w:szCs w:val="16"/>
                <w:color w:val="auto"/>
                <w:w w:val="86"/>
              </w:rPr>
              <w:t>The Company adopted the new standard as of January 1, 2021. T</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w w:val="98"/>
              </w:rPr>
              <w:t>Income Taxes (Topic 740)</w:t>
            </w: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1"/>
              </w:rPr>
              <w:t>740, Income Taxes, associated with the incremental approach for intra-</w:t>
            </w:r>
          </w:p>
        </w:tc>
        <w:tc>
          <w:tcPr>
            <w:tcW w:w="4420" w:type="dxa"/>
            <w:vAlign w:val="bottom"/>
          </w:tcPr>
          <w:p>
            <w:pPr>
              <w:ind w:left="60"/>
              <w:spacing w:after="0" w:line="155" w:lineRule="exact"/>
              <w:rPr>
                <w:sz w:val="20"/>
                <w:szCs w:val="20"/>
                <w:color w:val="auto"/>
              </w:rPr>
            </w:pPr>
            <w:r>
              <w:rPr>
                <w:rFonts w:ascii="Arial" w:cs="Arial" w:eastAsia="Arial" w:hAnsi="Arial"/>
                <w:sz w:val="16"/>
                <w:szCs w:val="16"/>
                <w:color w:val="auto"/>
                <w:w w:val="89"/>
              </w:rPr>
              <w:t>standard did not have a material impact on the Company’s consolida</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w w:val="98"/>
              </w:rPr>
              <w:t>Simplifying the Accounting</w:t>
            </w: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5"/>
              </w:rPr>
              <w:t>period tax allocation, accounting for basis differences when there are</w:t>
            </w:r>
          </w:p>
        </w:tc>
        <w:tc>
          <w:tcPr>
            <w:tcW w:w="4420" w:type="dxa"/>
            <w:vAlign w:val="bottom"/>
          </w:tcPr>
          <w:p>
            <w:pPr>
              <w:ind w:left="60"/>
              <w:spacing w:after="0" w:line="155" w:lineRule="exact"/>
              <w:rPr>
                <w:sz w:val="20"/>
                <w:szCs w:val="20"/>
                <w:color w:val="auto"/>
              </w:rPr>
            </w:pPr>
            <w:r>
              <w:rPr>
                <w:rFonts w:ascii="Arial" w:cs="Arial" w:eastAsia="Arial" w:hAnsi="Arial"/>
                <w:sz w:val="16"/>
                <w:szCs w:val="16"/>
                <w:color w:val="auto"/>
              </w:rPr>
              <w:t>financial position or results of operations upon adoption.</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rPr>
              <w:t>for Income Taxes</w:t>
            </w: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4"/>
              </w:rPr>
              <w:t>ownership changes in foreign investments and interim-period income</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1"/>
              </w:rPr>
              <w:t>tax accounting for year-to-date losses that exceed anticipated losses. In</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rPr>
              <w:t>addition, the ASU improves the application of income tax related</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0"/>
              </w:rPr>
              <w:t>guidance and simplifies U.S. GAAP when accounting for franchise taxes</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4"/>
              </w:rPr>
              <w:t>that  are  partially  based  on  income,  transactions  with  government</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0"/>
              </w:rPr>
              <w:t>resulting in a step-up in tax basis goodwill, separate financial statements</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4"/>
              </w:rPr>
              <w:t>of legal entities not subject to tax, and enacted changes in tax laws in</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2"/>
              </w:rPr>
              <w:t>interim periods. Different transition approaches, retrospective, modified</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rPr>
              <w:t>retrospective,  or  prospective,  will  apply  to  each  income  tax</w:t>
            </w:r>
          </w:p>
        </w:tc>
        <w:tc>
          <w:tcPr>
            <w:tcW w:w="4420" w:type="dxa"/>
            <w:vAlign w:val="bottom"/>
          </w:tcPr>
          <w:p>
            <w:pPr>
              <w:spacing w:after="0"/>
              <w:rPr>
                <w:sz w:val="13"/>
                <w:szCs w:val="13"/>
                <w:color w:val="auto"/>
              </w:rPr>
            </w:pPr>
          </w:p>
        </w:tc>
      </w:tr>
      <w:tr>
        <w:trPr>
          <w:trHeight w:val="199"/>
        </w:trPr>
        <w:tc>
          <w:tcPr>
            <w:tcW w:w="188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jc w:val="right"/>
              <w:ind w:right="3002"/>
              <w:spacing w:after="0"/>
              <w:rPr>
                <w:sz w:val="20"/>
                <w:szCs w:val="20"/>
                <w:color w:val="auto"/>
              </w:rPr>
            </w:pPr>
            <w:r>
              <w:rPr>
                <w:rFonts w:ascii="Arial" w:cs="Arial" w:eastAsia="Arial" w:hAnsi="Arial"/>
                <w:sz w:val="16"/>
                <w:szCs w:val="16"/>
                <w:color w:val="auto"/>
                <w:w w:val="98"/>
              </w:rPr>
              <w:t>simplification provision.</w:t>
            </w:r>
          </w:p>
        </w:tc>
        <w:tc>
          <w:tcPr>
            <w:tcW w:w="4420" w:type="dxa"/>
            <w:vAlign w:val="bottom"/>
            <w:tcBorders>
              <w:bottom w:val="single" w:sz="8" w:color="auto"/>
            </w:tcBorders>
          </w:tcPr>
          <w:p>
            <w:pPr>
              <w:spacing w:after="0"/>
              <w:rPr>
                <w:sz w:val="17"/>
                <w:szCs w:val="17"/>
                <w:color w:val="auto"/>
              </w:rPr>
            </w:pPr>
          </w:p>
        </w:tc>
      </w:tr>
      <w:tr>
        <w:trPr>
          <w:trHeight w:val="156"/>
        </w:trPr>
        <w:tc>
          <w:tcPr>
            <w:tcW w:w="1880" w:type="dxa"/>
            <w:vAlign w:val="bottom"/>
          </w:tcPr>
          <w:p>
            <w:pPr>
              <w:ind w:left="320"/>
              <w:spacing w:after="0" w:line="156" w:lineRule="exact"/>
              <w:rPr>
                <w:sz w:val="20"/>
                <w:szCs w:val="20"/>
                <w:color w:val="auto"/>
              </w:rPr>
            </w:pPr>
            <w:r>
              <w:rPr>
                <w:rFonts w:ascii="Arial" w:cs="Arial" w:eastAsia="Arial" w:hAnsi="Arial"/>
                <w:sz w:val="16"/>
                <w:szCs w:val="16"/>
                <w:color w:val="auto"/>
              </w:rPr>
              <w:t>Date of adoption:</w:t>
            </w:r>
          </w:p>
        </w:tc>
        <w:tc>
          <w:tcPr>
            <w:tcW w:w="4720" w:type="dxa"/>
            <w:vAlign w:val="bottom"/>
          </w:tcPr>
          <w:p>
            <w:pPr>
              <w:spacing w:after="0"/>
              <w:rPr>
                <w:sz w:val="13"/>
                <w:szCs w:val="13"/>
                <w:color w:val="auto"/>
              </w:rPr>
            </w:pPr>
          </w:p>
        </w:tc>
        <w:tc>
          <w:tcPr>
            <w:tcW w:w="4420" w:type="dxa"/>
            <w:vAlign w:val="bottom"/>
          </w:tcPr>
          <w:p>
            <w:pPr>
              <w:spacing w:after="0"/>
              <w:rPr>
                <w:sz w:val="13"/>
                <w:szCs w:val="13"/>
                <w:color w:val="auto"/>
              </w:rPr>
            </w:pPr>
          </w:p>
        </w:tc>
      </w:tr>
      <w:tr>
        <w:trPr>
          <w:trHeight w:val="199"/>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2021.</w:t>
            </w:r>
          </w:p>
        </w:tc>
        <w:tc>
          <w:tcPr>
            <w:tcW w:w="47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Standards issued not yet adopted</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Standard</w:t>
            </w:r>
          </w:p>
        </w:tc>
        <w:tc>
          <w:tcPr>
            <w:tcW w:w="4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Description</w:t>
            </w:r>
          </w:p>
        </w:tc>
        <w:tc>
          <w:tcPr>
            <w:tcW w:w="44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Effect on the financial statements</w:t>
            </w:r>
          </w:p>
        </w:tc>
      </w:tr>
      <w:tr>
        <w:trPr>
          <w:trHeight w:val="156"/>
        </w:trPr>
        <w:tc>
          <w:tcPr>
            <w:tcW w:w="1960" w:type="dxa"/>
            <w:vAlign w:val="bottom"/>
          </w:tcPr>
          <w:p>
            <w:pPr>
              <w:ind w:left="320"/>
              <w:spacing w:after="0" w:line="156" w:lineRule="exact"/>
              <w:rPr>
                <w:sz w:val="20"/>
                <w:szCs w:val="20"/>
                <w:color w:val="auto"/>
              </w:rPr>
            </w:pPr>
            <w:r>
              <w:rPr>
                <w:rFonts w:ascii="Arial" w:cs="Arial" w:eastAsia="Arial" w:hAnsi="Arial"/>
                <w:sz w:val="16"/>
                <w:szCs w:val="16"/>
                <w:color w:val="auto"/>
                <w:w w:val="99"/>
              </w:rPr>
              <w:t>Update 2020-06, Debt-</w:t>
            </w:r>
          </w:p>
        </w:tc>
        <w:tc>
          <w:tcPr>
            <w:tcW w:w="4660" w:type="dxa"/>
            <w:vAlign w:val="bottom"/>
          </w:tcPr>
          <w:p>
            <w:pPr>
              <w:ind w:left="400"/>
              <w:spacing w:after="0" w:line="156" w:lineRule="exact"/>
              <w:rPr>
                <w:sz w:val="20"/>
                <w:szCs w:val="20"/>
                <w:color w:val="auto"/>
              </w:rPr>
            </w:pPr>
            <w:r>
              <w:rPr>
                <w:rFonts w:ascii="Arial" w:cs="Arial" w:eastAsia="Arial" w:hAnsi="Arial"/>
                <w:sz w:val="16"/>
                <w:szCs w:val="16"/>
                <w:color w:val="auto"/>
                <w:w w:val="92"/>
              </w:rPr>
              <w:t>The ASU simplifies the accounting for convertible instruments by</w:t>
            </w:r>
          </w:p>
        </w:tc>
        <w:tc>
          <w:tcPr>
            <w:tcW w:w="4400" w:type="dxa"/>
            <w:vAlign w:val="bottom"/>
          </w:tcPr>
          <w:p>
            <w:pPr>
              <w:ind w:left="380"/>
              <w:spacing w:after="0" w:line="156" w:lineRule="exact"/>
              <w:rPr>
                <w:sz w:val="20"/>
                <w:szCs w:val="20"/>
                <w:color w:val="auto"/>
              </w:rPr>
            </w:pPr>
            <w:r>
              <w:rPr>
                <w:rFonts w:ascii="Arial" w:cs="Arial" w:eastAsia="Arial" w:hAnsi="Arial"/>
                <w:sz w:val="16"/>
                <w:szCs w:val="16"/>
                <w:color w:val="auto"/>
                <w:w w:val="93"/>
              </w:rPr>
              <w:t>The Company does not expect the adoption of this guidance</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Debt with Conversion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6"/>
              </w:rPr>
              <w:t>reducing the number of accounting models available for convertible</w:t>
            </w:r>
          </w:p>
        </w:tc>
        <w:tc>
          <w:tcPr>
            <w:tcW w:w="4400" w:type="dxa"/>
            <w:vAlign w:val="bottom"/>
          </w:tcPr>
          <w:p>
            <w:pPr>
              <w:ind w:left="80"/>
              <w:spacing w:after="0" w:line="155" w:lineRule="exact"/>
              <w:rPr>
                <w:sz w:val="20"/>
                <w:szCs w:val="20"/>
                <w:color w:val="auto"/>
              </w:rPr>
            </w:pPr>
            <w:r>
              <w:rPr>
                <w:rFonts w:ascii="Arial" w:cs="Arial" w:eastAsia="Arial" w:hAnsi="Arial"/>
                <w:sz w:val="16"/>
                <w:szCs w:val="16"/>
                <w:color w:val="auto"/>
                <w:w w:val="95"/>
              </w:rPr>
              <w:t>have a material impact on its consolidated financial statements.</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2"/>
              </w:rPr>
              <w:t>Other Options (Subtopic 470-</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7"/>
              </w:rPr>
              <w:t>debt instruments. This guidance also eliminates the treasury stock</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20) and Derivatives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7"/>
              </w:rPr>
              <w:t>method  to  calculate  diluted  earnings  per  share  for  convertible</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3"/>
              </w:rPr>
              <w:t>Hedging-Contracts in Entity's</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8"/>
              </w:rPr>
              <w:t>instruments and requires the use of the if-converted method. This</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Own Equity (Subtopic 815-</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3"/>
              </w:rPr>
              <w:t>guidance will be effective for us in the first quarter of 2022 on a full or</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40): Accounting for</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5"/>
              </w:rPr>
              <w:t>modified  retrospective  basis,  with  early  adoption  permitted.  The</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5"/>
              </w:rPr>
              <w:t>Convertible Instruments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8"/>
              </w:rPr>
              <w:t>Company does not expect the adoption of this guidance to have a</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5"/>
              </w:rPr>
              <w:t>Contracts in an Entity's Own</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rPr>
              <w:t>material impact on its consolidated financial statements.</w:t>
            </w:r>
          </w:p>
        </w:tc>
        <w:tc>
          <w:tcPr>
            <w:tcW w:w="4400" w:type="dxa"/>
            <w:vAlign w:val="bottom"/>
          </w:tcPr>
          <w:p>
            <w:pPr>
              <w:spacing w:after="0"/>
              <w:rPr>
                <w:sz w:val="13"/>
                <w:szCs w:val="13"/>
                <w:color w:val="auto"/>
              </w:rPr>
            </w:pPr>
          </w:p>
        </w:tc>
      </w:tr>
      <w:tr>
        <w:trPr>
          <w:trHeight w:val="19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(ASU 2020-06)</w:t>
            </w:r>
          </w:p>
        </w:tc>
        <w:tc>
          <w:tcPr>
            <w:tcW w:w="46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r>
        <w:trPr>
          <w:trHeight w:val="156"/>
        </w:trPr>
        <w:tc>
          <w:tcPr>
            <w:tcW w:w="1960" w:type="dxa"/>
            <w:vAlign w:val="bottom"/>
          </w:tcPr>
          <w:p>
            <w:pPr>
              <w:ind w:left="320"/>
              <w:spacing w:after="0" w:line="156" w:lineRule="exact"/>
              <w:rPr>
                <w:sz w:val="20"/>
                <w:szCs w:val="20"/>
                <w:color w:val="auto"/>
              </w:rPr>
            </w:pPr>
            <w:r>
              <w:rPr>
                <w:rFonts w:ascii="Arial" w:cs="Arial" w:eastAsia="Arial" w:hAnsi="Arial"/>
                <w:sz w:val="16"/>
                <w:szCs w:val="16"/>
                <w:color w:val="auto"/>
              </w:rPr>
              <w:t>Date of adoption:</w:t>
            </w:r>
          </w:p>
        </w:tc>
        <w:tc>
          <w:tcPr>
            <w:tcW w:w="466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9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2022.</w:t>
            </w:r>
          </w:p>
        </w:tc>
        <w:tc>
          <w:tcPr>
            <w:tcW w:w="46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Revenue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44"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20"/>
          </w:tcPr>
          <w:p>
            <w:pPr>
              <w:jc w:val="right"/>
              <w:ind w:right="68"/>
              <w:spacing w:after="0"/>
              <w:rPr>
                <w:sz w:val="20"/>
                <w:szCs w:val="20"/>
                <w:color w:val="auto"/>
              </w:rPr>
            </w:pPr>
            <w:r>
              <w:rPr>
                <w:rFonts w:ascii="Arial" w:cs="Arial" w:eastAsia="Arial" w:hAnsi="Arial"/>
                <w:sz w:val="14"/>
                <w:szCs w:val="14"/>
                <w:b w:val="1"/>
                <w:bCs w:val="1"/>
                <w:color w:val="auto"/>
                <w:w w:val="97"/>
              </w:rPr>
              <w:t>Three Months Ended September 30, 2021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2"/>
          </w:tcPr>
          <w:p>
            <w:pPr>
              <w:jc w:val="right"/>
              <w:ind w:right="62"/>
              <w:spacing w:after="0"/>
              <w:rPr>
                <w:sz w:val="20"/>
                <w:szCs w:val="20"/>
                <w:color w:val="auto"/>
              </w:rPr>
            </w:pPr>
            <w:r>
              <w:rPr>
                <w:rFonts w:ascii="Arial" w:cs="Arial" w:eastAsia="Arial" w:hAnsi="Arial"/>
                <w:sz w:val="14"/>
                <w:szCs w:val="14"/>
                <w:b w:val="1"/>
                <w:bCs w:val="1"/>
                <w:color w:val="auto"/>
                <w:w w:val="89"/>
              </w:rPr>
              <w:t>Three Months Ended September 30, 2020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41"/>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185"/>
              <w:spacing w:after="0" w:line="141" w:lineRule="exact"/>
              <w:rPr>
                <w:sz w:val="20"/>
                <w:szCs w:val="20"/>
                <w:color w:val="auto"/>
              </w:rPr>
            </w:pPr>
            <w:r>
              <w:rPr>
                <w:rFonts w:ascii="Arial" w:cs="Arial" w:eastAsia="Arial" w:hAnsi="Arial"/>
                <w:sz w:val="14"/>
                <w:szCs w:val="14"/>
                <w:b w:val="1"/>
                <w:bCs w:val="1"/>
                <w:color w:val="auto"/>
                <w:w w:val="85"/>
              </w:rPr>
              <w:t>Cloud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Digital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6"/>
          </w:tcPr>
          <w:p>
            <w:pPr>
              <w:ind w:left="20"/>
              <w:spacing w:after="0" w:line="141" w:lineRule="exact"/>
              <w:rPr>
                <w:sz w:val="20"/>
                <w:szCs w:val="20"/>
                <w:color w:val="auto"/>
              </w:rPr>
            </w:pPr>
            <w:r>
              <w:rPr>
                <w:rFonts w:ascii="Arial" w:cs="Arial" w:eastAsia="Arial" w:hAnsi="Arial"/>
                <w:sz w:val="14"/>
                <w:szCs w:val="14"/>
                <w:b w:val="1"/>
                <w:bCs w:val="1"/>
                <w:color w:val="auto"/>
              </w:rPr>
              <w:t>Messaging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right"/>
              <w:ind w:right="162"/>
              <w:spacing w:after="0" w:line="141" w:lineRule="exact"/>
              <w:rPr>
                <w:sz w:val="20"/>
                <w:szCs w:val="20"/>
                <w:color w:val="auto"/>
              </w:rPr>
            </w:pPr>
            <w:r>
              <w:rPr>
                <w:rFonts w:ascii="Arial" w:cs="Arial" w:eastAsia="Arial" w:hAnsi="Arial"/>
                <w:sz w:val="14"/>
                <w:szCs w:val="14"/>
                <w:b w:val="1"/>
                <w:bCs w:val="1"/>
                <w:color w:val="auto"/>
              </w:rPr>
              <w:t>Cloud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00"/>
              <w:spacing w:after="0" w:line="141"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2"/>
                <w:szCs w:val="12"/>
                <w:color w:val="auto"/>
              </w:rPr>
            </w:pPr>
          </w:p>
        </w:tc>
        <w:tc>
          <w:tcPr>
            <w:tcW w:w="78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rPr>
              <w:t>Total</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6"/>
        </w:trPr>
        <w:tc>
          <w:tcPr>
            <w:tcW w:w="25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41,090</w:t>
            </w:r>
          </w:p>
        </w:tc>
        <w:tc>
          <w:tcPr>
            <w:tcW w:w="440" w:type="dxa"/>
            <w:vAlign w:val="bottom"/>
            <w:gridSpan w:val="4"/>
          </w:tcPr>
          <w:p>
            <w:pPr>
              <w:jc w:val="right"/>
              <w:ind w:right="102"/>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12,486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60"/>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56,002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37,806</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10,211</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4,249</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52,266</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6,929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8,297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9,071</w:t>
            </w:r>
          </w:p>
        </w:tc>
      </w:tr>
      <w:tr>
        <w:trPr>
          <w:trHeight w:val="204"/>
        </w:trPr>
        <w:tc>
          <w:tcPr>
            <w:tcW w:w="2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EMEA</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1,789</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color w:val="auto"/>
              </w:rPr>
              <w:t>2,909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5,454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1,678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1,633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3,988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7,299</w:t>
            </w:r>
          </w:p>
        </w:tc>
      </w:tr>
      <w:tr>
        <w:trPr>
          <w:trHeight w:val="223"/>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43,124</w:t>
            </w:r>
          </w:p>
        </w:tc>
        <w:tc>
          <w:tcPr>
            <w:tcW w:w="440" w:type="dxa"/>
            <w:vAlign w:val="bottom"/>
            <w:gridSpan w:val="4"/>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14,365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12,264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69,753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39,484</w:t>
            </w:r>
          </w:p>
        </w:tc>
        <w:tc>
          <w:tcPr>
            <w:tcW w:w="38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68,636</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3,542</w:t>
            </w:r>
          </w:p>
        </w:tc>
        <w:tc>
          <w:tcPr>
            <w:tcW w:w="440" w:type="dxa"/>
            <w:vAlign w:val="bottom"/>
            <w:gridSpan w:val="4"/>
          </w:tcPr>
          <w:p>
            <w:pPr>
              <w:jc w:val="right"/>
              <w:ind w:right="102"/>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60"/>
              <w:spacing w:after="0"/>
              <w:rPr>
                <w:sz w:val="20"/>
                <w:szCs w:val="20"/>
                <w:color w:val="auto"/>
              </w:rPr>
            </w:pPr>
            <w:r>
              <w:rPr>
                <w:rFonts w:ascii="Arial" w:cs="Arial" w:eastAsia="Arial" w:hAnsi="Arial"/>
                <w:sz w:val="16"/>
                <w:szCs w:val="16"/>
                <w:color w:val="auto"/>
              </w:rPr>
              <w:t>3,709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9,234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5,253</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11,406</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2,352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3,060</w:t>
            </w: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38,345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9,456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6"/>
                <w:szCs w:val="16"/>
                <w:color w:val="auto"/>
              </w:rPr>
              <w:t>7,830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55,631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32,886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8,001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11,236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52,123</w:t>
            </w:r>
          </w:p>
        </w:tc>
      </w:tr>
      <w:tr>
        <w:trPr>
          <w:trHeight w:val="207"/>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3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2,536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2,047</w:t>
            </w:r>
          </w:p>
        </w:tc>
      </w:tr>
      <w:tr>
        <w:trPr>
          <w:trHeight w:val="203"/>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43,124</w:t>
            </w:r>
          </w:p>
        </w:tc>
        <w:tc>
          <w:tcPr>
            <w:tcW w:w="6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14,365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color w:val="auto"/>
              </w:rPr>
              <w:t>12,264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69,753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39,484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12,635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16,517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68,636</w:t>
            </w: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749"/>
        </w:trPr>
        <w:tc>
          <w:tcPr>
            <w:tcW w:w="2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9"/>
          </w:tcPr>
          <w:p>
            <w:pPr>
              <w:jc w:val="right"/>
              <w:ind w:right="108"/>
              <w:spacing w:after="0"/>
              <w:rPr>
                <w:sz w:val="20"/>
                <w:szCs w:val="20"/>
                <w:color w:val="auto"/>
              </w:rPr>
            </w:pPr>
            <w:r>
              <w:rPr>
                <w:rFonts w:ascii="Arial" w:cs="Arial" w:eastAsia="Arial" w:hAnsi="Arial"/>
                <w:sz w:val="14"/>
                <w:szCs w:val="14"/>
                <w:b w:val="1"/>
                <w:bCs w:val="1"/>
                <w:color w:val="auto"/>
                <w:w w:val="88"/>
              </w:rPr>
              <w:t>Nine Months Ended September 30, 2021</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jc w:val="right"/>
              <w:ind w:right="102"/>
              <w:spacing w:after="0"/>
              <w:rPr>
                <w:sz w:val="20"/>
                <w:szCs w:val="20"/>
                <w:color w:val="auto"/>
              </w:rPr>
            </w:pPr>
            <w:r>
              <w:rPr>
                <w:rFonts w:ascii="Arial" w:cs="Arial" w:eastAsia="Arial" w:hAnsi="Arial"/>
                <w:sz w:val="14"/>
                <w:szCs w:val="14"/>
                <w:b w:val="1"/>
                <w:bCs w:val="1"/>
                <w:color w:val="auto"/>
                <w:w w:val="90"/>
              </w:rPr>
              <w:t>Nine Months Ended September 30, 2020</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141"/>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185"/>
              <w:spacing w:after="0" w:line="141" w:lineRule="exact"/>
              <w:rPr>
                <w:sz w:val="20"/>
                <w:szCs w:val="20"/>
                <w:color w:val="auto"/>
              </w:rPr>
            </w:pPr>
            <w:r>
              <w:rPr>
                <w:rFonts w:ascii="Arial" w:cs="Arial" w:eastAsia="Arial" w:hAnsi="Arial"/>
                <w:sz w:val="14"/>
                <w:szCs w:val="14"/>
                <w:b w:val="1"/>
                <w:bCs w:val="1"/>
                <w:color w:val="auto"/>
                <w:w w:val="85"/>
              </w:rPr>
              <w:t>Cloud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6"/>
          </w:tcPr>
          <w:p>
            <w:pPr>
              <w:spacing w:after="0" w:line="141" w:lineRule="exact"/>
              <w:rPr>
                <w:sz w:val="20"/>
                <w:szCs w:val="20"/>
                <w:color w:val="auto"/>
              </w:rPr>
            </w:pPr>
            <w:r>
              <w:rPr>
                <w:rFonts w:ascii="Arial" w:cs="Arial" w:eastAsia="Arial" w:hAnsi="Arial"/>
                <w:sz w:val="14"/>
                <w:szCs w:val="14"/>
                <w:b w:val="1"/>
                <w:bCs w:val="1"/>
                <w:color w:val="auto"/>
              </w:rPr>
              <w:t>Digital</w:t>
            </w:r>
          </w:p>
        </w:tc>
        <w:tc>
          <w:tcPr>
            <w:tcW w:w="120" w:type="dxa"/>
            <w:vAlign w:val="bottom"/>
          </w:tcPr>
          <w:p>
            <w:pPr>
              <w:spacing w:after="0"/>
              <w:rPr>
                <w:sz w:val="12"/>
                <w:szCs w:val="12"/>
                <w:color w:val="auto"/>
              </w:rPr>
            </w:pPr>
          </w:p>
        </w:tc>
        <w:tc>
          <w:tcPr>
            <w:tcW w:w="980" w:type="dxa"/>
            <w:vAlign w:val="bottom"/>
            <w:gridSpan w:val="7"/>
          </w:tcPr>
          <w:p>
            <w:pPr>
              <w:ind w:left="40"/>
              <w:spacing w:after="0" w:line="141" w:lineRule="exact"/>
              <w:rPr>
                <w:sz w:val="20"/>
                <w:szCs w:val="20"/>
                <w:color w:val="auto"/>
              </w:rPr>
            </w:pPr>
            <w:r>
              <w:rPr>
                <w:rFonts w:ascii="Arial" w:cs="Arial" w:eastAsia="Arial" w:hAnsi="Arial"/>
                <w:sz w:val="14"/>
                <w:szCs w:val="14"/>
                <w:b w:val="1"/>
                <w:bCs w:val="1"/>
                <w:color w:val="auto"/>
              </w:rPr>
              <w:t>Messaging</w:t>
            </w:r>
          </w:p>
        </w:tc>
        <w:tc>
          <w:tcPr>
            <w:tcW w:w="200" w:type="dxa"/>
            <w:vAlign w:val="bottom"/>
          </w:tcPr>
          <w:p>
            <w:pPr>
              <w:spacing w:after="0"/>
              <w:rPr>
                <w:sz w:val="12"/>
                <w:szCs w:val="12"/>
                <w:color w:val="auto"/>
              </w:rPr>
            </w:pPr>
          </w:p>
        </w:tc>
        <w:tc>
          <w:tcPr>
            <w:tcW w:w="780" w:type="dxa"/>
            <w:vAlign w:val="bottom"/>
            <w:gridSpan w:val="5"/>
          </w:tcPr>
          <w:p>
            <w:pPr>
              <w:jc w:val="right"/>
              <w:ind w:right="360"/>
              <w:spacing w:after="0" w:line="141"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right"/>
              <w:ind w:right="162"/>
              <w:spacing w:after="0" w:line="141" w:lineRule="exact"/>
              <w:rPr>
                <w:sz w:val="20"/>
                <w:szCs w:val="20"/>
                <w:color w:val="auto"/>
              </w:rPr>
            </w:pPr>
            <w:r>
              <w:rPr>
                <w:rFonts w:ascii="Arial" w:cs="Arial" w:eastAsia="Arial" w:hAnsi="Arial"/>
                <w:sz w:val="14"/>
                <w:szCs w:val="14"/>
                <w:b w:val="1"/>
                <w:bCs w:val="1"/>
                <w:color w:val="auto"/>
              </w:rPr>
              <w:t>Cloud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00"/>
              <w:spacing w:after="0" w:line="141"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2"/>
                <w:szCs w:val="12"/>
                <w:color w:val="auto"/>
              </w:rPr>
            </w:pPr>
          </w:p>
        </w:tc>
        <w:tc>
          <w:tcPr>
            <w:tcW w:w="78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rPr>
              <w:t>Total</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6"/>
        </w:trPr>
        <w:tc>
          <w:tcPr>
            <w:tcW w:w="25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45"/>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115,192</w:t>
            </w:r>
          </w:p>
        </w:tc>
        <w:tc>
          <w:tcPr>
            <w:tcW w:w="440" w:type="dxa"/>
            <w:vAlign w:val="bottom"/>
            <w:gridSpan w:val="4"/>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34,329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17,207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166,728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117,889</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33,785</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175,326</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19,878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23,289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26,531</w:t>
            </w:r>
          </w:p>
        </w:tc>
      </w:tr>
      <w:tr>
        <w:trPr>
          <w:trHeight w:val="204"/>
        </w:trPr>
        <w:tc>
          <w:tcPr>
            <w:tcW w:w="2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5,474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9,315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16,767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5,086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11,113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20,436</w:t>
            </w:r>
          </w:p>
        </w:tc>
      </w:tr>
      <w:tr>
        <w:trPr>
          <w:trHeight w:val="223"/>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120,911</w:t>
            </w:r>
          </w:p>
        </w:tc>
        <w:tc>
          <w:tcPr>
            <w:tcW w:w="440" w:type="dxa"/>
            <w:vAlign w:val="bottom"/>
            <w:gridSpan w:val="4"/>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39,473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46,400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206,784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122,975</w:t>
            </w:r>
          </w:p>
        </w:tc>
        <w:tc>
          <w:tcPr>
            <w:tcW w:w="38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40,390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222,293</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45"/>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11,351</w:t>
            </w:r>
          </w:p>
        </w:tc>
        <w:tc>
          <w:tcPr>
            <w:tcW w:w="440" w:type="dxa"/>
            <w:vAlign w:val="bottom"/>
            <w:gridSpan w:val="4"/>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6,212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8,907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26,470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14,398</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10,163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14,464</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39,025</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4,326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8,864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9,130</w:t>
            </w: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105,027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26,435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36,365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167,827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104,451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24,254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32,965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161,670</w:t>
            </w:r>
          </w:p>
        </w:tc>
      </w:tr>
      <w:tr>
        <w:trPr>
          <w:trHeight w:val="207"/>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11,499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12,468</w:t>
            </w:r>
          </w:p>
        </w:tc>
      </w:tr>
      <w:tr>
        <w:trPr>
          <w:trHeight w:val="203"/>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jc w:val="right"/>
              <w:ind w:right="145"/>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120,911</w:t>
            </w:r>
          </w:p>
        </w:tc>
        <w:tc>
          <w:tcPr>
            <w:tcW w:w="440" w:type="dxa"/>
            <w:vAlign w:val="bottom"/>
            <w:gridSpan w:val="4"/>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39,473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46,400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206,784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122,975</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40,390</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58,928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222,293</w:t>
            </w:r>
          </w:p>
        </w:tc>
      </w:tr>
      <w:tr>
        <w:trPr>
          <w:trHeight w:val="20"/>
        </w:trPr>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44"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for the estimated amount of receivables that may not be collected. The allowance is based upon an assessment of customer creditworthiness, historical payment experience, the age of outstanding receivables and other economic indicators.</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September 30, 2021 is $7.5 million.</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contract assets and liabilities are reported in a net position on a customer basis at the end of each reporting period.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1"/>
              </w:rPr>
              <w:t>Contract Liabilities</w:t>
            </w:r>
            <w:r>
              <w:rPr>
                <w:rFonts w:ascii="Arial" w:cs="Arial" w:eastAsia="Arial" w:hAnsi="Arial"/>
                <w:sz w:val="22"/>
                <w:szCs w:val="22"/>
                <w:b w:val="1"/>
                <w:bCs w:val="1"/>
                <w:color w:val="auto"/>
                <w:w w:val="91"/>
                <w:vertAlign w:val="superscript"/>
              </w:rPr>
              <w:t>1</w:t>
            </w:r>
          </w:p>
        </w:tc>
      </w:tr>
      <w:tr>
        <w:trPr>
          <w:trHeight w:val="213"/>
        </w:trPr>
        <w:tc>
          <w:tcPr>
            <w:tcW w:w="9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Balance - January 1, 2021</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45,614</w:t>
            </w:r>
          </w:p>
        </w:tc>
      </w:tr>
      <w:tr>
        <w:trPr>
          <w:trHeight w:val="220"/>
        </w:trPr>
        <w:tc>
          <w:tcPr>
            <w:tcW w:w="9180" w:type="dxa"/>
            <w:vAlign w:val="bottom"/>
          </w:tcPr>
          <w:p>
            <w:pPr>
              <w:ind w:left="440"/>
              <w:spacing w:after="0"/>
              <w:rPr>
                <w:sz w:val="20"/>
                <w:szCs w:val="20"/>
                <w:color w:val="auto"/>
              </w:rPr>
            </w:pPr>
            <w:r>
              <w:rPr>
                <w:rFonts w:ascii="Arial" w:cs="Arial" w:eastAsia="Arial" w:hAnsi="Arial"/>
                <w:sz w:val="17"/>
                <w:szCs w:val="17"/>
                <w:color w:val="auto"/>
              </w:rPr>
              <w:t>Revenue recognized in the period</w:t>
            </w:r>
          </w:p>
        </w:tc>
        <w:tc>
          <w:tcPr>
            <w:tcW w:w="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(207,027)</w:t>
            </w:r>
          </w:p>
        </w:tc>
      </w:tr>
      <w:tr>
        <w:trPr>
          <w:trHeight w:val="220"/>
        </w:trPr>
        <w:tc>
          <w:tcPr>
            <w:tcW w:w="9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Amounts billed but not recognized as revenue</w:t>
            </w:r>
          </w:p>
        </w:tc>
        <w:tc>
          <w:tcPr>
            <w:tcW w:w="4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193,764</w:t>
            </w:r>
          </w:p>
        </w:tc>
      </w:tr>
      <w:tr>
        <w:trPr>
          <w:trHeight w:val="213"/>
        </w:trPr>
        <w:tc>
          <w:tcPr>
            <w:tcW w:w="9180" w:type="dxa"/>
            <w:vAlign w:val="bottom"/>
          </w:tcPr>
          <w:p>
            <w:pPr>
              <w:ind w:left="340"/>
              <w:spacing w:after="0"/>
              <w:rPr>
                <w:sz w:val="20"/>
                <w:szCs w:val="20"/>
                <w:color w:val="auto"/>
              </w:rPr>
            </w:pPr>
            <w:r>
              <w:rPr>
                <w:rFonts w:ascii="Arial" w:cs="Arial" w:eastAsia="Arial" w:hAnsi="Arial"/>
                <w:sz w:val="17"/>
                <w:szCs w:val="17"/>
                <w:color w:val="auto"/>
              </w:rPr>
              <w:t>Balance - September 30, 2021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32,351</w:t>
            </w:r>
          </w:p>
        </w:tc>
      </w:tr>
      <w:tr>
        <w:trPr>
          <w:trHeight w:val="20"/>
        </w:trPr>
        <w:tc>
          <w:tcPr>
            <w:tcW w:w="9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9" w:lineRule="auto"/>
        <w:tabs>
          <w:tab w:leader="none" w:pos="20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Comprised of Deferred Revenue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44" w:lineRule="exact"/>
        <w:rPr>
          <w:sz w:val="20"/>
          <w:szCs w:val="20"/>
          <w:color w:val="auto"/>
        </w:rPr>
      </w:pPr>
    </w:p>
    <w:p>
      <w:pPr>
        <w:ind w:firstLine="311"/>
        <w:spacing w:after="0" w:line="316"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September 30, 2021. The Company has elected not to disclose transaction price allocated to remaining performance obligations for:</w:t>
      </w:r>
    </w:p>
    <w:p>
      <w:pPr>
        <w:spacing w:after="0" w:line="162" w:lineRule="exact"/>
        <w:rPr>
          <w:sz w:val="20"/>
          <w:szCs w:val="20"/>
          <w:color w:val="auto"/>
        </w:rPr>
      </w:pPr>
    </w:p>
    <w:p>
      <w:pPr>
        <w:ind w:left="620" w:hanging="306"/>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5" w:lineRule="exact"/>
        <w:rPr>
          <w:rFonts w:ascii="Arial" w:cs="Arial" w:eastAsia="Arial" w:hAnsi="Arial"/>
          <w:sz w:val="16"/>
          <w:szCs w:val="16"/>
          <w:color w:val="auto"/>
        </w:rPr>
      </w:pPr>
    </w:p>
    <w:p>
      <w:pPr>
        <w:ind w:left="620" w:hanging="306"/>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11" w:lineRule="exact"/>
        <w:rPr>
          <w:rFonts w:ascii="Arial" w:cs="Arial" w:eastAsia="Arial" w:hAnsi="Arial"/>
          <w:sz w:val="17"/>
          <w:szCs w:val="17"/>
          <w:color w:val="auto"/>
        </w:rPr>
      </w:pPr>
    </w:p>
    <w:p>
      <w:pPr>
        <w:jc w:val="both"/>
        <w:ind w:left="620" w:hanging="306"/>
        <w:spacing w:after="0" w:line="25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1240" w:hanging="305"/>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32" w:lineRule="exact"/>
        <w:rPr>
          <w:sz w:val="20"/>
          <w:szCs w:val="20"/>
          <w:color w:val="auto"/>
        </w:rPr>
      </w:pPr>
    </w:p>
    <w:p>
      <w:pPr>
        <w:ind w:firstLine="311"/>
        <w:spacing w:after="0" w:line="353" w:lineRule="auto"/>
        <w:rPr>
          <w:sz w:val="20"/>
          <w:szCs w:val="20"/>
          <w:color w:val="auto"/>
        </w:rPr>
      </w:pPr>
      <w:r>
        <w:rPr>
          <w:rFonts w:ascii="Arial" w:cs="Arial" w:eastAsia="Arial" w:hAnsi="Arial"/>
          <w:sz w:val="15"/>
          <w:szCs w:val="15"/>
          <w:color w:val="auto"/>
        </w:rPr>
        <w:t>As of September 30, 2021, the aggregate amount of transaction price allocated to remaining performance obligations, other than those meeting the exclusion criteria above, was $240.4 million, of which approximately 85.5 percent is expected to be recognized as revenues within 2 years,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9"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24" w:lineRule="exact"/>
        <w:rPr>
          <w:rFonts w:ascii="Arial" w:cs="Arial" w:eastAsia="Arial" w:hAnsi="Arial"/>
          <w:sz w:val="17"/>
          <w:szCs w:val="17"/>
          <w:color w:val="auto"/>
        </w:rPr>
      </w:pPr>
    </w:p>
    <w:p>
      <w:pPr>
        <w:jc w:val="both"/>
        <w:ind w:left="320" w:hanging="317"/>
        <w:spacing w:after="0" w:line="254" w:lineRule="auto"/>
        <w:tabs>
          <w:tab w:leader="none" w:pos="3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320" w:hanging="317"/>
        <w:spacing w:after="0" w:line="268" w:lineRule="auto"/>
        <w:tabs>
          <w:tab w:leader="none" w:pos="3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19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September 30, 2021</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ind w:left="16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89"/>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Pr>
          <w:p>
            <w:pPr>
              <w:ind w:left="200"/>
              <w:spacing w:after="0" w:line="22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300" w:type="dxa"/>
            <w:vAlign w:val="bottom"/>
            <w:gridSpan w:val="2"/>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24,141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24,141</w:t>
            </w:r>
          </w:p>
        </w:tc>
        <w:tc>
          <w:tcPr>
            <w:tcW w:w="20" w:type="dxa"/>
            <w:vAlign w:val="bottom"/>
          </w:tcPr>
          <w:p>
            <w:pPr>
              <w:spacing w:after="0"/>
              <w:rPr>
                <w:sz w:val="19"/>
                <w:szCs w:val="19"/>
                <w:color w:val="auto"/>
              </w:rPr>
            </w:pPr>
          </w:p>
        </w:tc>
        <w:tc>
          <w:tcPr>
            <w:tcW w:w="1060" w:type="dxa"/>
            <w:vAlign w:val="bottom"/>
            <w:gridSpan w:val="2"/>
          </w:tcPr>
          <w:p>
            <w:pPr>
              <w:jc w:val="right"/>
              <w:ind w:right="780"/>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114"/>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24,141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24,141</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0"/>
              <w:spacing w:after="0" w:line="194"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80"/>
              <w:spacing w:after="0" w:line="194" w:lineRule="exact"/>
              <w:rPr>
                <w:sz w:val="20"/>
                <w:szCs w:val="20"/>
                <w:color w:val="auto"/>
              </w:rPr>
            </w:pPr>
            <w:r>
              <w:rPr>
                <w:rFonts w:ascii="Arial" w:cs="Arial" w:eastAsia="Arial" w:hAnsi="Arial"/>
                <w:sz w:val="17"/>
                <w:szCs w:val="17"/>
                <w:color w:val="auto"/>
              </w:rPr>
              <w:t>—</w:t>
            </w:r>
          </w:p>
        </w:tc>
        <w:tc>
          <w:tcPr>
            <w:tcW w:w="300" w:type="dxa"/>
            <w:vAlign w:val="bottom"/>
            <w:gridSpan w:val="3"/>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Temporary equity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2</w:t>
            </w: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w:t>
            </w: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Arial" w:cs="Arial" w:eastAsia="Arial" w:hAnsi="Arial"/>
                <w:sz w:val="16"/>
                <w:szCs w:val="16"/>
                <w:b w:val="1"/>
                <w:bCs w:val="1"/>
                <w:color w:val="auto"/>
                <w:w w:val="98"/>
              </w:rPr>
              <w:t>(Level 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74"/>
              <w:spacing w:after="0" w:line="187"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33,671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33,671</w:t>
            </w:r>
          </w:p>
        </w:tc>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7"/>
                <w:szCs w:val="17"/>
                <w:color w:val="auto"/>
              </w:rPr>
              <w:t>—</w:t>
            </w:r>
          </w:p>
        </w:tc>
        <w:tc>
          <w:tcPr>
            <w:tcW w:w="300" w:type="dxa"/>
            <w:vAlign w:val="bottom"/>
            <w:gridSpan w:val="3"/>
            <w:shd w:val="clear" w:color="auto" w:fill="CCEEFF"/>
          </w:tcPr>
          <w:p>
            <w:pPr>
              <w:jc w:val="right"/>
              <w:ind w:right="54"/>
              <w:spacing w:after="0" w:line="187"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30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195" w:lineRule="auto"/>
        <w:tabs>
          <w:tab w:leader="none" w:pos="1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Cash equivalents includes money market funds.</w:t>
      </w:r>
    </w:p>
    <w:p>
      <w:pPr>
        <w:ind w:left="100" w:hanging="97"/>
        <w:spacing w:after="0" w:line="195" w:lineRule="auto"/>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Put arrangements held by the noncontrolling interests in certain of the Company’s joint ventures.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4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interests could significantly increase or decrease the fair value estimates recorded in the Condensed Consolidated Balance Sheets.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changes in fair value of the Company’s Level 3 redeemable noncontrolling interests during the nine months ended September 30, 2021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r>
      <w:tr>
        <w:trPr>
          <w:trHeight w:val="220"/>
        </w:trPr>
        <w:tc>
          <w:tcPr>
            <w:tcW w:w="9720" w:type="dxa"/>
            <w:vAlign w:val="bottom"/>
          </w:tcPr>
          <w:p>
            <w:pPr>
              <w:ind w:left="220"/>
              <w:spacing w:after="0"/>
              <w:rPr>
                <w:sz w:val="20"/>
                <w:szCs w:val="20"/>
                <w:color w:val="auto"/>
              </w:rPr>
            </w:pPr>
            <w:r>
              <w:rPr>
                <w:rFonts w:ascii="Arial" w:cs="Arial" w:eastAsia="Arial" w:hAnsi="Arial"/>
                <w:sz w:val="17"/>
                <w:szCs w:val="17"/>
                <w:color w:val="auto"/>
              </w:rPr>
              <w:t>Fair value adjustment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9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 loss attributable to redeemable noncontrolling interests</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3"/>
        </w:trPr>
        <w:tc>
          <w:tcPr>
            <w:tcW w:w="9720" w:type="dxa"/>
            <w:vAlign w:val="bottom"/>
          </w:tcPr>
          <w:p>
            <w:pPr>
              <w:ind w:left="20"/>
              <w:spacing w:after="0"/>
              <w:rPr>
                <w:sz w:val="20"/>
                <w:szCs w:val="20"/>
                <w:color w:val="auto"/>
              </w:rPr>
            </w:pPr>
            <w:r>
              <w:rPr>
                <w:rFonts w:ascii="Arial" w:cs="Arial" w:eastAsia="Arial" w:hAnsi="Arial"/>
                <w:sz w:val="17"/>
                <w:szCs w:val="17"/>
                <w:color w:val="auto"/>
              </w:rPr>
              <w:t>Balance at September 30, 2021</w:t>
            </w: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r>
      <w:tr>
        <w:trPr>
          <w:trHeight w:val="20"/>
        </w:trPr>
        <w:tc>
          <w:tcPr>
            <w:tcW w:w="9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250"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7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is party to certain sublease arrangements, primarily related to the Company’s real estate leases, where it acts as the lessee and intermediate lessor.</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reflects finance leases as a component of Leases, non-current on the Condensed Consolidated Balance Sheet. The finance leases were not material for the period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80" w:type="dxa"/>
            <w:vAlign w:val="bottom"/>
          </w:tcPr>
          <w:p>
            <w:pPr>
              <w:ind w:left="320"/>
              <w:spacing w:after="0"/>
              <w:rPr>
                <w:sz w:val="20"/>
                <w:szCs w:val="20"/>
                <w:color w:val="auto"/>
              </w:rPr>
            </w:pPr>
            <w:r>
              <w:rPr>
                <w:rFonts w:ascii="Arial" w:cs="Arial" w:eastAsia="Arial" w:hAnsi="Arial"/>
                <w:sz w:val="17"/>
                <w:szCs w:val="17"/>
                <w:color w:val="auto"/>
                <w:w w:val="93"/>
              </w:rPr>
              <w:t>The following table presents information about the Company's Right of Use (ROU) assets and lease liabilities at September 30, 2021:</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8"/>
        </w:trPr>
        <w:tc>
          <w:tcPr>
            <w:tcW w:w="9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ROU assets: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9680" w:type="dxa"/>
            <w:vAlign w:val="bottom"/>
          </w:tcPr>
          <w:p>
            <w:pPr>
              <w:ind w:left="140"/>
              <w:spacing w:after="0"/>
              <w:rPr>
                <w:sz w:val="20"/>
                <w:szCs w:val="20"/>
                <w:color w:val="auto"/>
              </w:rPr>
            </w:pPr>
            <w:r>
              <w:rPr>
                <w:rFonts w:ascii="Arial" w:cs="Arial" w:eastAsia="Arial" w:hAnsi="Arial"/>
                <w:sz w:val="17"/>
                <w:szCs w:val="17"/>
                <w:color w:val="auto"/>
              </w:rPr>
              <w:t>Non-current operating lease ROU assets</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27,629</w:t>
            </w:r>
          </w:p>
        </w:tc>
      </w:tr>
      <w:tr>
        <w:trPr>
          <w:trHeight w:val="259"/>
        </w:trPr>
        <w:tc>
          <w:tcPr>
            <w:tcW w:w="96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b w:val="1"/>
                <w:bCs w:val="1"/>
                <w:color w:val="auto"/>
              </w:rPr>
              <w:t>Operating lease liabilities: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968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Current operating lease liabilities</w:t>
            </w:r>
            <w:r>
              <w:rPr>
                <w:rFonts w:ascii="Arial" w:cs="Arial" w:eastAsia="Arial" w:hAnsi="Arial"/>
                <w:sz w:val="22"/>
                <w:szCs w:val="22"/>
                <w:color w:val="auto"/>
                <w:vertAlign w:val="superscript"/>
              </w:rPr>
              <w:t>1</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8,037</w:t>
            </w:r>
          </w:p>
        </w:tc>
      </w:tr>
      <w:tr>
        <w:trPr>
          <w:trHeight w:val="220"/>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Non-current operating lease liabilities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37,572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lease liabilities</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45,609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9" w:lineRule="auto"/>
        <w:tabs>
          <w:tab w:leader="none" w:pos="2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Accrued Expenses on the Condensed Consolidated Balance Sheet.</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lease expense and sublease income for the three and nine months ended September 30,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ind w:right="396"/>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22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September 30, 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September 30, 2021</w:t>
            </w:r>
          </w:p>
        </w:tc>
      </w:tr>
      <w:tr>
        <w:trPr>
          <w:trHeight w:val="216"/>
        </w:trPr>
        <w:tc>
          <w:tcPr>
            <w:tcW w:w="62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2080" w:type="dxa"/>
            <w:vAlign w:val="bottom"/>
            <w:shd w:val="clear" w:color="auto" w:fill="CCEEFF"/>
          </w:tcPr>
          <w:p>
            <w:pPr>
              <w:jc w:val="right"/>
              <w:ind w:right="189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w:t>
            </w:r>
          </w:p>
        </w:tc>
      </w:tr>
      <w:tr>
        <w:trPr>
          <w:trHeight w:val="220"/>
        </w:trPr>
        <w:tc>
          <w:tcPr>
            <w:tcW w:w="6220" w:type="dxa"/>
            <w:vAlign w:val="bottom"/>
          </w:tcPr>
          <w:p>
            <w:pPr>
              <w:ind w:left="20"/>
              <w:spacing w:after="0"/>
              <w:rPr>
                <w:sz w:val="20"/>
                <w:szCs w:val="20"/>
                <w:color w:val="auto"/>
              </w:rPr>
            </w:pPr>
            <w:r>
              <w:rPr>
                <w:rFonts w:ascii="Arial" w:cs="Arial" w:eastAsia="Arial" w:hAnsi="Arial"/>
                <w:sz w:val="17"/>
                <w:szCs w:val="17"/>
                <w:color w:val="auto"/>
              </w:rPr>
              <w:t>Other lease costs and income:</w:t>
            </w:r>
          </w:p>
        </w:tc>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0"/>
        </w:trPr>
        <w:tc>
          <w:tcPr>
            <w:tcW w:w="62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1</w:t>
            </w:r>
          </w:p>
        </w:tc>
        <w:tc>
          <w:tcPr>
            <w:tcW w:w="2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r>
      <w:tr>
        <w:trPr>
          <w:trHeight w:val="220"/>
        </w:trPr>
        <w:tc>
          <w:tcPr>
            <w:tcW w:w="6220" w:type="dxa"/>
            <w:vAlign w:val="bottom"/>
          </w:tcPr>
          <w:p>
            <w:pPr>
              <w:ind w:left="220"/>
              <w:spacing w:after="0" w:line="220" w:lineRule="exact"/>
              <w:rPr>
                <w:sz w:val="20"/>
                <w:szCs w:val="20"/>
                <w:color w:val="auto"/>
              </w:rPr>
            </w:pPr>
            <w:r>
              <w:rPr>
                <w:rFonts w:ascii="Arial" w:cs="Arial" w:eastAsia="Arial" w:hAnsi="Arial"/>
                <w:sz w:val="17"/>
                <w:szCs w:val="17"/>
                <w:color w:val="auto"/>
              </w:rPr>
              <w:t>Operating lease impairments</w:t>
            </w:r>
            <w:r>
              <w:rPr>
                <w:rFonts w:ascii="Arial" w:cs="Arial" w:eastAsia="Arial" w:hAnsi="Arial"/>
                <w:sz w:val="22"/>
                <w:szCs w:val="22"/>
                <w:color w:val="auto"/>
                <w:vertAlign w:val="superscript"/>
              </w:rPr>
              <w:t>1, 2</w:t>
            </w:r>
          </w:p>
        </w:tc>
        <w:tc>
          <w:tcPr>
            <w:tcW w:w="2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1,794</w:t>
            </w:r>
          </w:p>
        </w:tc>
      </w:tr>
      <w:tr>
        <w:trPr>
          <w:trHeight w:val="220"/>
        </w:trPr>
        <w:tc>
          <w:tcPr>
            <w:tcW w:w="62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Sublease income</w:t>
            </w:r>
            <w:r>
              <w:rPr>
                <w:rFonts w:ascii="Arial" w:cs="Arial" w:eastAsia="Arial" w:hAnsi="Arial"/>
                <w:sz w:val="22"/>
                <w:szCs w:val="22"/>
                <w:color w:val="auto"/>
                <w:vertAlign w:val="superscript"/>
              </w:rPr>
              <w:t>1</w:t>
            </w:r>
          </w:p>
        </w:tc>
        <w:tc>
          <w:tcPr>
            <w:tcW w:w="2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(2,471)</w:t>
            </w:r>
          </w:p>
        </w:tc>
      </w:tr>
      <w:tr>
        <w:trPr>
          <w:trHeight w:val="213"/>
        </w:trPr>
        <w:tc>
          <w:tcPr>
            <w:tcW w:w="6220" w:type="dxa"/>
            <w:vAlign w:val="bottom"/>
          </w:tcPr>
          <w:p>
            <w:pPr>
              <w:ind w:left="20"/>
              <w:spacing w:after="0"/>
              <w:rPr>
                <w:sz w:val="20"/>
                <w:szCs w:val="20"/>
                <w:color w:val="auto"/>
              </w:rPr>
            </w:pPr>
            <w:r>
              <w:rPr>
                <w:rFonts w:ascii="Arial" w:cs="Arial" w:eastAsia="Arial" w:hAnsi="Arial"/>
                <w:sz w:val="17"/>
                <w:szCs w:val="17"/>
                <w:color w:val="auto"/>
              </w:rPr>
              <w:t>Total net lease cost</w:t>
            </w:r>
          </w:p>
        </w:tc>
        <w:tc>
          <w:tcPr>
            <w:tcW w:w="2080" w:type="dxa"/>
            <w:vAlign w:val="bottom"/>
            <w:tcBorders>
              <w:bottom w:val="single" w:sz="8" w:color="auto"/>
            </w:tcBorders>
          </w:tcPr>
          <w:p>
            <w:pPr>
              <w:jc w:val="right"/>
              <w:ind w:right="189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7,092</w:t>
            </w:r>
          </w:p>
        </w:tc>
      </w:tr>
      <w:tr>
        <w:trPr>
          <w:trHeight w:val="20"/>
        </w:trPr>
        <w:tc>
          <w:tcPr>
            <w:tcW w:w="62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 w:lineRule="exact"/>
        <w:rPr>
          <w:sz w:val="20"/>
          <w:szCs w:val="20"/>
          <w:color w:val="auto"/>
        </w:rPr>
      </w:pPr>
    </w:p>
    <w:p>
      <w:pPr>
        <w:ind w:left="220" w:hanging="217"/>
        <w:spacing w:after="0"/>
        <w:tabs>
          <w:tab w:leader="none" w:pos="2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Amounts are included in Cost of revenues, Selling, general and administrative and/or Research and development based on the function that the underlying leased asset supports</w:t>
      </w:r>
    </w:p>
    <w:p>
      <w:pPr>
        <w:ind w:left="320"/>
        <w:spacing w:after="0" w:line="231" w:lineRule="auto"/>
        <w:rPr>
          <w:sz w:val="20"/>
          <w:szCs w:val="20"/>
          <w:color w:val="auto"/>
        </w:rPr>
      </w:pPr>
      <w:r>
        <w:rPr>
          <w:rFonts w:ascii="Arial" w:cs="Arial" w:eastAsia="Arial" w:hAnsi="Arial"/>
          <w:sz w:val="16"/>
          <w:szCs w:val="16"/>
          <w:color w:val="auto"/>
        </w:rPr>
        <w:t>which are reflected in the Condensed Consolidated Statements of Operations.</w:t>
      </w:r>
    </w:p>
    <w:p>
      <w:pPr>
        <w:spacing w:after="0" w:line="1" w:lineRule="exact"/>
        <w:rPr>
          <w:sz w:val="20"/>
          <w:szCs w:val="20"/>
          <w:color w:val="auto"/>
        </w:rPr>
      </w:pPr>
    </w:p>
    <w:p>
      <w:pPr>
        <w:ind w:left="320" w:hanging="317"/>
        <w:spacing w:after="0" w:line="241" w:lineRule="auto"/>
        <w:tabs>
          <w:tab w:leader="none" w:pos="174"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As part of the Company’s continued cost savings initiatives, the Company closed certain office spaces and terminated various lease agreements. These actions resulted in a ROU asset impairment charge for the period, which was determined by the present value of the forecasted future cash flows for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 following table provides the undiscounted amount of future cash flows included in our lease liabilities at September 30, 2021 for each of the five years subsequent to December 31, 2020 and thereafter, as well as a reconciliation of such undiscounted cash flows to our lease liabilities at September 30, 2021:</w:t>
      </w:r>
    </w:p>
    <w:tbl>
      <w:tblPr>
        <w:tblLayout w:type="fixed"/>
        <w:tblInd w:w="0" w:type="dxa"/>
        <w:tblCellMar>
          <w:top w:w="0" w:type="dxa"/>
          <w:left w:w="0" w:type="dxa"/>
          <w:bottom w:w="0" w:type="dxa"/>
          <w:right w:w="0" w:type="dxa"/>
        </w:tblCellMar>
      </w:tblPr>
      <w:tr>
        <w:trPr>
          <w:trHeight w:val="205"/>
        </w:trPr>
        <w:tc>
          <w:tcPr>
            <w:tcW w:w="9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95"/>
              <w:spacing w:after="0"/>
              <w:rPr>
                <w:sz w:val="20"/>
                <w:szCs w:val="20"/>
                <w:color w:val="auto"/>
              </w:rPr>
            </w:pPr>
            <w:r>
              <w:rPr>
                <w:rFonts w:ascii="Arial" w:cs="Arial" w:eastAsia="Arial" w:hAnsi="Arial"/>
                <w:sz w:val="16"/>
                <w:szCs w:val="16"/>
                <w:b w:val="1"/>
                <w:bCs w:val="1"/>
                <w:color w:val="auto"/>
                <w:w w:val="87"/>
              </w:rPr>
              <w:t>Operating Leases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10,870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8,552</w:t>
            </w: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8,308</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w:t>
            </w:r>
          </w:p>
        </w:tc>
      </w:tr>
      <w:tr>
        <w:trPr>
          <w:trHeight w:val="22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18,562</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future lease payments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57,460</w:t>
            </w:r>
          </w:p>
        </w:tc>
      </w:tr>
      <w:tr>
        <w:trPr>
          <w:trHeight w:val="22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amount representing interest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(11,851)</w:t>
            </w: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Present value of future lease payments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45,609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the weighted-average remaining lease term and weighted-average discount rates for our leases as of September 30, 2021: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2100" w:type="dxa"/>
            <w:vAlign w:val="bottom"/>
            <w:shd w:val="clear" w:color="auto" w:fill="CCEEFF"/>
          </w:tcPr>
          <w:p>
            <w:pPr>
              <w:spacing w:after="0"/>
              <w:rPr>
                <w:sz w:val="19"/>
                <w:szCs w:val="19"/>
                <w:color w:val="auto"/>
              </w:rPr>
            </w:pPr>
          </w:p>
        </w:tc>
      </w:tr>
      <w:tr>
        <w:trPr>
          <w:trHeight w:val="220"/>
        </w:trPr>
        <w:tc>
          <w:tcPr>
            <w:tcW w:w="9140" w:type="dxa"/>
            <w:vAlign w:val="bottom"/>
          </w:tcPr>
          <w:p>
            <w:pPr>
              <w:ind w:left="140"/>
              <w:spacing w:after="0"/>
              <w:rPr>
                <w:sz w:val="20"/>
                <w:szCs w:val="20"/>
                <w:color w:val="auto"/>
              </w:rPr>
            </w:pPr>
            <w:r>
              <w:rPr>
                <w:rFonts w:ascii="Arial" w:cs="Arial" w:eastAsia="Arial" w:hAnsi="Arial"/>
                <w:sz w:val="17"/>
                <w:szCs w:val="17"/>
                <w:color w:val="auto"/>
              </w:rPr>
              <w:t>Weighted-average remaining lease term (years), weighted based on lease liability balances</w:t>
            </w:r>
          </w:p>
        </w:tc>
        <w:tc>
          <w:tcPr>
            <w:tcW w:w="2100" w:type="dxa"/>
            <w:vAlign w:val="bottom"/>
          </w:tcPr>
          <w:p>
            <w:pPr>
              <w:jc w:val="right"/>
              <w:ind w:right="34"/>
              <w:spacing w:after="0"/>
              <w:rPr>
                <w:sz w:val="20"/>
                <w:szCs w:val="20"/>
                <w:color w:val="auto"/>
              </w:rPr>
            </w:pPr>
            <w:r>
              <w:rPr>
                <w:rFonts w:ascii="Arial" w:cs="Arial" w:eastAsia="Arial" w:hAnsi="Arial"/>
                <w:sz w:val="17"/>
                <w:szCs w:val="17"/>
                <w:color w:val="auto"/>
              </w:rPr>
              <w:t>6.06</w:t>
            </w:r>
          </w:p>
        </w:tc>
      </w:tr>
      <w:tr>
        <w:trPr>
          <w:trHeight w:val="220"/>
        </w:trPr>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Weighted-average discount rate (percentages), weighted based on the remaining balance of lease payments</w:t>
            </w:r>
          </w:p>
        </w:tc>
        <w:tc>
          <w:tcPr>
            <w:tcW w:w="21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8.1%</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 for the nine months ended September 30, 2021:</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39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140"/>
        <w:spacing w:after="0"/>
        <w:tabs>
          <w:tab w:leader="none" w:pos="9720" w:val="left"/>
          <w:tab w:leader="none" w:pos="10680" w:val="left"/>
        </w:tabs>
        <w:rPr>
          <w:sz w:val="20"/>
          <w:szCs w:val="20"/>
          <w:color w:val="auto"/>
        </w:rPr>
      </w:pPr>
      <w:r>
        <w:rPr>
          <w:rFonts w:ascii="Arial" w:cs="Arial" w:eastAsia="Arial" w:hAnsi="Arial"/>
          <w:sz w:val="17"/>
          <w:szCs w:val="17"/>
          <w:color w:val="auto"/>
        </w:rPr>
        <w:t>Cash paid for amounts included in the measurement of lease liabilities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10,437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Investments in Affiliates and Related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199" w:lineRule="exact"/>
        <w:rPr>
          <w:sz w:val="20"/>
          <w:szCs w:val="20"/>
          <w:color w:val="auto"/>
        </w:rPr>
      </w:pPr>
    </w:p>
    <w:p>
      <w:pPr>
        <w:jc w:val="both"/>
        <w:ind w:firstLine="311"/>
        <w:spacing w:after="0" w:line="244" w:lineRule="auto"/>
        <w:rPr>
          <w:sz w:val="20"/>
          <w:szCs w:val="20"/>
          <w:color w:val="auto"/>
        </w:rPr>
      </w:pPr>
      <w:r>
        <w:rPr>
          <w:rFonts w:ascii="Arial" w:cs="Arial" w:eastAsia="Arial" w:hAnsi="Arial"/>
          <w:sz w:val="17"/>
          <w:szCs w:val="17"/>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No gain or loss was recognized as a result of the transaction. As of September 30, 2021, the Company reassessed the fair value of the Note and there were no material changes.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of Senior Notes</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9"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4"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1"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amounts of the Company’s borrowings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60" w:type="dxa"/>
            <w:vAlign w:val="bottom"/>
          </w:tcPr>
          <w:p>
            <w:pPr>
              <w:ind w:left="20"/>
              <w:spacing w:after="0"/>
              <w:rPr>
                <w:sz w:val="20"/>
                <w:szCs w:val="20"/>
                <w:color w:val="auto"/>
              </w:rPr>
            </w:pPr>
            <w:r>
              <w:rPr>
                <w:rFonts w:ascii="Arial" w:cs="Arial" w:eastAsia="Arial" w:hAnsi="Arial"/>
                <w:sz w:val="17"/>
                <w:szCs w:val="17"/>
                <w:b w:val="1"/>
                <w:bCs w:val="1"/>
                <w:color w:val="auto"/>
              </w:rPr>
              <w:t>Senior Notes</w:t>
            </w:r>
          </w:p>
        </w:tc>
        <w:tc>
          <w:tcPr>
            <w:tcW w:w="20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9"/>
                <w:szCs w:val="19"/>
                <w:color w:val="auto"/>
              </w:rPr>
            </w:pPr>
          </w:p>
        </w:tc>
        <w:tc>
          <w:tcPr>
            <w:tcW w:w="1660" w:type="dxa"/>
            <w:vAlign w:val="bottom"/>
          </w:tcPr>
          <w:p>
            <w:pPr>
              <w:ind w:left="10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8.375% Senior Notes due 2026</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7"/>
                <w:szCs w:val="17"/>
                <w:color w:val="auto"/>
              </w:rPr>
              <w:t>—</w:t>
            </w:r>
          </w:p>
        </w:tc>
      </w:tr>
      <w:tr>
        <w:trPr>
          <w:trHeight w:val="220"/>
        </w:trPr>
        <w:tc>
          <w:tcPr>
            <w:tcW w:w="736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Unamortized discount and debt issuance cost</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7"/>
                <w:szCs w:val="17"/>
                <w:color w:val="auto"/>
              </w:rPr>
              <w:t>—</w:t>
            </w:r>
          </w:p>
        </w:tc>
      </w:tr>
      <w:tr>
        <w:trPr>
          <w:trHeight w:val="23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 of Senior Notes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7"/>
                <w:szCs w:val="17"/>
                <w:color w:val="auto"/>
              </w:rPr>
              <w:t>—</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9" w:lineRule="auto"/>
        <w:tabs>
          <w:tab w:leader="none" w:pos="10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Debt issuance are deferred and amortized into interest expense using the effective interest method.</w:t>
      </w:r>
    </w:p>
    <w:p>
      <w:pPr>
        <w:spacing w:after="0" w:line="21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fair value of the outstanding Senior Notes was $124.1 million as of September 30, 2021. The Company is in compliance with its debt covenants as of September 30, 2021.</w:t>
      </w:r>
    </w:p>
    <w:p>
      <w:pPr>
        <w:spacing w:after="0" w:line="186"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The Agent is not required to sell any specific number of the additional Senior Notes, but the Agent will make all sales using commercially reasonable efforts consistent with its normal trading and sales practices on mutually agreed terms between the Agent and the Company. Under the Sales Agreement, the Agent will be entitled to compensation of 2.0% of the gross proceeds of all notes sold through it as the Company’s agent.</w:t>
      </w:r>
    </w:p>
    <w:p>
      <w:pPr>
        <w:spacing w:after="0" w:line="20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The additional Senior Notes sold pursuant to the Sales Agreement will be issued pursuant to a prospectus dated August 28, 2020, as supplemented by a prospectus supplement dated October 25, 2021, in each case filed with the Securities and Exchange Commission (the “Commission”) pursuant to the Company’s effective Registration Statement on Form S-3 (File No. 333-248133), which was declared effective by the Commission on August 28, 2020, and the Registration Statement on Form S-3 (File No. 333-260482), filed with the Commission pursuant to Rule 462(b) under the Securities Act on October 25, 2021. The additional Senior Notes will be issued pursuant to the Indenture, dated June 30, 2021 (the “Base Indenture”), as supplemented by the First Supplemental Indenture, dated June 30, 2021 (the “First Supplemental Indenture” and, together with the Base Indenture, the “Indenture”) between The Bank of New York Mellon Trust Company, N.A., as trustee (the “Trustee”), and the Company.</w:t>
      </w:r>
    </w:p>
    <w:p>
      <w:pPr>
        <w:spacing w:after="0" w:line="205"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up to $18.0 million in aggregate principal amount of the additional Senior Notes that the Company may offer and sell under the prospectus supplement and the accompanying prospectus constitutes a further issuance of and are fungible with the $125.0 million in aggregate principal amount of the Senior Notes that the Company has issued to date, and form a single series of debt securities. The additional Senior Notes issued will have terms identical to the initial Senior Notes and will have the same CUSIP number as, and will be fungible and vote together with, the initial Senior Notes immediately upon issuance. The additional Senior Notes (when issued) and initial Senior Notes are listed and trade on The Nasdaq Global Market under the symbol “SNCRL.”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Revolving Credit Facility</w:t>
      </w:r>
    </w:p>
    <w:p>
      <w:pPr>
        <w:spacing w:after="0" w:line="244"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federal funds rate plus 0.5%, the prime commercial lending rate as determined by the Agent, and the daily LIBOR rate plus 1.0%, in each case plus an applicable margin and subject to a floor of 0.5%.</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June 30, 2021, the Company paid off the outstanding balance and closed the Revolving Credit Facility.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w w:val="90"/>
              </w:rPr>
              <w:t>Three Months Ended 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0"/>
        </w:trPr>
        <w:tc>
          <w:tcPr>
            <w:tcW w:w="46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2020</w:t>
            </w:r>
          </w:p>
        </w:tc>
      </w:tr>
      <w:tr>
        <w:trPr>
          <w:trHeight w:val="20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Senior Notes due 2026</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0"/>
        </w:trPr>
        <w:tc>
          <w:tcPr>
            <w:tcW w:w="466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020" w:type="dxa"/>
            <w:vAlign w:val="bottom"/>
          </w:tcPr>
          <w:p>
            <w:pPr>
              <w:ind w:lef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660" w:type="dxa"/>
            <w:vAlign w:val="bottom"/>
          </w:tcPr>
          <w:p>
            <w:pPr>
              <w:ind w:left="20"/>
              <w:spacing w:after="0"/>
              <w:rPr>
                <w:sz w:val="20"/>
                <w:szCs w:val="20"/>
                <w:color w:val="auto"/>
              </w:rPr>
            </w:pPr>
            <w:r>
              <w:rPr>
                <w:rFonts w:ascii="Arial" w:cs="Arial" w:eastAsia="Arial" w:hAnsi="Arial"/>
                <w:sz w:val="17"/>
                <w:szCs w:val="17"/>
                <w:color w:val="auto"/>
              </w:rPr>
              <w:t>2019 Revolving Credit Facility</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issuance costs</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4660" w:type="dxa"/>
            <w:vAlign w:val="bottom"/>
          </w:tcPr>
          <w:p>
            <w:pPr>
              <w:ind w:left="220"/>
              <w:spacing w:after="0"/>
              <w:rPr>
                <w:sz w:val="20"/>
                <w:szCs w:val="20"/>
                <w:color w:val="auto"/>
              </w:rPr>
            </w:pPr>
            <w:r>
              <w:rPr>
                <w:rFonts w:ascii="Arial" w:cs="Arial" w:eastAsia="Arial" w:hAnsi="Arial"/>
                <w:sz w:val="17"/>
                <w:szCs w:val="17"/>
                <w:color w:val="auto"/>
              </w:rPr>
              <w:t>Commitment fee</w:t>
            </w:r>
          </w:p>
        </w:tc>
        <w:tc>
          <w:tcPr>
            <w:tcW w:w="10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20"/>
        </w:trPr>
        <w:tc>
          <w:tcPr>
            <w:tcW w:w="466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2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100" w:hanging="97"/>
        <w:spacing w:after="0" w:line="221" w:lineRule="auto"/>
        <w:tabs>
          <w:tab w:leader="none" w:pos="10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Mainly finance leases’ related interest expense</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Debt issuance costs are deferred and amortized to interest expense using the effective interest method.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(Loss) /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accumulated other comprehensive (loss) income during the nine months ended September 30, 2021 were as follows:</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Balance at</w:t>
            </w:r>
          </w:p>
        </w:tc>
        <w:tc>
          <w:tcPr>
            <w:tcW w:w="34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w w:val="99"/>
              </w:rPr>
              <w:t>Balance at</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58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w w:val="91"/>
              </w:rPr>
              <w:t>comprehensive (loss)</w:t>
            </w:r>
          </w:p>
        </w:tc>
        <w:tc>
          <w:tcPr>
            <w:tcW w:w="320" w:type="dxa"/>
            <w:vAlign w:val="bottom"/>
          </w:tcPr>
          <w:p>
            <w:pPr>
              <w:spacing w:after="0"/>
              <w:rPr>
                <w:sz w:val="13"/>
                <w:szCs w:val="13"/>
                <w:color w:val="auto"/>
              </w:rPr>
            </w:pPr>
          </w:p>
        </w:tc>
        <w:tc>
          <w:tcPr>
            <w:tcW w:w="11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Tax effect</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2"/>
              </w:rPr>
              <w:t>December 31, 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September 30, 2021</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w:t>
            </w:r>
          </w:p>
        </w:tc>
        <w:tc>
          <w:tcPr>
            <w:tcW w:w="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0"/>
              </w:rPr>
              <w:t>(3,595)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(29,671)</w:t>
            </w:r>
          </w:p>
        </w:tc>
        <w:tc>
          <w:tcPr>
            <w:tcW w:w="0" w:type="dxa"/>
            <w:vAlign w:val="bottom"/>
          </w:tcPr>
          <w:p>
            <w:pPr>
              <w:spacing w:after="0"/>
              <w:rPr>
                <w:sz w:val="1"/>
                <w:szCs w:val="1"/>
                <w:color w:val="auto"/>
              </w:rPr>
            </w:pPr>
          </w:p>
        </w:tc>
      </w:tr>
      <w:tr>
        <w:trPr>
          <w:trHeight w:val="204"/>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Unrealized loss on intra-entity foreign currency transactions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602"/>
              <w:spacing w:after="0"/>
              <w:rPr>
                <w:sz w:val="20"/>
                <w:szCs w:val="20"/>
                <w:color w:val="auto"/>
              </w:rPr>
            </w:pPr>
            <w:r>
              <w:rPr>
                <w:rFonts w:ascii="Arial" w:cs="Arial" w:eastAsia="Arial" w:hAnsi="Arial"/>
                <w:sz w:val="16"/>
                <w:szCs w:val="16"/>
                <w:color w:val="auto"/>
                <w:w w:val="84"/>
              </w:rPr>
              <w:t>1,361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0"/>
              </w:rPr>
              <w:t>(2,234)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4" w:lineRule="exact"/>
        <w:rPr>
          <w:sz w:val="20"/>
          <w:szCs w:val="20"/>
          <w:color w:val="auto"/>
        </w:rPr>
      </w:pPr>
    </w:p>
    <w:p>
      <w:pPr>
        <w:jc w:val="both"/>
        <w:ind w:right="80" w:firstLine="311"/>
        <w:spacing w:after="0" w:line="283"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Offering</w:t>
      </w:r>
    </w:p>
    <w:p>
      <w:pPr>
        <w:spacing w:after="0" w:line="244" w:lineRule="exact"/>
        <w:rPr>
          <w:sz w:val="20"/>
          <w:szCs w:val="20"/>
          <w:color w:val="auto"/>
        </w:rPr>
      </w:pPr>
    </w:p>
    <w:p>
      <w:pPr>
        <w:jc w:val="both"/>
        <w:ind w:right="80" w:firstLine="311"/>
        <w:spacing w:after="0" w:line="264" w:lineRule="auto"/>
        <w:rPr>
          <w:sz w:val="20"/>
          <w:szCs w:val="20"/>
          <w:color w:val="auto"/>
        </w:rPr>
      </w:pPr>
      <w:r>
        <w:rPr>
          <w:rFonts w:ascii="Arial" w:cs="Arial" w:eastAsia="Arial" w:hAnsi="Arial"/>
          <w:sz w:val="17"/>
          <w:szCs w:val="17"/>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42,307,692 shares of common stock, inclusive of 3,846,154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shares of common stock issued pursuant to the full exercise of the Underwriters’ option to purchase additional shares of common stock. The Company used the net proceeds for the redemption of the Series A Convertible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Non-Convertible Preferred Stock</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B Preferred Stock</w:t>
      </w:r>
    </w:p>
    <w:p>
      <w:pPr>
        <w:spacing w:after="0" w:line="244"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September 30, 2021, the Liquidation Value and Redemption Value of the Series B Preferred Shares was $76.8 million.</w:t>
      </w:r>
    </w:p>
    <w:p>
      <w:pPr>
        <w:spacing w:after="0" w:line="194"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4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 summary of the Company’s Series B Perpetual Non-Convertible Preferred Stock balance at September 30, 2021 and changes during the nine months ended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are presented below:</w:t>
      </w:r>
    </w:p>
    <w:p>
      <w:pPr>
        <w:spacing w:after="0" w:line="32"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Series B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rPr>
              <w:t>Shares</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9240" w:type="dxa"/>
            <w:vAlign w:val="bottom"/>
            <w:gridSpan w:val="2"/>
          </w:tcPr>
          <w:p>
            <w:pPr>
              <w:ind w:left="140"/>
              <w:spacing w:after="0"/>
              <w:rPr>
                <w:sz w:val="20"/>
                <w:szCs w:val="20"/>
                <w:color w:val="auto"/>
              </w:rPr>
            </w:pPr>
            <w:r>
              <w:rPr>
                <w:rFonts w:ascii="Arial" w:cs="Arial" w:eastAsia="Arial" w:hAnsi="Arial"/>
                <w:sz w:val="17"/>
                <w:szCs w:val="17"/>
                <w:color w:val="auto"/>
              </w:rPr>
              <w:t>Issuance of Series B preferred stock</w:t>
            </w:r>
          </w:p>
        </w:tc>
        <w:tc>
          <w:tcPr>
            <w:tcW w:w="380" w:type="dxa"/>
            <w:vAlign w:val="bottom"/>
          </w:tcPr>
          <w:p>
            <w:pPr>
              <w:ind w:left="14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75,000</w:t>
            </w:r>
          </w:p>
        </w:tc>
      </w:tr>
      <w:tr>
        <w:trPr>
          <w:trHeight w:val="220"/>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costs related to preferred stock</w:t>
            </w: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 at September 30, 2021</w:t>
            </w:r>
          </w:p>
        </w:tc>
        <w:tc>
          <w:tcPr>
            <w:tcW w:w="380" w:type="dxa"/>
            <w:vAlign w:val="bottom"/>
          </w:tcPr>
          <w:p>
            <w:pPr>
              <w:ind w:left="14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72,505</w:t>
            </w:r>
          </w:p>
        </w:tc>
      </w:tr>
      <w:tr>
        <w:trPr>
          <w:trHeight w:val="20"/>
        </w:trPr>
        <w:tc>
          <w:tcPr>
            <w:tcW w:w="8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October 1, 2021 the Company paid the accrued Series B Perpetual Non-Convertible Preferred Stock dividend of $1.8 million.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244"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Redemption of Series A Preferred Stock</w:t>
      </w:r>
    </w:p>
    <w:p>
      <w:pPr>
        <w:spacing w:after="0" w:line="244"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net proceeds from the common stock public offering, Senior Note offering and the Series B transaction was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 outstanding or authorized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233"/>
        <w:spacing w:after="0" w:line="274" w:lineRule="auto"/>
        <w:rPr>
          <w:sz w:val="20"/>
          <w:szCs w:val="20"/>
          <w:color w:val="auto"/>
        </w:rPr>
      </w:pPr>
      <w:r>
        <w:rPr>
          <w:rFonts w:ascii="Arial" w:cs="Arial" w:eastAsia="Arial" w:hAnsi="Arial"/>
          <w:sz w:val="17"/>
          <w:szCs w:val="17"/>
          <w:color w:val="auto"/>
        </w:rPr>
        <w:t>A summary of the Company’s Series A Convertible Participating Perpetual Preferred Stock balance at September 30, 2021 and changes during the nine months ended September 30, 2021, are presented below:</w:t>
      </w:r>
    </w:p>
    <w:p>
      <w:pPr>
        <w:ind w:left="8760"/>
        <w:spacing w:after="0"/>
        <w:rPr>
          <w:sz w:val="20"/>
          <w:szCs w:val="20"/>
          <w:color w:val="auto"/>
        </w:rPr>
      </w:pPr>
      <w:r>
        <w:rPr>
          <w:rFonts w:ascii="Arial" w:cs="Arial" w:eastAsia="Arial" w:hAnsi="Arial"/>
          <w:sz w:val="17"/>
          <w:szCs w:val="17"/>
          <w:b w:val="1"/>
          <w:bCs w:val="1"/>
          <w:color w:val="auto"/>
        </w:rPr>
        <w:t>Series A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w w:val="95"/>
              </w:rPr>
              <w:t>Shares</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237,641</w:t>
            </w:r>
          </w:p>
        </w:tc>
      </w:tr>
      <w:tr>
        <w:trPr>
          <w:trHeight w:val="220"/>
        </w:trPr>
        <w:tc>
          <w:tcPr>
            <w:tcW w:w="9160" w:type="dxa"/>
            <w:vAlign w:val="bottom"/>
            <w:gridSpan w:val="2"/>
          </w:tcPr>
          <w:p>
            <w:pPr>
              <w:ind w:left="140"/>
              <w:spacing w:after="0"/>
              <w:rPr>
                <w:sz w:val="20"/>
                <w:szCs w:val="20"/>
                <w:color w:val="auto"/>
              </w:rPr>
            </w:pPr>
            <w:r>
              <w:rPr>
                <w:rFonts w:ascii="Arial" w:cs="Arial" w:eastAsia="Arial" w:hAnsi="Arial"/>
                <w:sz w:val="17"/>
                <w:szCs w:val="17"/>
                <w:color w:val="auto"/>
              </w:rPr>
              <w:t>Amortization of preferred stock issuance costs</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12,791</w:t>
            </w:r>
          </w:p>
        </w:tc>
      </w:tr>
      <w:tr>
        <w:trPr>
          <w:trHeight w:val="220"/>
        </w:trPr>
        <w:tc>
          <w:tcPr>
            <w:tcW w:w="9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 of preferred PIK dividend</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18,485</w:t>
            </w:r>
          </w:p>
        </w:tc>
      </w:tr>
      <w:tr>
        <w:trPr>
          <w:trHeight w:val="220"/>
        </w:trPr>
        <w:tc>
          <w:tcPr>
            <w:tcW w:w="9160" w:type="dxa"/>
            <w:vAlign w:val="bottom"/>
            <w:gridSpan w:val="2"/>
          </w:tcPr>
          <w:p>
            <w:pPr>
              <w:ind w:left="140"/>
              <w:spacing w:after="0"/>
              <w:rPr>
                <w:sz w:val="20"/>
                <w:szCs w:val="20"/>
                <w:color w:val="auto"/>
              </w:rPr>
            </w:pPr>
            <w:r>
              <w:rPr>
                <w:rFonts w:ascii="Arial" w:cs="Arial" w:eastAsia="Arial" w:hAnsi="Arial"/>
                <w:sz w:val="17"/>
                <w:szCs w:val="17"/>
                <w:color w:val="auto"/>
              </w:rPr>
              <w:t>Payment of preferred dividend</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9,748</w:t>
            </w:r>
          </w:p>
        </w:tc>
      </w:tr>
      <w:tr>
        <w:trPr>
          <w:trHeight w:val="220"/>
        </w:trPr>
        <w:tc>
          <w:tcPr>
            <w:tcW w:w="8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Redemption of Series A preferred shares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(278,665)</w:t>
            </w:r>
          </w:p>
        </w:tc>
      </w:tr>
      <w:tr>
        <w:trPr>
          <w:trHeight w:val="213"/>
        </w:trPr>
        <w:tc>
          <w:tcPr>
            <w:tcW w:w="9160" w:type="dxa"/>
            <w:vAlign w:val="bottom"/>
            <w:gridSpan w:val="2"/>
          </w:tcPr>
          <w:p>
            <w:pPr>
              <w:ind w:left="20"/>
              <w:spacing w:after="0"/>
              <w:rPr>
                <w:sz w:val="20"/>
                <w:szCs w:val="20"/>
                <w:color w:val="auto"/>
              </w:rPr>
            </w:pPr>
            <w:r>
              <w:rPr>
                <w:rFonts w:ascii="Arial" w:cs="Arial" w:eastAsia="Arial" w:hAnsi="Arial"/>
                <w:sz w:val="17"/>
                <w:szCs w:val="17"/>
                <w:color w:val="auto"/>
              </w:rPr>
              <w:t>Balance at September 30, 2021</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233"/>
        <w:spacing w:after="0" w:line="268" w:lineRule="auto"/>
        <w:rPr>
          <w:sz w:val="20"/>
          <w:szCs w:val="20"/>
          <w:color w:val="auto"/>
        </w:rPr>
      </w:pPr>
      <w:r>
        <w:rPr>
          <w:rFonts w:ascii="Arial" w:cs="Arial" w:eastAsia="Arial" w:hAnsi="Arial"/>
          <w:sz w:val="17"/>
          <w:szCs w:val="17"/>
          <w:color w:val="auto"/>
        </w:rPr>
        <w:t>The Company and Siris Capital Group, LLC (“Siris”) entered into an Advisory Services Agreement dated as of May 18, 2020 under which Siris may provide consulting and advisory services to the Company on operational, business, financial and strategic matters. All obligations related to this Advisory Services Agreement were paid by the Company and the Advisory Services Agreement was terminated as of June 30, 2021.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44" w:lineRule="exact"/>
        <w:rPr>
          <w:sz w:val="20"/>
          <w:szCs w:val="20"/>
          <w:color w:val="auto"/>
        </w:rPr>
      </w:pPr>
    </w:p>
    <w:p>
      <w:pPr>
        <w:jc w:val="both"/>
        <w:ind w:firstLine="233"/>
        <w:spacing w:after="0" w:line="293" w:lineRule="auto"/>
        <w:rPr>
          <w:sz w:val="20"/>
          <w:szCs w:val="20"/>
          <w:color w:val="auto"/>
        </w:rPr>
      </w:pPr>
      <w:r>
        <w:rPr>
          <w:rFonts w:ascii="Arial" w:cs="Arial" w:eastAsia="Arial" w:hAnsi="Arial"/>
          <w:sz w:val="16"/>
          <w:szCs w:val="16"/>
          <w:color w:val="auto"/>
        </w:rPr>
        <w:t>The Investor Rights Agreement entered into on June 30, 2021 provides that in the event Synchronoss issues Registrable Securities to the holders of Series B Preferred Stock, such holders will have certain demand and piggy-back registration rights with respect to such Registrable Securities. In addition, on June 30, 2021, in connection with the redemption of the Series A Preferred Stock, the Investor Rights Agreement between the Company and Silver terminated.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44"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On June 10, 2021, the Company’s stockholders approved the amendment and restatement of the Company’s 2015 Equity Incentive Plan to increase the number of shares issuable thereunder by 3.0 million shares. There were no significant changes to Synchronoss Technologies, Inc. 2017 New Hire Equity Incentive Plan (the “Incentive Plan”) during the three and nine months ended September 30, 2021. As of September 30, 2021, there were 1.2 million shares available for the grant or award under the Company’s 2015 Equity Incentive Plan and 0.4 million shares available for the grant or award under the Company’s 2017 New Hire Equity Incentive Plan.</w:t>
      </w:r>
    </w:p>
    <w:p>
      <w:pPr>
        <w:spacing w:after="0" w:line="20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On November 1, 2021 the Incentive Plan was amended to increase the maximum number of shares of Common Stock authorized for issuance under the Incentive Plan by 566,711 shares from 1,500,000 shares to a new aggregate total of 2,066,711 shares.</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September 30, 2021, the liability for such awards is approximately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4" w:lineRule="exact"/>
        <w:rPr>
          <w:sz w:val="20"/>
          <w:szCs w:val="20"/>
          <w:color w:val="auto"/>
        </w:rPr>
      </w:pPr>
    </w:p>
    <w:p>
      <w:pPr>
        <w:ind w:right="20" w:firstLine="311"/>
        <w:spacing w:after="0" w:line="276" w:lineRule="auto"/>
        <w:rPr>
          <w:sz w:val="20"/>
          <w:szCs w:val="20"/>
          <w:color w:val="auto"/>
        </w:rPr>
      </w:pPr>
      <w:r>
        <w:rPr>
          <w:rFonts w:ascii="Arial" w:cs="Arial" w:eastAsia="Arial" w:hAnsi="Arial"/>
          <w:sz w:val="17"/>
          <w:szCs w:val="17"/>
          <w:color w:val="auto"/>
        </w:rPr>
        <w:t>The following table summarizes stock-based compensation expense related to all of the Company’s stock awards included by operating expense categories,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3660" w:type="dxa"/>
            <w:vAlign w:val="bottom"/>
            <w:gridSpan w:val="6"/>
          </w:tcPr>
          <w:p>
            <w:pPr>
              <w:ind w:left="740"/>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Pr>
          <w:p>
            <w:pPr>
              <w:spacing w:after="0"/>
              <w:rPr>
                <w:sz w:val="17"/>
                <w:szCs w:val="17"/>
                <w:color w:val="auto"/>
              </w:rPr>
            </w:pPr>
          </w:p>
        </w:tc>
        <w:tc>
          <w:tcPr>
            <w:tcW w:w="2980" w:type="dxa"/>
            <w:vAlign w:val="bottom"/>
            <w:gridSpan w:val="4"/>
          </w:tcPr>
          <w:p>
            <w:pPr>
              <w:jc w:val="right"/>
              <w:ind w:right="39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6"/>
        </w:trPr>
        <w:tc>
          <w:tcPr>
            <w:tcW w:w="39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3"/>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revenues</w:t>
            </w:r>
          </w:p>
        </w:tc>
        <w:tc>
          <w:tcPr>
            <w:tcW w:w="124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w:t>
            </w:r>
          </w:p>
        </w:tc>
      </w:tr>
      <w:tr>
        <w:trPr>
          <w:trHeight w:val="220"/>
        </w:trPr>
        <w:tc>
          <w:tcPr>
            <w:tcW w:w="398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725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2,276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3,392</w:t>
            </w:r>
          </w:p>
        </w:tc>
      </w:tr>
      <w:tr>
        <w:trPr>
          <w:trHeight w:val="220"/>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1,132</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9,256</w:t>
            </w:r>
          </w:p>
        </w:tc>
      </w:tr>
      <w:tr>
        <w:trPr>
          <w:trHeight w:val="213"/>
        </w:trPr>
        <w:tc>
          <w:tcPr>
            <w:tcW w:w="3980" w:type="dxa"/>
            <w:vAlign w:val="bottom"/>
          </w:tcPr>
          <w:p>
            <w:pPr>
              <w:ind w:left="540"/>
              <w:spacing w:after="0"/>
              <w:rPr>
                <w:sz w:val="20"/>
                <w:szCs w:val="20"/>
                <w:color w:val="auto"/>
              </w:rPr>
            </w:pPr>
            <w:r>
              <w:rPr>
                <w:rFonts w:ascii="Arial" w:cs="Arial" w:eastAsia="Arial" w:hAnsi="Arial"/>
                <w:sz w:val="17"/>
                <w:szCs w:val="17"/>
                <w:color w:val="auto"/>
              </w:rPr>
              <w:t>Total stock-based compensation expense</w:t>
            </w:r>
          </w:p>
        </w:tc>
        <w:tc>
          <w:tcPr>
            <w:tcW w:w="124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2,289</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4,391</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7,355</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14,547</w:t>
            </w:r>
          </w:p>
        </w:tc>
      </w:tr>
      <w:tr>
        <w:trPr>
          <w:trHeight w:val="20"/>
        </w:trPr>
        <w:tc>
          <w:tcPr>
            <w:tcW w:w="3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3660" w:type="dxa"/>
            <w:vAlign w:val="bottom"/>
            <w:gridSpan w:val="6"/>
          </w:tcPr>
          <w:p>
            <w:pPr>
              <w:ind w:left="740"/>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Pr>
          <w:p>
            <w:pPr>
              <w:spacing w:after="0"/>
              <w:rPr>
                <w:sz w:val="17"/>
                <w:szCs w:val="17"/>
                <w:color w:val="auto"/>
              </w:rPr>
            </w:pPr>
          </w:p>
        </w:tc>
        <w:tc>
          <w:tcPr>
            <w:tcW w:w="2980" w:type="dxa"/>
            <w:vAlign w:val="bottom"/>
            <w:gridSpan w:val="4"/>
          </w:tcPr>
          <w:p>
            <w:pPr>
              <w:jc w:val="right"/>
              <w:ind w:right="39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6"/>
        </w:trPr>
        <w:tc>
          <w:tcPr>
            <w:tcW w:w="39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3"/>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options</w:t>
            </w:r>
          </w:p>
        </w:tc>
        <w:tc>
          <w:tcPr>
            <w:tcW w:w="124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1,064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w:t>
            </w:r>
          </w:p>
        </w:tc>
      </w:tr>
      <w:tr>
        <w:trPr>
          <w:trHeight w:val="220"/>
        </w:trPr>
        <w:tc>
          <w:tcPr>
            <w:tcW w:w="3980" w:type="dxa"/>
            <w:vAlign w:val="bottom"/>
          </w:tcPr>
          <w:p>
            <w:pPr>
              <w:ind w:left="340"/>
              <w:spacing w:after="0"/>
              <w:rPr>
                <w:sz w:val="20"/>
                <w:szCs w:val="20"/>
                <w:color w:val="auto"/>
              </w:rPr>
            </w:pPr>
            <w:r>
              <w:rPr>
                <w:rFonts w:ascii="Arial" w:cs="Arial" w:eastAsia="Arial" w:hAnsi="Arial"/>
                <w:sz w:val="17"/>
                <w:szCs w:val="17"/>
                <w:color w:val="auto"/>
              </w:rPr>
              <w:t>Restricted stock awards</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1,373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8,922</w:t>
            </w:r>
          </w:p>
        </w:tc>
      </w:tr>
      <w:tr>
        <w:trPr>
          <w:trHeight w:val="220"/>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Performance Based Cash Units</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13"/>
        </w:trPr>
        <w:tc>
          <w:tcPr>
            <w:tcW w:w="3980" w:type="dxa"/>
            <w:vAlign w:val="bottom"/>
          </w:tcPr>
          <w:p>
            <w:pPr>
              <w:ind w:left="540"/>
              <w:spacing w:after="0"/>
              <w:rPr>
                <w:sz w:val="20"/>
                <w:szCs w:val="20"/>
                <w:color w:val="auto"/>
              </w:rPr>
            </w:pPr>
            <w:r>
              <w:rPr>
                <w:rFonts w:ascii="Arial" w:cs="Arial" w:eastAsia="Arial" w:hAnsi="Arial"/>
                <w:sz w:val="17"/>
                <w:szCs w:val="17"/>
                <w:color w:val="auto"/>
                <w:w w:val="99"/>
              </w:rPr>
              <w:t>Total stock-based compensation before taxes</w:t>
            </w:r>
          </w:p>
        </w:tc>
        <w:tc>
          <w:tcPr>
            <w:tcW w:w="124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2,289</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4,391</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7,355</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14,547</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2"/>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benefit</w:t>
            </w:r>
          </w:p>
        </w:tc>
        <w:tc>
          <w:tcPr>
            <w:tcW w:w="124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equity awards as of September 30, 2021 was approximately $10.9 million. The expense is expected to be recognized over a weighted-average period of approximately 1.3 years.</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performance based cash units as of September 30, 2021 was approximately $0.5 million. The expense is expected to be recognized over a weighted-average period of approximately 2.2 years.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4"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7"/>
          <w:szCs w:val="17"/>
          <w:color w:val="auto"/>
        </w:rPr>
        <w:t>The Company uses the Black-Scholes option pricing model for determining the estimated fair value for stock options. The weighted-average assumptions used in the Black-Scholes option pricing model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34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6"/>
        </w:trPr>
        <w:tc>
          <w:tcPr>
            <w:tcW w:w="44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stock price volatility</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74.5 %</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of options (in years)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0.0 %</w:t>
            </w: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 (PSV) of the options</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information about stock options outstanding as of September 30,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Weighted-Average</w:t>
            </w:r>
          </w:p>
        </w:tc>
        <w:tc>
          <w:tcPr>
            <w:tcW w:w="280" w:type="dxa"/>
            <w:vAlign w:val="bottom"/>
          </w:tcPr>
          <w:p>
            <w:pPr>
              <w:spacing w:after="0"/>
              <w:rPr>
                <w:sz w:val="16"/>
                <w:szCs w:val="16"/>
                <w:color w:val="auto"/>
              </w:rPr>
            </w:pPr>
          </w:p>
        </w:tc>
        <w:tc>
          <w:tcPr>
            <w:tcW w:w="13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3"/>
                <w:szCs w:val="13"/>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Weighted-Average</w:t>
            </w:r>
          </w:p>
        </w:tc>
        <w:tc>
          <w:tcPr>
            <w:tcW w:w="16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87"/>
              </w:rPr>
              <w:t>Remaining</w:t>
            </w:r>
          </w:p>
        </w:tc>
        <w:tc>
          <w:tcPr>
            <w:tcW w:w="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00" w:type="dxa"/>
            <w:vAlign w:val="bottom"/>
            <w:vMerge w:val="restart"/>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6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Contractual</w:t>
            </w:r>
          </w:p>
        </w:tc>
        <w:tc>
          <w:tcPr>
            <w:tcW w:w="280" w:type="dxa"/>
            <w:vAlign w:val="bottom"/>
          </w:tcPr>
          <w:p>
            <w:pPr>
              <w:spacing w:after="0"/>
              <w:rPr>
                <w:sz w:val="13"/>
                <w:szCs w:val="13"/>
                <w:color w:val="auto"/>
              </w:rPr>
            </w:pPr>
          </w:p>
        </w:tc>
        <w:tc>
          <w:tcPr>
            <w:tcW w:w="1300" w:type="dxa"/>
            <w:vAlign w:val="bottom"/>
          </w:tcPr>
          <w:p>
            <w:pPr>
              <w:jc w:val="center"/>
              <w:ind w:right="179"/>
              <w:spacing w:after="0" w:line="155"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Term (Years)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5"/>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Options 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1,966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Options 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Vested and exercisable at September 30, 2021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gridSpan w:val="2"/>
            <w:vMerge w:val="continue"/>
          </w:tcPr>
          <w:p>
            <w:pPr>
              <w:spacing w:after="0"/>
              <w:rPr>
                <w:sz w:val="16"/>
                <w:szCs w:val="16"/>
                <w:color w:val="auto"/>
              </w:rPr>
            </w:pPr>
          </w:p>
        </w:tc>
        <w:tc>
          <w:tcPr>
            <w:tcW w:w="1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1,696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12.76</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3.14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2"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ind w:left="10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intrinsic value of stock options exercisable at September 30, 2021 and 2020 was nil and nil, respectively. The total intrinsic value of stock options exercised during the nine months ended September 30, 2021 and 2020 was nil and nil,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44"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7"/>
          <w:szCs w:val="17"/>
          <w:color w:val="auto"/>
        </w:rPr>
        <w:t>A summary of the Company’s unvested restricted stock at September 30, 2021, and changes during the nine months ended September 30, 2021, is presented below:</w:t>
      </w:r>
    </w:p>
    <w:tbl>
      <w:tblPr>
        <w:tblLayout w:type="fixed"/>
        <w:tblInd w:w="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vMerge w:val="restart"/>
          </w:tcPr>
          <w:p>
            <w:pPr>
              <w:ind w:left="380"/>
              <w:spacing w:after="0"/>
              <w:rPr>
                <w:sz w:val="20"/>
                <w:szCs w:val="20"/>
                <w:color w:val="auto"/>
              </w:rPr>
            </w:pPr>
            <w:r>
              <w:rPr>
                <w:rFonts w:ascii="Arial" w:cs="Arial" w:eastAsia="Arial" w:hAnsi="Arial"/>
                <w:sz w:val="17"/>
                <w:szCs w:val="17"/>
                <w:b w:val="1"/>
                <w:bCs w:val="1"/>
                <w:color w:val="auto"/>
              </w:rPr>
              <w:t>Number of</w:t>
            </w:r>
          </w:p>
        </w:tc>
        <w:tc>
          <w:tcPr>
            <w:tcW w:w="1600" w:type="dxa"/>
            <w:vAlign w:val="bottom"/>
            <w:gridSpan w:val="2"/>
          </w:tcPr>
          <w:p>
            <w:pPr>
              <w:jc w:val="center"/>
              <w:spacing w:after="0" w:line="174" w:lineRule="exact"/>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7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Restricted Stock</w:t>
            </w:r>
          </w:p>
        </w:tc>
        <w:tc>
          <w:tcPr>
            <w:tcW w:w="120" w:type="dxa"/>
            <w:vAlign w:val="bottom"/>
            <w:vMerge w:val="restart"/>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54"/>
              <w:spacing w:after="0" w:line="168" w:lineRule="exact"/>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5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Awards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5"/>
              </w:rPr>
              <w:t>Fair Value</w:t>
            </w:r>
          </w:p>
        </w:tc>
        <w:tc>
          <w:tcPr>
            <w:tcW w:w="0" w:type="dxa"/>
            <w:vAlign w:val="bottom"/>
          </w:tcPr>
          <w:p>
            <w:pPr>
              <w:spacing w:after="0"/>
              <w:rPr>
                <w:sz w:val="1"/>
                <w:szCs w:val="1"/>
                <w:color w:val="auto"/>
              </w:rPr>
            </w:pPr>
          </w:p>
        </w:tc>
      </w:tr>
      <w:tr>
        <w:trPr>
          <w:trHeight w:val="21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20"/>
        </w:trPr>
        <w:tc>
          <w:tcPr>
            <w:tcW w:w="79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3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September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Based Cash Units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Performance based cash units vest at the end of a three-year period based on service and achievement of certain performance objectives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11"/>
        <w:spacing w:after="0" w:line="274" w:lineRule="auto"/>
        <w:rPr>
          <w:sz w:val="20"/>
          <w:szCs w:val="20"/>
          <w:color w:val="auto"/>
        </w:rPr>
      </w:pPr>
      <w:r>
        <w:rPr>
          <w:rFonts w:ascii="Arial" w:cs="Arial" w:eastAsia="Arial" w:hAnsi="Arial"/>
          <w:sz w:val="17"/>
          <w:szCs w:val="17"/>
          <w:color w:val="auto"/>
        </w:rPr>
        <w:t>A summary of the Company’s unvested performance-based cash units at September 30, 2021 and changes during the nine months ended September 30, 2021, is presented below:</w:t>
      </w:r>
    </w:p>
    <w:tbl>
      <w:tblPr>
        <w:tblLayout w:type="fixed"/>
        <w:tblInd w:w="0" w:type="dxa"/>
        <w:tblCellMar>
          <w:top w:w="0" w:type="dxa"/>
          <w:left w:w="0" w:type="dxa"/>
          <w:bottom w:w="0" w:type="dxa"/>
          <w:right w:w="0" w:type="dxa"/>
        </w:tblCellMar>
      </w:tblPr>
      <w:tr>
        <w:trPr>
          <w:trHeight w:val="174"/>
        </w:trPr>
        <w:tc>
          <w:tcPr>
            <w:tcW w:w="77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Cash Units</w:t>
            </w:r>
          </w:p>
        </w:tc>
        <w:tc>
          <w:tcPr>
            <w:tcW w:w="100" w:type="dxa"/>
            <w:vAlign w:val="bottom"/>
            <w:vMerge w:val="restart"/>
          </w:tcPr>
          <w:p>
            <w:pPr>
              <w:spacing w:after="0"/>
              <w:rPr>
                <w:sz w:val="15"/>
                <w:szCs w:val="15"/>
                <w:color w:val="auto"/>
              </w:rPr>
            </w:pPr>
          </w:p>
        </w:tc>
        <w:tc>
          <w:tcPr>
            <w:tcW w:w="1700" w:type="dxa"/>
            <w:vAlign w:val="bottom"/>
            <w:gridSpan w:val="2"/>
          </w:tcPr>
          <w:p>
            <w:pPr>
              <w:ind w:left="400"/>
              <w:spacing w:after="0" w:line="174" w:lineRule="exact"/>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5"/>
                <w:szCs w:val="15"/>
                <w:color w:val="auto"/>
              </w:rPr>
            </w:pPr>
          </w:p>
        </w:tc>
        <w:tc>
          <w:tcPr>
            <w:tcW w:w="1440" w:type="dxa"/>
            <w:vAlign w:val="bottom"/>
          </w:tcPr>
          <w:p>
            <w:pPr>
              <w:jc w:val="right"/>
              <w:ind w:right="114"/>
              <w:spacing w:after="0" w:line="174" w:lineRule="exact"/>
              <w:rPr>
                <w:sz w:val="20"/>
                <w:szCs w:val="20"/>
                <w:color w:val="auto"/>
              </w:rPr>
            </w:pPr>
            <w:r>
              <w:rPr>
                <w:rFonts w:ascii="Arial" w:cs="Arial" w:eastAsia="Arial" w:hAnsi="Arial"/>
                <w:sz w:val="17"/>
                <w:szCs w:val="17"/>
                <w:b w:val="1"/>
                <w:bCs w:val="1"/>
                <w:color w:val="auto"/>
                <w:w w:val="97"/>
              </w:rPr>
              <w:t>Period End Fair</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Units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2020</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600" w:type="dxa"/>
            <w:vAlign w:val="bottom"/>
          </w:tcPr>
          <w:p>
            <w:pPr>
              <w:jc w:val="right"/>
              <w:spacing w:after="0"/>
              <w:rPr>
                <w:sz w:val="20"/>
                <w:szCs w:val="20"/>
                <w:color w:val="auto"/>
              </w:rPr>
            </w:pPr>
            <w:r>
              <w:rPr>
                <w:rFonts w:ascii="Arial" w:cs="Arial" w:eastAsia="Arial" w:hAnsi="Arial"/>
                <w:sz w:val="17"/>
                <w:szCs w:val="17"/>
                <w:color w:val="auto"/>
              </w:rPr>
              <w:t>1,556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Vested</w:t>
            </w:r>
          </w:p>
        </w:tc>
        <w:tc>
          <w:tcPr>
            <w:tcW w:w="16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Unvested at September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ind w:left="100" w:hanging="97"/>
        <w:spacing w:after="0" w:line="209" w:lineRule="auto"/>
        <w:tabs>
          <w:tab w:leader="none" w:pos="1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Includes changes in the unvested units due to performance adjustments</w:t>
      </w:r>
    </w:p>
    <w:p>
      <w:pPr>
        <w:spacing w:after="0" w:line="214"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 Unvested units fluctuations are shown as adjustments to units granted in the table above. These fluctuations are based on the percentage achievement of the performance metrics at the end of each reporting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37" w:lineRule="exact"/>
        <w:rPr>
          <w:sz w:val="20"/>
          <w:szCs w:val="20"/>
          <w:color w:val="auto"/>
        </w:rPr>
      </w:pPr>
    </w:p>
    <w:p>
      <w:pPr>
        <w:jc w:val="both"/>
        <w:ind w:firstLine="311"/>
        <w:spacing w:after="0" w:line="239" w:lineRule="auto"/>
        <w:rPr>
          <w:sz w:val="20"/>
          <w:szCs w:val="20"/>
          <w:color w:val="auto"/>
        </w:rPr>
      </w:pPr>
      <w:r>
        <w:rPr>
          <w:rFonts w:ascii="Arial" w:cs="Arial" w:eastAsia="Arial" w:hAnsi="Arial"/>
          <w:sz w:val="16"/>
          <w:szCs w:val="16"/>
          <w:color w:val="auto"/>
        </w:rPr>
        <w:t>The Company recognized an income tax benefit of approximately $7.3 million and $29.1 million during the nine months ended September 30, 2021 and 2020, respectively. The effective tax rate was approximately 24.3% for the nine months ended September 30, 2021, which was higher than the U.S. federal statutory rate primarily due to discrete income tax benefit recorded in the current quarter associated with the finalization of the Company’s U.S. federal income tax return, which reflected a net operating loss that was carried back to prior tax years. Based on the final carryback claim, the Company recorded a discrete income tax benefit of $7.4 million and discrete income tax expense related to a liability for unrecognized tax benefits in the amount of $2.1 million, all of which, if recognized, would impact the Company’s effective tax rate. This increase was partially offset by pre-tax losses in jurisdictions where full valuation allowances have been recorded, pre-tax losses in jurisdictions which have a zero tax rate, and certain foreign jurisdictions projecting current income tax expense. The Company’s effective tax rate was approximately 75.3% for the nine months ended September 30, 2020, which was higher than the U.S. federal statutory rate primarily due to the Company’s ability to recognize certain loss carrybacks as a result of the enactment of the Coronavirus Aid, Relief and Economic Security Act (“CARES Act”) in the first quarter of 2020, the impact of the redemption of the Company’s interest in STIN and valuation allowances recorded in domestic and foreign jurisdictions, partially offset by the impact of permanent book-tax differences.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nine months ended September 30, 2021.</w:t>
      </w:r>
    </w:p>
    <w:p>
      <w:pPr>
        <w:spacing w:after="0" w:line="216"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On March 11, 2021 the American Rescue Plan Act ("ARPA") was signed into law which is aimed at addressing the continuing economic and health impacts of the COVID-19 pandemic. This legislation relief, along with the previous governmental relief packages provide for numerous changes to current tax law. The Company does not anticipate that ARPA will have a material impact on its financial statements in the period ending September 30, 2021.</w:t>
      </w:r>
    </w:p>
    <w:p>
      <w:pPr>
        <w:spacing w:after="0" w:line="167" w:lineRule="exact"/>
        <w:rPr>
          <w:sz w:val="20"/>
          <w:szCs w:val="20"/>
          <w:color w:val="auto"/>
        </w:rPr>
      </w:pPr>
    </w:p>
    <w:p>
      <w:pPr>
        <w:jc w:val="both"/>
        <w:ind w:firstLine="311"/>
        <w:spacing w:after="0" w:line="238" w:lineRule="auto"/>
        <w:rPr>
          <w:sz w:val="20"/>
          <w:szCs w:val="20"/>
          <w:color w:val="auto"/>
        </w:rPr>
      </w:pPr>
      <w:r>
        <w:rPr>
          <w:rFonts w:ascii="Arial" w:cs="Arial" w:eastAsia="Arial" w:hAnsi="Arial"/>
          <w:sz w:val="17"/>
          <w:szCs w:val="17"/>
          <w:color w:val="auto"/>
        </w:rPr>
        <w:t>During the quarter, the Internal Revenue Service commenced an audit of certain of the Company’s prior year U.S. federal income tax filings, including the 2015 through 2020 tax years. The Company does not believe that the results of this audit will have a material effect on its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50"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7"/>
          <w:szCs w:val="17"/>
          <w:color w:val="auto"/>
        </w:rPr>
        <w:t>The Company continues to execute certain restructurings to identify workforce optimization opportunities to better align the Company’s resources with its key strategic priorities. A summary of the Company’s restructuring accrual at September 30, 2021 and changes during the nine months ended September 30, 2021, are presented below:</w:t>
      </w:r>
    </w:p>
    <w:tbl>
      <w:tblPr>
        <w:tblLayout w:type="fixed"/>
        <w:tblInd w:w="0" w:type="dxa"/>
        <w:tblCellMar>
          <w:top w:w="0" w:type="dxa"/>
          <w:left w:w="0" w:type="dxa"/>
          <w:bottom w:w="0" w:type="dxa"/>
          <w:right w:w="0" w:type="dxa"/>
        </w:tblCellMar>
      </w:tblPr>
      <w:tr>
        <w:trPr>
          <w:trHeight w:val="141"/>
        </w:trPr>
        <w:tc>
          <w:tcPr>
            <w:tcW w:w="3720" w:type="dxa"/>
            <w:vAlign w:val="bottom"/>
          </w:tcPr>
          <w:p>
            <w:pPr>
              <w:spacing w:after="0"/>
              <w:rPr>
                <w:sz w:val="12"/>
                <w:szCs w:val="12"/>
                <w:color w:val="auto"/>
              </w:rPr>
            </w:pPr>
          </w:p>
        </w:tc>
        <w:tc>
          <w:tcPr>
            <w:tcW w:w="150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Balance at December</w:t>
            </w:r>
          </w:p>
        </w:tc>
        <w:tc>
          <w:tcPr>
            <w:tcW w:w="300" w:type="dxa"/>
            <w:vAlign w:val="bottom"/>
          </w:tcPr>
          <w:p>
            <w:pPr>
              <w:spacing w:after="0"/>
              <w:rPr>
                <w:sz w:val="12"/>
                <w:szCs w:val="12"/>
                <w:color w:val="auto"/>
              </w:rPr>
            </w:pPr>
          </w:p>
        </w:tc>
        <w:tc>
          <w:tcPr>
            <w:tcW w:w="114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Other Adjustments</w:t>
            </w:r>
          </w:p>
        </w:tc>
        <w:tc>
          <w:tcPr>
            <w:tcW w:w="100" w:type="dxa"/>
            <w:vAlign w:val="bottom"/>
            <w:vMerge w:val="restart"/>
          </w:tcPr>
          <w:p>
            <w:pPr>
              <w:spacing w:after="0"/>
              <w:rPr>
                <w:sz w:val="12"/>
                <w:szCs w:val="12"/>
                <w:color w:val="auto"/>
              </w:rPr>
            </w:pPr>
          </w:p>
        </w:tc>
        <w:tc>
          <w:tcPr>
            <w:tcW w:w="1440" w:type="dxa"/>
            <w:vAlign w:val="bottom"/>
            <w:gridSpan w:val="2"/>
          </w:tcPr>
          <w:p>
            <w:pPr>
              <w:jc w:val="right"/>
              <w:ind w:right="2"/>
              <w:spacing w:after="0" w:line="141" w:lineRule="exact"/>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30, 2021</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Employment termination costs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Common Share (“EPS”)</w:t>
      </w:r>
    </w:p>
    <w:p>
      <w:pPr>
        <w:spacing w:after="0" w:line="250"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firstLine="311"/>
        <w:spacing w:after="0" w:line="276"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6"/>
                <w:szCs w:val="16"/>
                <w:b w:val="1"/>
                <w:bCs w:val="1"/>
                <w:color w:val="auto"/>
                <w:w w:val="89"/>
              </w:rPr>
              <w:t>Three Months Ended September 30,</w:t>
            </w: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216"/>
        </w:trPr>
        <w:tc>
          <w:tcPr>
            <w:tcW w:w="5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 - Basic:</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5640" w:type="dxa"/>
            <w:vAlign w:val="bottom"/>
          </w:tcPr>
          <w:p>
            <w:pPr>
              <w:ind w:left="140"/>
              <w:spacing w:after="0"/>
              <w:rPr>
                <w:sz w:val="20"/>
                <w:szCs w:val="20"/>
                <w:color w:val="auto"/>
              </w:rPr>
            </w:pPr>
            <w:r>
              <w:rPr>
                <w:rFonts w:ascii="Arial" w:cs="Arial" w:eastAsia="Arial" w:hAnsi="Arial"/>
                <w:sz w:val="17"/>
                <w:szCs w:val="17"/>
                <w:color w:val="auto"/>
              </w:rPr>
              <w:t>Net loss from continuing operations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(8,109)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(5,622)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(22,895)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(9,666)</w:t>
            </w:r>
          </w:p>
        </w:tc>
      </w:tr>
      <w:tr>
        <w:trPr>
          <w:trHeight w:val="220"/>
        </w:trPr>
        <w:tc>
          <w:tcPr>
            <w:tcW w:w="5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redeemable noncontrolling interests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20"/>
        </w:trPr>
        <w:tc>
          <w:tcPr>
            <w:tcW w:w="5640" w:type="dxa"/>
            <w:vAlign w:val="bottom"/>
            <w:tcBorders>
              <w:bottom w:val="single" w:sz="8" w:color="CCEEFF"/>
            </w:tcBorders>
          </w:tcPr>
          <w:p>
            <w:pPr>
              <w:ind w:left="140"/>
              <w:spacing w:after="0" w:line="220" w:lineRule="exact"/>
              <w:rPr>
                <w:sz w:val="20"/>
                <w:szCs w:val="20"/>
                <w:color w:val="auto"/>
              </w:rPr>
            </w:pPr>
            <w:r>
              <w:rPr>
                <w:rFonts w:ascii="Arial" w:cs="Arial" w:eastAsia="Arial" w:hAnsi="Arial"/>
                <w:sz w:val="17"/>
                <w:szCs w:val="17"/>
                <w:color w:val="auto"/>
              </w:rPr>
              <w:t xml:space="preserve">Preferred stock dividend </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(9,685)</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(27,882)</w:t>
            </w: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Synchronoss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(37,790)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 - Diluted: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640" w:type="dxa"/>
            <w:vAlign w:val="bottom"/>
          </w:tcPr>
          <w:p>
            <w:pPr>
              <w:ind w:left="140"/>
              <w:spacing w:after="0"/>
              <w:rPr>
                <w:sz w:val="20"/>
                <w:szCs w:val="20"/>
                <w:color w:val="auto"/>
              </w:rPr>
            </w:pPr>
            <w:r>
              <w:rPr>
                <w:rFonts w:ascii="Arial" w:cs="Arial" w:eastAsia="Arial" w:hAnsi="Arial"/>
                <w:sz w:val="17"/>
                <w:szCs w:val="17"/>
                <w:color w:val="auto"/>
              </w:rPr>
              <w:t>Net loss from continuing operations attributable to Synchronoss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(9,831)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(15,367)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(56,337)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(37,790)</w:t>
            </w:r>
          </w:p>
        </w:tc>
      </w:tr>
      <w:tr>
        <w:trPr>
          <w:trHeight w:val="246"/>
        </w:trPr>
        <w:tc>
          <w:tcPr>
            <w:tcW w:w="5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0"/>
        </w:trPr>
        <w:tc>
          <w:tcPr>
            <w:tcW w:w="564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42,360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41,777</w:t>
            </w:r>
          </w:p>
        </w:tc>
      </w:tr>
      <w:tr>
        <w:trPr>
          <w:trHeight w:val="220"/>
        </w:trPr>
        <w:tc>
          <w:tcPr>
            <w:tcW w:w="5640" w:type="dxa"/>
            <w:vAlign w:val="bottom"/>
          </w:tcPr>
          <w:p>
            <w:pPr>
              <w:ind w:left="20"/>
              <w:spacing w:after="0"/>
              <w:rPr>
                <w:sz w:val="20"/>
                <w:szCs w:val="20"/>
                <w:color w:val="auto"/>
              </w:rPr>
            </w:pPr>
            <w:r>
              <w:rPr>
                <w:rFonts w:ascii="Arial" w:cs="Arial" w:eastAsia="Arial" w:hAnsi="Arial"/>
                <w:sz w:val="17"/>
                <w:szCs w:val="17"/>
                <w:color w:val="auto"/>
              </w:rPr>
              <w:t>Dilutive effect of:</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6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Shares from assumed conversion of preferred stock</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40" w:type="dxa"/>
            <w:vAlign w:val="bottom"/>
          </w:tcPr>
          <w:p>
            <w:pPr>
              <w:ind w:left="220"/>
              <w:spacing w:after="0" w:line="220" w:lineRule="exact"/>
              <w:rPr>
                <w:sz w:val="20"/>
                <w:szCs w:val="20"/>
                <w:color w:val="auto"/>
              </w:rPr>
            </w:pPr>
            <w:r>
              <w:rPr>
                <w:rFonts w:ascii="Arial" w:cs="Arial" w:eastAsia="Arial" w:hAnsi="Arial"/>
                <w:sz w:val="17"/>
                <w:szCs w:val="17"/>
                <w:color w:val="auto"/>
              </w:rPr>
              <w:t>Shares from assumed conversion of Performance Based Cash Units</w:t>
            </w:r>
            <w:r>
              <w:rPr>
                <w:rFonts w:ascii="Arial" w:cs="Arial" w:eastAsia="Arial" w:hAnsi="Arial"/>
                <w:sz w:val="22"/>
                <w:szCs w:val="22"/>
                <w:color w:val="auto"/>
                <w:vertAlign w:val="superscript"/>
              </w:rPr>
              <w:t>3</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diluted</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42,360</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41,777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EPS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640" w:type="dxa"/>
            <w:vAlign w:val="bottom"/>
          </w:tcPr>
          <w:p>
            <w:pPr>
              <w:ind w:left="20"/>
              <w:spacing w:after="0"/>
              <w:rPr>
                <w:sz w:val="20"/>
                <w:szCs w:val="20"/>
                <w:color w:val="auto"/>
              </w:rPr>
            </w:pPr>
            <w:r>
              <w:rPr>
                <w:rFonts w:ascii="Arial" w:cs="Arial" w:eastAsia="Arial" w:hAnsi="Arial"/>
                <w:sz w:val="17"/>
                <w:szCs w:val="17"/>
                <w:b w:val="1"/>
                <w:bCs w:val="1"/>
                <w:color w:val="auto"/>
              </w:rPr>
              <w:t>Earnings per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r>
      <w:tr>
        <w:trPr>
          <w:trHeight w:val="220"/>
        </w:trPr>
        <w:tc>
          <w:tcPr>
            <w:tcW w:w="5640" w:type="dxa"/>
            <w:vAlign w:val="bottom"/>
          </w:tcPr>
          <w:p>
            <w:pPr>
              <w:ind w:left="140"/>
              <w:spacing w:after="0"/>
              <w:rPr>
                <w:sz w:val="20"/>
                <w:szCs w:val="20"/>
                <w:color w:val="auto"/>
              </w:rPr>
            </w:pPr>
            <w:r>
              <w:rPr>
                <w:rFonts w:ascii="Arial" w:cs="Arial" w:eastAsia="Arial" w:hAnsi="Arial"/>
                <w:sz w:val="17"/>
                <w:szCs w:val="17"/>
                <w:color w:val="auto"/>
              </w:rPr>
              <w:t>Diluted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(0.36)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(0.98)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(0.90)</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Anti-dilutive stock options excluded</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40" w:type="dxa"/>
            <w:vAlign w:val="bottom"/>
          </w:tcPr>
          <w:p>
            <w:pPr>
              <w:ind w:left="20"/>
              <w:spacing w:after="0"/>
              <w:rPr>
                <w:sz w:val="20"/>
                <w:szCs w:val="20"/>
                <w:color w:val="auto"/>
              </w:rPr>
            </w:pPr>
            <w:r>
              <w:rPr>
                <w:rFonts w:ascii="Arial" w:cs="Arial" w:eastAsia="Arial" w:hAnsi="Arial"/>
                <w:sz w:val="17"/>
                <w:szCs w:val="17"/>
                <w:color w:val="auto"/>
              </w:rPr>
              <w:t>Unvested shares of restricted stock awards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1,952</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1,952</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188" w:lineRule="auto"/>
        <w:tabs>
          <w:tab w:leader="none" w:pos="20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Current year amounts include amortization of preferred stock issuance costs accelerated due to Series A redemption during the second quarter.</w:t>
      </w:r>
    </w:p>
    <w:p>
      <w:pPr>
        <w:spacing w:after="0" w:line="14" w:lineRule="exact"/>
        <w:rPr>
          <w:sz w:val="20"/>
          <w:szCs w:val="20"/>
          <w:color w:val="auto"/>
        </w:rPr>
      </w:pPr>
    </w:p>
    <w:p>
      <w:pPr>
        <w:jc w:val="right"/>
        <w:ind w:left="320" w:hanging="317"/>
        <w:spacing w:after="0" w:line="229" w:lineRule="auto"/>
        <w:tabs>
          <w:tab w:leader="none" w:pos="216"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The calculation does not include the effect of assumed conversion of preferred stock of nil and 13,426,155 shares for the three months ended September 30, 2021 and 2020, respectively; and 14,767,557 and 12,963,664 shares for the nine months ended September 30, 2021 and 2020, respectively; which is based on 55.5556 shares per $1,000</w:t>
      </w:r>
    </w:p>
    <w:p>
      <w:pPr>
        <w:ind w:left="320"/>
        <w:spacing w:after="0" w:line="203" w:lineRule="auto"/>
        <w:rPr>
          <w:sz w:val="20"/>
          <w:szCs w:val="20"/>
          <w:color w:val="auto"/>
        </w:rPr>
      </w:pPr>
      <w:r>
        <w:rPr>
          <w:rFonts w:ascii="Arial" w:cs="Arial" w:eastAsia="Arial" w:hAnsi="Arial"/>
          <w:sz w:val="16"/>
          <w:szCs w:val="16"/>
          <w:color w:val="auto"/>
        </w:rPr>
        <w:t>principal amount of the preferred stock, because the effect would have been anti–dilutive.</w:t>
      </w:r>
    </w:p>
    <w:p>
      <w:pPr>
        <w:spacing w:after="0" w:line="15" w:lineRule="exact"/>
        <w:rPr>
          <w:sz w:val="20"/>
          <w:szCs w:val="20"/>
          <w:color w:val="auto"/>
        </w:rPr>
      </w:pPr>
    </w:p>
    <w:p>
      <w:pPr>
        <w:ind w:left="320" w:hanging="317"/>
        <w:spacing w:after="0" w:line="215" w:lineRule="auto"/>
        <w:tabs>
          <w:tab w:leader="none" w:pos="19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The calculation does not include the effect of assumed conversion of Performance Based Cash Units of 1,559,130 and nil shares for the three months ended September 30, 2021 and 2020, respectively; and 776,303 and nil shares for the nine months ended September 30, 2021 and 2020, respectively; which is based on 1 share per 1 Performance Based Cash Unit,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13. Commitments, Contingencies and Other</w:t>
            </w:r>
          </w:p>
        </w:tc>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40"/>
        </w:trPr>
        <w:tc>
          <w:tcPr>
            <w:tcW w:w="83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Purchase Obligations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40"/>
        </w:trPr>
        <w:tc>
          <w:tcPr>
            <w:tcW w:w="8300" w:type="dxa"/>
            <w:vAlign w:val="bottom"/>
            <w:gridSpan w:val="2"/>
          </w:tcPr>
          <w:p>
            <w:pPr>
              <w:ind w:left="320"/>
              <w:spacing w:after="0"/>
              <w:rPr>
                <w:sz w:val="20"/>
                <w:szCs w:val="20"/>
                <w:color w:val="auto"/>
              </w:rPr>
            </w:pPr>
            <w:r>
              <w:rPr>
                <w:rFonts w:ascii="Arial" w:cs="Arial" w:eastAsia="Arial" w:hAnsi="Arial"/>
                <w:sz w:val="17"/>
                <w:szCs w:val="17"/>
                <w:color w:val="auto"/>
              </w:rPr>
              <w:t>Aggregate annual future minimum payments under non-cancelable agreements are as follows: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6"/>
        </w:trPr>
        <w:tc>
          <w:tcPr>
            <w:tcW w:w="830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w:t>
            </w:r>
          </w:p>
        </w:tc>
        <w:tc>
          <w:tcPr>
            <w:tcW w:w="300" w:type="dxa"/>
            <w:vAlign w:val="bottom"/>
          </w:tcPr>
          <w:p>
            <w:pPr>
              <w:spacing w:after="0"/>
              <w:rPr>
                <w:sz w:val="21"/>
                <w:szCs w:val="21"/>
                <w:color w:val="auto"/>
              </w:rPr>
            </w:pPr>
          </w:p>
        </w:tc>
        <w:tc>
          <w:tcPr>
            <w:tcW w:w="2640" w:type="dxa"/>
            <w:vAlign w:val="bottom"/>
          </w:tcPr>
          <w:p>
            <w:pPr>
              <w:jc w:val="right"/>
              <w:ind w:right="374"/>
              <w:spacing w:after="0"/>
              <w:rPr>
                <w:sz w:val="20"/>
                <w:szCs w:val="20"/>
                <w:color w:val="auto"/>
              </w:rPr>
            </w:pPr>
            <w:r>
              <w:rPr>
                <w:rFonts w:ascii="Arial" w:cs="Arial" w:eastAsia="Arial" w:hAnsi="Arial"/>
                <w:sz w:val="17"/>
                <w:szCs w:val="17"/>
                <w:b w:val="1"/>
                <w:bCs w:val="1"/>
                <w:color w:val="auto"/>
                <w:w w:val="95"/>
              </w:rPr>
              <w:t>Non-cancelable agreements</w:t>
            </w:r>
          </w:p>
        </w:tc>
      </w:tr>
      <w:tr>
        <w:trPr>
          <w:trHeight w:val="213"/>
        </w:trPr>
        <w:tc>
          <w:tcPr>
            <w:tcW w:w="8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4,788</w:t>
            </w:r>
          </w:p>
        </w:tc>
      </w:tr>
      <w:tr>
        <w:trPr>
          <w:trHeight w:val="220"/>
        </w:trPr>
        <w:tc>
          <w:tcPr>
            <w:tcW w:w="820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7"/>
                <w:szCs w:val="17"/>
                <w:color w:val="auto"/>
              </w:rPr>
              <w:t>21,696</w:t>
            </w:r>
          </w:p>
        </w:tc>
      </w:tr>
      <w:tr>
        <w:trPr>
          <w:trHeight w:val="22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14,541</w:t>
            </w:r>
          </w:p>
        </w:tc>
      </w:tr>
      <w:tr>
        <w:trPr>
          <w:trHeight w:val="220"/>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2024 and thereafter</w:t>
            </w: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21,995</w:t>
            </w:r>
          </w:p>
        </w:tc>
      </w:tr>
      <w:tr>
        <w:trPr>
          <w:trHeight w:val="238"/>
        </w:trPr>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63,020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44"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81"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5"/>
          <w:szCs w:val="15"/>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 allowing lead plaintiff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The plaintiff seeks unspecified damages, fees, interest, and costs. On</w:t>
      </w:r>
    </w:p>
    <w:p>
      <w:pPr>
        <w:spacing w:after="0" w:line="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October 4, 2019, the defendants moved to dismiss the second amended complaint in its entirety. On May 29, 2020, the Court granted in part and denied in part defendants’ motion to dismiss the second amended complaint, without prejudice. Plaintiff filed its motion for class certification on October 30, 2020.</w:t>
      </w:r>
    </w:p>
    <w:p>
      <w:pPr>
        <w:spacing w:after="0" w:line="162"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On September 15, 2017, October 24, 2017, October 27, 2017 and October 30, 2017, Company shareholders filed derivative lawsuits against certain of the Company’s current and former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On March 11, 2019, the defendants filed a motion to dismiss the Operative Complaint, which the Court granted in substantial part on November 26, 2019. On December 10, 2019, the defendants filed a motion for reconsideration respecting the only claim to survive the motion to dismiss. On June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Court granted the defendants’ motion for reconsideration and dismissed the remaining claim without prejudice, allowing lead plaintiff leave to amend her complaint. On July 13, 2020, lead plaintiff filed an amended complaint. The amended complaint alleges claims related to breaches of fiduciary duties and unjust enrichment. The amended complaint’s allegations relate to substantially the same facts as those underlying the Securities Law Action described above. On April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30, 2021, the Court dismissed Plaintiff’s amended complaint in its entirety. Plaintiff filed a notice of appeal on May 28, 2021.</w:t>
      </w:r>
    </w:p>
    <w:p>
      <w:pPr>
        <w:spacing w:after="0" w:line="244"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(the “Delaware Litigation”). Plaintiffs seek unspecified damages and for the Company to take steps to improve its corporate governance and internal procedures. On May 20, 2019, the parties stipulated to a stay of the action pending a ruling on the pending motion to dismiss in the Derivative Suits.</w:t>
      </w:r>
    </w:p>
    <w:p>
      <w:pPr>
        <w:spacing w:after="0" w:line="205"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On June 11, 2020 and June 12, 2020, Company shareholders filed derivative lawsuits against certain of the Company’s current and former officers and directors and the Company (as nominal defendant) in the United States District Court for the District of New Jersey (the “Demand Refused Derivative Complaints” and together with the Delaware Litigation and the Derivative Suits, the “Derivative Actions”). The Demand Refused Derivative Complaints allege claims related to breaches of fiduciary duty, unjust enrichment, and alleged violations of securities laws. The complainants’ allegations relate substantially to the same facts as those underlying the Securities Law Action described above. The Demand Refused Derivative Complaints further allege that each plaintiff made a demand upon the Company’s Board of Directors to investigate the alleged misconduct and that such demand was wrongfully refused. Plaintiffs seek unspecified damages and for the Company to take steps to improve its corporate governance and internal procedures. On October 20, 2020, the Court consolidated the actions and appointed co-lead plaintiffs. On December 4, 2020, co-lead plaintiffs filed a consolidated amended complaint. On February 3, 2021, the defendants filed motions to dismiss the amended complaint.</w:t>
      </w:r>
    </w:p>
    <w:p>
      <w:pPr>
        <w:spacing w:after="0" w:line="237" w:lineRule="exact"/>
        <w:rPr>
          <w:sz w:val="20"/>
          <w:szCs w:val="20"/>
          <w:color w:val="auto"/>
        </w:rPr>
      </w:pPr>
    </w:p>
    <w:p>
      <w:pPr>
        <w:jc w:val="both"/>
        <w:ind w:firstLine="311"/>
        <w:spacing w:after="0" w:line="341" w:lineRule="auto"/>
        <w:rPr>
          <w:sz w:val="20"/>
          <w:szCs w:val="20"/>
          <w:color w:val="auto"/>
        </w:rPr>
      </w:pPr>
      <w:r>
        <w:rPr>
          <w:rFonts w:ascii="Arial" w:cs="Arial" w:eastAsia="Arial" w:hAnsi="Arial"/>
          <w:sz w:val="15"/>
          <w:szCs w:val="15"/>
          <w:color w:val="auto"/>
        </w:rPr>
        <w:t>On May 7, 2021, a mediation took place concerning the Securities Law Action and the Derivative Actions. On August 19, 2021, the parties to the Securities Law Action entered into a stipulation of settlement. The Court preliminarily approved the proposed settlement in the Securities Law Action on August 25, 2021,</w:t>
      </w:r>
    </w:p>
    <w:p>
      <w:pPr>
        <w:spacing w:after="0" w:line="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and a settlement hearing is scheduled for December 8, 2021. On September 9, 2021, the parties to the Derivative Actions entered into a stipulation of settlement. The Court preliminarily approved the proposed settlement in the Derivative Actions on September 14, 2021, and a settlement hearing is scheduled for November</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30, 2021. Due to the inherent uncertainties of litigation, the Company cannot predict the outcomes of the settlement hearings and gives no assurance that the asserted claims in the Securities Law Action or the Derivative Actions will not have a material adverse effect on the Company’s financial position, prospects, or results of operations.</w:t>
      </w:r>
    </w:p>
    <w:p>
      <w:pPr>
        <w:spacing w:after="0" w:line="199" w:lineRule="exact"/>
        <w:rPr>
          <w:sz w:val="20"/>
          <w:szCs w:val="20"/>
          <w:color w:val="auto"/>
        </w:rPr>
      </w:pPr>
    </w:p>
    <w:p>
      <w:pPr>
        <w:jc w:val="both"/>
        <w:ind w:firstLine="311"/>
        <w:spacing w:after="0" w:line="320" w:lineRule="auto"/>
        <w:rPr>
          <w:sz w:val="20"/>
          <w:szCs w:val="20"/>
          <w:color w:val="auto"/>
        </w:rPr>
      </w:pPr>
      <w:r>
        <w:rPr>
          <w:rFonts w:ascii="Arial" w:cs="Arial" w:eastAsia="Arial" w:hAnsi="Arial"/>
          <w:sz w:val="16"/>
          <w:szCs w:val="16"/>
          <w:color w:val="auto"/>
        </w:rPr>
        <w:t>In the third quarter of 2017, the SEC and Department of Justice initiated investigations in connection with the June 2017 Announcement and certain transactions that the Company restated in the third quarter of 2018. The Company has received subpoenas, produced documents, and provided additional</w:t>
      </w:r>
    </w:p>
    <w:p>
      <w:pPr>
        <w:spacing w:after="0" w:line="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information to the government in connection with those investigations. On June 22, 2021, the Securities and Exchange Commission (“SEC”) staff verbally notified the Company that the staff has made a preliminary determination to recommend that the SEC initiate an enforcement action against the Company. This is in connection with certain financial transactions that the Company effected in 2015 and 2016 and its disclosure of and accounting for such transactions, which the</w:t>
      </w:r>
    </w:p>
    <w:p>
      <w:pPr>
        <w:spacing w:after="0" w:line="2"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Company restated in the third quarter of 2018 in its restated annual and quarterly financial statements for 2015 and 2016. That restatement followed the Company’s announcement, on June 13, 2017 (the “June 2017 Announcement”), that certain of its prior financial statements would need to be restated. Certain individuals, including certain former members of Synchronoss’ management team, received similar notifications. The Company remains in discussions with the</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SEC staff regarding the prospect of resolving this matter through settlement. If the Company is unable to resolve this matter through settlement then it would expect to receive a “Wells notice” from the SEC staff in connection with this matter. Although a Wells notice is neither a formal charge of wrongdoing nor a final</w:t>
      </w:r>
    </w:p>
    <w:p>
      <w:pPr>
        <w:spacing w:after="0"/>
        <w:rPr>
          <w:sz w:val="20"/>
          <w:szCs w:val="20"/>
          <w:color w:val="auto"/>
        </w:rPr>
      </w:pPr>
      <w:r>
        <w:rPr>
          <w:rFonts w:ascii="Arial" w:cs="Arial" w:eastAsia="Arial" w:hAnsi="Arial"/>
          <w:sz w:val="15"/>
          <w:szCs w:val="15"/>
          <w:color w:val="auto"/>
        </w:rPr>
        <w:t>determination that the recipient has violated any law, it is a formal notice that the SEC intends to bring an enforcement action against the recipient. Upon receipt</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of a Wells notice, the recipient has the opportunity to respond to the SEC staff’s position before any formal enforcement action is taken. Due to the inherent uncertainties of government investigations, the Company cannot predict the outcome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government investigations or the SEC staff’s preliminary determination at this time and can give no assurance that the asserted claims will not have a material adverse effect on its financial position, prospects, or results of operations.</w:t>
      </w:r>
    </w:p>
    <w:p>
      <w:pPr>
        <w:spacing w:after="0" w:line="186" w:lineRule="exact"/>
        <w:rPr>
          <w:sz w:val="20"/>
          <w:szCs w:val="20"/>
          <w:color w:val="auto"/>
        </w:rPr>
      </w:pPr>
    </w:p>
    <w:p>
      <w:pPr>
        <w:jc w:val="both"/>
        <w:ind w:firstLine="311"/>
        <w:spacing w:after="0" w:line="295" w:lineRule="auto"/>
        <w:rPr>
          <w:sz w:val="20"/>
          <w:szCs w:val="20"/>
          <w:color w:val="auto"/>
        </w:rPr>
      </w:pPr>
      <w:r>
        <w:rPr>
          <w:rFonts w:ascii="Arial" w:cs="Arial" w:eastAsia="Arial" w:hAnsi="Arial"/>
          <w:sz w:val="16"/>
          <w:szCs w:val="16"/>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 The Company is</w:t>
      </w:r>
    </w:p>
    <w:p>
      <w:pPr>
        <w:jc w:val="both"/>
        <w:spacing w:after="0" w:line="268" w:lineRule="auto"/>
        <w:rPr>
          <w:sz w:val="20"/>
          <w:szCs w:val="20"/>
          <w:color w:val="auto"/>
        </w:rPr>
      </w:pPr>
      <w:r>
        <w:rPr>
          <w:rFonts w:ascii="Arial" w:cs="Arial" w:eastAsia="Arial" w:hAnsi="Arial"/>
          <w:sz w:val="17"/>
          <w:szCs w:val="17"/>
          <w:color w:val="auto"/>
        </w:rPr>
        <w:t>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all such counterclaims.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Additional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components of included in the Other Income, net included in the Condensed 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330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2900" w:type="dxa"/>
            <w:vAlign w:val="bottom"/>
            <w:gridSpan w:val="4"/>
          </w:tcPr>
          <w:p>
            <w:pPr>
              <w:jc w:val="right"/>
              <w:ind w:right="335"/>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0"/>
        </w:trPr>
        <w:tc>
          <w:tcPr>
            <w:tcW w:w="47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r>
      <w:tr>
        <w:trPr>
          <w:trHeight w:val="215"/>
        </w:trPr>
        <w:tc>
          <w:tcPr>
            <w:tcW w:w="47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FX gains (losses)</w:t>
            </w:r>
            <w:r>
              <w:rPr>
                <w:rFonts w:ascii="Arial" w:cs="Arial" w:eastAsia="Arial" w:hAnsi="Arial"/>
                <w:sz w:val="22"/>
                <w:szCs w:val="22"/>
                <w:color w:val="auto"/>
                <w:vertAlign w:val="superscript"/>
              </w:rPr>
              <w:t>1</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(1,752)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r>
      <w:tr>
        <w:trPr>
          <w:trHeight w:val="220"/>
        </w:trPr>
        <w:tc>
          <w:tcPr>
            <w:tcW w:w="4760" w:type="dxa"/>
            <w:vAlign w:val="bottom"/>
          </w:tcPr>
          <w:p>
            <w:pPr>
              <w:ind w:left="20"/>
              <w:spacing w:after="0"/>
              <w:rPr>
                <w:sz w:val="20"/>
                <w:szCs w:val="20"/>
                <w:color w:val="auto"/>
              </w:rPr>
            </w:pPr>
            <w:r>
              <w:rPr>
                <w:rFonts w:ascii="Arial" w:cs="Arial" w:eastAsia="Arial" w:hAnsi="Arial"/>
                <w:sz w:val="17"/>
                <w:szCs w:val="17"/>
                <w:color w:val="auto"/>
              </w:rPr>
              <w:t>Government refunds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874</w:t>
            </w:r>
          </w:p>
        </w:tc>
      </w:tr>
      <w:tr>
        <w:trPr>
          <w:trHeight w:val="220"/>
        </w:trPr>
        <w:tc>
          <w:tcPr>
            <w:tcW w:w="47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Income from sale of intangible assets</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20"/>
        </w:trPr>
        <w:tc>
          <w:tcPr>
            <w:tcW w:w="476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r>
      <w:tr>
        <w:trPr>
          <w:trHeight w:val="238"/>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(1,669)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80" w:hanging="77"/>
        <w:spacing w:after="0" w:line="184" w:lineRule="auto"/>
        <w:tabs>
          <w:tab w:leader="none" w:pos="8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Fair value of foreign exchange gains and losses</w:t>
      </w:r>
    </w:p>
    <w:p>
      <w:pPr>
        <w:ind w:left="80" w:hanging="77"/>
        <w:spacing w:after="0" w:line="206" w:lineRule="auto"/>
        <w:tabs>
          <w:tab w:leader="none" w:pos="80"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Represents gain on sale of certain of the Company’s IP addresses and Patents</w:t>
      </w: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Represents an aggregate of individually immaterial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88"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5"/>
          <w:szCs w:val="15"/>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87"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North America, Europe and Asia-Pacific.</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Impacts of COVID-19</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Although COVID-19 has not significantly affected our business to date, this disclosure discusses the actions the Company has taken in response to the COVID-19 crisis and the impacts that the situation has had on our business, as well as related known or expected trends.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continued impact of COVID-19 on the macroeconomy and our business will depend significantly on the effectiveness and distribution of the vaccine, the potential cyclicality of the health crisis and the related public policy actions, market or regulatory needs or demands, the length and severity of the global economic slowdown, and whether and how our customers change their behaviors over the longer term. As a result, the demand for our products and services, as well as our overall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of operations, may be materially and adversely impacted by the pandemic for the duration of 2021 or longer, and we are unable to predict the duration or degree of such impact with any certainty.</w:t>
      </w:r>
    </w:p>
    <w:p>
      <w:pPr>
        <w:spacing w:after="0" w:line="186" w:lineRule="exact"/>
        <w:rPr>
          <w:sz w:val="20"/>
          <w:szCs w:val="20"/>
          <w:color w:val="auto"/>
        </w:rPr>
      </w:pPr>
    </w:p>
    <w:p>
      <w:pPr>
        <w:ind w:firstLine="311"/>
        <w:spacing w:after="0" w:line="353" w:lineRule="auto"/>
        <w:rPr>
          <w:sz w:val="20"/>
          <w:szCs w:val="20"/>
          <w:color w:val="auto"/>
        </w:rPr>
      </w:pPr>
      <w:r>
        <w:rPr>
          <w:rFonts w:ascii="Arial" w:cs="Arial" w:eastAsia="Arial" w:hAnsi="Arial"/>
          <w:sz w:val="15"/>
          <w:szCs w:val="15"/>
          <w:color w:val="auto"/>
        </w:rPr>
        <w:t>In response to the ongoing COVID-19 pandemic, we continue to execute our business continuity plans and evolve our operations to protect the safety of our employees while continuing to provide critical products and services to our customers. Some of the key initiatives the Company continues to execute include:</w:t>
      </w:r>
    </w:p>
    <w:p>
      <w:pPr>
        <w:spacing w:after="0" w:line="139" w:lineRule="exact"/>
        <w:rPr>
          <w:sz w:val="20"/>
          <w:szCs w:val="20"/>
          <w:color w:val="auto"/>
        </w:rPr>
      </w:pPr>
    </w:p>
    <w:p>
      <w:pPr>
        <w:ind w:left="620" w:hanging="30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Working safely and effectively with new and existing customers to continue to provide our products and services through the pandemic</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Continuing to enhance and modify our safety protocols for our employees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Adjusting business operations to address circumstances created by COVID-19</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effective governance and internal controls in a remote work environment</w:t>
      </w:r>
    </w:p>
    <w:p>
      <w:pPr>
        <w:spacing w:after="0" w:line="23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As the pandemic continues, we may revise our approach to these initiatives or take additional actions to meet the needs of our employees, customers and the Company and to continue to provide our products and services.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per transaction or subscription basis, which is derived from contracts that extend up to 60 months from execution.</w:t>
      </w:r>
    </w:p>
    <w:p>
      <w:pPr>
        <w:spacing w:after="0" w:line="25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Our top five customers accounted for 69.2% and 69.0% of net revenues for the nine months ended September 30, 2021 and September 30, 2020, respectively. Contracts with these customers typically run for three to five years. Of these customers, Verizon accounted for more than 10% of our revenues in 2021 and 2020. The loss of Verizon as a customer would have a material negative impact on our company. However, we believe that the costs incurred and subscriber disruption by Verizon to replace Synchronoss’ solutions would be substantial.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50"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As the COVID-19 pandemic continues to evolve, we are actively monitoring the global situation. The extent of the continuing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continue to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a weakening of foreign currencies relative to the U.S. dollar, which may cause our revenues to decline relative to our costs.</w:t>
      </w:r>
    </w:p>
    <w:p>
      <w:pPr>
        <w:spacing w:after="0" w:line="198"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connected home devices. The need for the contents of these devices to be stored in a common cloud are also expected to be drivers of our business in the longer term.</w:t>
      </w:r>
    </w:p>
    <w:p>
      <w:pPr>
        <w:spacing w:after="0" w:line="160"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72"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82"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To support our growth, which we expect to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7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2021 compared to the three months ended September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September 30,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3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 2021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47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w w:val="98"/>
              </w:rPr>
              <w:t>2021 vs 2020</w:t>
            </w:r>
          </w:p>
        </w:tc>
      </w:tr>
      <w:tr>
        <w:trPr>
          <w:trHeight w:val="215"/>
        </w:trPr>
        <w:tc>
          <w:tcPr>
            <w:tcW w:w="4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revenues</w:t>
            </w:r>
          </w:p>
        </w:tc>
        <w:tc>
          <w:tcPr>
            <w:tcW w:w="144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69,753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7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r>
      <w:tr>
        <w:trPr>
          <w:trHeight w:val="220"/>
        </w:trPr>
        <w:tc>
          <w:tcPr>
            <w:tcW w:w="4720" w:type="dxa"/>
            <w:vAlign w:val="bottom"/>
          </w:tcPr>
          <w:p>
            <w:pPr>
              <w:ind w:left="54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27,245</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28,452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(1,207)</w:t>
            </w:r>
          </w:p>
        </w:tc>
      </w:tr>
      <w:tr>
        <w:trPr>
          <w:trHeight w:val="220"/>
        </w:trPr>
        <w:tc>
          <w:tcPr>
            <w:tcW w:w="47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Research and development</w:t>
            </w: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(5,517)</w:t>
            </w:r>
          </w:p>
        </w:tc>
      </w:tr>
      <w:tr>
        <w:trPr>
          <w:trHeight w:val="220"/>
        </w:trPr>
        <w:tc>
          <w:tcPr>
            <w:tcW w:w="4720" w:type="dxa"/>
            <w:vAlign w:val="bottom"/>
          </w:tcPr>
          <w:p>
            <w:pPr>
              <w:ind w:left="560"/>
              <w:spacing w:after="0"/>
              <w:rPr>
                <w:sz w:val="20"/>
                <w:szCs w:val="20"/>
                <w:color w:val="auto"/>
              </w:rPr>
            </w:pPr>
            <w:r>
              <w:rPr>
                <w:rFonts w:ascii="Arial" w:cs="Arial" w:eastAsia="Arial" w:hAnsi="Arial"/>
                <w:sz w:val="17"/>
                <w:szCs w:val="17"/>
                <w:color w:val="auto"/>
              </w:rPr>
              <w:t>Selling, general and administrative</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27,953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23,265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4,688</w:t>
            </w:r>
          </w:p>
        </w:tc>
      </w:tr>
      <w:tr>
        <w:trPr>
          <w:trHeight w:val="220"/>
        </w:trPr>
        <w:tc>
          <w:tcPr>
            <w:tcW w:w="47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Restructuring charges</w:t>
            </w: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r>
      <w:tr>
        <w:trPr>
          <w:trHeight w:val="220"/>
        </w:trPr>
        <w:tc>
          <w:tcPr>
            <w:tcW w:w="472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Depreciation and amortization</w:t>
            </w:r>
          </w:p>
        </w:tc>
        <w:tc>
          <w:tcPr>
            <w:tcW w:w="1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(3,997)</w:t>
            </w:r>
          </w:p>
        </w:tc>
      </w:tr>
      <w:tr>
        <w:trPr>
          <w:trHeight w:val="213"/>
        </w:trPr>
        <w:tc>
          <w:tcPr>
            <w:tcW w:w="47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costs and expenses</w:t>
            </w:r>
          </w:p>
        </w:tc>
        <w:tc>
          <w:tcPr>
            <w:tcW w:w="1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80,266</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85,634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(5,368)</w:t>
            </w:r>
          </w:p>
        </w:tc>
      </w:tr>
      <w:tr>
        <w:trPr>
          <w:trHeight w:val="213"/>
        </w:trPr>
        <w:tc>
          <w:tcPr>
            <w:tcW w:w="4720" w:type="dxa"/>
            <w:vAlign w:val="bottom"/>
          </w:tcPr>
          <w:p>
            <w:pPr>
              <w:ind w:left="340"/>
              <w:spacing w:after="0"/>
              <w:rPr>
                <w:sz w:val="20"/>
                <w:szCs w:val="20"/>
                <w:color w:val="auto"/>
              </w:rPr>
            </w:pPr>
            <w:r>
              <w:rPr>
                <w:rFonts w:ascii="Arial" w:cs="Arial" w:eastAsia="Arial" w:hAnsi="Arial"/>
                <w:sz w:val="17"/>
                <w:szCs w:val="17"/>
                <w:color w:val="auto"/>
              </w:rPr>
              <w:t>Loss from continuing operations</w:t>
            </w:r>
          </w:p>
        </w:tc>
        <w:tc>
          <w:tcPr>
            <w:tcW w:w="1440" w:type="dxa"/>
            <w:vAlign w:val="bottom"/>
            <w:tcBorders>
              <w:bottom w:val="single" w:sz="8" w:color="auto"/>
            </w:tcBorders>
          </w:tcPr>
          <w:p>
            <w:pPr>
              <w:jc w:val="right"/>
              <w:ind w:right="93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(10,513)</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97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(16,998)</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6,485</w:t>
            </w:r>
          </w:p>
        </w:tc>
      </w:tr>
      <w:tr>
        <w:trPr>
          <w:trHeight w:val="20"/>
        </w:trPr>
        <w:tc>
          <w:tcPr>
            <w:tcW w:w="4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08"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increased $1.1 million to $69.8 million for the three months ended September 30, 2021, compared to the same period in 2020. The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is primarily driven by growth in cloud subscribers and new digital license sales partially offset by non-recurring advanced messaging deals in the prior period.</w:t>
      </w:r>
    </w:p>
    <w:p>
      <w:pPr>
        <w:spacing w:after="0" w:line="189"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$1.2 million to $27.2 million for the three months ended September 30, 2021, compared to the same period in 2020. The 2021</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attributable to continued efforts to streamline our business operations and reduce costs.</w:t>
      </w:r>
    </w:p>
    <w:p>
      <w:pPr>
        <w:spacing w:after="0" w:line="173"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$5.5 million to $15.4 million for the three months ended September 30, 2021,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2020. The research and development costs decreased year over year mainly as a result of executed cost savings initiatives to streamline our workforce and reduce vendor spend.</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increased $4.7 million to $28.0 million for the three months ended September 30, 2021,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2020. Our selling, general and administrative expense excluding legal reserves decreased period over period as a result of the continued cost savings initiatives executed in year which included headcount reductions, reduced vendor spending and lower facility costs.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$1.5 million and $0.8 million for the three months ended September 30, 2021 and 2020, respectively, which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 costs as a result of the work-force reductions initiated in the current year to reduce operating costs and align our resources with our key strategic priorities.</w:t>
      </w:r>
    </w:p>
    <w:p>
      <w:pPr>
        <w:spacing w:after="0" w:line="189" w:lineRule="exact"/>
        <w:rPr>
          <w:sz w:val="20"/>
          <w:szCs w:val="20"/>
          <w:color w:val="auto"/>
        </w:rPr>
      </w:pPr>
    </w:p>
    <w:p>
      <w:pPr>
        <w:jc w:val="both"/>
        <w:ind w:firstLine="311"/>
        <w:spacing w:after="0" w:line="324" w:lineRule="auto"/>
        <w:rPr>
          <w:sz w:val="20"/>
          <w:szCs w:val="20"/>
          <w:color w:val="auto"/>
        </w:rPr>
      </w:pPr>
      <w:r>
        <w:rPr>
          <w:rFonts w:ascii="Arial" w:cs="Arial" w:eastAsia="Arial" w:hAnsi="Arial"/>
          <w:sz w:val="15"/>
          <w:szCs w:val="15"/>
          <w:b w:val="1"/>
          <w:bCs w:val="1"/>
          <w:color w:val="auto"/>
        </w:rPr>
        <w:t xml:space="preserve">Depreciation and amortization </w:t>
      </w:r>
      <w:r>
        <w:rPr>
          <w:rFonts w:ascii="Arial" w:cs="Arial" w:eastAsia="Arial" w:hAnsi="Arial"/>
          <w:sz w:val="15"/>
          <w:szCs w:val="15"/>
          <w:color w:val="auto"/>
        </w:rPr>
        <w:t>expense decreased $4.0 million to $8.2 million for the three months ended September 30, 2021, compared to the same period</w:t>
      </w:r>
      <w:r>
        <w:rPr>
          <w:rFonts w:ascii="Arial" w:cs="Arial" w:eastAsia="Arial" w:hAnsi="Arial"/>
          <w:sz w:val="15"/>
          <w:szCs w:val="15"/>
          <w:b w:val="1"/>
          <w:bCs w:val="1"/>
          <w:color w:val="auto"/>
        </w:rPr>
        <w:t xml:space="preserve"> </w:t>
      </w:r>
      <w:r>
        <w:rPr>
          <w:rFonts w:ascii="Arial" w:cs="Arial" w:eastAsia="Arial" w:hAnsi="Arial"/>
          <w:sz w:val="15"/>
          <w:szCs w:val="15"/>
          <w:color w:val="auto"/>
        </w:rPr>
        <w:t>in 2020. The 2021 decrease was primarily attributable to the expiration of amortizable acquired assets in combination with reduced capital expenditures mainly as a result of the data center consolidation project and efforts to streamline business operations, partially offset by the increased amortization of capitalized software.</w:t>
      </w:r>
    </w:p>
    <w:p>
      <w:pPr>
        <w:spacing w:after="0" w:line="142" w:lineRule="exact"/>
        <w:rPr>
          <w:sz w:val="20"/>
          <w:szCs w:val="20"/>
          <w:color w:val="auto"/>
        </w:rPr>
      </w:pPr>
    </w:p>
    <w:p>
      <w:pPr>
        <w:jc w:val="both"/>
        <w:ind w:firstLine="311"/>
        <w:spacing w:after="0" w:line="247" w:lineRule="auto"/>
        <w:rPr>
          <w:sz w:val="20"/>
          <w:szCs w:val="20"/>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color w:val="auto"/>
        </w:rPr>
        <w:t>The Company recognized an income tax benefit of approximately $7.0 million and $8.7 million during the three months ended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2021 and 2020, respectively. The effective tax rate was approximately 46.3% for the three months ended September 30, 2021, which was higher than the U.S. federal statutory rate primarily due to discrete income tax benefit recorded in the current quarter associated with the finalization of the Company’s U.S. federal income tax return, which reflected a net operating loss that was carried back to prior tax years. Based on the final carryback claim, the Company recorded a discrete income tax benefit of $7.4 million and discrete income tax expense related to a liability for unrecognized tax benefits in the amount of $2.1 million, all of which, if recognized, would impact our effective tax rate. This increase was partially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by pre-tax losses in jurisdictions where full valuation allowances have been recorded, pre-tax losses in jurisdictions which have a zero tax rate, and certain foreign jurisdictions projecting current income tax expense. The Company’s effective tax rate was approximately 60.9% for the three months ended September 30, 2020, which was higher than the U.S. federal statutory rate primarily due to the Company’s ability to recognize certain loss carrybacks as a result of the enactment of the Coronavirus Aid, Relief and Economic Security Act (“CARES Act”) in the first quarter of 2020, the impact of the redemption of the Company’s interest in STIN and valuation allowances recorded in domestic and foreign jurisdictions, partially offset by the impact of permanent book-tax differences.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2021 compared to the nine months ended September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nine months ended September 30,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5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2021 vs 2020</w:t>
            </w:r>
          </w:p>
        </w:tc>
      </w:tr>
      <w:tr>
        <w:trPr>
          <w:trHeight w:val="215"/>
        </w:trPr>
        <w:tc>
          <w:tcPr>
            <w:tcW w:w="5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revenues</w:t>
            </w:r>
          </w:p>
        </w:tc>
        <w:tc>
          <w:tcPr>
            <w:tcW w:w="132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206,784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222,293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(15,509)</w:t>
            </w:r>
          </w:p>
        </w:tc>
      </w:tr>
      <w:tr>
        <w:trPr>
          <w:trHeight w:val="220"/>
        </w:trPr>
        <w:tc>
          <w:tcPr>
            <w:tcW w:w="5140" w:type="dxa"/>
            <w:vAlign w:val="bottom"/>
          </w:tcPr>
          <w:p>
            <w:pPr>
              <w:ind w:left="34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83,024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93,403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(10,379)</w:t>
            </w:r>
          </w:p>
        </w:tc>
      </w:tr>
      <w:tr>
        <w:trPr>
          <w:trHeight w:val="220"/>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Research and development</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(9,807)</w:t>
            </w:r>
          </w:p>
        </w:tc>
      </w:tr>
      <w:tr>
        <w:trPr>
          <w:trHeight w:val="220"/>
        </w:trPr>
        <w:tc>
          <w:tcPr>
            <w:tcW w:w="5140" w:type="dxa"/>
            <w:vAlign w:val="bottom"/>
          </w:tcPr>
          <w:p>
            <w:pPr>
              <w:ind w:left="440"/>
              <w:spacing w:after="0"/>
              <w:rPr>
                <w:sz w:val="20"/>
                <w:szCs w:val="20"/>
                <w:color w:val="auto"/>
              </w:rPr>
            </w:pPr>
            <w:r>
              <w:rPr>
                <w:rFonts w:ascii="Arial" w:cs="Arial" w:eastAsia="Arial" w:hAnsi="Arial"/>
                <w:sz w:val="17"/>
                <w:szCs w:val="17"/>
                <w:color w:val="auto"/>
              </w:rPr>
              <w:t>Selling, general and administrative</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67,790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74,249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(6,459)</w:t>
            </w:r>
          </w:p>
        </w:tc>
      </w:tr>
      <w:tr>
        <w:trPr>
          <w:trHeight w:val="220"/>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Restructuring charges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(3,688)</w:t>
            </w:r>
          </w:p>
        </w:tc>
      </w:tr>
      <w:tr>
        <w:trPr>
          <w:trHeight w:val="220"/>
        </w:trPr>
        <w:tc>
          <w:tcPr>
            <w:tcW w:w="51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Depreciation and amortization</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26,567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(7,285)</w:t>
            </w:r>
          </w:p>
        </w:tc>
      </w:tr>
      <w:tr>
        <w:trPr>
          <w:trHeight w:val="213"/>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costs and expenses</w:t>
            </w:r>
          </w:p>
        </w:tc>
        <w:tc>
          <w:tcPr>
            <w:tcW w:w="1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230,418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268,036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(37,618)</w:t>
            </w:r>
          </w:p>
        </w:tc>
      </w:tr>
      <w:tr>
        <w:trPr>
          <w:trHeight w:val="213"/>
        </w:trPr>
        <w:tc>
          <w:tcPr>
            <w:tcW w:w="5140" w:type="dxa"/>
            <w:vAlign w:val="bottom"/>
          </w:tcPr>
          <w:p>
            <w:pPr>
              <w:ind w:left="440"/>
              <w:spacing w:after="0"/>
              <w:rPr>
                <w:sz w:val="20"/>
                <w:szCs w:val="20"/>
                <w:color w:val="auto"/>
              </w:rPr>
            </w:pPr>
            <w:r>
              <w:rPr>
                <w:rFonts w:ascii="Arial" w:cs="Arial" w:eastAsia="Arial" w:hAnsi="Arial"/>
                <w:sz w:val="17"/>
                <w:szCs w:val="17"/>
                <w:color w:val="auto"/>
              </w:rPr>
              <w:t>Loss from continuing operations</w:t>
            </w:r>
          </w:p>
        </w:tc>
        <w:tc>
          <w:tcPr>
            <w:tcW w:w="1320" w:type="dxa"/>
            <w:vAlign w:val="bottom"/>
            <w:tcBorders>
              <w:bottom w:val="single" w:sz="8" w:color="auto"/>
            </w:tcBorders>
          </w:tcPr>
          <w:p>
            <w:pPr>
              <w:jc w:val="right"/>
              <w:ind w:right="818"/>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(23,634)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81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(45,743)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22,109</w:t>
            </w:r>
          </w:p>
        </w:tc>
      </w:tr>
      <w:tr>
        <w:trPr>
          <w:trHeight w:val="20"/>
        </w:trPr>
        <w:tc>
          <w:tcPr>
            <w:tcW w:w="5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08"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decreased $15.5 million to $206.8 million for the nine months ended September 30, 2021, compared to the same period in 2020. The decrease</w:t>
      </w:r>
      <w:r>
        <w:rPr>
          <w:rFonts w:ascii="Arial" w:cs="Arial" w:eastAsia="Arial" w:hAnsi="Arial"/>
          <w:sz w:val="17"/>
          <w:szCs w:val="17"/>
          <w:b w:val="1"/>
          <w:bCs w:val="1"/>
          <w:color w:val="auto"/>
        </w:rPr>
        <w:t xml:space="preserve"> </w:t>
      </w:r>
      <w:r>
        <w:rPr>
          <w:rFonts w:ascii="Arial" w:cs="Arial" w:eastAsia="Arial" w:hAnsi="Arial"/>
          <w:sz w:val="17"/>
          <w:szCs w:val="17"/>
          <w:color w:val="auto"/>
        </w:rPr>
        <w:t>in revenue is primarily attributable to non-recurring license sales and one-time professional services in the prior period and the accounting treatment of deferred revenue due to a customer renewal as per ASC 606, which was signed in the third quarter of fiscal 2020. These changes were partially offset by growth in cloud subscribers and the acceleration of subscription revenue from the dissolution of a previous customer.</w:t>
      </w:r>
    </w:p>
    <w:p>
      <w:pPr>
        <w:spacing w:after="0" w:line="194"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$10.4 million to $83.0 million for the nine months ended September 30, 2021, compared to the same period in 2020. The 2021</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due to continued efforts to streamline operations and reduce costs. These initiatives resulted in a significant decrease in cost of revenues driven mainly by data center consolidation, reduced vendor spending, and operating expense savings.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$9.8 million to $50.0 million for the nine months ended September 30, 2021,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2020. The research and development costs decreased year over year mainly as a result of executed cost savings initiatives to streamline our workforce and reduce vendor spend.</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$6.5 million to $67.8 million for the nine months ended September 30, 2021,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2020. The 2021 decrease was primarily driven by cost savings initiatives that resulted in a decrease in employee costs, facilities, and external costs related to outside consultants and legal fees.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decreased $3.7 million to $3.1 million for the nine months ended September 30, 2021, compared to the same period in 2020, which</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related to employment termination costs as a result of the work-force reductions initiated in the current year to reduce operating costs and align our resources with our key strategic priorities.</w:t>
      </w:r>
    </w:p>
    <w:p>
      <w:pPr>
        <w:spacing w:after="0" w:line="189"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$7.3 million to $26.6 million for the nine months ended September 30, 2021,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2020. The 2021 decrease was primarily attributable to the expiration of amortizable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acquired assets in combination with reduced capital expenditures mainly as a result of the data center consolidation project and efforts to streamline business operations, partially offset by the increased amortization of capitalized software.</w:t>
      </w:r>
    </w:p>
    <w:p>
      <w:pPr>
        <w:spacing w:after="0" w:line="167"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5"/>
          <w:szCs w:val="15"/>
          <w:b w:val="1"/>
          <w:bCs w:val="1"/>
          <w:color w:val="auto"/>
        </w:rPr>
        <w:t xml:space="preserve">Income tax. </w:t>
      </w:r>
      <w:r>
        <w:rPr>
          <w:rFonts w:ascii="Arial" w:cs="Arial" w:eastAsia="Arial" w:hAnsi="Arial"/>
          <w:sz w:val="15"/>
          <w:szCs w:val="15"/>
          <w:color w:val="auto"/>
        </w:rPr>
        <w:t>The Company recognized an income tax benefit of approximately $7.3 million and $29.1 million during the nine months ended September 30,</w:t>
      </w:r>
      <w:r>
        <w:rPr>
          <w:rFonts w:ascii="Arial" w:cs="Arial" w:eastAsia="Arial" w:hAnsi="Arial"/>
          <w:sz w:val="15"/>
          <w:szCs w:val="15"/>
          <w:b w:val="1"/>
          <w:bCs w:val="1"/>
          <w:color w:val="auto"/>
        </w:rPr>
        <w:t xml:space="preserve"> </w:t>
      </w:r>
      <w:r>
        <w:rPr>
          <w:rFonts w:ascii="Arial" w:cs="Arial" w:eastAsia="Arial" w:hAnsi="Arial"/>
          <w:sz w:val="15"/>
          <w:szCs w:val="15"/>
          <w:color w:val="auto"/>
        </w:rPr>
        <w:t>2021 and 2020, respectively. The effective tax rate was approximately 24.3% for the nine months ended September 30, 2021, which was higher than the U.S. federal statutory rate primarily due to discrete income tax benefit recorded in the current quarter associated with the finalization of the Company’s U.S. federal income tax return, which reflected a net operating loss that was carried back to prior tax years. Based on the final carryback claim, the Company recorded a discrete income tax benefit of $7.4 million and discrete income tax expense related to a liability for unrecognized tax benefits in the amount of $2.1 million, all of which, if recognized, would impact our effective tax rate. This increase was partially offset by pre-tax losses in jurisdictions where full valuation allowances have been recorded, pre-tax losses in jurisdictions which have a zero tax rate, and certain foreign jurisdictions projecting current income tax expense. The Company’s effective tax rate was approximately 75.3% for the nine months ended September 30, 2020, which was higher than the U.S. federal statutory rate primarily due to the Company’s ability to recognize certain loss carrybacks as a result of the enactment of the Coronavirus Aid, Relief and Economic Security Act (“CARES Act”) in the first quarter 2020, the impact of the redemption of the Company’s interest in STIN and valuation allowances recorded in domestic and foreign jurisdictions, partially offset by the impact of permanent book-tax differences.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nine months ended September 30,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of September 30, 2021, our principal sources of liquidity were cash provided by operations and the remaining proceeds from the financing transactions. Our cash and cash equivalents balance was $24.1 million at September 30, 2021. We anticipate that our principal uses of cash and cash equivalents will be to fund our business, including technology expansion and working capital.</w:t>
      </w:r>
    </w:p>
    <w:p>
      <w:pPr>
        <w:spacing w:after="0" w:line="199"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At September 30, 2021, our non-U.S. subsidiaries held approximately $9.0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5" w:lineRule="exact"/>
        <w:rPr>
          <w:sz w:val="20"/>
          <w:szCs w:val="20"/>
          <w:color w:val="auto"/>
        </w:rPr>
      </w:pPr>
    </w:p>
    <w:p>
      <w:pPr>
        <w:jc w:val="both"/>
        <w:ind w:firstLine="311"/>
        <w:spacing w:after="0" w:line="241" w:lineRule="auto"/>
        <w:rPr>
          <w:sz w:val="20"/>
          <w:szCs w:val="20"/>
          <w:color w:val="auto"/>
        </w:rPr>
      </w:pPr>
      <w:r>
        <w:rPr>
          <w:rFonts w:ascii="Arial" w:cs="Arial" w:eastAsia="Arial" w:hAnsi="Arial"/>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However, as the impact of the COVID-19 pandemic on the economy and our operations evolves,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the continued global impact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in our Annual Report on Form 10-K for the year ended December 31, 2020, some of which are outside of our control.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of Series A Preferred Stock</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net proceeds from our public offering of common stock, Senior Note offering and the Series B Preferred Stock transaction was used in part to fully redeem all outstanding shares of Series A Preferred Stock on June 30, 2021 (the “Redemption”).</w:t>
      </w:r>
    </w:p>
    <w:p>
      <w:pPr>
        <w:spacing w:after="0" w:line="180"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7"/>
          <w:szCs w:val="17"/>
          <w:color w:val="auto"/>
        </w:rPr>
        <w:t xml:space="preserve">For further details, see </w:t>
      </w:r>
      <w:r>
        <w:rPr>
          <w:rFonts w:ascii="Arial" w:cs="Arial" w:eastAsia="Arial" w:hAnsi="Arial"/>
          <w:sz w:val="17"/>
          <w:szCs w:val="17"/>
          <w:b w:val="1"/>
          <w:bCs w:val="1"/>
          <w:i w:val="1"/>
          <w:iCs w:val="1"/>
          <w:color w:val="auto"/>
        </w:rPr>
        <w:t>Note 7. Debt</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b w:val="1"/>
          <w:bCs w:val="1"/>
          <w:color w:val="auto"/>
        </w:rPr>
        <w:t>9. Stockholders’ Equity</w:t>
      </w:r>
      <w:r>
        <w:rPr>
          <w:rFonts w:ascii="Arial" w:cs="Arial" w:eastAsia="Arial" w:hAnsi="Arial"/>
          <w:sz w:val="17"/>
          <w:szCs w:val="17"/>
          <w:color w:val="auto"/>
        </w:rPr>
        <w:t xml:space="preserve"> of the Notes to Condensed Consolidated Financial Statements in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Preferred Stock</w:t>
      </w:r>
    </w:p>
    <w:p>
      <w:pPr>
        <w:spacing w:after="0" w:line="244"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On June 30, 2021, we closed a private placement of 75,000 shares of or Series B Preferred Stock, for an aggregate purchase price of $75.0 million.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(as defined in the Series B Certificate)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Synchronoss does not declare and pay a dividend in cash on any Series B Dividend Payment Date, the unpaid amount of the Preferred Dividend will be added to the Liquidation Preference.</w:t>
      </w:r>
    </w:p>
    <w:p>
      <w:pPr>
        <w:spacing w:after="0" w:line="185" w:lineRule="exact"/>
        <w:rPr>
          <w:sz w:val="20"/>
          <w:szCs w:val="20"/>
          <w:color w:val="auto"/>
        </w:rPr>
      </w:pPr>
    </w:p>
    <w:p>
      <w:pPr>
        <w:jc w:val="both"/>
        <w:ind w:firstLine="311"/>
        <w:spacing w:after="0"/>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Synchronoss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(as that term is defined in the Series B Certificate)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Synchronoss will be required to use (i) the first proceeds $50.0 million of proceeds from certain transactions (i.e., disposition, sale of assets, tax refunds) received by the Company to redeem for cash, shares of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Series B Preferred Stock, on a pro rata basis among each holder of Series B Preferred Stock.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We repaid in full and closed our Revolving Credit Facility as of June 30, 2021. For further details, see </w:t>
      </w:r>
      <w:r>
        <w:rPr>
          <w:rFonts w:ascii="Arial" w:cs="Arial" w:eastAsia="Arial" w:hAnsi="Arial"/>
          <w:sz w:val="17"/>
          <w:szCs w:val="17"/>
          <w:b w:val="1"/>
          <w:bCs w:val="1"/>
          <w:i w:val="1"/>
          <w:iCs w:val="1"/>
          <w:color w:val="auto"/>
        </w:rPr>
        <w:t>Note 7. Debt</w:t>
      </w:r>
      <w:r>
        <w:rPr>
          <w:rFonts w:ascii="Arial" w:cs="Arial" w:eastAsia="Arial" w:hAnsi="Arial"/>
          <w:sz w:val="17"/>
          <w:szCs w:val="17"/>
          <w:color w:val="auto"/>
        </w:rPr>
        <w:t xml:space="preserve"> of the Notes to Condensed Consolidated Financial Statements in Item 1 of this Form 10-Q.</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Statement</w:t>
      </w:r>
    </w:p>
    <w:p>
      <w:pPr>
        <w:spacing w:after="0" w:line="244"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 As of September 30, 2021, except for the Common Stock offering and the issuance of Senior Notes, the Company has not raised additional capital using the 2020 Shelf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of Additional Senior Notes</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October 25, 2021, the Company entered into an At Market Issuance Sales Agreement (the “Sales Agreement”) between the Company and B. Riley Securities, Inc. (the “Agent”), pursuant to which the Company may offer and sell, from time to time, up to $18.0 million of the Company’s 8.375% Senior Notes due 2026.</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up to $18.0 million in aggregate principal amount of the additional Senior Notes that the Company may offer and sell under the prospectus supplement and the accompanying prospectus constitutes a further issuance of and are fungible with the $125.0 million in aggregate principal amount of the Senior Notes that the Company has issued to date, and form a single series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60" w:type="dxa"/>
            <w:vAlign w:val="bottom"/>
          </w:tcPr>
          <w:p>
            <w:pPr>
              <w:spacing w:after="0"/>
              <w:rPr>
                <w:sz w:val="20"/>
                <w:szCs w:val="20"/>
                <w:color w:val="auto"/>
              </w:rPr>
            </w:pPr>
            <w:r>
              <w:rPr>
                <w:rFonts w:ascii="Arial" w:cs="Arial" w:eastAsia="Arial" w:hAnsi="Arial"/>
                <w:sz w:val="17"/>
                <w:szCs w:val="17"/>
                <w:b w:val="1"/>
                <w:bCs w:val="1"/>
                <w:color w:val="auto"/>
              </w:rPr>
              <w:t>Discussion of Cash Flows</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40"/>
        </w:trPr>
        <w:tc>
          <w:tcPr>
            <w:tcW w:w="5160" w:type="dxa"/>
            <w:vAlign w:val="bottom"/>
          </w:tcPr>
          <w:p>
            <w:pPr>
              <w:ind w:left="320"/>
              <w:spacing w:after="0"/>
              <w:rPr>
                <w:sz w:val="20"/>
                <w:szCs w:val="20"/>
                <w:color w:val="auto"/>
              </w:rPr>
            </w:pPr>
            <w:r>
              <w:rPr>
                <w:rFonts w:ascii="Arial" w:cs="Arial" w:eastAsia="Arial" w:hAnsi="Arial"/>
                <w:sz w:val="17"/>
                <w:szCs w:val="17"/>
                <w:color w:val="auto"/>
              </w:rPr>
              <w:t>A summary of net cash flows follows (in thousands):</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6"/>
        </w:trPr>
        <w:tc>
          <w:tcPr>
            <w:tcW w:w="5160" w:type="dxa"/>
            <w:vAlign w:val="bottom"/>
          </w:tcPr>
          <w:p>
            <w:pPr>
              <w:spacing w:after="0"/>
              <w:rPr>
                <w:sz w:val="21"/>
                <w:szCs w:val="21"/>
                <w:color w:val="auto"/>
              </w:rPr>
            </w:pPr>
          </w:p>
        </w:tc>
        <w:tc>
          <w:tcPr>
            <w:tcW w:w="4120" w:type="dxa"/>
            <w:vAlign w:val="bottom"/>
            <w:gridSpan w:val="6"/>
          </w:tcPr>
          <w:p>
            <w:pPr>
              <w:ind w:left="880"/>
              <w:spacing w:after="0"/>
              <w:rPr>
                <w:sz w:val="20"/>
                <w:szCs w:val="20"/>
                <w:color w:val="auto"/>
              </w:rPr>
            </w:pPr>
            <w:r>
              <w:rPr>
                <w:rFonts w:ascii="Arial" w:cs="Arial" w:eastAsia="Arial" w:hAnsi="Arial"/>
                <w:sz w:val="17"/>
                <w:szCs w:val="17"/>
                <w:b w:val="1"/>
                <w:bCs w:val="1"/>
                <w:color w:val="auto"/>
              </w:rPr>
              <w:t>Nine Months Ended September 30,</w:t>
            </w:r>
          </w:p>
        </w:tc>
        <w:tc>
          <w:tcPr>
            <w:tcW w:w="540" w:type="dxa"/>
            <w:vAlign w:val="bottom"/>
          </w:tcPr>
          <w:p>
            <w:pPr>
              <w:spacing w:after="0"/>
              <w:rPr>
                <w:sz w:val="21"/>
                <w:szCs w:val="21"/>
                <w:color w:val="auto"/>
              </w:rPr>
            </w:pPr>
          </w:p>
        </w:tc>
        <w:tc>
          <w:tcPr>
            <w:tcW w:w="1420" w:type="dxa"/>
            <w:vAlign w:val="bottom"/>
          </w:tcPr>
          <w:p>
            <w:pPr>
              <w:jc w:val="right"/>
              <w:ind w:right="454"/>
              <w:spacing w:after="0"/>
              <w:rPr>
                <w:sz w:val="20"/>
                <w:szCs w:val="20"/>
                <w:color w:val="auto"/>
              </w:rPr>
            </w:pPr>
            <w:r>
              <w:rPr>
                <w:rFonts w:ascii="Arial" w:cs="Arial" w:eastAsia="Arial" w:hAnsi="Arial"/>
                <w:sz w:val="17"/>
                <w:szCs w:val="17"/>
                <w:b w:val="1"/>
                <w:bCs w:val="1"/>
                <w:color w:val="auto"/>
              </w:rPr>
              <w:t>Change</w:t>
            </w:r>
          </w:p>
        </w:tc>
      </w:tr>
      <w:tr>
        <w:trPr>
          <w:trHeight w:val="213"/>
        </w:trPr>
        <w:tc>
          <w:tcPr>
            <w:tcW w:w="516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w w:val="99"/>
              </w:rPr>
              <w:t>2021 vs 2020</w:t>
            </w:r>
          </w:p>
        </w:tc>
      </w:tr>
      <w:tr>
        <w:trPr>
          <w:trHeight w:val="200"/>
        </w:trPr>
        <w:tc>
          <w:tcPr>
            <w:tcW w:w="5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(used in):</w:t>
            </w: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0"/>
        </w:trPr>
        <w:tc>
          <w:tcPr>
            <w:tcW w:w="5160" w:type="dxa"/>
            <w:vAlign w:val="bottom"/>
          </w:tcPr>
          <w:p>
            <w:pPr>
              <w:ind w:left="520"/>
              <w:spacing w:after="0"/>
              <w:rPr>
                <w:sz w:val="20"/>
                <w:szCs w:val="20"/>
                <w:color w:val="auto"/>
              </w:rPr>
            </w:pPr>
            <w:r>
              <w:rPr>
                <w:rFonts w:ascii="Arial" w:cs="Arial" w:eastAsia="Arial" w:hAnsi="Arial"/>
                <w:sz w:val="17"/>
                <w:szCs w:val="17"/>
                <w:color w:val="auto"/>
              </w:rPr>
              <w:t>Operating activities</w:t>
            </w:r>
          </w:p>
        </w:tc>
        <w:tc>
          <w:tcPr>
            <w:tcW w:w="13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5,551</w:t>
            </w:r>
          </w:p>
        </w:tc>
        <w:tc>
          <w:tcPr>
            <w:tcW w:w="100" w:type="dxa"/>
            <w:vAlign w:val="bottom"/>
          </w:tcPr>
          <w:p>
            <w:pPr>
              <w:spacing w:after="0"/>
              <w:rPr>
                <w:sz w:val="19"/>
                <w:szCs w:val="19"/>
                <w:color w:val="auto"/>
              </w:rPr>
            </w:pPr>
          </w:p>
        </w:tc>
        <w:tc>
          <w:tcPr>
            <w:tcW w:w="6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8,661</w:t>
            </w:r>
          </w:p>
        </w:tc>
        <w:tc>
          <w:tcPr>
            <w:tcW w:w="10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(3,110)</w:t>
            </w:r>
          </w:p>
        </w:tc>
      </w:tr>
      <w:tr>
        <w:trPr>
          <w:trHeight w:val="220"/>
        </w:trPr>
        <w:tc>
          <w:tcPr>
            <w:tcW w:w="5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Investing activities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(17,840)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(6,434)</w:t>
            </w:r>
          </w:p>
        </w:tc>
      </w:tr>
      <w:tr>
        <w:trPr>
          <w:trHeight w:val="220"/>
        </w:trPr>
        <w:tc>
          <w:tcPr>
            <w:tcW w:w="5160" w:type="dxa"/>
            <w:vAlign w:val="bottom"/>
          </w:tcPr>
          <w:p>
            <w:pPr>
              <w:ind w:left="520"/>
              <w:spacing w:after="0"/>
              <w:rPr>
                <w:sz w:val="20"/>
                <w:szCs w:val="20"/>
                <w:color w:val="auto"/>
              </w:rPr>
            </w:pPr>
            <w:r>
              <w:rPr>
                <w:rFonts w:ascii="Arial" w:cs="Arial" w:eastAsia="Arial" w:hAnsi="Arial"/>
                <w:sz w:val="17"/>
                <w:szCs w:val="17"/>
                <w:color w:val="auto"/>
              </w:rPr>
              <w:t>Financing activities</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2,687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9,991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(7,304)</w:t>
            </w:r>
          </w:p>
        </w:tc>
      </w:tr>
    </w:tbl>
    <w:p>
      <w:pPr>
        <w:spacing w:after="0" w:line="3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93"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nine months ended September 30, 2021 was $5.6 million cash provided by operating activities,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$8.7 million of cash provided by operating activities for the same period in 2020. Excluding the effects of the tax refunds received in the prior period, cash provided by operations increased from the prior year as a result of our continued efforts to streamline our business operations and reduce costs and favorable working capital changes.</w:t>
      </w:r>
    </w:p>
    <w:p>
      <w:pPr>
        <w:spacing w:after="0" w:line="194"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flows from investing </w:t>
      </w:r>
      <w:r>
        <w:rPr>
          <w:rFonts w:ascii="Arial" w:cs="Arial" w:eastAsia="Arial" w:hAnsi="Arial"/>
          <w:sz w:val="17"/>
          <w:szCs w:val="17"/>
          <w:color w:val="auto"/>
        </w:rPr>
        <w:t>for the nine months ended September 30, 2021 was $17.8 million cash used in investing, as compared to $11.4 million in cash</w:t>
      </w:r>
      <w:r>
        <w:rPr>
          <w:rFonts w:ascii="Arial" w:cs="Arial" w:eastAsia="Arial" w:hAnsi="Arial"/>
          <w:sz w:val="17"/>
          <w:szCs w:val="17"/>
          <w:b w:val="1"/>
          <w:bCs w:val="1"/>
          <w:color w:val="auto"/>
        </w:rPr>
        <w:t xml:space="preserve"> </w:t>
      </w:r>
      <w:r>
        <w:rPr>
          <w:rFonts w:ascii="Arial" w:cs="Arial" w:eastAsia="Arial" w:hAnsi="Arial"/>
          <w:sz w:val="17"/>
          <w:szCs w:val="17"/>
          <w:color w:val="auto"/>
        </w:rPr>
        <w:t>used in investing activities during the same period in 2020. The cash used for investing in the current year was primarily related to the purchase of fixed assets and investment in capitalized software. The net decrease in cash used for investing in the prior year was primarily related to the investment in capitalized software offset by the sale of certain IP address assets.</w:t>
      </w:r>
    </w:p>
    <w:p>
      <w:pPr>
        <w:spacing w:after="0" w:line="194" w:lineRule="exact"/>
        <w:rPr>
          <w:sz w:val="20"/>
          <w:szCs w:val="20"/>
          <w:color w:val="auto"/>
        </w:rPr>
      </w:pPr>
    </w:p>
    <w:p>
      <w:pPr>
        <w:jc w:val="both"/>
        <w:ind w:firstLine="311"/>
        <w:spacing w:after="0" w:line="263" w:lineRule="auto"/>
        <w:rPr>
          <w:sz w:val="20"/>
          <w:szCs w:val="20"/>
          <w:color w:val="auto"/>
        </w:rPr>
      </w:pPr>
      <w:r>
        <w:rPr>
          <w:rFonts w:ascii="Arial" w:cs="Arial" w:eastAsia="Arial" w:hAnsi="Arial"/>
          <w:sz w:val="17"/>
          <w:szCs w:val="17"/>
          <w:b w:val="1"/>
          <w:bCs w:val="1"/>
          <w:color w:val="auto"/>
        </w:rPr>
        <w:t xml:space="preserve">Cash flows from financing </w:t>
      </w:r>
      <w:r>
        <w:rPr>
          <w:rFonts w:ascii="Arial" w:cs="Arial" w:eastAsia="Arial" w:hAnsi="Arial"/>
          <w:sz w:val="17"/>
          <w:szCs w:val="17"/>
          <w:color w:val="auto"/>
        </w:rPr>
        <w:t>for the nine months ended September 30, 2021 was $2.7 million of cash provided, as compared to $10.0 million of cash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by financing activities for the same period in 2020. In 2021, the net proceeds from our public offering of common stock, Senior Note offering and Series B Preferred Stock transaction was primarily used to fully redeem all outstanding shares of the Company’s Series A Preferred Stock and repay and close the Revolving Credit Facility on June 30, 2021. The cash provided from financing activities in the prior year was attributable to the drawdown from our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While inflationary increases in certain input costs, such as occupancy, labor and benefits, and general administrative costs, have an impact on our operating results, inflation has had minimal net effect on our results of operations during the three or nine months ended September 30, 2021 and 2020. We cannot assure you, however, that we will not be affected by general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September 30, 2021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6"/>
                <w:szCs w:val="16"/>
                <w:b w:val="1"/>
                <w:bCs w:val="1"/>
                <w:color w:val="auto"/>
                <w:w w:val="88"/>
              </w:rPr>
              <w:t>Payments Due by Period</w:t>
            </w: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0"/>
        </w:trPr>
        <w:tc>
          <w:tcPr>
            <w:tcW w:w="4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9"/>
              </w:rPr>
              <w:t>2022-2024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9"/>
              </w:rPr>
              <w:t>2025-2026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Thereafter</w:t>
            </w:r>
          </w:p>
        </w:tc>
      </w:tr>
      <w:tr>
        <w:trPr>
          <w:trHeight w:val="215"/>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obligations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57,460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27,730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10,542</w:t>
            </w:r>
          </w:p>
        </w:tc>
      </w:tr>
      <w:tr>
        <w:trPr>
          <w:trHeight w:val="220"/>
        </w:trPr>
        <w:tc>
          <w:tcPr>
            <w:tcW w:w="4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63,020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48,533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Senior Note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247,963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9,573</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76,862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150,986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ind w:left="200" w:hanging="197"/>
        <w:spacing w:after="0" w:line="221" w:lineRule="auto"/>
        <w:tabs>
          <w:tab w:leader="none" w:pos="200" w:val="left"/>
        </w:tabs>
        <w:numPr>
          <w:ilvl w:val="0"/>
          <w:numId w:val="27"/>
        </w:numPr>
        <w:rPr>
          <w:rFonts w:ascii="Arial" w:cs="Arial" w:eastAsia="Arial" w:hAnsi="Arial"/>
          <w:sz w:val="20"/>
          <w:szCs w:val="20"/>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37"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6"/>
          <w:szCs w:val="16"/>
          <w:color w:val="auto"/>
        </w:rPr>
        <w:t>Unrecognized tax positions of $4.6 million at September 30, 2021 are excluded from the table above as we are not able to reasonably estimate when we would make any cash payments required to settle these liabilities, but we do not believe that the ultimate settlement of our obligations will materially affect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liquidity. We anticipate that the balance of unrecognized tax benefits will decrease by approximately $0.6 million over the next twelve months.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0"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1"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During the nine months ended September 30, 2021, there were no significant changes in our critical accounting policies and estimates discussed in our Form 10-K for the year ended December 31, 2020. Please refer to Management’s Discussion and Analysis of Financial Condition and Results of Operations contained in Part II, Item 7 of our Annual Report on Form 10-K for the year ended December 31, 2020 for a more complete discussion of our critical accounting policies and estimates.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b w:val="1"/>
          <w:bCs w:val="1"/>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had no off-balance sheet arrangements as of September 30, 2021 and December 31, 2020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05"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September 30, 2021 and December 31, 2020 were invested in liquid money market accounts, certificates of deposit and government securities. All market-risk sensitive instruments were entered into for non-trading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September 30, 2021 would increase interest income by approximately $0.2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September 30,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0"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 xml:space="preserve">For a discussion of our material pending legal proceedings that could impact our results of operations, financial condition or cash flows see </w:t>
      </w:r>
      <w:r>
        <w:rPr>
          <w:rFonts w:ascii="Arial" w:cs="Arial" w:eastAsia="Arial" w:hAnsi="Arial"/>
          <w:sz w:val="17"/>
          <w:szCs w:val="17"/>
          <w:b w:val="1"/>
          <w:bCs w:val="1"/>
          <w:i w:val="1"/>
          <w:iCs w:val="1"/>
          <w:color w:val="auto"/>
        </w:rPr>
        <w:t>Note 13.</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Commitments, Contingencies and Other </w:t>
      </w:r>
      <w:r>
        <w:rPr>
          <w:rFonts w:ascii="Arial" w:cs="Arial" w:eastAsia="Arial" w:hAnsi="Arial"/>
          <w:sz w:val="17"/>
          <w:szCs w:val="17"/>
          <w:color w:val="auto"/>
        </w:rPr>
        <w:t>included in Part I, Item 1. “Notes to Condensed Consolidated Financial Statements (unaudited)” of this Quarterly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Other than set forth below, there have been no material changes to our risk factors as previously disclosed in Part I, Item 1A. included in our Annual Report on Form 10-K for the year ended December 31, 2020.</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Risks Related to our Senior Notes, Series B Preferred Stock and Common Stock</w:t>
      </w:r>
    </w:p>
    <w:p>
      <w:pPr>
        <w:spacing w:after="0" w:line="21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b w:val="1"/>
          <w:bCs w:val="1"/>
          <w:i w:val="1"/>
          <w:iCs w:val="1"/>
          <w:color w:val="auto"/>
        </w:rPr>
        <w:t>We are subject to investigations relating to certain transactions in 2015 and 2016 that resulted in the restatement of our financial statements in 2018, and the Securities and Exchange Commission staff has preliminarily determined to recommend the initiation of an enforcement action against us in connection with that matter.</w:t>
      </w:r>
    </w:p>
    <w:p>
      <w:pPr>
        <w:spacing w:after="0" w:line="183"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6"/>
          <w:szCs w:val="16"/>
          <w:color w:val="auto"/>
        </w:rPr>
        <w:t>On June 22, 2021, the SEC staff verbally notified us that it has made a preliminary determination to recommend that the SEC initiate an enforcement action against us in connection with certain financial transactions that we effected in 2015 and 2016 and our disclosure of and accounting for such transactions, which we restated in the third quarter of 2018 in our restated annual and quarterly financial statements for 2015 and 2016. That restatement followed our announcement on June 13, 2017 (the “June 2017 Announcement”), that certain of our prior financial statements would need to be restated. Certain individuals, including current and former members of our management team, received similar notifications. We remain in discussions with the SEC staff regarding the prospect of resolving this matter through settlement. If we are unable to resolve this matter through settlement then we would expect to receive a “Wells notice” from the SEC staff in connection with this matter. Although a Wells notice is neither a formal charge of wrongdoing nor a final determination that the recipient has violated any law, it is a formal notice that the SEC intends to bring an enforcement action against the recipient. Upon receipt of a Wells notice, the recipient has the opportunity to respond to the SEC staff’s position before any formal enforcement action is taken.</w:t>
      </w:r>
    </w:p>
    <w:p>
      <w:pPr>
        <w:spacing w:after="0" w:line="20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the third quarter of 2017, the SEC and Department of Justice initiated investigations in connection with the June 2017 Announcement and certain transactions that we restated in the third quarter of 2018. We have received subpoenas, produced documents, and provided additional information to the government in connection with those investigations.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At this time, we cannot predict with certainty what the outcome of these government investigations or the SEC staff’s preliminary determination might be, but they could have a material adverse impact on our financial position, prospects and results of operations.</w:t>
      </w:r>
    </w:p>
    <w:p>
      <w:pPr>
        <w:spacing w:after="0" w:line="160"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9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179"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b w:val="1"/>
          <w:bCs w:val="1"/>
          <w:i w:val="1"/>
          <w:iCs w:val="1"/>
          <w:color w:val="auto"/>
        </w:rPr>
        <w:t>Our current or future debt securities or preferred equity securities, which would be senior to our common stock, may adversely affect the market price of our common stock.</w:t>
      </w:r>
    </w:p>
    <w:p>
      <w:pPr>
        <w:spacing w:after="0" w:line="195"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Our Senior Notes and Series B Preferred Stock are senior to our common stock. In addition, in the future, we may attempt to increase our capital resources by offering debt or preferred equity securities, including medium term notes, senior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subordinated notes and classes of preferred stock. Debt securities or shares of preferred stock will generally be entitled to receive interest payments or distributions, both current and in connection with any liquidation or sale, prior to the holders of our common stock. We are not required to offer any such additional debt or preferred equity securities to existing common stockholders on a preemptive basis, and we may generally issue any such debt or preferred equity securities in the future without obtaining the consent of our common stockholders. As a result, any such future offerings of debt securities or preferred equity securities may adversely affect the market price of the common stock.</w:t>
      </w:r>
    </w:p>
    <w:p>
      <w:pPr>
        <w:spacing w:after="0" w:line="179"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b w:val="1"/>
          <w:bCs w:val="1"/>
          <w:i w:val="1"/>
          <w:iCs w:val="1"/>
          <w:color w:val="auto"/>
        </w:rPr>
        <w:t>B. Riley Securities, Inc. and its affiliates (“BRS”) have significant influence over us and may have conflicts of interest that arise out of future contractual relationships it or its affiliates may have with us.</w:t>
      </w:r>
    </w:p>
    <w:p>
      <w:pPr>
        <w:spacing w:after="0" w:line="195"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As of June 30, 2021, BRS owned 19.2% of our outstanding common stock and all of our Series B Preferred Stock. As a result, BRS holds significant influence over us as a significant shareholder and may have conflicts of interest that arise out of current or future contractual relationships it or its affiliates may have with us. In addition, for so long as BRS and its affiliates beneficially own at least 10% of our outstanding common stock, BRS will have the right to nominate one member of our board of directors pursuant to an investor rights agreement.</w:t>
      </w:r>
    </w:p>
    <w:p>
      <w:pPr>
        <w:spacing w:after="0" w:line="201"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As a result of the foregoing arrangements, BRS has significant influence over our management and policies and over all matters requiring shareholder approval, including the election of directors, amendment of our certificate of incorporation and approval of significant corporate transactions. Further, if BRS and other significant shareholders of the Company were to act together on any matter presented for shareholder approval, they could have the ability to control the outcome of that matter. BRS can take actions that have the effect of delaying or preventing a change of control of us or discouraging others from making tender offers for our shares, which could prevent shareholders from receiving a premium for their shares. These actions may be taken even if other shareholders oppose them.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able to incur substantially more debt, which could have important consequences to investors.</w:t>
      </w:r>
    </w:p>
    <w:p>
      <w:pPr>
        <w:spacing w:after="0" w:line="218"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Senior Notes does not prohibit us from doing so. If we incur any additional indebtedness that ranks equally with the Senior Notes, the holders of that debt will be entitled to share ratably with you in any proceeds distributed in connection with any insolvency, liquidation, reorganization or dissolution. This may have the effect of reducing the amount of proceeds paid to investors.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Our level of indebtedness could have important consequences to investors, because:</w:t>
      </w:r>
    </w:p>
    <w:p>
      <w:pPr>
        <w:spacing w:after="0" w:line="24" w:lineRule="exact"/>
        <w:rPr>
          <w:sz w:val="20"/>
          <w:szCs w:val="20"/>
          <w:color w:val="auto"/>
        </w:rPr>
      </w:pPr>
    </w:p>
    <w:p>
      <w:pPr>
        <w:ind w:left="620" w:hanging="30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could affect our ability to satisfy our financial obligations, including those relating to the Senior Notes;</w:t>
      </w:r>
    </w:p>
    <w:p>
      <w:pPr>
        <w:spacing w:after="0" w:line="11" w:lineRule="exact"/>
        <w:rPr>
          <w:rFonts w:ascii="Arial" w:cs="Arial" w:eastAsia="Arial" w:hAnsi="Arial"/>
          <w:sz w:val="17"/>
          <w:szCs w:val="17"/>
          <w:color w:val="auto"/>
        </w:rPr>
      </w:pPr>
    </w:p>
    <w:p>
      <w:pPr>
        <w:ind w:left="620" w:right="520" w:hanging="306"/>
        <w:spacing w:after="0" w:line="254"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ind w:left="620" w:hanging="30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may impair our ability to obtain additional debt or equity financing in the future;</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may limit our ability to refinance all or a portion of our indebtedness on or before maturity;</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may limit our flexibility in planning for, or reacting to, changes in our business and industry; and</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may make us more vulnerable to downturns in our business, our industry or the economy in general.</w:t>
      </w:r>
    </w:p>
    <w:p>
      <w:pPr>
        <w:spacing w:after="0" w:line="232"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Our operations may not generate sufficient cash to enable us to service our debt. If we fail to make a payment on the Senior Notes, we could be in default on the Senior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20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However, no event of default under the Senior Notes would result from a default or acceleration of, or suit, other exercise of remedies or collection proceeding by holders of, our other outstanding debt, if any. As a result, all or substantially all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assets may be used to satisfy claims of holders of our other outstanding debt, if any, without the holders of the Senior Notes having any rights to such assets.</w:t>
      </w:r>
    </w:p>
    <w:p>
      <w:pPr>
        <w:spacing w:after="0" w:line="230" w:lineRule="exact"/>
        <w:rPr>
          <w:sz w:val="20"/>
          <w:szCs w:val="20"/>
          <w:color w:val="auto"/>
        </w:rPr>
      </w:pPr>
    </w:p>
    <w:p>
      <w:pPr>
        <w:ind w:right="320"/>
        <w:spacing w:after="0" w:line="230" w:lineRule="auto"/>
        <w:rPr>
          <w:sz w:val="20"/>
          <w:szCs w:val="20"/>
          <w:color w:val="auto"/>
        </w:rPr>
      </w:pPr>
      <w:r>
        <w:rPr>
          <w:rFonts w:ascii="Arial" w:cs="Arial" w:eastAsia="Arial" w:hAnsi="Arial"/>
          <w:sz w:val="17"/>
          <w:szCs w:val="17"/>
          <w:b w:val="1"/>
          <w:bCs w:val="1"/>
          <w:i w:val="1"/>
          <w:iCs w:val="1"/>
          <w:color w:val="auto"/>
        </w:rPr>
        <w:t>The Senior Notes are unsecured and therefore are effectively subordinated to any secured indebtedness that we currently have or that we may incur in the future.</w:t>
      </w:r>
    </w:p>
    <w:p>
      <w:pPr>
        <w:spacing w:after="0" w:line="19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The Senior Notes are not secured by any of our assets or any of the assets of our subsidiaries. As a result, the Senior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Senior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Senior Notes.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Senior Notes are structurally subordinated to the indebtedness and other liabilities of our subsidiaries.</w:t>
      </w:r>
    </w:p>
    <w:p>
      <w:pPr>
        <w:spacing w:after="0" w:line="218"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Senior Notes are obligations exclusively of Synchronoss Technologies, Inc. and not of any of our subsidiaries. None of our subsidiaries is a guarantor of the Senior Notes, and the Senior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Senior Notes are structurally subordinated to all indebtedness and other liabilities (including trade payables) of any of our subsidiaries and any subsidiaries that we may in the future acquire or establish as financing vehicles or otherwise. The indenture governing the Senior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indenture under which the Senior Notes were issued contains limited protection for holders of the Senior Notes.</w:t>
      </w:r>
    </w:p>
    <w:p>
      <w:pPr>
        <w:spacing w:after="0" w:line="218"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indenture under which the Senior Notes were issued offers limited protection to holders of the Senior Notes. The terms of the indenture and the Senior Notes does not restrict our or any of our subsidiaries’ ability to engage in, or otherwise be a party to, a variety of corporate transactions, circumstances or events that could have an adverse impact on your investment in the Senior Notes. In particular, the terms of the indenture and the Senior Notes do not place any restrictions on our or our subsidiaries’ ability to:</w:t>
      </w:r>
    </w:p>
    <w:p>
      <w:pPr>
        <w:spacing w:after="0" w:line="201" w:lineRule="exact"/>
        <w:rPr>
          <w:sz w:val="20"/>
          <w:szCs w:val="20"/>
          <w:color w:val="auto"/>
        </w:rPr>
      </w:pPr>
    </w:p>
    <w:p>
      <w:pPr>
        <w:jc w:val="both"/>
        <w:ind w:left="620" w:hanging="306"/>
        <w:spacing w:after="0" w:line="256"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issue debt securities or otherwise incur additional indebtedness or other obligations, including (1) any indebtedness or other obligations that would be equal in right of payment to the Senior Notes, (2) any indebtedness or other obligations that would be secured and therefore rank effectively senior in right of payment to the Senior Notes to the extent of the values of the assets securing such debt, (3) indebtedness of ours that is guaranteed by one or more of our subsidiaries and which therefore is structurally senior to the Senior Notes and (4) securities, indebtedness or obligations issued or incurred by our subsidiaries that would be senior to our equity interests in our subsidiaries and therefore rank structurally senior to the Senior Notes with respect to the assets of our subsidiaries;</w:t>
      </w:r>
    </w:p>
    <w:p>
      <w:pPr>
        <w:spacing w:after="0" w:line="3" w:lineRule="exact"/>
        <w:rPr>
          <w:rFonts w:ascii="Arial" w:cs="Arial" w:eastAsia="Arial" w:hAnsi="Arial"/>
          <w:sz w:val="17"/>
          <w:szCs w:val="17"/>
          <w:color w:val="auto"/>
        </w:rPr>
      </w:pPr>
    </w:p>
    <w:p>
      <w:pPr>
        <w:ind w:left="620" w:hanging="306"/>
        <w:spacing w:after="0" w:line="254"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subordinated in right of payment to the Senior Notes;</w:t>
      </w: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create liens (including liens on the shares of our subsidiaries) or enter into sale and leaseback transactions;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make investments; or</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create restrictions on the payment of dividends or other amounts to us from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Senior Notes will not protect holders of the Senior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Senior Notes.</w:t>
      </w:r>
    </w:p>
    <w:p>
      <w:pPr>
        <w:spacing w:after="0" w:line="20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ability to recapitalize, incur additional debt and take a number of other actions that are not limited by the terms of the Senior Notes may have important consequences for you as a holder of the Senior Notes, including making it more difficult for us to satisfy our obligations with respect to the Senior Notes or negatively affecting the trading value of the Senior Notes.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Other debt we issue or incur in the future could contain more protections for its holders than the indenture and the Senior Notes, including additional covenants and events of default. The issuance or incurrence of any such debt with incremental protections could affect the market for and trading levels and prices of the Senior Notes.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result in a decrease in the value of the Senior Notes.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general, as market interest rates rise, notes bearing interest at a fixed rate decline in value. We cannot predict the future level of market interest rates.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Senior Notes may not develop, which could limit the market price of the Senior Notes or your ability to sell them.</w:t>
      </w:r>
    </w:p>
    <w:p>
      <w:pPr>
        <w:spacing w:after="0" w:line="230"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The Senior Notes are listed on Nasdaq under the symbol “SNCRL”. We cannot provide any assurances that an active trading market will develop for the Senior Notes or that you will be able to sell your Notes. If the Senior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of our Senior Note offering have advised us that they may make a market in the Senior Notes, but they are not obligated to do so. The underwriters may discontinue any market-making in the Senior Notes at any time at their sole discretion. Accordingly, we cannot assure you that a liquid trading market will develop for the Senior Notes, that you will be able to sell your Senior Notes at a particular time or that the price you receive when you sell will be favorable. To the extent an active trading market does not develop, the liquidity and trading price for the Senior Notes may be harmed. Accordingly, you may be required to bear the financial risk of an investment in the Senior Notes for an indefinite period of time.</w:t>
      </w:r>
    </w:p>
    <w:p>
      <w:pPr>
        <w:spacing w:after="0" w:line="19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In addition, there may be a limited number of buyers when you decide to sell your Senior Notes. This may affect the price, if any, offered for your Notes or your ability to sell your Notes when desired or at all.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Senior Notes.</w:t>
      </w:r>
    </w:p>
    <w:p>
      <w:pPr>
        <w:spacing w:after="0" w:line="21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Under the terms of the indenture governing the Senior Notes, we may from time to time without notice to, or the consent of, the holders of the Senior Notes, create and issue additional notes which will be equal in rank to the Senior Notes. We will not issue any such additional Notes unless such issuance would constitute a “qualified reopening” for U.S. federal income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rating for the Senior Notes could at any time be revised downward or withdrawn entirely at the discretion of the issuing rating agency.</w:t>
      </w:r>
    </w:p>
    <w:p>
      <w:pPr>
        <w:spacing w:after="0" w:line="218"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We have obtained a rating for the Senior Notes. Ratings only reflect the views of the issuing rating agency or agencies and such ratings could at any time be revised downward or withdrawn entirely at the discretion of the issuing rating agency. A rating is not a recommendation to purchase, sell or hold the Senior Notes. Ratings do not reflect market prices or suitability of a security for a particular investor and the rating of the Senior Notes may not reflect all risks related to us and our business, or the structure or market value of the Senior Notes. We may elect to issue other securities for which we may seek to obtain a rating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future. If we issue other securities with a rating, such ratings, if they are lower than market expectations or are subsequently lowered or withdrawn, could adversely affect the market for or the market value of the Senior Notes.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On June 30, 2021, we issued and sold 75,000 shares of Series B Preferred Stock, par value $0.0001 per share, with an initial liquidation preference of $1,000 per share, for an aggregate purchase price of $75.0 million (the “Series B Transaction”). The sale of the Series B Preferred Stock was pursuant to the Series B Preferred Stock Purchase Agreement, dated as of June 24, 2021 (the “Series B Purchase Agreement”), between Synchronoss and B. Riley Principal Investments, LLC (“BRPI”). The sale was deemed to be exempt from registration under the Securities Act in reliance upon Section 4(a)(2)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46"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7" w:lineRule="exact"/>
        <w:rPr>
          <w:sz w:val="20"/>
          <w:szCs w:val="20"/>
          <w:color w:val="auto"/>
        </w:rPr>
      </w:pPr>
    </w:p>
    <w:p>
      <w:pPr>
        <w:ind w:left="860"/>
        <w:spacing w:after="0" w:line="161" w:lineRule="exact"/>
        <w:tabs>
          <w:tab w:leader="none" w:pos="1200" w:val="left"/>
        </w:tabs>
        <w:rPr>
          <w:rFonts w:ascii="Arial" w:cs="Arial" w:eastAsia="Arial" w:hAnsi="Arial"/>
          <w:sz w:val="11"/>
          <w:szCs w:val="11"/>
          <w:u w:val="single" w:color="auto"/>
          <w:color w:val="0000FF"/>
        </w:rPr>
      </w:pPr>
      <w:r>
        <w:rPr>
          <w:rFonts w:ascii="Arial" w:cs="Arial" w:eastAsia="Arial" w:hAnsi="Arial"/>
          <w:sz w:val="14"/>
          <w:szCs w:val="14"/>
          <w:color w:val="auto"/>
        </w:rPr>
        <w:t>3.1</w:t>
      </w:r>
      <w:r>
        <w:rPr>
          <w:sz w:val="20"/>
          <w:szCs w:val="20"/>
          <w:color w:val="auto"/>
        </w:rPr>
        <w:tab/>
      </w:r>
      <w:hyperlink r:id="rId62">
        <w:r>
          <w:rPr>
            <w:rFonts w:ascii="Arial" w:cs="Arial" w:eastAsia="Arial" w:hAnsi="Arial"/>
            <w:sz w:val="11"/>
            <w:szCs w:val="11"/>
            <w:u w:val="single" w:color="auto"/>
            <w:color w:val="0000FF"/>
          </w:rPr>
          <w:t>Restated Certificate of Incorporation of the Registrant, incorporated by reference to Registrant’s Registration Statement on Form S</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1 (Commission File No. 333</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132080).</w:t>
        </w:r>
      </w:hyperlink>
    </w:p>
    <w:p>
      <w:pPr>
        <w:spacing w:after="0" w:line="20" w:lineRule="exact"/>
        <w:rPr>
          <w:sz w:val="20"/>
          <w:szCs w:val="20"/>
          <w:color w:val="auto"/>
        </w:rPr>
      </w:pPr>
    </w:p>
    <w:p>
      <w:pPr>
        <w:ind w:left="860"/>
        <w:spacing w:after="0" w:line="161" w:lineRule="exact"/>
        <w:tabs>
          <w:tab w:leader="none" w:pos="1200" w:val="left"/>
        </w:tabs>
        <w:rPr>
          <w:rFonts w:ascii="Arial" w:cs="Arial" w:eastAsia="Arial" w:hAnsi="Arial"/>
          <w:sz w:val="11"/>
          <w:szCs w:val="11"/>
          <w:u w:val="single" w:color="auto"/>
          <w:color w:val="0000FF"/>
        </w:rPr>
      </w:pPr>
      <w:r>
        <w:rPr>
          <w:rFonts w:ascii="Arial" w:cs="Arial" w:eastAsia="Arial" w:hAnsi="Arial"/>
          <w:sz w:val="14"/>
          <w:szCs w:val="14"/>
          <w:color w:val="auto"/>
        </w:rPr>
        <w:t>3.2</w:t>
      </w:r>
      <w:r>
        <w:rPr>
          <w:sz w:val="20"/>
          <w:szCs w:val="20"/>
          <w:color w:val="auto"/>
        </w:rPr>
        <w:tab/>
      </w:r>
      <w:hyperlink r:id="rId63">
        <w:r>
          <w:rPr>
            <w:rFonts w:ascii="Arial" w:cs="Arial" w:eastAsia="Arial" w:hAnsi="Arial"/>
            <w:sz w:val="11"/>
            <w:szCs w:val="11"/>
            <w:u w:val="single" w:color="auto"/>
            <w:color w:val="0000FF"/>
          </w:rPr>
          <w:t>Amended and Restated Bylaws of the Registrant, incorporated by reference to Registrant’s Registration Statement on Form S</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1 (Commission File No. 333</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132080).</w:t>
        </w:r>
      </w:hyperlink>
    </w:p>
    <w:p>
      <w:pPr>
        <w:ind w:left="860"/>
        <w:spacing w:after="0"/>
        <w:tabs>
          <w:tab w:leader="none" w:pos="1200" w:val="left"/>
        </w:tabs>
        <w:rPr>
          <w:rFonts w:ascii="Arial" w:cs="Arial" w:eastAsia="Arial" w:hAnsi="Arial"/>
          <w:sz w:val="11"/>
          <w:szCs w:val="11"/>
          <w:u w:val="single" w:color="auto"/>
          <w:color w:val="0000FF"/>
        </w:rPr>
      </w:pPr>
      <w:r>
        <w:rPr>
          <w:rFonts w:ascii="Arial" w:cs="Arial" w:eastAsia="Arial" w:hAnsi="Arial"/>
          <w:sz w:val="14"/>
          <w:szCs w:val="14"/>
          <w:color w:val="auto"/>
        </w:rPr>
        <w:t>3.3</w:t>
      </w:r>
      <w:r>
        <w:rPr>
          <w:sz w:val="20"/>
          <w:szCs w:val="20"/>
          <w:color w:val="auto"/>
        </w:rPr>
        <w:tab/>
      </w:r>
      <w:hyperlink r:id="rId64">
        <w:r>
          <w:rPr>
            <w:rFonts w:ascii="Arial" w:cs="Arial" w:eastAsia="Arial" w:hAnsi="Arial"/>
            <w:sz w:val="11"/>
            <w:szCs w:val="11"/>
            <w:u w:val="single" w:color="auto"/>
            <w:color w:val="0000FF"/>
          </w:rPr>
          <w:t>Amendment No. 1 to Amended and Restated Bylaws of Registration, incorporated by reference to Exhibit 3.2 to the Registrant’s Current Report on Form 8-K filed on February 20,</w:t>
        </w:r>
      </w:hyperlink>
    </w:p>
    <w:p>
      <w:pPr>
        <w:ind w:left="1220"/>
        <w:spacing w:after="0"/>
        <w:rPr>
          <w:rFonts w:ascii="Arial" w:cs="Arial" w:eastAsia="Arial" w:hAnsi="Arial"/>
          <w:sz w:val="14"/>
          <w:szCs w:val="14"/>
          <w:u w:val="single" w:color="auto"/>
          <w:color w:val="0000FF"/>
        </w:rPr>
      </w:pPr>
      <w:hyperlink r:id="rId64">
        <w:r>
          <w:rPr>
            <w:rFonts w:ascii="Arial" w:cs="Arial" w:eastAsia="Arial" w:hAnsi="Arial"/>
            <w:sz w:val="14"/>
            <w:szCs w:val="14"/>
            <w:u w:val="single" w:color="auto"/>
            <w:color w:val="0000FF"/>
          </w:rPr>
          <w:t>2018.</w:t>
        </w:r>
      </w:hyperlink>
    </w:p>
    <w:p>
      <w:pPr>
        <w:spacing w:after="0" w:line="8" w:lineRule="exact"/>
        <w:rPr>
          <w:sz w:val="20"/>
          <w:szCs w:val="20"/>
          <w:color w:val="auto"/>
        </w:rPr>
      </w:pPr>
    </w:p>
    <w:p>
      <w:pPr>
        <w:ind w:left="1220" w:hanging="352"/>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3.4</w:t>
      </w:r>
      <w:r>
        <w:rPr>
          <w:sz w:val="20"/>
          <w:szCs w:val="20"/>
          <w:color w:val="auto"/>
        </w:rPr>
        <w:tab/>
      </w:r>
      <w:hyperlink r:id="rId65">
        <w:r>
          <w:rPr>
            <w:rFonts w:ascii="Arial" w:cs="Arial" w:eastAsia="Arial" w:hAnsi="Arial"/>
            <w:sz w:val="14"/>
            <w:szCs w:val="14"/>
            <w:u w:val="single" w:color="auto"/>
            <w:color w:val="0000FF"/>
          </w:rPr>
          <w:t>Amendment No. 2 to the Amended and Restated Bylaws of Synchronoss Technologies, Inc., incorporated by reference to Exhibit 3.3 to the Registrant’s Current Report on Form 8-</w:t>
        </w:r>
      </w:hyperlink>
      <w:hyperlink r:id="rId65">
        <w:r>
          <w:rPr>
            <w:rFonts w:ascii="Arial" w:cs="Arial" w:eastAsia="Arial" w:hAnsi="Arial"/>
            <w:sz w:val="14"/>
            <w:szCs w:val="14"/>
            <w:u w:val="single" w:color="auto"/>
            <w:color w:val="0000FF"/>
          </w:rPr>
          <w:t>K filed on June 30, 2021.</w:t>
        </w:r>
      </w:hyperlink>
    </w:p>
    <w:p>
      <w:pPr>
        <w:spacing w:after="0" w:line="200" w:lineRule="exact"/>
        <w:rPr>
          <w:sz w:val="20"/>
          <w:szCs w:val="20"/>
          <w:color w:val="auto"/>
        </w:rPr>
      </w:pP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0" w:type="dxa"/>
            <w:vAlign w:val="bottom"/>
          </w:tcPr>
          <w:p>
            <w:pPr>
              <w:jc w:val="right"/>
              <w:ind w:right="131"/>
              <w:spacing w:after="0"/>
              <w:rPr>
                <w:sz w:val="20"/>
                <w:szCs w:val="20"/>
                <w:color w:val="auto"/>
              </w:rPr>
            </w:pPr>
            <w:r>
              <w:rPr>
                <w:rFonts w:ascii="Arial" w:cs="Arial" w:eastAsia="Arial" w:hAnsi="Arial"/>
                <w:sz w:val="14"/>
                <w:szCs w:val="14"/>
                <w:color w:val="auto"/>
              </w:rPr>
              <w:t>3.5</w:t>
            </w:r>
          </w:p>
        </w:tc>
        <w:tc>
          <w:tcPr>
            <w:tcW w:w="10020" w:type="dxa"/>
            <w:vAlign w:val="bottom"/>
            <w:tcBorders>
              <w:bottom w:val="single" w:sz="8" w:color="0000FF"/>
            </w:tcBorders>
            <w:gridSpan w:val="9"/>
          </w:tcPr>
          <w:p>
            <w:pPr>
              <w:spacing w:after="0"/>
              <w:rPr>
                <w:rFonts w:ascii="Arial" w:cs="Arial" w:eastAsia="Arial" w:hAnsi="Arial"/>
                <w:sz w:val="14"/>
                <w:szCs w:val="14"/>
                <w:color w:val="0000FF"/>
                <w:w w:val="90"/>
              </w:rPr>
            </w:pPr>
            <w:hyperlink r:id="rId66">
              <w:r>
                <w:rPr>
                  <w:rFonts w:ascii="Arial" w:cs="Arial" w:eastAsia="Arial" w:hAnsi="Arial"/>
                  <w:sz w:val="14"/>
                  <w:szCs w:val="14"/>
                  <w:color w:val="0000FF"/>
                  <w:w w:val="90"/>
                </w:rPr>
                <w:t>Certificate of Designations of the Series B Perpetual Non-Convertible Preferred Stock, incorporated by reference to Exhibit 3.1 to the Registrant’s Current Report on Form 8-K filed</w:t>
              </w:r>
            </w:hyperlink>
          </w:p>
        </w:tc>
      </w:tr>
      <w:tr>
        <w:trPr>
          <w:trHeight w:val="122"/>
        </w:trPr>
        <w:tc>
          <w:tcPr>
            <w:tcW w:w="660" w:type="dxa"/>
            <w:vAlign w:val="bottom"/>
          </w:tcPr>
          <w:p>
            <w:pPr>
              <w:spacing w:after="0"/>
              <w:rPr>
                <w:sz w:val="10"/>
                <w:szCs w:val="10"/>
                <w:color w:val="auto"/>
              </w:rPr>
            </w:pPr>
          </w:p>
        </w:tc>
        <w:tc>
          <w:tcPr>
            <w:tcW w:w="10020" w:type="dxa"/>
            <w:vAlign w:val="bottom"/>
            <w:gridSpan w:val="9"/>
          </w:tcPr>
          <w:p>
            <w:pPr>
              <w:spacing w:after="0" w:line="123" w:lineRule="exact"/>
              <w:rPr>
                <w:rFonts w:ascii="Arial" w:cs="Arial" w:eastAsia="Arial" w:hAnsi="Arial"/>
                <w:sz w:val="14"/>
                <w:szCs w:val="14"/>
                <w:color w:val="0000FF"/>
              </w:rPr>
            </w:pPr>
            <w:hyperlink r:id="rId66">
              <w:r>
                <w:rPr>
                  <w:rFonts w:ascii="Arial" w:cs="Arial" w:eastAsia="Arial" w:hAnsi="Arial"/>
                  <w:sz w:val="14"/>
                  <w:szCs w:val="14"/>
                  <w:color w:val="0000FF"/>
                </w:rPr>
                <w:t>on June 30, 2021.</w:t>
              </w:r>
            </w:hyperlink>
          </w:p>
        </w:tc>
      </w:tr>
      <w:tr>
        <w:trPr>
          <w:trHeight w:val="20"/>
        </w:trPr>
        <w:tc>
          <w:tcPr>
            <w:tcW w:w="6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660" w:type="dxa"/>
            <w:vAlign w:val="bottom"/>
          </w:tcPr>
          <w:p>
            <w:pPr>
              <w:jc w:val="right"/>
              <w:ind w:right="71"/>
              <w:spacing w:after="0"/>
              <w:rPr>
                <w:sz w:val="20"/>
                <w:szCs w:val="20"/>
                <w:color w:val="auto"/>
              </w:rPr>
            </w:pPr>
            <w:r>
              <w:rPr>
                <w:rFonts w:ascii="Arial" w:cs="Arial" w:eastAsia="Arial" w:hAnsi="Arial"/>
                <w:sz w:val="14"/>
                <w:szCs w:val="14"/>
                <w:color w:val="auto"/>
              </w:rPr>
              <w:t>10.1†</w:t>
            </w:r>
          </w:p>
        </w:tc>
        <w:tc>
          <w:tcPr>
            <w:tcW w:w="10020" w:type="dxa"/>
            <w:vAlign w:val="bottom"/>
            <w:gridSpan w:val="9"/>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Transition and Separation Agreement dated September 2, 2021 between the Registrant and Ronald Prague</w:t>
              </w:r>
            </w:hyperlink>
          </w:p>
        </w:tc>
      </w:tr>
      <w:tr>
        <w:trPr>
          <w:trHeight w:val="161"/>
        </w:trPr>
        <w:tc>
          <w:tcPr>
            <w:tcW w:w="660" w:type="dxa"/>
            <w:vAlign w:val="bottom"/>
          </w:tcPr>
          <w:p>
            <w:pPr>
              <w:jc w:val="right"/>
              <w:ind w:right="71"/>
              <w:spacing w:after="0"/>
              <w:rPr>
                <w:sz w:val="20"/>
                <w:szCs w:val="20"/>
                <w:color w:val="auto"/>
              </w:rPr>
            </w:pPr>
            <w:r>
              <w:rPr>
                <w:rFonts w:ascii="Arial" w:cs="Arial" w:eastAsia="Arial" w:hAnsi="Arial"/>
                <w:sz w:val="14"/>
                <w:szCs w:val="14"/>
                <w:color w:val="auto"/>
              </w:rPr>
              <w:t>10.2†</w:t>
            </w:r>
          </w:p>
        </w:tc>
        <w:tc>
          <w:tcPr>
            <w:tcW w:w="5840" w:type="dxa"/>
            <w:vAlign w:val="bottom"/>
            <w:tcBorders>
              <w:top w:val="single" w:sz="8" w:color="0000FF"/>
            </w:tcBorders>
            <w:gridSpan w:val="4"/>
          </w:tcPr>
          <w:p>
            <w:pPr>
              <w:spacing w:after="0"/>
              <w:rPr>
                <w:rFonts w:ascii="Arial" w:cs="Arial" w:eastAsia="Arial" w:hAnsi="Arial"/>
                <w:sz w:val="14"/>
                <w:szCs w:val="14"/>
                <w:color w:val="0000FF"/>
                <w:w w:val="90"/>
              </w:rPr>
            </w:pPr>
            <w:hyperlink w:anchor="page55">
              <w:r>
                <w:rPr>
                  <w:rFonts w:ascii="Arial" w:cs="Arial" w:eastAsia="Arial" w:hAnsi="Arial"/>
                  <w:sz w:val="14"/>
                  <w:szCs w:val="14"/>
                  <w:color w:val="0000FF"/>
                  <w:w w:val="90"/>
                </w:rPr>
                <w:t>Tier One Executive Employment Plan dated July 27, 2021 between the Registrant and Christina Gabrys</w:t>
              </w:r>
            </w:hyperlink>
          </w:p>
        </w:tc>
        <w:tc>
          <w:tcPr>
            <w:tcW w:w="4180" w:type="dxa"/>
            <w:vAlign w:val="bottom"/>
            <w:gridSpan w:val="5"/>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660" w:type="dxa"/>
            <w:vAlign w:val="bottom"/>
          </w:tcPr>
          <w:p>
            <w:pPr>
              <w:jc w:val="right"/>
              <w:ind w:right="131"/>
              <w:spacing w:after="0"/>
              <w:rPr>
                <w:sz w:val="20"/>
                <w:szCs w:val="20"/>
                <w:color w:val="auto"/>
              </w:rPr>
            </w:pPr>
            <w:r>
              <w:rPr>
                <w:rFonts w:ascii="Arial" w:cs="Arial" w:eastAsia="Arial" w:hAnsi="Arial"/>
                <w:sz w:val="14"/>
                <w:szCs w:val="14"/>
                <w:color w:val="auto"/>
              </w:rPr>
              <w:t>31.1</w:t>
            </w:r>
          </w:p>
        </w:tc>
        <w:tc>
          <w:tcPr>
            <w:tcW w:w="9900" w:type="dxa"/>
            <w:vAlign w:val="bottom"/>
            <w:tcBorders>
              <w:bottom w:val="single" w:sz="8" w:color="0000FF"/>
            </w:tcBorders>
            <w:gridSpan w:val="6"/>
          </w:tcPr>
          <w:p>
            <w:pPr>
              <w:spacing w:after="0" w:line="161" w:lineRule="exact"/>
              <w:rPr>
                <w:rFonts w:ascii="Arial" w:cs="Arial" w:eastAsia="Arial" w:hAnsi="Arial"/>
                <w:sz w:val="14"/>
                <w:szCs w:val="14"/>
                <w:color w:val="0000FF"/>
                <w:w w:val="90"/>
              </w:rPr>
            </w:pPr>
            <w:hyperlink w:anchor="page68">
              <w:r>
                <w:rPr>
                  <w:rFonts w:ascii="Arial" w:cs="Arial" w:eastAsia="Arial" w:hAnsi="Arial"/>
                  <w:sz w:val="14"/>
                  <w:szCs w:val="14"/>
                  <w:color w:val="0000FF"/>
                  <w:w w:val="90"/>
                </w:rPr>
                <w:t>Certification of Principal Executive Officer pursuant to Rule 13a</w:t>
              </w:r>
              <w:r>
                <w:rPr>
                  <w:rFonts w:ascii="MS PGothic" w:cs="MS PGothic" w:eastAsia="MS PGothic" w:hAnsi="MS PGothic"/>
                  <w:sz w:val="14"/>
                  <w:szCs w:val="14"/>
                  <w:color w:val="0000FF"/>
                  <w:w w:val="90"/>
                </w:rPr>
                <w:t>‑</w:t>
              </w:r>
              <w:r>
                <w:rPr>
                  <w:rFonts w:ascii="Arial" w:cs="Arial" w:eastAsia="Arial" w:hAnsi="Arial"/>
                  <w:sz w:val="14"/>
                  <w:szCs w:val="14"/>
                  <w:color w:val="0000FF"/>
                  <w:w w:val="90"/>
                </w:rPr>
                <w:t>14(a) of the Exchange Act, as adopted pursuant to section 302 of the Sarbanes</w:t>
              </w:r>
              <w:r>
                <w:rPr>
                  <w:rFonts w:ascii="MS PGothic" w:cs="MS PGothic" w:eastAsia="MS PGothic" w:hAnsi="MS PGothic"/>
                  <w:sz w:val="14"/>
                  <w:szCs w:val="14"/>
                  <w:color w:val="0000FF"/>
                  <w:w w:val="90"/>
                </w:rPr>
                <w:t>‑</w:t>
              </w:r>
              <w:r>
                <w:rPr>
                  <w:rFonts w:ascii="Arial" w:cs="Arial" w:eastAsia="Arial" w:hAnsi="Arial"/>
                  <w:sz w:val="14"/>
                  <w:szCs w:val="14"/>
                  <w:color w:val="0000FF"/>
                  <w:w w:val="90"/>
                </w:rPr>
                <w:t>Oxley Act of 2002 (filed herewith)</w:t>
              </w:r>
            </w:hyperlink>
          </w:p>
        </w:tc>
        <w:tc>
          <w:tcPr>
            <w:tcW w:w="120" w:type="dxa"/>
            <w:vAlign w:val="bottom"/>
            <w:gridSpan w:val="3"/>
          </w:tcPr>
          <w:p>
            <w:pPr>
              <w:spacing w:after="0"/>
              <w:rPr>
                <w:sz w:val="14"/>
                <w:szCs w:val="14"/>
                <w:color w:val="auto"/>
              </w:rPr>
            </w:pPr>
          </w:p>
        </w:tc>
      </w:tr>
      <w:tr>
        <w:trPr>
          <w:trHeight w:val="161"/>
        </w:trPr>
        <w:tc>
          <w:tcPr>
            <w:tcW w:w="660" w:type="dxa"/>
            <w:vAlign w:val="bottom"/>
          </w:tcPr>
          <w:p>
            <w:pPr>
              <w:jc w:val="right"/>
              <w:ind w:right="131"/>
              <w:spacing w:after="0"/>
              <w:rPr>
                <w:sz w:val="20"/>
                <w:szCs w:val="20"/>
                <w:color w:val="auto"/>
              </w:rPr>
            </w:pPr>
            <w:r>
              <w:rPr>
                <w:rFonts w:ascii="Arial" w:cs="Arial" w:eastAsia="Arial" w:hAnsi="Arial"/>
                <w:sz w:val="14"/>
                <w:szCs w:val="14"/>
                <w:color w:val="auto"/>
              </w:rPr>
              <w:t>31.2</w:t>
            </w:r>
          </w:p>
        </w:tc>
        <w:tc>
          <w:tcPr>
            <w:tcW w:w="9860" w:type="dxa"/>
            <w:vAlign w:val="bottom"/>
            <w:tcBorders>
              <w:bottom w:val="single" w:sz="8" w:color="0000FF"/>
            </w:tcBorders>
            <w:gridSpan w:val="5"/>
          </w:tcPr>
          <w:p>
            <w:pPr>
              <w:spacing w:after="0" w:line="161" w:lineRule="exact"/>
              <w:rPr>
                <w:rFonts w:ascii="Arial" w:cs="Arial" w:eastAsia="Arial" w:hAnsi="Arial"/>
                <w:sz w:val="14"/>
                <w:szCs w:val="14"/>
                <w:color w:val="0000FF"/>
                <w:w w:val="90"/>
              </w:rPr>
            </w:pPr>
            <w:hyperlink w:anchor="page69">
              <w:r>
                <w:rPr>
                  <w:rFonts w:ascii="Arial" w:cs="Arial" w:eastAsia="Arial" w:hAnsi="Arial"/>
                  <w:sz w:val="14"/>
                  <w:szCs w:val="14"/>
                  <w:color w:val="0000FF"/>
                  <w:w w:val="90"/>
                </w:rPr>
                <w:t>Certification of Principal Financial Officer pursuant to Rule 13a</w:t>
              </w:r>
              <w:r>
                <w:rPr>
                  <w:rFonts w:ascii="MS PGothic" w:cs="MS PGothic" w:eastAsia="MS PGothic" w:hAnsi="MS PGothic"/>
                  <w:sz w:val="14"/>
                  <w:szCs w:val="14"/>
                  <w:color w:val="0000FF"/>
                  <w:w w:val="90"/>
                </w:rPr>
                <w:t>‑</w:t>
              </w:r>
              <w:r>
                <w:rPr>
                  <w:rFonts w:ascii="Arial" w:cs="Arial" w:eastAsia="Arial" w:hAnsi="Arial"/>
                  <w:sz w:val="14"/>
                  <w:szCs w:val="14"/>
                  <w:color w:val="0000FF"/>
                  <w:w w:val="90"/>
                </w:rPr>
                <w:t>14(a) of the Exchange Act, as adopted pursuant to section 302 of the Sarbanes</w:t>
              </w:r>
              <w:r>
                <w:rPr>
                  <w:rFonts w:ascii="MS PGothic" w:cs="MS PGothic" w:eastAsia="MS PGothic" w:hAnsi="MS PGothic"/>
                  <w:sz w:val="14"/>
                  <w:szCs w:val="14"/>
                  <w:color w:val="0000FF"/>
                  <w:w w:val="90"/>
                </w:rPr>
                <w:t>‑</w:t>
              </w:r>
              <w:r>
                <w:rPr>
                  <w:rFonts w:ascii="Arial" w:cs="Arial" w:eastAsia="Arial" w:hAnsi="Arial"/>
                  <w:sz w:val="14"/>
                  <w:szCs w:val="14"/>
                  <w:color w:val="0000FF"/>
                  <w:w w:val="90"/>
                </w:rPr>
                <w:t>Oxley Act of 2002 (filed herewith)</w:t>
              </w:r>
            </w:hyperlink>
          </w:p>
        </w:tc>
        <w:tc>
          <w:tcPr>
            <w:tcW w:w="160" w:type="dxa"/>
            <w:vAlign w:val="bottom"/>
            <w:gridSpan w:val="4"/>
          </w:tcPr>
          <w:p>
            <w:pPr>
              <w:spacing w:after="0"/>
              <w:rPr>
                <w:sz w:val="14"/>
                <w:szCs w:val="14"/>
                <w:color w:val="auto"/>
              </w:rPr>
            </w:pPr>
          </w:p>
        </w:tc>
      </w:tr>
      <w:tr>
        <w:trPr>
          <w:trHeight w:val="161"/>
        </w:trPr>
        <w:tc>
          <w:tcPr>
            <w:tcW w:w="660" w:type="dxa"/>
            <w:vAlign w:val="bottom"/>
          </w:tcPr>
          <w:p>
            <w:pPr>
              <w:jc w:val="right"/>
              <w:ind w:right="131"/>
              <w:spacing w:after="0"/>
              <w:rPr>
                <w:sz w:val="20"/>
                <w:szCs w:val="20"/>
                <w:color w:val="auto"/>
              </w:rPr>
            </w:pPr>
            <w:r>
              <w:rPr>
                <w:rFonts w:ascii="Arial" w:cs="Arial" w:eastAsia="Arial" w:hAnsi="Arial"/>
                <w:sz w:val="14"/>
                <w:szCs w:val="14"/>
                <w:color w:val="auto"/>
              </w:rPr>
              <w:t>32.1</w:t>
            </w:r>
          </w:p>
        </w:tc>
        <w:tc>
          <w:tcPr>
            <w:tcW w:w="10020" w:type="dxa"/>
            <w:vAlign w:val="bottom"/>
            <w:gridSpan w:val="9"/>
          </w:tcPr>
          <w:p>
            <w:pPr>
              <w:spacing w:after="0" w:line="161" w:lineRule="exact"/>
              <w:rPr>
                <w:rFonts w:ascii="Arial" w:cs="Arial" w:eastAsia="Arial" w:hAnsi="Arial"/>
                <w:sz w:val="14"/>
                <w:szCs w:val="14"/>
                <w:color w:val="0000FF"/>
                <w:w w:val="95"/>
              </w:rPr>
            </w:pPr>
            <w:hyperlink w:anchor="page70">
              <w:r>
                <w:rPr>
                  <w:rFonts w:ascii="Arial" w:cs="Arial" w:eastAsia="Arial" w:hAnsi="Arial"/>
                  <w:sz w:val="14"/>
                  <w:szCs w:val="14"/>
                  <w:color w:val="0000FF"/>
                  <w:w w:val="95"/>
                </w:rPr>
                <w:t>Certification of Principal Executive Officer pursuant to Rule 13a</w:t>
              </w:r>
              <w:r>
                <w:rPr>
                  <w:rFonts w:ascii="MS PGothic" w:cs="MS PGothic" w:eastAsia="MS PGothic" w:hAnsi="MS PGothic"/>
                  <w:sz w:val="14"/>
                  <w:szCs w:val="14"/>
                  <w:color w:val="0000FF"/>
                  <w:w w:val="95"/>
                </w:rPr>
                <w:t>‑</w:t>
              </w:r>
              <w:r>
                <w:rPr>
                  <w:rFonts w:ascii="Arial" w:cs="Arial" w:eastAsia="Arial" w:hAnsi="Arial"/>
                  <w:sz w:val="14"/>
                  <w:szCs w:val="14"/>
                  <w:color w:val="0000FF"/>
                  <w:w w:val="95"/>
                </w:rPr>
                <w:t>14(b) of the Exchange Act and section 18 U.S.C. Section 1350, as adopted pursuant to section 906 of the</w:t>
              </w:r>
            </w:hyperlink>
          </w:p>
        </w:tc>
      </w:tr>
      <w:tr>
        <w:trPr>
          <w:trHeight w:val="109"/>
        </w:trPr>
        <w:tc>
          <w:tcPr>
            <w:tcW w:w="660" w:type="dxa"/>
            <w:vAlign w:val="bottom"/>
          </w:tcPr>
          <w:p>
            <w:pPr>
              <w:spacing w:after="0"/>
              <w:rPr>
                <w:sz w:val="9"/>
                <w:szCs w:val="9"/>
                <w:color w:val="auto"/>
              </w:rPr>
            </w:pPr>
          </w:p>
        </w:tc>
        <w:tc>
          <w:tcPr>
            <w:tcW w:w="2460" w:type="dxa"/>
            <w:vAlign w:val="bottom"/>
            <w:tcBorders>
              <w:top w:val="single" w:sz="8" w:color="0000FF"/>
              <w:bottom w:val="single" w:sz="8" w:color="0000FF"/>
            </w:tcBorders>
            <w:gridSpan w:val="2"/>
          </w:tcPr>
          <w:p>
            <w:pPr>
              <w:spacing w:after="0" w:line="110" w:lineRule="exact"/>
              <w:rPr>
                <w:rFonts w:ascii="Arial" w:cs="Arial" w:eastAsia="Arial" w:hAnsi="Arial"/>
                <w:sz w:val="11"/>
                <w:szCs w:val="11"/>
                <w:color w:val="0000FF"/>
              </w:rPr>
            </w:pPr>
            <w:hyperlink w:anchor="page70">
              <w:r>
                <w:rPr>
                  <w:rFonts w:ascii="Arial" w:cs="Arial" w:eastAsia="Arial" w:hAnsi="Arial"/>
                  <w:sz w:val="11"/>
                  <w:szCs w:val="11"/>
                  <w:color w:val="0000FF"/>
                </w:rPr>
                <w:t>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 (filed herewith)</w:t>
              </w:r>
            </w:hyperlink>
          </w:p>
        </w:tc>
        <w:tc>
          <w:tcPr>
            <w:tcW w:w="752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660" w:type="dxa"/>
            <w:vAlign w:val="bottom"/>
          </w:tcPr>
          <w:p>
            <w:pPr>
              <w:jc w:val="right"/>
              <w:ind w:right="131"/>
              <w:spacing w:after="0"/>
              <w:rPr>
                <w:sz w:val="20"/>
                <w:szCs w:val="20"/>
                <w:color w:val="auto"/>
              </w:rPr>
            </w:pPr>
            <w:r>
              <w:rPr>
                <w:rFonts w:ascii="Arial" w:cs="Arial" w:eastAsia="Arial" w:hAnsi="Arial"/>
                <w:sz w:val="14"/>
                <w:szCs w:val="14"/>
                <w:color w:val="auto"/>
              </w:rPr>
              <w:t>32.2</w:t>
            </w:r>
          </w:p>
        </w:tc>
        <w:tc>
          <w:tcPr>
            <w:tcW w:w="10020" w:type="dxa"/>
            <w:vAlign w:val="bottom"/>
            <w:gridSpan w:val="9"/>
          </w:tcPr>
          <w:p>
            <w:pPr>
              <w:spacing w:after="0" w:line="161" w:lineRule="exact"/>
              <w:rPr>
                <w:rFonts w:ascii="Arial" w:cs="Arial" w:eastAsia="Arial" w:hAnsi="Arial"/>
                <w:sz w:val="14"/>
                <w:szCs w:val="14"/>
                <w:color w:val="0000FF"/>
                <w:w w:val="95"/>
              </w:rPr>
            </w:pPr>
            <w:hyperlink w:anchor="page71">
              <w:r>
                <w:rPr>
                  <w:rFonts w:ascii="Arial" w:cs="Arial" w:eastAsia="Arial" w:hAnsi="Arial"/>
                  <w:sz w:val="14"/>
                  <w:szCs w:val="14"/>
                  <w:color w:val="0000FF"/>
                  <w:w w:val="95"/>
                </w:rPr>
                <w:t>Certification of Principal Financial Officer pursuant to Rule 13a</w:t>
              </w:r>
              <w:r>
                <w:rPr>
                  <w:rFonts w:ascii="MS PGothic" w:cs="MS PGothic" w:eastAsia="MS PGothic" w:hAnsi="MS PGothic"/>
                  <w:sz w:val="14"/>
                  <w:szCs w:val="14"/>
                  <w:color w:val="0000FF"/>
                  <w:w w:val="95"/>
                </w:rPr>
                <w:t>‑</w:t>
              </w:r>
              <w:r>
                <w:rPr>
                  <w:rFonts w:ascii="Arial" w:cs="Arial" w:eastAsia="Arial" w:hAnsi="Arial"/>
                  <w:sz w:val="14"/>
                  <w:szCs w:val="14"/>
                  <w:color w:val="0000FF"/>
                  <w:w w:val="95"/>
                </w:rPr>
                <w:t>14(b) of the Exchange Act and section 18 U.S.C. Section 1350, as adopted pursuant to section 906 of the</w:t>
              </w:r>
            </w:hyperlink>
          </w:p>
        </w:tc>
      </w:tr>
      <w:tr>
        <w:trPr>
          <w:trHeight w:val="109"/>
        </w:trPr>
        <w:tc>
          <w:tcPr>
            <w:tcW w:w="660" w:type="dxa"/>
            <w:vAlign w:val="bottom"/>
          </w:tcPr>
          <w:p>
            <w:pPr>
              <w:spacing w:after="0"/>
              <w:rPr>
                <w:sz w:val="9"/>
                <w:szCs w:val="9"/>
                <w:color w:val="auto"/>
              </w:rPr>
            </w:pPr>
          </w:p>
        </w:tc>
        <w:tc>
          <w:tcPr>
            <w:tcW w:w="2460" w:type="dxa"/>
            <w:vAlign w:val="bottom"/>
            <w:tcBorders>
              <w:top w:val="single" w:sz="8" w:color="0000FF"/>
              <w:bottom w:val="single" w:sz="8" w:color="0000FF"/>
            </w:tcBorders>
            <w:gridSpan w:val="2"/>
          </w:tcPr>
          <w:p>
            <w:pPr>
              <w:spacing w:after="0" w:line="110" w:lineRule="exact"/>
              <w:rPr>
                <w:rFonts w:ascii="Arial" w:cs="Arial" w:eastAsia="Arial" w:hAnsi="Arial"/>
                <w:sz w:val="11"/>
                <w:szCs w:val="11"/>
                <w:color w:val="0000FF"/>
              </w:rPr>
            </w:pPr>
            <w:hyperlink w:anchor="page71">
              <w:r>
                <w:rPr>
                  <w:rFonts w:ascii="Arial" w:cs="Arial" w:eastAsia="Arial" w:hAnsi="Arial"/>
                  <w:sz w:val="11"/>
                  <w:szCs w:val="11"/>
                  <w:color w:val="0000FF"/>
                </w:rPr>
                <w:t>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 (filed herewith)</w:t>
              </w:r>
            </w:hyperlink>
          </w:p>
        </w:tc>
        <w:tc>
          <w:tcPr>
            <w:tcW w:w="754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r>
      <w:tr>
        <w:trPr>
          <w:trHeight w:val="188"/>
        </w:trPr>
        <w:tc>
          <w:tcPr>
            <w:tcW w:w="660" w:type="dxa"/>
            <w:vAlign w:val="bottom"/>
          </w:tcPr>
          <w:p>
            <w:pPr>
              <w:jc w:val="right"/>
              <w:ind w:right="71"/>
              <w:spacing w:after="0"/>
              <w:rPr>
                <w:sz w:val="20"/>
                <w:szCs w:val="20"/>
                <w:color w:val="auto"/>
              </w:rPr>
            </w:pPr>
            <w:r>
              <w:rPr>
                <w:rFonts w:ascii="Arial" w:cs="Arial" w:eastAsia="Arial" w:hAnsi="Arial"/>
                <w:sz w:val="14"/>
                <w:szCs w:val="14"/>
                <w:color w:val="auto"/>
                <w:w w:val="98"/>
              </w:rPr>
              <w:t>101.INS</w:t>
            </w:r>
          </w:p>
        </w:tc>
        <w:tc>
          <w:tcPr>
            <w:tcW w:w="10020" w:type="dxa"/>
            <w:vAlign w:val="bottom"/>
            <w:gridSpan w:val="9"/>
          </w:tcPr>
          <w:p>
            <w:pPr>
              <w:spacing w:after="0"/>
              <w:rPr>
                <w:sz w:val="20"/>
                <w:szCs w:val="20"/>
                <w:color w:val="auto"/>
              </w:rPr>
            </w:pPr>
            <w:r>
              <w:rPr>
                <w:rFonts w:ascii="Arial" w:cs="Arial" w:eastAsia="Arial" w:hAnsi="Arial"/>
                <w:sz w:val="14"/>
                <w:szCs w:val="14"/>
                <w:color w:val="auto"/>
              </w:rPr>
              <w:t>XBRL Instance Document</w:t>
            </w:r>
          </w:p>
        </w:tc>
      </w:tr>
      <w:tr>
        <w:trPr>
          <w:trHeight w:val="181"/>
        </w:trPr>
        <w:tc>
          <w:tcPr>
            <w:tcW w:w="660" w:type="dxa"/>
            <w:vAlign w:val="bottom"/>
          </w:tcPr>
          <w:p>
            <w:pPr>
              <w:jc w:val="right"/>
              <w:ind w:right="71"/>
              <w:spacing w:after="0"/>
              <w:rPr>
                <w:sz w:val="20"/>
                <w:szCs w:val="20"/>
                <w:color w:val="auto"/>
              </w:rPr>
            </w:pPr>
            <w:r>
              <w:rPr>
                <w:rFonts w:ascii="Arial" w:cs="Arial" w:eastAsia="Arial" w:hAnsi="Arial"/>
                <w:sz w:val="14"/>
                <w:szCs w:val="14"/>
                <w:color w:val="auto"/>
                <w:w w:val="87"/>
              </w:rPr>
              <w:t>101.SCH</w:t>
            </w:r>
          </w:p>
        </w:tc>
        <w:tc>
          <w:tcPr>
            <w:tcW w:w="10020" w:type="dxa"/>
            <w:vAlign w:val="bottom"/>
            <w:gridSpan w:val="9"/>
          </w:tcPr>
          <w:p>
            <w:pPr>
              <w:spacing w:after="0"/>
              <w:rPr>
                <w:sz w:val="20"/>
                <w:szCs w:val="20"/>
                <w:color w:val="auto"/>
              </w:rPr>
            </w:pPr>
            <w:r>
              <w:rPr>
                <w:rFonts w:ascii="Arial" w:cs="Arial" w:eastAsia="Arial" w:hAnsi="Arial"/>
                <w:sz w:val="14"/>
                <w:szCs w:val="14"/>
                <w:color w:val="auto"/>
              </w:rPr>
              <w:t>XBRL Schema Document</w:t>
            </w:r>
          </w:p>
        </w:tc>
      </w:tr>
      <w:tr>
        <w:trPr>
          <w:trHeight w:val="181"/>
        </w:trPr>
        <w:tc>
          <w:tcPr>
            <w:tcW w:w="660" w:type="dxa"/>
            <w:vAlign w:val="bottom"/>
          </w:tcPr>
          <w:p>
            <w:pPr>
              <w:jc w:val="right"/>
              <w:ind w:right="71"/>
              <w:spacing w:after="0"/>
              <w:rPr>
                <w:sz w:val="20"/>
                <w:szCs w:val="20"/>
                <w:color w:val="auto"/>
              </w:rPr>
            </w:pPr>
            <w:r>
              <w:rPr>
                <w:rFonts w:ascii="Arial" w:cs="Arial" w:eastAsia="Arial" w:hAnsi="Arial"/>
                <w:sz w:val="14"/>
                <w:szCs w:val="14"/>
                <w:color w:val="auto"/>
                <w:w w:val="91"/>
              </w:rPr>
              <w:t>101.CAL</w:t>
            </w:r>
          </w:p>
        </w:tc>
        <w:tc>
          <w:tcPr>
            <w:tcW w:w="10020" w:type="dxa"/>
            <w:vAlign w:val="bottom"/>
            <w:gridSpan w:val="9"/>
          </w:tcPr>
          <w:p>
            <w:pPr>
              <w:spacing w:after="0"/>
              <w:rPr>
                <w:sz w:val="20"/>
                <w:szCs w:val="20"/>
                <w:color w:val="auto"/>
              </w:rPr>
            </w:pPr>
            <w:r>
              <w:rPr>
                <w:rFonts w:ascii="Arial" w:cs="Arial" w:eastAsia="Arial" w:hAnsi="Arial"/>
                <w:sz w:val="14"/>
                <w:szCs w:val="14"/>
                <w:color w:val="auto"/>
              </w:rPr>
              <w:t>XBRL Calculation Linkbase Document</w:t>
            </w:r>
          </w:p>
        </w:tc>
      </w:tr>
      <w:tr>
        <w:trPr>
          <w:trHeight w:val="181"/>
        </w:trPr>
        <w:tc>
          <w:tcPr>
            <w:tcW w:w="660" w:type="dxa"/>
            <w:vAlign w:val="bottom"/>
          </w:tcPr>
          <w:p>
            <w:pPr>
              <w:jc w:val="right"/>
              <w:ind w:right="71"/>
              <w:spacing w:after="0"/>
              <w:rPr>
                <w:sz w:val="20"/>
                <w:szCs w:val="20"/>
                <w:color w:val="auto"/>
              </w:rPr>
            </w:pPr>
            <w:r>
              <w:rPr>
                <w:rFonts w:ascii="Arial" w:cs="Arial" w:eastAsia="Arial" w:hAnsi="Arial"/>
                <w:sz w:val="14"/>
                <w:szCs w:val="14"/>
                <w:color w:val="auto"/>
                <w:w w:val="90"/>
              </w:rPr>
              <w:t>101.DEF</w:t>
            </w:r>
          </w:p>
        </w:tc>
        <w:tc>
          <w:tcPr>
            <w:tcW w:w="10020" w:type="dxa"/>
            <w:vAlign w:val="bottom"/>
            <w:gridSpan w:val="9"/>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1"/>
        </w:trPr>
        <w:tc>
          <w:tcPr>
            <w:tcW w:w="660" w:type="dxa"/>
            <w:vAlign w:val="bottom"/>
          </w:tcPr>
          <w:p>
            <w:pPr>
              <w:jc w:val="right"/>
              <w:ind w:right="71"/>
              <w:spacing w:after="0"/>
              <w:rPr>
                <w:sz w:val="20"/>
                <w:szCs w:val="20"/>
                <w:color w:val="auto"/>
              </w:rPr>
            </w:pPr>
            <w:r>
              <w:rPr>
                <w:rFonts w:ascii="Arial" w:cs="Arial" w:eastAsia="Arial" w:hAnsi="Arial"/>
                <w:sz w:val="14"/>
                <w:szCs w:val="14"/>
                <w:color w:val="auto"/>
                <w:w w:val="93"/>
              </w:rPr>
              <w:t>101.LAB</w:t>
            </w:r>
          </w:p>
        </w:tc>
        <w:tc>
          <w:tcPr>
            <w:tcW w:w="10020" w:type="dxa"/>
            <w:vAlign w:val="bottom"/>
            <w:gridSpan w:val="9"/>
          </w:tcPr>
          <w:p>
            <w:pPr>
              <w:spacing w:after="0"/>
              <w:rPr>
                <w:sz w:val="20"/>
                <w:szCs w:val="20"/>
                <w:color w:val="auto"/>
              </w:rPr>
            </w:pPr>
            <w:r>
              <w:rPr>
                <w:rFonts w:ascii="Arial" w:cs="Arial" w:eastAsia="Arial" w:hAnsi="Arial"/>
                <w:sz w:val="14"/>
                <w:szCs w:val="14"/>
                <w:color w:val="auto"/>
              </w:rPr>
              <w:t>XBRL Labels Linkbase Document</w:t>
            </w:r>
          </w:p>
        </w:tc>
      </w:tr>
      <w:tr>
        <w:trPr>
          <w:trHeight w:val="181"/>
        </w:trPr>
        <w:tc>
          <w:tcPr>
            <w:tcW w:w="660" w:type="dxa"/>
            <w:vAlign w:val="bottom"/>
          </w:tcPr>
          <w:p>
            <w:pPr>
              <w:jc w:val="right"/>
              <w:ind w:right="71"/>
              <w:spacing w:after="0"/>
              <w:rPr>
                <w:sz w:val="20"/>
                <w:szCs w:val="20"/>
                <w:color w:val="auto"/>
              </w:rPr>
            </w:pPr>
            <w:r>
              <w:rPr>
                <w:rFonts w:ascii="Arial" w:cs="Arial" w:eastAsia="Arial" w:hAnsi="Arial"/>
                <w:sz w:val="14"/>
                <w:szCs w:val="14"/>
                <w:color w:val="auto"/>
                <w:w w:val="89"/>
              </w:rPr>
              <w:t>101.PRE</w:t>
            </w:r>
          </w:p>
        </w:tc>
        <w:tc>
          <w:tcPr>
            <w:tcW w:w="10020" w:type="dxa"/>
            <w:vAlign w:val="bottom"/>
            <w:gridSpan w:val="9"/>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 Compensation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firstLine="311"/>
        <w:spacing w:after="0" w:line="277" w:lineRule="auto"/>
        <w:rPr>
          <w:sz w:val="20"/>
          <w:szCs w:val="20"/>
          <w:color w:val="auto"/>
        </w:rPr>
      </w:pPr>
      <w:r>
        <w:rPr>
          <w:rFonts w:ascii="Arial" w:cs="Arial" w:eastAsia="Arial" w:hAnsi="Arial"/>
          <w:sz w:val="17"/>
          <w:szCs w:val="17"/>
          <w:color w:val="auto"/>
        </w:rPr>
        <w:t>Pursuant to the requirements of Securities Exchange Act of 1934, the registrant has caused this Report to be signed on its behalf by the undersigned, thereunto duly authorized.</w:t>
      </w:r>
    </w:p>
    <w:p>
      <w:pPr>
        <w:spacing w:after="0" w:line="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Taylor Greenwald</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Financial Officer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2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1"/>
          <w:szCs w:val="21"/>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TRANSITION AND SEPARATION AGREEMENT</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This Transition and Separation Agreement (the “Agreement”) is dated as of July 27, 2021 (the “Effective Date”) by and between Synchronoss Technologies, Inc. (the “Company”) and Ronald Prague.</w:t>
      </w:r>
    </w:p>
    <w:p>
      <w:pPr>
        <w:spacing w:after="0" w:line="181"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you have entered into an employment agreement with the Company dated as of May 1, 2017 (the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w:t>
      </w:r>
    </w:p>
    <w:p>
      <w:pPr>
        <w:spacing w:after="0" w:line="175"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you and the Company have agreed that you will leave your position as Chief Legal Officer, General Counsel and</w:t>
      </w:r>
      <w:r>
        <w:rPr>
          <w:rFonts w:ascii="Arial" w:cs="Arial" w:eastAsia="Arial" w:hAnsi="Arial"/>
          <w:sz w:val="21"/>
          <w:szCs w:val="21"/>
          <w:b w:val="1"/>
          <w:bCs w:val="1"/>
          <w:color w:val="auto"/>
        </w:rPr>
        <w:t xml:space="preserve"> </w:t>
      </w:r>
      <w:r>
        <w:rPr>
          <w:rFonts w:ascii="Arial" w:cs="Arial" w:eastAsia="Arial" w:hAnsi="Arial"/>
          <w:sz w:val="21"/>
          <w:szCs w:val="21"/>
          <w:color w:val="auto"/>
        </w:rPr>
        <w:t>Secretary on the Effective Date and you reemployment with the Company will end, effective as of the Separation Date (as defined below).</w:t>
      </w:r>
    </w:p>
    <w:p>
      <w:pPr>
        <w:spacing w:after="0" w:line="19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promises and mutual covenants contained herein, the Parties hereby agree as</w:t>
      </w:r>
      <w:r>
        <w:rPr>
          <w:rFonts w:ascii="Arial" w:cs="Arial" w:eastAsia="Arial" w:hAnsi="Arial"/>
          <w:sz w:val="21"/>
          <w:szCs w:val="21"/>
          <w:b w:val="1"/>
          <w:bCs w:val="1"/>
          <w:color w:val="auto"/>
        </w:rPr>
        <w:t xml:space="preserve"> </w:t>
      </w:r>
      <w:r>
        <w:rPr>
          <w:rFonts w:ascii="Arial" w:cs="Arial" w:eastAsia="Arial" w:hAnsi="Arial"/>
          <w:sz w:val="21"/>
          <w:szCs w:val="21"/>
          <w:color w:val="auto"/>
        </w:rPr>
        <w:t>follows:</w:t>
      </w:r>
    </w:p>
    <w:p>
      <w:pPr>
        <w:spacing w:after="0" w:line="175" w:lineRule="exact"/>
        <w:rPr>
          <w:sz w:val="20"/>
          <w:szCs w:val="20"/>
          <w:color w:val="auto"/>
        </w:rPr>
      </w:pPr>
    </w:p>
    <w:p>
      <w:pPr>
        <w:jc w:val="both"/>
        <w:ind w:firstLine="3"/>
        <w:spacing w:after="0" w:line="236" w:lineRule="auto"/>
        <w:tabs>
          <w:tab w:leader="none" w:pos="621"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You agree to continue to serve as Chief Legal Officer, General Counsel and Secretary of the Company until July</w:t>
      </w:r>
      <w:r>
        <w:rPr>
          <w:rFonts w:ascii="Arial" w:cs="Arial" w:eastAsia="Arial" w:hAnsi="Arial"/>
          <w:sz w:val="21"/>
          <w:szCs w:val="21"/>
          <w:b w:val="1"/>
          <w:bCs w:val="1"/>
          <w:color w:val="auto"/>
        </w:rPr>
        <w:t xml:space="preserve"> </w:t>
      </w:r>
      <w:r>
        <w:rPr>
          <w:rFonts w:ascii="Arial" w:cs="Arial" w:eastAsia="Arial" w:hAnsi="Arial"/>
          <w:sz w:val="21"/>
          <w:szCs w:val="21"/>
          <w:color w:val="auto"/>
        </w:rPr>
        <w:t>27, 2021, and shall continue as an employee of the Company until September 2, 2021 (such date, as applicable, the “Separation Date”). As of the Separation Date, you hereby resign as an officer of the Company and from any position you hold at any of its subsidiaries, affiliates and joint ventures (collectively, the “Affiliates”), to the extent applicable. You confirm and agree that your employment with the Company will be terminated effective as of the Separation Date. To the extent that the Company has not already done so, the Company shall pay to you in the next scheduled payroll after the Separation Date a lump-sum amount equal to any accrued and unpaid salary.</w:t>
      </w:r>
    </w:p>
    <w:p>
      <w:pPr>
        <w:spacing w:after="0" w:line="174" w:lineRule="exact"/>
        <w:rPr>
          <w:rFonts w:ascii="Arial" w:cs="Arial" w:eastAsia="Arial" w:hAnsi="Arial"/>
          <w:sz w:val="21"/>
          <w:szCs w:val="21"/>
          <w:b w:val="1"/>
          <w:bCs w:val="1"/>
          <w:color w:val="auto"/>
        </w:rPr>
      </w:pPr>
    </w:p>
    <w:p>
      <w:pPr>
        <w:ind w:left="620" w:hanging="617"/>
        <w:spacing w:after="0"/>
        <w:tabs>
          <w:tab w:leader="none" w:pos="620"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Benefits</w:t>
      </w:r>
      <w:r>
        <w:rPr>
          <w:rFonts w:ascii="Arial" w:cs="Arial" w:eastAsia="Arial" w:hAnsi="Arial"/>
          <w:sz w:val="21"/>
          <w:szCs w:val="21"/>
          <w:b w:val="1"/>
          <w:bCs w:val="1"/>
          <w:color w:val="auto"/>
        </w:rPr>
        <w:t>.</w:t>
      </w:r>
    </w:p>
    <w:p>
      <w:pPr>
        <w:spacing w:after="0" w:line="204" w:lineRule="exact"/>
        <w:rPr>
          <w:sz w:val="20"/>
          <w:szCs w:val="20"/>
          <w:color w:val="auto"/>
        </w:rPr>
      </w:pPr>
    </w:p>
    <w:p>
      <w:pPr>
        <w:jc w:val="both"/>
        <w:ind w:firstLine="621"/>
        <w:spacing w:after="0" w:line="242" w:lineRule="auto"/>
        <w:rPr>
          <w:sz w:val="20"/>
          <w:szCs w:val="20"/>
          <w:color w:val="auto"/>
        </w:rPr>
      </w:pPr>
      <w:r>
        <w:rPr>
          <w:rFonts w:ascii="Arial" w:cs="Arial" w:eastAsia="Arial" w:hAnsi="Arial"/>
          <w:sz w:val="21"/>
          <w:szCs w:val="21"/>
          <w:color w:val="auto"/>
        </w:rPr>
        <w:t>In consideration of the execution of this Agreement, and provided you do not revoke this Agreement as set forth in Section 12 below, the Company agrees to pay you severance in the amount of $728,065.25, less all applicable federal and state withholdings, in equal semi-monthly payments This severance will be paid to you as follows:</w:t>
      </w:r>
    </w:p>
    <w:p>
      <w:pPr>
        <w:spacing w:after="0" w:line="169" w:lineRule="exact"/>
        <w:rPr>
          <w:sz w:val="20"/>
          <w:szCs w:val="20"/>
          <w:color w:val="auto"/>
        </w:rPr>
      </w:pPr>
    </w:p>
    <w:p>
      <w:pPr>
        <w:jc w:val="both"/>
        <w:ind w:firstLine="1245"/>
        <w:spacing w:after="0"/>
        <w:tabs>
          <w:tab w:leader="none" w:pos="1860"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 xml:space="preserve">Semi-Monthly Payments. </w:t>
      </w:r>
      <w:r>
        <w:rPr>
          <w:rFonts w:ascii="Arial" w:cs="Arial" w:eastAsia="Arial" w:hAnsi="Arial"/>
          <w:sz w:val="21"/>
          <w:szCs w:val="21"/>
          <w:color w:val="auto"/>
        </w:rPr>
        <w:t>The Company agrees to pay you $535,805.00 less all applicable federal and state</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withholdings, in equal semi-monthly payments, commencing on the September 15, 2021 pay date or the first pay date immediately following the Effective Date of this Agreement, whichever occurs later in time, and continuing for thirty-five (35) successive pay dates thereafter.</w:t>
      </w:r>
    </w:p>
    <w:p>
      <w:pPr>
        <w:spacing w:after="0" w:line="172" w:lineRule="exact"/>
        <w:rPr>
          <w:rFonts w:ascii="Arial" w:cs="Arial" w:eastAsia="Arial" w:hAnsi="Arial"/>
          <w:sz w:val="21"/>
          <w:szCs w:val="21"/>
          <w:color w:val="auto"/>
        </w:rPr>
      </w:pPr>
    </w:p>
    <w:p>
      <w:pPr>
        <w:jc w:val="both"/>
        <w:ind w:firstLine="1245"/>
        <w:spacing w:after="0" w:line="284" w:lineRule="auto"/>
        <w:tabs>
          <w:tab w:leader="none" w:pos="1858"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Lump sum Payment. </w:t>
      </w:r>
      <w:r>
        <w:rPr>
          <w:rFonts w:ascii="Arial" w:cs="Arial" w:eastAsia="Arial" w:hAnsi="Arial"/>
          <w:sz w:val="19"/>
          <w:szCs w:val="19"/>
          <w:color w:val="auto"/>
        </w:rPr>
        <w:t>In addition to the foregoing, the Company agrees to pay you $192,260.25, less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and state withholdings, in a lump sum payment on the date and in the same payment structure that either the Chief Executive Officer or any of his/her direct reports receive payment for their bonus for 2021, but in no event later than June 30, 2022.</w:t>
      </w:r>
    </w:p>
    <w:p>
      <w:pPr>
        <w:sectPr>
          <w:pgSz w:w="11900" w:h="16838" w:orient="portrait"/>
          <w:cols w:equalWidth="0" w:num="1">
            <w:col w:w="11240"/>
          </w:cols>
          <w:pgMar w:left="320" w:top="1199" w:right="339" w:bottom="1440" w:gutter="0" w:footer="0" w:header="0"/>
        </w:sectPr>
      </w:pPr>
    </w:p>
    <w:bookmarkStart w:id="50" w:name="page51"/>
    <w:bookmarkEnd w:id="50"/>
    <w:p>
      <w:pPr>
        <w:ind w:right="120" w:firstLine="1245"/>
        <w:spacing w:after="0" w:line="245" w:lineRule="auto"/>
        <w:tabs>
          <w:tab w:leader="none" w:pos="1860" w:val="left"/>
        </w:tabs>
        <w:numPr>
          <w:ilvl w:val="1"/>
          <w:numId w:val="32"/>
        </w:numPr>
        <w:rPr>
          <w:rFonts w:ascii="Arial" w:cs="Arial" w:eastAsia="Arial" w:hAnsi="Arial"/>
          <w:sz w:val="21"/>
          <w:szCs w:val="21"/>
          <w:color w:val="auto"/>
        </w:rPr>
      </w:pPr>
      <w:r>
        <w:rPr>
          <w:rFonts w:ascii="Arial" w:cs="Arial" w:eastAsia="Arial" w:hAnsi="Arial"/>
          <w:sz w:val="21"/>
          <w:szCs w:val="21"/>
          <w:b w:val="1"/>
          <w:bCs w:val="1"/>
          <w:color w:val="auto"/>
        </w:rPr>
        <w:t>2020 Bonus Payment</w:t>
      </w:r>
      <w:r>
        <w:rPr>
          <w:rFonts w:ascii="Arial" w:cs="Arial" w:eastAsia="Arial" w:hAnsi="Arial"/>
          <w:sz w:val="21"/>
          <w:szCs w:val="21"/>
          <w:color w:val="auto"/>
        </w:rPr>
        <w:t>. In addition to the foregoing, the Company agrees to pay your 2020 Bonus in the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of $151,286.00 on the date and in the payment structure that either the Chief Executive Officer or any one of his/her direct reports receive payment for their 2020 bonuses, but in no event later than December 31, 2021.</w:t>
      </w:r>
    </w:p>
    <w:p>
      <w:pPr>
        <w:spacing w:after="0" w:line="165" w:lineRule="exact"/>
        <w:rPr>
          <w:rFonts w:ascii="Arial" w:cs="Arial" w:eastAsia="Arial" w:hAnsi="Arial"/>
          <w:sz w:val="21"/>
          <w:szCs w:val="21"/>
          <w:color w:val="auto"/>
        </w:rPr>
      </w:pPr>
    </w:p>
    <w:p>
      <w:pPr>
        <w:ind w:left="620" w:hanging="617"/>
        <w:spacing w:after="0"/>
        <w:tabs>
          <w:tab w:leader="none" w:pos="620"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Benefits.</w:t>
      </w:r>
    </w:p>
    <w:p>
      <w:pPr>
        <w:spacing w:after="0" w:line="179" w:lineRule="exact"/>
        <w:rPr>
          <w:rFonts w:ascii="Arial" w:cs="Arial" w:eastAsia="Arial" w:hAnsi="Arial"/>
          <w:sz w:val="21"/>
          <w:szCs w:val="21"/>
          <w:b w:val="1"/>
          <w:bCs w:val="1"/>
          <w:color w:val="auto"/>
        </w:rPr>
      </w:pPr>
    </w:p>
    <w:p>
      <w:pPr>
        <w:ind w:left="620"/>
        <w:spacing w:after="0"/>
        <w:rPr>
          <w:rFonts w:ascii="Arial" w:cs="Arial" w:eastAsia="Arial" w:hAnsi="Arial"/>
          <w:sz w:val="21"/>
          <w:szCs w:val="21"/>
          <w:b w:val="1"/>
          <w:bCs w:val="1"/>
          <w:color w:val="auto"/>
        </w:rPr>
      </w:pPr>
      <w:r>
        <w:rPr>
          <w:rFonts w:ascii="Arial" w:cs="Arial" w:eastAsia="Arial" w:hAnsi="Arial"/>
          <w:sz w:val="19"/>
          <w:szCs w:val="19"/>
          <w:color w:val="auto"/>
        </w:rPr>
        <w:t>Your current group health insurance coverage will continue through September 30, 2021. No later than the 7</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business day</w:t>
      </w:r>
    </w:p>
    <w:p>
      <w:pPr>
        <w:jc w:val="both"/>
        <w:spacing w:after="0" w:line="235" w:lineRule="auto"/>
        <w:rPr>
          <w:sz w:val="20"/>
          <w:szCs w:val="20"/>
          <w:color w:val="auto"/>
        </w:rPr>
      </w:pPr>
      <w:r>
        <w:rPr>
          <w:rFonts w:ascii="Arial" w:cs="Arial" w:eastAsia="Arial" w:hAnsi="Arial"/>
          <w:sz w:val="21"/>
          <w:szCs w:val="21"/>
          <w:color w:val="auto"/>
        </w:rPr>
        <w:t>following the Effective Date of this Agreement, the Company will pay you a lump sum payment equal to $51,772, representing the employer portion of your health insurance premiums for a period of 24 months, which shall be reported as wages for purposes of Federal income tax.</w:t>
      </w:r>
    </w:p>
    <w:p>
      <w:pPr>
        <w:spacing w:after="0" w:line="172" w:lineRule="exact"/>
        <w:rPr>
          <w:sz w:val="20"/>
          <w:szCs w:val="20"/>
          <w:color w:val="auto"/>
        </w:rPr>
      </w:pPr>
    </w:p>
    <w:p>
      <w:pPr>
        <w:ind w:left="620" w:hanging="617"/>
        <w:spacing w:after="0"/>
        <w:tabs>
          <w:tab w:leader="none" w:pos="620"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Release of Claims.</w:t>
      </w:r>
    </w:p>
    <w:p>
      <w:pPr>
        <w:spacing w:after="0" w:line="204" w:lineRule="exact"/>
        <w:rPr>
          <w:rFonts w:ascii="Arial" w:cs="Arial" w:eastAsia="Arial" w:hAnsi="Arial"/>
          <w:sz w:val="21"/>
          <w:szCs w:val="21"/>
          <w:b w:val="1"/>
          <w:bCs w:val="1"/>
          <w:color w:val="auto"/>
        </w:rPr>
      </w:pPr>
    </w:p>
    <w:p>
      <w:pPr>
        <w:jc w:val="both"/>
        <w:ind w:firstLine="1245"/>
        <w:spacing w:after="0" w:line="259" w:lineRule="auto"/>
        <w:tabs>
          <w:tab w:leader="none" w:pos="18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You voluntarily and irrevocably release and discharge the Company, each related or affiliated entity, employee benefit plans, and the predecessors, successors, and assigns of each of them, and each of their respective current and former officers, directors, shareholders, employees, and agents (any and all of which are referred to as “Releasees”) generally from all charges, complaints, claims, promises, agreements, causes of action, damages, and debts that relate in any manner to your employment with or services for the Company, known or unknown (“Claims”), which you have, claim to have, ever had, or ever claimed to have had against any of the Releasees through the date on which you execute this Agreement. This general release of Claims includes, without implication of limitation, all Claims related to the compensation provided to you by the Company, the termination of your employment with the Company, your resignation from directorships, offices and other positions with the Company, or your activities on behalf of the Company, including, without implication of limitation, any Claims of wrongful discharge, breach of contract, breach of an implied covenant of good faith and fair dealing, tortious interference with advantageous relations, any intentional or negligent misrepresentation, and unlawful discrimination or deprivation of rights under the common law or any statute or constitutional provision (including, without implication of limitation, the Employee Retirement Income Security Act, Title VII of the Civil Rights Act of 1964, the Age Discrimination in Employment Act and the Americans with Disabilities Act. You also waive any Claim for reinstatement, damages of any nature, severance pay, attorney’s fees, or costs.</w:t>
      </w:r>
    </w:p>
    <w:p>
      <w:pPr>
        <w:spacing w:after="0" w:line="165" w:lineRule="exact"/>
        <w:rPr>
          <w:rFonts w:ascii="Arial" w:cs="Arial" w:eastAsia="Arial" w:hAnsi="Arial"/>
          <w:sz w:val="19"/>
          <w:szCs w:val="19"/>
          <w:color w:val="auto"/>
        </w:rPr>
      </w:pPr>
    </w:p>
    <w:p>
      <w:pPr>
        <w:jc w:val="both"/>
        <w:ind w:firstLine="1245"/>
        <w:spacing w:after="0" w:line="262" w:lineRule="auto"/>
        <w:tabs>
          <w:tab w:leader="none" w:pos="1858" w:val="left"/>
        </w:tabs>
        <w:numPr>
          <w:ilvl w:val="1"/>
          <w:numId w:val="34"/>
        </w:numPr>
        <w:rPr>
          <w:rFonts w:ascii="Arial" w:cs="Arial" w:eastAsia="Arial" w:hAnsi="Arial"/>
          <w:sz w:val="19"/>
          <w:szCs w:val="19"/>
          <w:color w:val="auto"/>
        </w:rPr>
      </w:pPr>
      <w:r>
        <w:rPr>
          <w:rFonts w:ascii="Arial" w:cs="Arial" w:eastAsia="Arial" w:hAnsi="Arial"/>
          <w:sz w:val="19"/>
          <w:szCs w:val="19"/>
          <w:color w:val="auto"/>
        </w:rPr>
        <w:t>You agree that you will not hereafter pursue any Claim against any Releasee, by filing a lawsuit in any local, state or federal court for or on account of anything which has occurred up to the present time as a result of your previous employment and you shall not seek reinstatement, damages of any nature, severance pay, attorney’s fees, or costs, provided, however, that nothing in this general release shall be construed to include a release of Claims that (i) arise from the Company’s obligations under this Agreement, any equity award/grant agreements (of whatever name or kind), and any shareholder agreements between you and the Company, (ii) relate to your status as a shareholder in the Company, (iii) relate to Section 1(d) of the Employment Agreement, (iv) relate to the Company’s obligation to defend and indemnify you under the Company’s certificate of incorporation and by-laws, Delaware law and any applicable directors and officers liability insurance policy, and (v) cannot be released as a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199" w:right="339" w:bottom="1440" w:gutter="0" w:footer="0" w:header="0"/>
        </w:sectPr>
      </w:pPr>
    </w:p>
    <w:bookmarkStart w:id="51" w:name="page52"/>
    <w:bookmarkEnd w:id="51"/>
    <w:p>
      <w:pPr>
        <w:spacing w:after="0" w:line="254" w:lineRule="auto"/>
        <w:rPr>
          <w:sz w:val="20"/>
          <w:szCs w:val="20"/>
          <w:color w:val="auto"/>
        </w:rPr>
      </w:pPr>
      <w:r>
        <w:rPr>
          <w:rFonts w:ascii="Arial" w:cs="Arial" w:eastAsia="Arial" w:hAnsi="Arial"/>
          <w:sz w:val="21"/>
          <w:szCs w:val="21"/>
          <w:color w:val="auto"/>
        </w:rPr>
        <w:t>of law. You represent you have not assigned to any third party and you have not filed with any agency or court any Claim released by this Agreement.</w:t>
      </w:r>
    </w:p>
    <w:p>
      <w:pPr>
        <w:spacing w:after="0" w:line="156" w:lineRule="exact"/>
        <w:rPr>
          <w:sz w:val="20"/>
          <w:szCs w:val="20"/>
          <w:color w:val="auto"/>
        </w:rPr>
      </w:pPr>
    </w:p>
    <w:p>
      <w:pPr>
        <w:jc w:val="both"/>
        <w:ind w:firstLine="3"/>
        <w:spacing w:after="0" w:line="260" w:lineRule="auto"/>
        <w:tabs>
          <w:tab w:leader="none" w:pos="621"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Exceptions.</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not releasing any claim that cannot be waived under applicable state or federal law, and you are not</w:t>
      </w:r>
      <w:r>
        <w:rPr>
          <w:rFonts w:ascii="Arial" w:cs="Arial" w:eastAsia="Arial" w:hAnsi="Arial"/>
          <w:sz w:val="19"/>
          <w:szCs w:val="19"/>
          <w:b w:val="1"/>
          <w:bCs w:val="1"/>
          <w:color w:val="auto"/>
        </w:rPr>
        <w:t xml:space="preserve"> </w:t>
      </w:r>
      <w:r>
        <w:rPr>
          <w:rFonts w:ascii="Arial" w:cs="Arial" w:eastAsia="Arial" w:hAnsi="Arial"/>
          <w:sz w:val="19"/>
          <w:szCs w:val="19"/>
          <w:color w:val="auto"/>
        </w:rPr>
        <w:t>releasing any rights that you have to be indemnified (including any right to reimbursement of expenses) arising under applicable law, the certificate of incorporation or by-laws (or similar constituent documents of the Company), any indemnification agreement between you and the Company, or any directors’ and officers’ liability insurance policy of the Company. You understand that nothing contained in this Agreement limits your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(“Government Agencies”). Notwithstanding any provision in this Agreement or any other agreement between you and the Company, you may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However, you understand and agree that you shall not be entitled to, and shall not seek nor permit anyone to seek on your behalf, any personal, equitable or monetary relief for any claims or causes of action released by you in this Agreement, to the fullest extent permitted by law.</w:t>
      </w:r>
    </w:p>
    <w:p>
      <w:pPr>
        <w:spacing w:after="0" w:line="156" w:lineRule="exact"/>
        <w:rPr>
          <w:rFonts w:ascii="Arial" w:cs="Arial" w:eastAsia="Arial" w:hAnsi="Arial"/>
          <w:sz w:val="19"/>
          <w:szCs w:val="19"/>
          <w:b w:val="1"/>
          <w:bCs w:val="1"/>
          <w:color w:val="auto"/>
        </w:rPr>
      </w:pPr>
    </w:p>
    <w:p>
      <w:pPr>
        <w:jc w:val="both"/>
        <w:ind w:firstLine="3"/>
        <w:spacing w:after="0" w:line="260" w:lineRule="auto"/>
        <w:tabs>
          <w:tab w:leader="none" w:pos="621"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Proprietary Information/Confidentiality.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and acknowledge your ongoing covenants under the Proprietary</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and Inventions Agreement you executed in connection with your employment. You agree that you will not discuss your employment by the Company or circumstances of your departure with any non-governmental entity or person (other than information that is publicly available in connection with the Company’s filings with the Securities and Exchange Commission) unless (i) required to do so by a court of law, by any governmental agency having supervisory authority over the business of the Company or by any administrative or legislative body (including a committee thereof) with jurisdiction to order you to divulge, disclose or make accessible such Confidential Information; provided that you shall give prompt written notice to the Company of such requirement, disclose no more information than is so required, and reasonably cooperate with any attempts by the Company to obtain a protective order or similar treatment and (ii) to your spouse, attorney and/or personal tax and financial advisors as reasonably necessary or appropriate to assist in your tax, financial and other personal planning (each an “Exempt Person”), provided, however, that any disclosure or use of Confidential Information by an Exempt Person shall be deemed to be a breach of this Section 6 by you. In the event this Section 6 is breached by you at any time, then the Company shall have the right to terminate this Agreement and the parties agree that in such event no payments shall be paid to you under this Agreement including but not limited to Section 2 or 3.</w:t>
      </w:r>
    </w:p>
    <w:p>
      <w:pPr>
        <w:spacing w:after="0" w:line="156" w:lineRule="exact"/>
        <w:rPr>
          <w:rFonts w:ascii="Arial" w:cs="Arial" w:eastAsia="Arial" w:hAnsi="Arial"/>
          <w:sz w:val="19"/>
          <w:szCs w:val="19"/>
          <w:b w:val="1"/>
          <w:bCs w:val="1"/>
          <w:color w:val="auto"/>
        </w:rPr>
      </w:pPr>
    </w:p>
    <w:p>
      <w:pPr>
        <w:jc w:val="both"/>
        <w:ind w:firstLine="3"/>
        <w:spacing w:after="0" w:line="237" w:lineRule="auto"/>
        <w:tabs>
          <w:tab w:leader="none" w:pos="621"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Return of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All documents, records, material and all copies of any of the foregoing pertaining to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 information, and all software, equipment, and other supplies, whether or not pertaining to confidential information, that have come into your possession or been produced by you in connection with your employment or performance of the (“Property”) have been and remain the sole property of the Company and you agree to return to the Company all Property no later than the Separation Date. In no event should this provision be construed to require you to return to the Company any document or other materials concerning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205" w:right="339" w:bottom="1440" w:gutter="0" w:footer="0" w:header="0"/>
        </w:sectPr>
      </w:pPr>
    </w:p>
    <w:bookmarkStart w:id="52" w:name="page53"/>
    <w:bookmarkEnd w:id="52"/>
    <w:p>
      <w:pPr>
        <w:spacing w:after="0" w:line="336" w:lineRule="auto"/>
        <w:rPr>
          <w:sz w:val="20"/>
          <w:szCs w:val="20"/>
          <w:color w:val="auto"/>
        </w:rPr>
      </w:pPr>
      <w:r>
        <w:rPr>
          <w:rFonts w:ascii="Arial" w:cs="Arial" w:eastAsia="Arial" w:hAnsi="Arial"/>
          <w:sz w:val="18"/>
          <w:szCs w:val="18"/>
          <w:color w:val="auto"/>
        </w:rPr>
        <w:t>your remuneration and benefits during your employment with the Company. You agree to assume the lease of your Company automobile as soon as reasonably practicable after the Separation Date and subject to the approval of the automobile leasing company.</w:t>
      </w:r>
    </w:p>
    <w:p>
      <w:pPr>
        <w:spacing w:after="0" w:line="87" w:lineRule="exact"/>
        <w:rPr>
          <w:sz w:val="20"/>
          <w:szCs w:val="20"/>
          <w:color w:val="auto"/>
        </w:rPr>
      </w:pPr>
    </w:p>
    <w:p>
      <w:pPr>
        <w:jc w:val="both"/>
        <w:ind w:firstLine="3"/>
        <w:spacing w:after="0" w:line="250" w:lineRule="auto"/>
        <w:tabs>
          <w:tab w:leader="none" w:pos="621"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Litigation 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to fully cooperate with the Company in the defense or prosecution of any claims or actions</w:t>
      </w:r>
      <w:r>
        <w:rPr>
          <w:rFonts w:ascii="Arial" w:cs="Arial" w:eastAsia="Arial" w:hAnsi="Arial"/>
          <w:sz w:val="20"/>
          <w:szCs w:val="20"/>
          <w:b w:val="1"/>
          <w:bCs w:val="1"/>
          <w:color w:val="auto"/>
        </w:rPr>
        <w:t xml:space="preserve"> </w:t>
      </w:r>
      <w:r>
        <w:rPr>
          <w:rFonts w:ascii="Arial" w:cs="Arial" w:eastAsia="Arial" w:hAnsi="Arial"/>
          <w:sz w:val="20"/>
          <w:szCs w:val="20"/>
          <w:color w:val="auto"/>
        </w:rPr>
        <w:t>which already have been brought or which may be brought in the future against or on behalf of the Company which relate to events or occurrences that you were involved in or which you gained knowledge of during your employment with the Company. Your cooperation in connection with such claims or actions shall include, without implication of limitation, being available to meet with counsel to prepare for discovery or trial and to testify truthfully as a witness when reasonably requested by the Company, at reasonable times. You agree that you will not voluntarily disclose any information to any non-governmental person or party that is adverse to the Company and that you will maintain the confidences and privileges of the Company.</w:t>
      </w:r>
    </w:p>
    <w:p>
      <w:pPr>
        <w:spacing w:after="0" w:line="159" w:lineRule="exact"/>
        <w:rPr>
          <w:rFonts w:ascii="Arial" w:cs="Arial" w:eastAsia="Arial" w:hAnsi="Arial"/>
          <w:sz w:val="20"/>
          <w:szCs w:val="20"/>
          <w:b w:val="1"/>
          <w:bCs w:val="1"/>
          <w:color w:val="auto"/>
        </w:rPr>
      </w:pPr>
    </w:p>
    <w:p>
      <w:pPr>
        <w:jc w:val="both"/>
        <w:ind w:firstLine="3"/>
        <w:spacing w:after="0"/>
        <w:tabs>
          <w:tab w:leader="none" w:pos="621"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Protective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You acknowledge and affirm the ongoing validity of the protective covenants set forth in Section 6 of</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Employment Agreement which covenants are incorporated herein by this reference. You acknowledge and affirm the Company’s right to seek injunctive relief as provided in Section 6 of the Employment Agreement to restrain any violations under Section 6 of the Employment Agreement.</w:t>
      </w:r>
    </w:p>
    <w:p>
      <w:pPr>
        <w:spacing w:after="0" w:line="172" w:lineRule="exact"/>
        <w:rPr>
          <w:rFonts w:ascii="Arial" w:cs="Arial" w:eastAsia="Arial" w:hAnsi="Arial"/>
          <w:sz w:val="21"/>
          <w:szCs w:val="21"/>
          <w:b w:val="1"/>
          <w:bCs w:val="1"/>
          <w:color w:val="auto"/>
        </w:rPr>
      </w:pPr>
    </w:p>
    <w:p>
      <w:pPr>
        <w:jc w:val="both"/>
        <w:ind w:firstLine="3"/>
        <w:spacing w:after="0" w:line="238" w:lineRule="auto"/>
        <w:tabs>
          <w:tab w:leader="none" w:pos="621"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b w:val="1"/>
          <w:bCs w:val="1"/>
          <w:color w:val="auto"/>
        </w:rPr>
        <w:t xml:space="preserve">. </w:t>
      </w:r>
      <w:r>
        <w:rPr>
          <w:rFonts w:ascii="Arial" w:cs="Arial" w:eastAsia="Arial" w:hAnsi="Arial"/>
          <w:sz w:val="21"/>
          <w:szCs w:val="21"/>
          <w:color w:val="auto"/>
        </w:rPr>
        <w:t>You agree not to make any disparaging statements concerning the Company or any of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or current or former officers, directors, shareholders, employees or agents. The Company shall not, and shall cause its officers, directors, and Investor Relations personnel not to, (a) make any disparaging statements concerning you or your performance as an executive officer of the Company, and/or (b) take any action or make any statement, orally or in writing, which disparages or criticizes you or that would harm your reputation.</w:t>
      </w:r>
    </w:p>
    <w:p>
      <w:pPr>
        <w:spacing w:after="0" w:line="173" w:lineRule="exact"/>
        <w:rPr>
          <w:rFonts w:ascii="Arial" w:cs="Arial" w:eastAsia="Arial" w:hAnsi="Arial"/>
          <w:sz w:val="21"/>
          <w:szCs w:val="21"/>
          <w:b w:val="1"/>
          <w:bCs w:val="1"/>
          <w:color w:val="auto"/>
        </w:rPr>
      </w:pPr>
    </w:p>
    <w:p>
      <w:pPr>
        <w:jc w:val="both"/>
        <w:ind w:firstLine="3"/>
        <w:spacing w:after="0" w:line="237" w:lineRule="auto"/>
        <w:tabs>
          <w:tab w:leader="none" w:pos="609"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 Acknowledgments and Other Terms</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advised to consult with an attorney before signing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Employment Agreement set forth the entire agreement between you and the Company, and all previous agreements, or promises between you and the Company relating to the subject matter of this Agreement and the Employment Agreement are superseded, null, and void, with the exception of any equity grant/award agreements (of whatever name or kind), shareholder agreements, and indemnification agreements between you and the Company, the terms of which remain in full force and effect.</w:t>
      </w:r>
    </w:p>
    <w:p>
      <w:pPr>
        <w:spacing w:after="0" w:line="173" w:lineRule="exact"/>
        <w:rPr>
          <w:rFonts w:ascii="Arial" w:cs="Arial" w:eastAsia="Arial" w:hAnsi="Arial"/>
          <w:sz w:val="21"/>
          <w:szCs w:val="21"/>
          <w:b w:val="1"/>
          <w:bCs w:val="1"/>
          <w:color w:val="auto"/>
        </w:rPr>
      </w:pPr>
    </w:p>
    <w:p>
      <w:pPr>
        <w:jc w:val="both"/>
        <w:ind w:firstLine="3"/>
        <w:spacing w:after="0" w:line="263" w:lineRule="auto"/>
        <w:tabs>
          <w:tab w:leader="none" w:pos="621"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Consideration/Revocation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you have been given the opportunity, if you so desired, to consider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for 21 days before executing it. If not signed by you and returned to me so that the Company’s general counsel receives it by close of business on the day next following the foregoing period, this Agreement will be invalid. In addition, if you breach any of the conditions of the Agreement within the 21-day period, the offer of this Agreement will be withdrawn and your execution of the Agreement will not be valid. In the event that you execute and return this Agreement in less than the 21-day period you have been provided, you acknowledge that such decision was entirely voluntary and that you had the opportunity to consider this letter agreement for the entire period. The Company acknowledges that for a period of seven days from the date of the execution of this Agreement, you shall retain the right to revoke this Agreement by written notice that the Company’s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205" w:right="339" w:bottom="1440" w:gutter="0" w:footer="0" w:header="0"/>
        </w:sectPr>
      </w:pPr>
    </w:p>
    <w:bookmarkStart w:id="53" w:name="page54"/>
    <w:bookmarkEnd w:id="53"/>
    <w:p>
      <w:pPr>
        <w:spacing w:after="0" w:line="254" w:lineRule="auto"/>
        <w:rPr>
          <w:sz w:val="20"/>
          <w:szCs w:val="20"/>
          <w:color w:val="auto"/>
        </w:rPr>
      </w:pPr>
      <w:r>
        <w:rPr>
          <w:rFonts w:ascii="Arial" w:cs="Arial" w:eastAsia="Arial" w:hAnsi="Arial"/>
          <w:sz w:val="21"/>
          <w:szCs w:val="21"/>
          <w:color w:val="auto"/>
        </w:rPr>
        <w:t>actually receive before the end of such period, and that this Agreement shall not become effective or enforceable until the later of the expiration of such revocation period or the Separation Date (the “Effective Date”).</w:t>
      </w:r>
    </w:p>
    <w:p>
      <w:pPr>
        <w:spacing w:after="0" w:line="156" w:lineRule="exact"/>
        <w:rPr>
          <w:sz w:val="20"/>
          <w:szCs w:val="20"/>
          <w:color w:val="auto"/>
        </w:rPr>
      </w:pPr>
    </w:p>
    <w:p>
      <w:pPr>
        <w:ind w:firstLine="3"/>
        <w:spacing w:after="0" w:line="260" w:lineRule="auto"/>
        <w:tabs>
          <w:tab w:leader="none" w:pos="621"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and each counterpart will have the same force and effect as an</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and will constitute an effective, binding agreement on the part of each of the undersigned.</w:t>
      </w:r>
    </w:p>
    <w:p>
      <w:pPr>
        <w:spacing w:after="0" w:line="382" w:lineRule="exact"/>
        <w:rPr>
          <w:sz w:val="20"/>
          <w:szCs w:val="20"/>
          <w:color w:val="auto"/>
        </w:rPr>
      </w:pPr>
    </w:p>
    <w:p>
      <w:pPr>
        <w:ind w:firstLine="621"/>
        <w:spacing w:after="0" w:line="26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each of the parties has executed this Agreement, in the case of the Company by their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officers, as of the day and year first above written.</w:t>
      </w: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SYNCHRONOSS TECHNOLOGIES, INC.</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1140" w:type="dxa"/>
            <w:vAlign w:val="bottom"/>
          </w:tcPr>
          <w:p>
            <w:pPr>
              <w:spacing w:after="0"/>
              <w:rPr>
                <w:sz w:val="20"/>
                <w:szCs w:val="20"/>
                <w:color w:val="auto"/>
              </w:rPr>
            </w:pPr>
            <w:r>
              <w:rPr>
                <w:rFonts w:ascii="Arial" w:cs="Arial" w:eastAsia="Arial" w:hAnsi="Arial"/>
                <w:sz w:val="21"/>
                <w:szCs w:val="21"/>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i w:val="1"/>
                <w:iCs w:val="1"/>
                <w:color w:val="auto"/>
              </w:rPr>
              <w:t>/s/ Jeffrey Miller</w:t>
            </w:r>
          </w:p>
        </w:tc>
      </w:tr>
      <w:tr>
        <w:trPr>
          <w:trHeight w:val="269"/>
        </w:trPr>
        <w:tc>
          <w:tcPr>
            <w:tcW w:w="1140" w:type="dxa"/>
            <w:vAlign w:val="bottom"/>
          </w:tcPr>
          <w:p>
            <w:pPr>
              <w:spacing w:after="0"/>
              <w:rPr>
                <w:sz w:val="20"/>
                <w:szCs w:val="20"/>
                <w:color w:val="auto"/>
              </w:rPr>
            </w:pPr>
            <w:r>
              <w:rPr>
                <w:rFonts w:ascii="Arial" w:cs="Arial" w:eastAsia="Arial" w:hAnsi="Arial"/>
                <w:sz w:val="21"/>
                <w:szCs w:val="21"/>
                <w:color w:val="auto"/>
              </w:rPr>
              <w:t>Name:</w:t>
            </w:r>
          </w:p>
        </w:tc>
        <w:tc>
          <w:tcPr>
            <w:tcW w:w="5120" w:type="dxa"/>
            <w:vAlign w:val="bottom"/>
          </w:tcPr>
          <w:p>
            <w:pPr>
              <w:ind w:left="20"/>
              <w:spacing w:after="0"/>
              <w:rPr>
                <w:sz w:val="20"/>
                <w:szCs w:val="20"/>
                <w:color w:val="auto"/>
              </w:rPr>
            </w:pPr>
            <w:r>
              <w:rPr>
                <w:rFonts w:ascii="Arial" w:cs="Arial" w:eastAsia="Arial" w:hAnsi="Arial"/>
                <w:sz w:val="21"/>
                <w:szCs w:val="21"/>
                <w:color w:val="auto"/>
              </w:rPr>
              <w:t>Jeffrey Miller</w:t>
            </w:r>
          </w:p>
        </w:tc>
      </w:tr>
      <w:tr>
        <w:trPr>
          <w:trHeight w:val="285"/>
        </w:trPr>
        <w:tc>
          <w:tcPr>
            <w:tcW w:w="1140" w:type="dxa"/>
            <w:vAlign w:val="bottom"/>
          </w:tcPr>
          <w:p>
            <w:pPr>
              <w:spacing w:after="0"/>
              <w:rPr>
                <w:sz w:val="20"/>
                <w:szCs w:val="20"/>
                <w:color w:val="auto"/>
              </w:rPr>
            </w:pPr>
            <w:r>
              <w:rPr>
                <w:rFonts w:ascii="Arial" w:cs="Arial" w:eastAsia="Arial" w:hAnsi="Arial"/>
                <w:sz w:val="21"/>
                <w:szCs w:val="21"/>
                <w:color w:val="auto"/>
              </w:rPr>
              <w:t>Title:</w:t>
            </w:r>
          </w:p>
        </w:tc>
        <w:tc>
          <w:tcPr>
            <w:tcW w:w="5120" w:type="dxa"/>
            <w:vAlign w:val="bottom"/>
          </w:tcPr>
          <w:p>
            <w:pPr>
              <w:ind w:left="20"/>
              <w:spacing w:after="0"/>
              <w:rPr>
                <w:sz w:val="20"/>
                <w:szCs w:val="20"/>
                <w:color w:val="auto"/>
              </w:rPr>
            </w:pPr>
            <w:r>
              <w:rPr>
                <w:rFonts w:ascii="Arial" w:cs="Arial" w:eastAsia="Arial" w:hAnsi="Arial"/>
                <w:sz w:val="21"/>
                <w:szCs w:val="21"/>
                <w:color w:val="auto"/>
              </w:rPr>
              <w:t>President &amp; Chief Executive Officer</w:t>
            </w:r>
          </w:p>
        </w:tc>
      </w:tr>
    </w:tbl>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20" w:type="dxa"/>
            <w:vAlign w:val="bottom"/>
            <w:gridSpan w:val="2"/>
          </w:tcPr>
          <w:p>
            <w:pPr>
              <w:spacing w:after="0"/>
              <w:rPr>
                <w:sz w:val="20"/>
                <w:szCs w:val="20"/>
                <w:color w:val="auto"/>
              </w:rPr>
            </w:pPr>
            <w:r>
              <w:rPr>
                <w:rFonts w:ascii="Arial" w:cs="Arial" w:eastAsia="Arial" w:hAnsi="Arial"/>
                <w:sz w:val="21"/>
                <w:szCs w:val="21"/>
                <w:color w:val="auto"/>
              </w:rPr>
              <w:t>Accepted and agreed to:</w:t>
            </w:r>
          </w:p>
        </w:tc>
        <w:tc>
          <w:tcPr>
            <w:tcW w:w="3800" w:type="dxa"/>
            <w:vAlign w:val="bottom"/>
          </w:tcPr>
          <w:p>
            <w:pPr>
              <w:spacing w:after="0"/>
              <w:rPr>
                <w:sz w:val="22"/>
                <w:szCs w:val="22"/>
                <w:color w:val="auto"/>
              </w:rPr>
            </w:pPr>
          </w:p>
        </w:tc>
      </w:tr>
      <w:tr>
        <w:trPr>
          <w:trHeight w:val="52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i w:val="1"/>
                <w:iCs w:val="1"/>
                <w:color w:val="auto"/>
              </w:rPr>
              <w:t>/s/ Ronald Prague</w:t>
            </w:r>
          </w:p>
        </w:tc>
        <w:tc>
          <w:tcPr>
            <w:tcW w:w="220" w:type="dxa"/>
            <w:vAlign w:val="bottom"/>
          </w:tcPr>
          <w:p>
            <w:pPr>
              <w:spacing w:after="0"/>
              <w:rPr>
                <w:sz w:val="24"/>
                <w:szCs w:val="24"/>
                <w:color w:val="auto"/>
              </w:rPr>
            </w:pP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July 27, 2021</w:t>
            </w:r>
          </w:p>
        </w:tc>
      </w:tr>
      <w:tr>
        <w:trPr>
          <w:trHeight w:val="269"/>
        </w:trPr>
        <w:tc>
          <w:tcPr>
            <w:tcW w:w="4020" w:type="dxa"/>
            <w:vAlign w:val="bottom"/>
            <w:gridSpan w:val="2"/>
          </w:tcPr>
          <w:p>
            <w:pPr>
              <w:ind w:left="20"/>
              <w:spacing w:after="0"/>
              <w:rPr>
                <w:sz w:val="20"/>
                <w:szCs w:val="20"/>
                <w:color w:val="auto"/>
              </w:rPr>
            </w:pPr>
            <w:r>
              <w:rPr>
                <w:rFonts w:ascii="Arial" w:cs="Arial" w:eastAsia="Arial" w:hAnsi="Arial"/>
                <w:sz w:val="21"/>
                <w:szCs w:val="21"/>
                <w:color w:val="auto"/>
              </w:rPr>
              <w:t>Ronald Prague</w:t>
            </w:r>
          </w:p>
        </w:tc>
        <w:tc>
          <w:tcPr>
            <w:tcW w:w="3800" w:type="dxa"/>
            <w:vAlign w:val="bottom"/>
          </w:tcPr>
          <w:p>
            <w:pPr>
              <w:ind w:left="20"/>
              <w:spacing w:after="0"/>
              <w:rPr>
                <w:sz w:val="20"/>
                <w:szCs w:val="20"/>
                <w:color w:val="auto"/>
              </w:rPr>
            </w:pPr>
            <w:r>
              <w:rPr>
                <w:rFonts w:ascii="Arial" w:cs="Arial" w:eastAsia="Arial" w:hAnsi="Arial"/>
                <w:sz w:val="21"/>
                <w:szCs w:val="21"/>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20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297940" cy="410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129794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July, 2021</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Christina Gabrys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(delivered electronically)</w:t>
      </w:r>
    </w:p>
    <w:p>
      <w:pPr>
        <w:spacing w:after="0"/>
        <w:rPr>
          <w:sz w:val="20"/>
          <w:szCs w:val="20"/>
          <w:color w:val="auto"/>
        </w:rPr>
      </w:pPr>
      <w:r>
        <w:rPr>
          <w:rFonts w:ascii="Arial" w:cs="Arial" w:eastAsia="Arial" w:hAnsi="Arial"/>
          <w:sz w:val="21"/>
          <w:szCs w:val="21"/>
          <w:b w:val="1"/>
          <w:bCs w:val="1"/>
          <w:color w:val="auto"/>
        </w:rPr>
        <w:t>Re: Promotion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Dear Chrissy,</w:t>
      </w:r>
    </w:p>
    <w:p>
      <w:pPr>
        <w:spacing w:after="0" w:line="231" w:lineRule="exact"/>
        <w:rPr>
          <w:sz w:val="20"/>
          <w:szCs w:val="20"/>
          <w:color w:val="auto"/>
        </w:rPr>
      </w:pPr>
    </w:p>
    <w:p>
      <w:pPr>
        <w:ind w:right="140"/>
        <w:spacing w:after="0" w:line="285" w:lineRule="auto"/>
        <w:rPr>
          <w:sz w:val="20"/>
          <w:szCs w:val="20"/>
          <w:color w:val="auto"/>
        </w:rPr>
      </w:pPr>
      <w:r>
        <w:rPr>
          <w:rFonts w:ascii="Arial" w:cs="Arial" w:eastAsia="Arial" w:hAnsi="Arial"/>
          <w:sz w:val="21"/>
          <w:szCs w:val="21"/>
          <w:color w:val="auto"/>
        </w:rPr>
        <w:t xml:space="preserve">On behalf of Synchronoss, I am pleased to promote you to your new position of </w:t>
      </w:r>
      <w:r>
        <w:rPr>
          <w:rFonts w:ascii="Arial" w:cs="Arial" w:eastAsia="Arial" w:hAnsi="Arial"/>
          <w:sz w:val="21"/>
          <w:szCs w:val="21"/>
          <w:b w:val="1"/>
          <w:bCs w:val="1"/>
          <w:color w:val="auto"/>
        </w:rPr>
        <w:t>Chief Legal Officer &amp; SVP</w:t>
      </w:r>
      <w:r>
        <w:rPr>
          <w:rFonts w:ascii="Arial" w:cs="Arial" w:eastAsia="Arial" w:hAnsi="Arial"/>
          <w:sz w:val="21"/>
          <w:szCs w:val="21"/>
          <w:color w:val="auto"/>
        </w:rPr>
        <w:t xml:space="preserve"> with an effective date as of date of announcement. You will report directly to me.</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Your new annual base salary will be </w:t>
      </w:r>
      <w:r>
        <w:rPr>
          <w:rFonts w:ascii="Arial" w:cs="Arial" w:eastAsia="Arial" w:hAnsi="Arial"/>
          <w:sz w:val="21"/>
          <w:szCs w:val="21"/>
          <w:b w:val="1"/>
          <w:bCs w:val="1"/>
          <w:color w:val="auto"/>
        </w:rPr>
        <w:t>$255,000</w:t>
      </w:r>
      <w:r>
        <w:rPr>
          <w:rFonts w:ascii="Arial" w:cs="Arial" w:eastAsia="Arial" w:hAnsi="Arial"/>
          <w:sz w:val="21"/>
          <w:szCs w:val="21"/>
          <w:color w:val="auto"/>
        </w:rPr>
        <w:t xml:space="preserve"> less all applicable taxes and withholdings.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Your new </w:t>
      </w:r>
      <w:r>
        <w:rPr>
          <w:rFonts w:ascii="Arial" w:cs="Arial" w:eastAsia="Arial" w:hAnsi="Arial"/>
          <w:sz w:val="21"/>
          <w:szCs w:val="21"/>
          <w:b w:val="1"/>
          <w:bCs w:val="1"/>
          <w:color w:val="auto"/>
        </w:rPr>
        <w:t>target bonus opportunity (“TBO”) is 40%</w:t>
      </w:r>
      <w:r>
        <w:rPr>
          <w:rFonts w:ascii="Arial" w:cs="Arial" w:eastAsia="Arial" w:hAnsi="Arial"/>
          <w:sz w:val="21"/>
          <w:szCs w:val="21"/>
          <w:color w:val="auto"/>
        </w:rPr>
        <w:t xml:space="preserve"> of your annual base salary.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In addition, you can expect to receive the following equity award:</w:t>
      </w:r>
    </w:p>
    <w:p>
      <w:pPr>
        <w:spacing w:after="0" w:line="128" w:lineRule="exact"/>
        <w:rPr>
          <w:sz w:val="20"/>
          <w:szCs w:val="20"/>
          <w:color w:val="auto"/>
        </w:rPr>
      </w:pPr>
    </w:p>
    <w:p>
      <w:pPr>
        <w:ind w:left="620" w:right="180"/>
        <w:spacing w:after="0"/>
        <w:rPr>
          <w:sz w:val="20"/>
          <w:szCs w:val="20"/>
          <w:color w:val="auto"/>
        </w:rPr>
      </w:pPr>
      <w:r>
        <w:rPr>
          <w:rFonts w:ascii="Arial" w:cs="Arial" w:eastAsia="Arial" w:hAnsi="Arial"/>
          <w:sz w:val="21"/>
          <w:szCs w:val="21"/>
          <w:color w:val="auto"/>
        </w:rPr>
        <w:t xml:space="preserve">You will receive </w:t>
      </w:r>
      <w:r>
        <w:rPr>
          <w:rFonts w:ascii="Arial" w:cs="Arial" w:eastAsia="Arial" w:hAnsi="Arial"/>
          <w:sz w:val="21"/>
          <w:szCs w:val="21"/>
          <w:b w:val="1"/>
          <w:bCs w:val="1"/>
          <w:color w:val="auto"/>
        </w:rPr>
        <w:t>5,000</w:t>
      </w:r>
      <w:r>
        <w:rPr>
          <w:rFonts w:ascii="Arial" w:cs="Arial" w:eastAsia="Arial" w:hAnsi="Arial"/>
          <w:sz w:val="21"/>
          <w:szCs w:val="21"/>
          <w:color w:val="auto"/>
        </w:rPr>
        <w:t xml:space="preserve"> shares in the form of a </w:t>
      </w:r>
      <w:r>
        <w:rPr>
          <w:rFonts w:ascii="Arial" w:cs="Arial" w:eastAsia="Arial" w:hAnsi="Arial"/>
          <w:sz w:val="21"/>
          <w:szCs w:val="21"/>
          <w:b w:val="1"/>
          <w:bCs w:val="1"/>
          <w:color w:val="auto"/>
        </w:rPr>
        <w:t>restricted stock award (“RSAs</w:t>
      </w:r>
      <w:r>
        <w:rPr>
          <w:rFonts w:ascii="Arial" w:cs="Arial" w:eastAsia="Arial" w:hAnsi="Arial"/>
          <w:sz w:val="21"/>
          <w:szCs w:val="21"/>
          <w:color w:val="auto"/>
        </w:rPr>
        <w:t>”) under the Synchronoss Technologies 2015 Incentive Plan (the “Incentive Plan”) pursuant to the Company’s RSA agreement (the “RSA Agreement”). Subject to your continued employment on each vesting date, the RSAs shall vest 1/3rd of the shares on August 2, 2022; 1/3rd of the shares on April 9, 2023; and 1/3rd of the shares on April 9, 2024.</w:t>
      </w:r>
    </w:p>
    <w:p>
      <w:pPr>
        <w:spacing w:after="0" w:line="198" w:lineRule="exact"/>
        <w:rPr>
          <w:sz w:val="20"/>
          <w:szCs w:val="20"/>
          <w:color w:val="auto"/>
        </w:rPr>
      </w:pPr>
    </w:p>
    <w:p>
      <w:pPr>
        <w:ind w:left="620" w:right="60"/>
        <w:spacing w:after="0" w:line="253" w:lineRule="auto"/>
        <w:rPr>
          <w:sz w:val="20"/>
          <w:szCs w:val="20"/>
          <w:color w:val="auto"/>
        </w:rPr>
      </w:pPr>
      <w:r>
        <w:rPr>
          <w:rFonts w:ascii="Arial" w:cs="Arial" w:eastAsia="Arial" w:hAnsi="Arial"/>
          <w:sz w:val="20"/>
          <w:szCs w:val="20"/>
          <w:color w:val="auto"/>
        </w:rPr>
        <w:t xml:space="preserve">You will also receive </w:t>
      </w:r>
      <w:r>
        <w:rPr>
          <w:rFonts w:ascii="Arial" w:cs="Arial" w:eastAsia="Arial" w:hAnsi="Arial"/>
          <w:sz w:val="20"/>
          <w:szCs w:val="20"/>
          <w:b w:val="1"/>
          <w:bCs w:val="1"/>
          <w:color w:val="auto"/>
        </w:rPr>
        <w:t>5,000</w:t>
      </w:r>
      <w:r>
        <w:rPr>
          <w:rFonts w:ascii="Arial" w:cs="Arial" w:eastAsia="Arial" w:hAnsi="Arial"/>
          <w:sz w:val="20"/>
          <w:szCs w:val="20"/>
          <w:color w:val="auto"/>
        </w:rPr>
        <w:t xml:space="preserve"> shares in the form of a </w:t>
      </w:r>
      <w:r>
        <w:rPr>
          <w:rFonts w:ascii="Arial" w:cs="Arial" w:eastAsia="Arial" w:hAnsi="Arial"/>
          <w:sz w:val="20"/>
          <w:szCs w:val="20"/>
          <w:b w:val="1"/>
          <w:bCs w:val="1"/>
          <w:color w:val="auto"/>
        </w:rPr>
        <w:t>stock option award (“Stock Options”)</w:t>
      </w:r>
      <w:r>
        <w:rPr>
          <w:rFonts w:ascii="Arial" w:cs="Arial" w:eastAsia="Arial" w:hAnsi="Arial"/>
          <w:sz w:val="20"/>
          <w:szCs w:val="20"/>
          <w:color w:val="auto"/>
        </w:rPr>
        <w:t xml:space="preserve"> under the Synchronoss Technologies 2015 Equity Incentive Plan (the “incentive plan”) pursuant to the Company’s Stock Option Award agreement (the “Stock Option Agreement”). Subject to your continued employment on each vesting date, the Stock Options shall vest 1/3rd of the shares on August 2, 2022; 1/3rd of the shares on April 9, 2023; and 1/3rd of the shares on April 9, 2024. The Stock Option strike price will be determined by the stock close price on August 2, 2021.</w:t>
      </w:r>
    </w:p>
    <w:p>
      <w:pPr>
        <w:spacing w:after="0" w:line="185" w:lineRule="exact"/>
        <w:rPr>
          <w:sz w:val="20"/>
          <w:szCs w:val="20"/>
          <w:color w:val="auto"/>
        </w:rPr>
      </w:pPr>
    </w:p>
    <w:p>
      <w:pPr>
        <w:ind w:left="620" w:right="60"/>
        <w:spacing w:after="0" w:line="236" w:lineRule="auto"/>
        <w:rPr>
          <w:sz w:val="20"/>
          <w:szCs w:val="20"/>
          <w:color w:val="auto"/>
        </w:rPr>
      </w:pPr>
      <w:r>
        <w:rPr>
          <w:rFonts w:ascii="Arial" w:cs="Arial" w:eastAsia="Arial" w:hAnsi="Arial"/>
          <w:sz w:val="21"/>
          <w:szCs w:val="21"/>
          <w:color w:val="auto"/>
        </w:rPr>
        <w:t xml:space="preserve">You will receive </w:t>
      </w:r>
      <w:r>
        <w:rPr>
          <w:rFonts w:ascii="Arial" w:cs="Arial" w:eastAsia="Arial" w:hAnsi="Arial"/>
          <w:sz w:val="21"/>
          <w:szCs w:val="21"/>
          <w:b w:val="1"/>
          <w:bCs w:val="1"/>
          <w:color w:val="auto"/>
        </w:rPr>
        <w:t>10,000 Performance-Based Cash Units (“PBCUs”)</w:t>
      </w:r>
      <w:r>
        <w:rPr>
          <w:rFonts w:ascii="Arial" w:cs="Arial" w:eastAsia="Arial" w:hAnsi="Arial"/>
          <w:sz w:val="21"/>
          <w:szCs w:val="21"/>
          <w:color w:val="auto"/>
        </w:rPr>
        <w:t xml:space="preserve"> pursuant to the Company’s Performance-Based Cash Units Agreement (the “PBCU Agreement”) which represent the target award of performance-based cash units with the opportunity to earn up to 200% of the target number, based upon performance achievement of the financial parameters outlined in your PBCU Agreement. Vesting of earned performance-based cash units will occur at the end of the 3-year performance period after the Compensation Committee or the Board ratify the performance results of the metrics of the plan. The Compensation Committee reserves the discretion to pay out the performance-based cash units in cash or shares issued from the 2015 Equity Incentive Plan.</w:t>
      </w:r>
    </w:p>
    <w:p>
      <w:pPr>
        <w:sectPr>
          <w:pgSz w:w="11900" w:h="16838" w:orient="portrait"/>
          <w:cols w:equalWidth="0" w:num="1">
            <w:col w:w="11240"/>
          </w:cols>
          <w:pgMar w:left="320" w:top="1341" w:right="339" w:bottom="1440" w:gutter="0" w:footer="0" w:header="0"/>
        </w:sectPr>
      </w:pPr>
    </w:p>
    <w:bookmarkStart w:id="55" w:name="page56"/>
    <w:bookmarkEnd w:id="55"/>
    <w:p>
      <w:pPr>
        <w:ind w:right="260"/>
        <w:spacing w:after="0" w:line="254" w:lineRule="auto"/>
        <w:rPr>
          <w:sz w:val="20"/>
          <w:szCs w:val="20"/>
          <w:color w:val="auto"/>
        </w:rPr>
      </w:pPr>
      <w:r>
        <w:rPr>
          <w:rFonts w:ascii="Arial" w:cs="Arial" w:eastAsia="Arial" w:hAnsi="Arial"/>
          <w:sz w:val="21"/>
          <w:szCs w:val="21"/>
          <w:color w:val="auto"/>
        </w:rPr>
        <w:t>The grant date will be August 2, 2021. Fidelity will provide you with a notification once the grant is loaded. You must log onto the Fidelity portal to accept the terms and conditions of the awards before the first vesting date.</w:t>
      </w:r>
    </w:p>
    <w:p>
      <w:pPr>
        <w:spacing w:after="0" w:line="200" w:lineRule="exact"/>
        <w:rPr>
          <w:sz w:val="20"/>
          <w:szCs w:val="20"/>
          <w:color w:val="auto"/>
        </w:rPr>
      </w:pP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Finally, I am pleased to inform you that you have been identified as a Tier One Executive and an elected officer of the Company. As a Tier One Executive and Officer of the Company, your employment will be governed by the terms and conditions of the Tier One Executive Employment Plan, a copy of which is attached hereto. As such, you will now receive the benefits and be subject to the obligations set forth in the attached Plan.</w:t>
      </w:r>
    </w:p>
    <w:p>
      <w:pPr>
        <w:spacing w:after="0" w:line="202" w:lineRule="exact"/>
        <w:rPr>
          <w:sz w:val="20"/>
          <w:szCs w:val="20"/>
          <w:color w:val="auto"/>
        </w:rPr>
      </w:pPr>
    </w:p>
    <w:p>
      <w:pPr>
        <w:jc w:val="both"/>
        <w:ind w:right="80"/>
        <w:spacing w:after="0" w:line="242" w:lineRule="auto"/>
        <w:rPr>
          <w:sz w:val="20"/>
          <w:szCs w:val="20"/>
          <w:color w:val="auto"/>
        </w:rPr>
      </w:pPr>
      <w:r>
        <w:rPr>
          <w:rFonts w:ascii="Arial" w:cs="Arial" w:eastAsia="Arial" w:hAnsi="Arial"/>
          <w:sz w:val="21"/>
          <w:szCs w:val="21"/>
          <w:color w:val="auto"/>
        </w:rPr>
        <w:t>Please be aware that you still retain the option, as does the Company, of ending your employment at any time, with or without notice and with or without cause. As such, your employment is at-will and neither this nor any other oral or written representations may be considered a contract for any specific period.</w:t>
      </w:r>
    </w:p>
    <w:p>
      <w:pPr>
        <w:spacing w:after="0" w:line="201" w:lineRule="exact"/>
        <w:rPr>
          <w:sz w:val="20"/>
          <w:szCs w:val="20"/>
          <w:color w:val="auto"/>
        </w:rPr>
      </w:pPr>
    </w:p>
    <w:p>
      <w:pPr>
        <w:ind w:right="40"/>
        <w:spacing w:after="0" w:line="242" w:lineRule="auto"/>
        <w:rPr>
          <w:sz w:val="20"/>
          <w:szCs w:val="20"/>
          <w:color w:val="auto"/>
        </w:rPr>
      </w:pPr>
      <w:r>
        <w:rPr>
          <w:rFonts w:ascii="Arial" w:cs="Arial" w:eastAsia="Arial" w:hAnsi="Arial"/>
          <w:sz w:val="21"/>
          <w:szCs w:val="21"/>
          <w:color w:val="auto"/>
        </w:rPr>
        <w:t>Once again, congratulations on this promotion, and being named as a Tier One Executive and officer. I want to thank you for your contributions and dedication on behalf of our customers, shareholders, and employees. I look forward to continuing to work with you as we build a stronger and more successful company.</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Please verify the acceptance of your role as a Tier One Executive and officer by signing below and indicating the date on which you</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signed.</w:t>
      </w:r>
    </w:p>
    <w:p>
      <w:pPr>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3170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21"/>
          <w:szCs w:val="2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40" w:type="dxa"/>
            <w:vAlign w:val="bottom"/>
            <w:gridSpan w:val="2"/>
          </w:tcPr>
          <w:p>
            <w:pPr>
              <w:spacing w:after="0"/>
              <w:rPr>
                <w:sz w:val="20"/>
                <w:szCs w:val="20"/>
                <w:color w:val="auto"/>
              </w:rPr>
            </w:pPr>
            <w:r>
              <w:rPr>
                <w:rFonts w:ascii="Arial" w:cs="Arial" w:eastAsia="Arial" w:hAnsi="Arial"/>
                <w:sz w:val="21"/>
                <w:szCs w:val="21"/>
                <w:color w:val="auto"/>
              </w:rPr>
              <w:t>Acknowledgement:</w:t>
            </w:r>
          </w:p>
        </w:tc>
        <w:tc>
          <w:tcPr>
            <w:tcW w:w="3700" w:type="dxa"/>
            <w:vAlign w:val="bottom"/>
          </w:tcPr>
          <w:p>
            <w:pPr>
              <w:spacing w:after="0"/>
              <w:rPr>
                <w:sz w:val="22"/>
                <w:szCs w:val="22"/>
                <w:color w:val="auto"/>
              </w:rPr>
            </w:pPr>
          </w:p>
        </w:tc>
      </w:tr>
      <w:tr>
        <w:trPr>
          <w:trHeight w:val="526"/>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i w:val="1"/>
                <w:iCs w:val="1"/>
                <w:color w:val="auto"/>
              </w:rPr>
              <w:t>/s/ Christina Gabrys</w:t>
            </w:r>
          </w:p>
        </w:tc>
        <w:tc>
          <w:tcPr>
            <w:tcW w:w="220" w:type="dxa"/>
            <w:vAlign w:val="bottom"/>
          </w:tcPr>
          <w:p>
            <w:pPr>
              <w:spacing w:after="0"/>
              <w:rPr>
                <w:sz w:val="24"/>
                <w:szCs w:val="24"/>
                <w:color w:val="auto"/>
              </w:rPr>
            </w:pP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July 27, 2021</w:t>
            </w:r>
          </w:p>
        </w:tc>
      </w:tr>
      <w:tr>
        <w:trPr>
          <w:trHeight w:val="269"/>
        </w:trPr>
        <w:tc>
          <w:tcPr>
            <w:tcW w:w="3940" w:type="dxa"/>
            <w:vAlign w:val="bottom"/>
            <w:gridSpan w:val="2"/>
          </w:tcPr>
          <w:p>
            <w:pPr>
              <w:ind w:left="20"/>
              <w:spacing w:after="0"/>
              <w:rPr>
                <w:sz w:val="20"/>
                <w:szCs w:val="20"/>
                <w:color w:val="auto"/>
              </w:rPr>
            </w:pPr>
            <w:r>
              <w:rPr>
                <w:rFonts w:ascii="Arial" w:cs="Arial" w:eastAsia="Arial" w:hAnsi="Arial"/>
                <w:sz w:val="21"/>
                <w:szCs w:val="21"/>
                <w:color w:val="auto"/>
              </w:rPr>
              <w:t>Name</w:t>
            </w:r>
          </w:p>
        </w:tc>
        <w:tc>
          <w:tcPr>
            <w:tcW w:w="3700" w:type="dxa"/>
            <w:vAlign w:val="bottom"/>
          </w:tcPr>
          <w:p>
            <w:pPr>
              <w:ind w:left="20"/>
              <w:spacing w:after="0"/>
              <w:rPr>
                <w:sz w:val="20"/>
                <w:szCs w:val="20"/>
                <w:color w:val="auto"/>
              </w:rPr>
            </w:pPr>
            <w:r>
              <w:rPr>
                <w:rFonts w:ascii="Arial" w:cs="Arial" w:eastAsia="Arial" w:hAnsi="Arial"/>
                <w:sz w:val="21"/>
                <w:szCs w:val="21"/>
                <w:color w:val="auto"/>
              </w:rPr>
              <w:t>Date</w:t>
            </w:r>
          </w:p>
        </w:tc>
      </w:tr>
    </w:tbl>
    <w:p>
      <w:pPr>
        <w:sectPr>
          <w:pgSz w:w="11900" w:h="16838" w:orient="portrait"/>
          <w:cols w:equalWidth="0" w:num="1">
            <w:col w:w="11080"/>
          </w:cols>
          <w:pgMar w:left="320" w:top="1347" w:right="499" w:bottom="1440" w:gutter="0" w:footer="0" w:header="0"/>
        </w:sectPr>
      </w:pPr>
    </w:p>
    <w:bookmarkStart w:id="56" w:name="page57"/>
    <w:bookmarkEnd w:id="56"/>
    <w:p>
      <w:pPr>
        <w:jc w:val="center"/>
        <w:spacing w:after="0"/>
        <w:rPr>
          <w:sz w:val="20"/>
          <w:szCs w:val="20"/>
          <w:color w:val="auto"/>
        </w:rPr>
      </w:pPr>
      <w:r>
        <w:rPr>
          <w:rFonts w:ascii="Arial" w:cs="Arial" w:eastAsia="Arial" w:hAnsi="Arial"/>
          <w:sz w:val="21"/>
          <w:szCs w:val="21"/>
          <w:b w:val="1"/>
          <w:bCs w:val="1"/>
          <w:color w:val="auto"/>
        </w:rPr>
        <w:t>TIER ONE EXECUTIVE EMPLOYMENT PLAN</w:t>
      </w:r>
    </w:p>
    <w:p>
      <w:pPr>
        <w:spacing w:after="0" w:line="308" w:lineRule="exact"/>
        <w:rPr>
          <w:sz w:val="20"/>
          <w:szCs w:val="20"/>
          <w:color w:val="auto"/>
        </w:rPr>
      </w:pPr>
    </w:p>
    <w:p>
      <w:pPr>
        <w:jc w:val="both"/>
        <w:ind w:firstLine="1242"/>
        <w:spacing w:after="0" w:line="242" w:lineRule="auto"/>
        <w:rPr>
          <w:sz w:val="20"/>
          <w:szCs w:val="20"/>
          <w:color w:val="auto"/>
        </w:rPr>
      </w:pPr>
      <w:r>
        <w:rPr>
          <w:rFonts w:ascii="Arial" w:cs="Arial" w:eastAsia="Arial" w:hAnsi="Arial"/>
          <w:sz w:val="21"/>
          <w:szCs w:val="21"/>
          <w:color w:val="auto"/>
        </w:rPr>
        <w:t>In addition to the terms of your offer letter or executive employment letter (“Offer Letter”) with Synchronoss Technologies, Inc., a Delaware corporation (the “Company”), the employment of each Tier One Executive (“Executive”) shall be governed by the terms and conditions set forth in this Tier One Executive Employment Plan (the “Plan”).</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Scope of Employment.</w:t>
      </w:r>
    </w:p>
    <w:p>
      <w:pPr>
        <w:spacing w:after="0" w:line="198" w:lineRule="exact"/>
        <w:rPr>
          <w:sz w:val="20"/>
          <w:szCs w:val="20"/>
          <w:color w:val="auto"/>
        </w:rPr>
      </w:pPr>
    </w:p>
    <w:p>
      <w:pPr>
        <w:jc w:val="both"/>
        <w:ind w:firstLine="3"/>
        <w:spacing w:after="0" w:line="236" w:lineRule="auto"/>
        <w:tabs>
          <w:tab w:leader="none" w:pos="500"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Position and Compensation</w:t>
      </w:r>
      <w:r>
        <w:rPr>
          <w:rFonts w:ascii="Arial" w:cs="Arial" w:eastAsia="Arial" w:hAnsi="Arial"/>
          <w:sz w:val="21"/>
          <w:szCs w:val="21"/>
          <w:color w:val="auto"/>
        </w:rPr>
        <w:t>. Executive shall be employed by the Company in the position and at the location provided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Offer Letter and at the base salary and annual target bonus percentage set forth in the Offer Letter. Executive shall not be entitled to an incentive bonus if Executive is not employed by the Company on the last day of the fiscal year for which such bonus is payable. Any bonus for a fiscal year shall be paid within 2½ months after the close of that fiscal year. The determinations of the Company’s Board of Directors or its Compensation Committee with respect to such bonus shall be final and binding. The Offer Letter shall also include any initial equity awards to be granted to the Executive, which shall be governed by the respective equity award agreement of the Company.</w:t>
      </w:r>
    </w:p>
    <w:p>
      <w:pPr>
        <w:spacing w:after="0" w:line="174" w:lineRule="exact"/>
        <w:rPr>
          <w:rFonts w:ascii="Arial" w:cs="Arial" w:eastAsia="Arial" w:hAnsi="Arial"/>
          <w:sz w:val="21"/>
          <w:szCs w:val="21"/>
          <w:b w:val="1"/>
          <w:bCs w:val="1"/>
          <w:color w:val="auto"/>
        </w:rPr>
      </w:pPr>
    </w:p>
    <w:p>
      <w:pPr>
        <w:jc w:val="both"/>
        <w:ind w:firstLine="3"/>
        <w:spacing w:after="0" w:line="267" w:lineRule="auto"/>
        <w:tabs>
          <w:tab w:leader="none" w:pos="617"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Obligations to the Company</w:t>
      </w:r>
      <w:r>
        <w:rPr>
          <w:rFonts w:ascii="Arial" w:cs="Arial" w:eastAsia="Arial" w:hAnsi="Arial"/>
          <w:sz w:val="19"/>
          <w:szCs w:val="19"/>
          <w:color w:val="auto"/>
        </w:rPr>
        <w:t>. During Employment, Executive (i) shall devote substantially all of Executive’s full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one non-profit board and, subject to review and written approval by the CEO, Executive may request to sit on one corporate board.</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21"/>
          <w:szCs w:val="21"/>
          <w:b w:val="1"/>
          <w:bCs w:val="1"/>
          <w:color w:val="auto"/>
        </w:rPr>
        <w:t>No Conflicting Obligations</w:t>
      </w:r>
      <w:r>
        <w:rPr>
          <w:rFonts w:ascii="Arial" w:cs="Arial" w:eastAsia="Arial" w:hAnsi="Arial"/>
          <w:sz w:val="21"/>
          <w:szCs w:val="21"/>
          <w:color w:val="auto"/>
        </w:rPr>
        <w:t>. Executive represents and warrants to the Company that he is under no obligations or commitments,</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contractual or otherwise, that are inconsistent with Executive’s obligations hereunder. Executive represents and warrants that he will not use or disclose, in connection with Executive’s Employment, any trade secrets or other proprietary information or intellectual property in which Executive or any other person has any right, title or interest and that Executive’s Employment will not infringe or violate the rights of any other person. Executive represents and warrants to the Company that he has returned all property and confidential information belonging to any prior employer.</w:t>
      </w:r>
    </w:p>
    <w:p>
      <w:pPr>
        <w:spacing w:after="0" w:line="173" w:lineRule="exact"/>
        <w:rPr>
          <w:sz w:val="20"/>
          <w:szCs w:val="20"/>
          <w:color w:val="auto"/>
        </w:rPr>
      </w:pPr>
    </w:p>
    <w:p>
      <w:pPr>
        <w:jc w:val="both"/>
        <w:ind w:firstLine="3"/>
        <w:spacing w:after="0" w:line="237" w:lineRule="auto"/>
        <w:tabs>
          <w:tab w:leader="none" w:pos="624"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Indemnification/D&amp;O Insurance. </w:t>
      </w:r>
      <w:r>
        <w:rPr>
          <w:rFonts w:ascii="Arial" w:cs="Arial" w:eastAsia="Arial" w:hAnsi="Arial"/>
          <w:sz w:val="21"/>
          <w:szCs w:val="21"/>
          <w:color w:val="auto"/>
        </w:rPr>
        <w:t>To the maximum extent permitted by applicable law and the Company’s by-laws,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21"/>
          <w:szCs w:val="21"/>
          <w:b w:val="1"/>
          <w:bCs w:val="1"/>
          <w:color w:val="auto"/>
        </w:rPr>
        <w:t xml:space="preserve">Paid Time Off and Employee Benefits. </w:t>
      </w:r>
      <w:r>
        <w:rPr>
          <w:rFonts w:ascii="Arial" w:cs="Arial" w:eastAsia="Arial" w:hAnsi="Arial"/>
          <w:sz w:val="21"/>
          <w:szCs w:val="21"/>
          <w:color w:val="auto"/>
        </w:rPr>
        <w:t>During Executive’s Employment, Executive shall be eligible for paid time off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Company’s paid time off policy, as it may be</w:t>
      </w:r>
    </w:p>
    <w:p>
      <w:pPr>
        <w:sectPr>
          <w:pgSz w:w="11900" w:h="16838" w:orient="portrait"/>
          <w:cols w:equalWidth="0" w:num="1">
            <w:col w:w="11240"/>
          </w:cols>
          <w:pgMar w:left="320" w:top="1341" w:right="33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20"/>
          <w:szCs w:val="20"/>
          <w:color w:val="auto"/>
        </w:rPr>
        <w:t>amended from time to time, with a minimum of 20 paid time off days per year (accruing for each year on the first day of such year), and any United States Company-wide holidays; provided, however, Executive shall not be entitled to carry over any paid time off days from year to year. During Executive’s Employment, Executive shall be eligible to participate in the employee benefit plans maintained by the Company, subject in each case to the terms and conditions of the plan in question.</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Business Expenses. </w:t>
      </w:r>
      <w:r>
        <w:rPr>
          <w:rFonts w:ascii="Arial" w:cs="Arial" w:eastAsia="Arial" w:hAnsi="Arial"/>
          <w:sz w:val="18"/>
          <w:szCs w:val="18"/>
          <w:color w:val="auto"/>
        </w:rPr>
        <w:t>During Executive’s Employment, Executive shall be authorized to incur necessary and reasonable travel,</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and other business expenses in connection with Executive’s duties hereunder. The Company shall reimburse Executive for such expenses upon presentation of an itemized account and appropriate supporting documentation, all in accordance with the Company’s generally applicable policies. Notwithstanding anything to the contrary herein, except to the extent any expense or reimbursement provided hereunder does not constitute a “deferral of compensation” within the meaning of Section 409A of the Code,</w:t>
      </w:r>
    </w:p>
    <w:p>
      <w:pPr>
        <w:spacing w:after="0" w:line="2" w:lineRule="exact"/>
        <w:rPr>
          <w:sz w:val="20"/>
          <w:szCs w:val="20"/>
          <w:color w:val="auto"/>
        </w:rPr>
      </w:pPr>
    </w:p>
    <w:p>
      <w:pPr>
        <w:jc w:val="both"/>
        <w:ind w:firstLine="3"/>
        <w:spacing w:after="0" w:line="234" w:lineRule="auto"/>
        <w:tabs>
          <w:tab w:leader="none" w:pos="299"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Termination of Employment</w:t>
      </w:r>
      <w:r>
        <w:rPr>
          <w:rFonts w:ascii="Arial" w:cs="Arial" w:eastAsia="Arial" w:hAnsi="Arial"/>
          <w:sz w:val="21"/>
          <w:szCs w:val="21"/>
          <w:color w:val="auto"/>
        </w:rPr>
        <w:t>. The Company may terminate Executive’s Employment at any time and for any reason (or no reason),</w:t>
      </w:r>
      <w:r>
        <w:rPr>
          <w:rFonts w:ascii="Arial" w:cs="Arial" w:eastAsia="Arial" w:hAnsi="Arial"/>
          <w:sz w:val="21"/>
          <w:szCs w:val="21"/>
          <w:b w:val="1"/>
          <w:bCs w:val="1"/>
          <w:color w:val="auto"/>
        </w:rPr>
        <w:t xml:space="preserve"> </w:t>
      </w:r>
      <w:r>
        <w:rPr>
          <w:rFonts w:ascii="Arial" w:cs="Arial" w:eastAsia="Arial" w:hAnsi="Arial"/>
          <w:sz w:val="21"/>
          <w:szCs w:val="21"/>
          <w:color w:val="auto"/>
        </w:rPr>
        <w:t>and with or without Cause, by giving Executive 30 days’ advance notice in writing. Executive may terminate Executive’s Employment by giving the Company 30 days’ advance notice in writing. The Company shall have the right at any time during such 30-day period, to relieve Executive of Executive’s offices, duties and responsibilities and place him on a paid leave-of-absence status, provided that during such notice period, Executive shall remain a full-time employee of the Company and shall continue to receive Executive’s then current salary compensation and other benefits as provided herein. Executive’s Employment shall terminate automatically in the event of Executive’s death. The termination of Executive’s Employment shall not limit or otherwise affect Executive’s obligations under Section 6.</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1"/>
          <w:szCs w:val="21"/>
          <w:b w:val="1"/>
          <w:bCs w:val="1"/>
          <w:color w:val="auto"/>
        </w:rPr>
        <w:t>Rights Upon Termination</w:t>
      </w:r>
      <w:r>
        <w:rPr>
          <w:rFonts w:ascii="Arial" w:cs="Arial" w:eastAsia="Arial" w:hAnsi="Arial"/>
          <w:sz w:val="21"/>
          <w:szCs w:val="21"/>
          <w:color w:val="auto"/>
        </w:rPr>
        <w:t>. Upon Executive’s termination of Employment for any reason, Executive shall be entitled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benefits and reimbursements described in Executive’s Offer Letter or hereunder for the period preceding the effective date of such termination or otherwise accrued before such termination. Upon the termination of Executive’s Employment under certain circumstances, Executive may be entitled to additional severance pay benefits as described in Section 6. The payments hereunder shall fully discharge all responsibilities of the Company to Executive.</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b w:val="1"/>
          <w:bCs w:val="1"/>
          <w:color w:val="auto"/>
        </w:rPr>
        <w:t>Rights Upon Death</w:t>
      </w:r>
      <w:r>
        <w:rPr>
          <w:rFonts w:ascii="Arial" w:cs="Arial" w:eastAsia="Arial" w:hAnsi="Arial"/>
          <w:sz w:val="21"/>
          <w:szCs w:val="21"/>
          <w:color w:val="auto"/>
        </w:rPr>
        <w:t>. If Executive’s Employment ends due to death, (A) Executive’s estate shall be entitled to receive an amount equal</w:t>
      </w:r>
      <w:r>
        <w:rPr>
          <w:rFonts w:ascii="Arial" w:cs="Arial" w:eastAsia="Arial" w:hAnsi="Arial"/>
          <w:sz w:val="21"/>
          <w:szCs w:val="21"/>
          <w:b w:val="1"/>
          <w:bCs w:val="1"/>
          <w:color w:val="auto"/>
        </w:rPr>
        <w:t xml:space="preserve"> </w:t>
      </w:r>
      <w:r>
        <w:rPr>
          <w:rFonts w:ascii="Arial" w:cs="Arial" w:eastAsia="Arial" w:hAnsi="Arial"/>
          <w:sz w:val="21"/>
          <w:szCs w:val="21"/>
          <w:color w:val="auto"/>
        </w:rPr>
        <w:t>to Executive’s target bonus for the fiscal year in which Executive’s death occurred (or, if greater, the bonus amount determined based on the applicable factors and actual performance for such fiscal year), prorated based on the number of days he was employed by the Company during that fiscal year, and (B) all stock options, shares of restricted stock (other than performance-related restricted stock), and other time-based equity awards granted</w:t>
      </w:r>
    </w:p>
    <w:p>
      <w:pPr>
        <w:sectPr>
          <w:pgSz w:w="11900" w:h="16838" w:orient="portrait"/>
          <w:cols w:equalWidth="0" w:num="1">
            <w:col w:w="11240"/>
          </w:cols>
          <w:pgMar w:left="320" w:top="1347" w:right="339" w:bottom="1440" w:gutter="0" w:footer="0" w:header="0"/>
        </w:sectPr>
      </w:pPr>
    </w:p>
    <w:bookmarkStart w:id="58" w:name="page59"/>
    <w:bookmarkEnd w:id="58"/>
    <w:p>
      <w:pPr>
        <w:jc w:val="both"/>
        <w:spacing w:after="0" w:line="254" w:lineRule="auto"/>
        <w:rPr>
          <w:sz w:val="20"/>
          <w:szCs w:val="20"/>
          <w:color w:val="auto"/>
        </w:rPr>
      </w:pPr>
      <w:r>
        <w:rPr>
          <w:rFonts w:ascii="Arial" w:cs="Arial" w:eastAsia="Arial" w:hAnsi="Arial"/>
          <w:sz w:val="21"/>
          <w:szCs w:val="21"/>
          <w:color w:val="auto"/>
        </w:rPr>
        <w:t>by the Company and held by Executive at the time of his death shall be fully vested. All amounts under this Section 4(c) shall be paid no later than the date regular employees are paid their bonuses.</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Rights Upon Permanent Disability</w:t>
      </w:r>
      <w:r>
        <w:rPr>
          <w:rFonts w:ascii="Arial" w:cs="Arial" w:eastAsia="Arial" w:hAnsi="Arial"/>
          <w:sz w:val="18"/>
          <w:szCs w:val="18"/>
          <w:color w:val="auto"/>
        </w:rPr>
        <w:t>. If Executive’s Employment ends due to Permanent Disability and a Separation occurs, (I)</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entitled to receive (i) an amount equal to Executive’s Target Bonus for the fiscal year in which Executive’s Employment ended (or, if reasonably ascertainable and greater, the bonus amount determined based on the applicable factors and actual performance for such fiscal year), prorated based on the number of days he was employed by the Company during that fiscal year, and</w:t>
      </w:r>
    </w:p>
    <w:p>
      <w:pPr>
        <w:spacing w:after="0" w:line="3" w:lineRule="exact"/>
        <w:rPr>
          <w:sz w:val="20"/>
          <w:szCs w:val="20"/>
          <w:color w:val="auto"/>
        </w:rPr>
      </w:pPr>
    </w:p>
    <w:p>
      <w:pPr>
        <w:jc w:val="both"/>
        <w:ind w:firstLine="3"/>
        <w:spacing w:after="0" w:line="233" w:lineRule="auto"/>
        <w:tabs>
          <w:tab w:leader="none" w:pos="317" w:val="left"/>
        </w:tabs>
        <w:numPr>
          <w:ilvl w:val="0"/>
          <w:numId w:val="41"/>
        </w:numPr>
        <w:rPr>
          <w:rFonts w:ascii="Arial" w:cs="Arial" w:eastAsia="Arial" w:hAnsi="Arial"/>
          <w:sz w:val="21"/>
          <w:szCs w:val="21"/>
          <w:color w:val="auto"/>
        </w:rPr>
      </w:pPr>
      <w:r>
        <w:rPr>
          <w:rFonts w:ascii="Arial" w:cs="Arial" w:eastAsia="Arial" w:hAnsi="Arial"/>
          <w:sz w:val="21"/>
          <w:szCs w:val="21"/>
          <w:color w:val="auto"/>
        </w:rPr>
        <w:t>a lump sum amount equal to the product of (A) 24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Benefits.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Preconditions</w:t>
      </w:r>
      <w:r>
        <w:rPr>
          <w:rFonts w:ascii="Arial" w:cs="Arial" w:eastAsia="Arial" w:hAnsi="Arial"/>
          <w:sz w:val="19"/>
          <w:szCs w:val="19"/>
          <w:color w:val="auto"/>
        </w:rPr>
        <w:t>. Any other provision of this Plan notwithstanding, Subsections (b) and (c) below shall not apply unless Executive:</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Has executed (or, with respect to Section 4(d), the executor or Executive’s estate has executed) a general release of all claims Executive (or Executive’s executor or estate) may have against the Company or persons affiliated with the Company (substantially in the form attached hereto as Exhibit A) (the “Release”);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Complies with Executive’s obligations under Section 6 below;</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Has returned all property of the Company in Executive’s possession; and</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If requested by the Board, has resigned as a member of the Board and as a member of the boards of directors of all subsidiaries of the Company, to the extent applicable.</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5.</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Severance Pay in the Absence of a Change in Control</w:t>
      </w:r>
      <w:r>
        <w:rPr>
          <w:rFonts w:ascii="Arial" w:cs="Arial" w:eastAsia="Arial" w:hAnsi="Arial"/>
          <w:sz w:val="20"/>
          <w:szCs w:val="20"/>
          <w:color w:val="auto"/>
        </w:rPr>
        <w:t>. If, during Executive’s employment with the Company and not at a time</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subsection (c) below, Executive resigns Executive’s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Executive’s Base Salary in effect at the time of the termination of Employment and one and one-half times Executive’s average annual bonus based on the actual amounts received in the immediately preceding two years, and (ii) the product of (A) 12 and (B) the monthly amount the Company was paying on behalf of Executive and Executive’s eligible</w:t>
      </w:r>
    </w:p>
    <w:p>
      <w:pPr>
        <w:sectPr>
          <w:pgSz w:w="11900" w:h="16838" w:orient="portrait"/>
          <w:cols w:equalWidth="0" w:num="1">
            <w:col w:w="11240"/>
          </w:cols>
          <w:pgMar w:left="320" w:top="1347" w:right="339" w:bottom="1440" w:gutter="0" w:footer="0" w:header="0"/>
        </w:sectPr>
      </w:pPr>
    </w:p>
    <w:bookmarkStart w:id="59" w:name="page60"/>
    <w:bookmarkEnd w:id="59"/>
    <w:p>
      <w:pPr>
        <w:jc w:val="both"/>
        <w:spacing w:after="0" w:line="261" w:lineRule="auto"/>
        <w:rPr>
          <w:sz w:val="20"/>
          <w:szCs w:val="20"/>
          <w:color w:val="auto"/>
        </w:rPr>
      </w:pPr>
      <w:r>
        <w:rPr>
          <w:rFonts w:ascii="Arial" w:cs="Arial" w:eastAsia="Arial" w:hAnsi="Arial"/>
          <w:sz w:val="19"/>
          <w:szCs w:val="19"/>
          <w:color w:val="auto"/>
        </w:rPr>
        <w:t>dependents with respect to the Company’s health insurance plans in which Executive and Executive’s eligible dependents were participants as of the date of Separation. In the event that Executive Employment is terminated for a reason other than death, Cause or Permanent Disability or Executive resigns Executive’s Employment for Good Reason under this Subsection (b) within two years after commencement of employment with the Company, then in lieu of using the average bonus received in the immediately preceding two years for the above calculation, such calculation shall use Executive’s Target Bonus in the year of termination if such termination under this Subsection (b) occurs in the first year of employment with the Company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Severance Pay in Connection with a Change in Control</w:t>
      </w:r>
      <w:r>
        <w:rPr>
          <w:rFonts w:ascii="Arial" w:cs="Arial" w:eastAsia="Arial" w:hAnsi="Arial"/>
          <w:sz w:val="19"/>
          <w:szCs w:val="19"/>
          <w:color w:val="auto"/>
        </w:rPr>
        <w:t>. If, during Executive’s employment with the Company and within (i) 120</w:t>
      </w:r>
      <w:r>
        <w:rPr>
          <w:rFonts w:ascii="Arial" w:cs="Arial" w:eastAsia="Arial" w:hAnsi="Arial"/>
          <w:sz w:val="19"/>
          <w:szCs w:val="19"/>
          <w:b w:val="1"/>
          <w:bCs w:val="1"/>
          <w:color w:val="auto"/>
        </w:rPr>
        <w:t xml:space="preserve"> </w:t>
      </w:r>
      <w:r>
        <w:rPr>
          <w:rFonts w:ascii="Arial" w:cs="Arial" w:eastAsia="Arial" w:hAnsi="Arial"/>
          <w:sz w:val="19"/>
          <w:szCs w:val="19"/>
          <w:color w:val="auto"/>
        </w:rPr>
        <w:t>days prior to or (ii) 24 months following a Change in Control, Executive is subject to an Involuntary Termination, then (i) the Company shall pay Executive a lump sum severance payment equal to (x) two times Executive’s Base Salary in effect at the time of the termination of Employment plus two times Executive’s average bonus received in the immediately preceding two years, and (y) a lump sum amount equal to the product of (A) 18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Executive’s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Commencement of Severance Payments</w:t>
      </w:r>
      <w:r>
        <w:rPr>
          <w:rFonts w:ascii="Arial" w:cs="Arial" w:eastAsia="Arial" w:hAnsi="Arial"/>
          <w:sz w:val="20"/>
          <w:szCs w:val="20"/>
          <w:color w:val="auto"/>
        </w:rPr>
        <w:t>. Payment of the severance pay provided for hereunder will be made no later than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w:t>
      </w:r>
    </w:p>
    <w:p>
      <w:pPr>
        <w:sectPr>
          <w:pgSz w:w="11900" w:h="16838" w:orient="portrait"/>
          <w:cols w:equalWidth="0" w:num="1">
            <w:col w:w="11240"/>
          </w:cols>
          <w:pgMar w:left="320" w:top="1347" w:right="339" w:bottom="1440" w:gutter="0" w:footer="0" w:header="0"/>
        </w:sectPr>
      </w:pPr>
    </w:p>
    <w:bookmarkStart w:id="60" w:name="page61"/>
    <w:bookmarkEnd w:id="60"/>
    <w:p>
      <w:pPr>
        <w:jc w:val="both"/>
        <w:spacing w:after="0" w:line="242" w:lineRule="auto"/>
        <w:rPr>
          <w:sz w:val="20"/>
          <w:szCs w:val="20"/>
          <w:color w:val="auto"/>
        </w:rPr>
      </w:pPr>
      <w:r>
        <w:rPr>
          <w:rFonts w:ascii="Arial" w:cs="Arial" w:eastAsia="Arial" w:hAnsi="Arial"/>
          <w:sz w:val="21"/>
          <w:szCs w:val="21"/>
          <w:color w:val="auto"/>
        </w:rPr>
        <w:t>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Plan shall be construed consistently with the intent that all payments hereunder shall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of the Code by reason of the “short-term” deferral exemption or a different exemption. Each payment made under this Plan shall be treated as a separate payment and the right to a series of installment payments under this Plan is to be treated as a right to a series of separate payments. If the Company determines that Executive is a “specified employee” under Section 409A(a)(2)(B)(i) of the Code at the time of Executive’s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Protective Covenants.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As one of the Company’s executive and management personnel and officer, Executive has acquired extensive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knowledge and confidential information concerning the business of the Company, including certain trade secrets the Company wishes to protect. Executive further acknowledges that during Executive’s employment he will have access to and knowledge of Proprietary Information. To protect the Company’s Proprietary Information, and in consideration of the terms of this Plan, Executive agrees that during Executive’s employment with the Company and for a period of twelve (12) months after the termination of Executive’s employment with the Company for any reason, whether hereunder or otherwise (the “Restricted Period”), Executive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Non-Solicitation and Non-Servicing</w:t>
      </w:r>
      <w:r>
        <w:rPr>
          <w:rFonts w:ascii="Arial" w:cs="Arial" w:eastAsia="Arial" w:hAnsi="Arial"/>
          <w:sz w:val="21"/>
          <w:szCs w:val="21"/>
          <w:color w:val="auto"/>
        </w:rPr>
        <w:t>. During Executive’s employment with the Company and continuing for a period of twelve (12)</w:t>
      </w:r>
      <w:r>
        <w:rPr>
          <w:rFonts w:ascii="Arial" w:cs="Arial" w:eastAsia="Arial" w:hAnsi="Arial"/>
          <w:sz w:val="21"/>
          <w:szCs w:val="21"/>
          <w:b w:val="1"/>
          <w:bCs w:val="1"/>
          <w:color w:val="auto"/>
        </w:rPr>
        <w:t xml:space="preserve"> </w:t>
      </w:r>
      <w:r>
        <w:rPr>
          <w:rFonts w:ascii="Arial" w:cs="Arial" w:eastAsia="Arial" w:hAnsi="Arial"/>
          <w:sz w:val="21"/>
          <w:szCs w:val="21"/>
          <w:color w:val="auto"/>
        </w:rPr>
        <w:t>months after termination of Executive’s employment with the Company for any reason, whether under this Agreement or otherwise, Executive shall not directly or indirectly, personally or through others,</w:t>
      </w:r>
    </w:p>
    <w:p>
      <w:pPr>
        <w:spacing w:after="0" w:line="172" w:lineRule="exact"/>
        <w:rPr>
          <w:sz w:val="20"/>
          <w:szCs w:val="20"/>
          <w:color w:val="auto"/>
        </w:rPr>
      </w:pPr>
    </w:p>
    <w:p>
      <w:pPr>
        <w:jc w:val="both"/>
        <w:ind w:left="620" w:firstLine="4"/>
        <w:spacing w:after="0" w:line="251" w:lineRule="auto"/>
        <w:tabs>
          <w:tab w:leader="none" w:pos="1135" w:val="left"/>
        </w:tabs>
        <w:numPr>
          <w:ilvl w:val="0"/>
          <w:numId w:val="42"/>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ectPr>
          <w:pgSz w:w="11900" w:h="16838" w:orient="portrait"/>
          <w:cols w:equalWidth="0" w:num="1">
            <w:col w:w="11240"/>
          </w:cols>
          <w:pgMar w:left="320" w:top="1347" w:right="339" w:bottom="1440" w:gutter="0" w:footer="0" w:header="0"/>
        </w:sectPr>
      </w:pPr>
    </w:p>
    <w:bookmarkStart w:id="61" w:name="page62"/>
    <w:bookmarkEnd w:id="61"/>
    <w:p>
      <w:pPr>
        <w:jc w:val="both"/>
        <w:ind w:left="620" w:firstLine="4"/>
        <w:spacing w:after="0" w:line="250" w:lineRule="auto"/>
        <w:tabs>
          <w:tab w:leader="none" w:pos="1185" w:val="left"/>
        </w:tabs>
        <w:numPr>
          <w:ilvl w:val="0"/>
          <w:numId w:val="43"/>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Executive’s, Executive’s contractual or other relationship with the Company; provided, however, this subparagraph (ii) shall not apply to any employee of the Company who reports in to Executive’s organization, was recommended by Executive and had worked with Executive at at least two prior organizations; or</w:t>
      </w:r>
    </w:p>
    <w:p>
      <w:pPr>
        <w:spacing w:after="0" w:line="166" w:lineRule="exact"/>
        <w:rPr>
          <w:rFonts w:ascii="Arial" w:cs="Arial" w:eastAsia="Arial" w:hAnsi="Arial"/>
          <w:sz w:val="20"/>
          <w:szCs w:val="20"/>
          <w:color w:val="auto"/>
        </w:rPr>
      </w:pPr>
    </w:p>
    <w:p>
      <w:pPr>
        <w:ind w:left="1140" w:hanging="516"/>
        <w:spacing w:after="0"/>
        <w:tabs>
          <w:tab w:leader="none" w:pos="11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render to or for any Client any services of the type rendered by the Company; or</w:t>
      </w:r>
    </w:p>
    <w:p>
      <w:pPr>
        <w:spacing w:after="0" w:line="198" w:lineRule="exact"/>
        <w:rPr>
          <w:rFonts w:ascii="Arial" w:cs="Arial" w:eastAsia="Arial" w:hAnsi="Arial"/>
          <w:sz w:val="21"/>
          <w:szCs w:val="21"/>
          <w:color w:val="auto"/>
        </w:rPr>
      </w:pPr>
    </w:p>
    <w:p>
      <w:pPr>
        <w:jc w:val="both"/>
        <w:ind w:left="620" w:firstLine="4"/>
        <w:spacing w:after="0" w:line="237" w:lineRule="auto"/>
        <w:tabs>
          <w:tab w:leader="none" w:pos="1217" w:val="left"/>
        </w:tabs>
        <w:numPr>
          <w:ilvl w:val="0"/>
          <w:numId w:val="43"/>
        </w:numPr>
        <w:rPr>
          <w:rFonts w:ascii="Arial" w:cs="Arial" w:eastAsia="Arial" w:hAnsi="Arial"/>
          <w:sz w:val="21"/>
          <w:szCs w:val="21"/>
          <w:color w:val="auto"/>
        </w:rPr>
      </w:pPr>
      <w:r>
        <w:rPr>
          <w:rFonts w:ascii="Arial" w:cs="Arial" w:eastAsia="Arial" w:hAnsi="Arial"/>
          <w:sz w:val="21"/>
          <w:szCs w:val="21"/>
          <w:color w:val="auto"/>
        </w:rPr>
        <w:t>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or attempt to persuade any employee of or consultant to the Company to leave the employ of the Company or to breach any service arrangement with the Company.</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Non-Disclosure</w:t>
      </w:r>
      <w:r>
        <w:rPr>
          <w:rFonts w:ascii="Arial" w:cs="Arial" w:eastAsia="Arial" w:hAnsi="Arial"/>
          <w:sz w:val="21"/>
          <w:szCs w:val="21"/>
          <w:color w:val="auto"/>
        </w:rPr>
        <w:t>. Executive has entered into a Proprietary Information and Inventions Agreement with the Company, which is</w:t>
      </w:r>
      <w:r>
        <w:rPr>
          <w:rFonts w:ascii="Arial" w:cs="Arial" w:eastAsia="Arial" w:hAnsi="Arial"/>
          <w:sz w:val="21"/>
          <w:szCs w:val="21"/>
          <w:b w:val="1"/>
          <w:bCs w:val="1"/>
          <w:color w:val="auto"/>
        </w:rPr>
        <w:t xml:space="preserve"> </w:t>
      </w:r>
      <w:r>
        <w:rPr>
          <w:rFonts w:ascii="Arial" w:cs="Arial" w:eastAsia="Arial" w:hAnsi="Arial"/>
          <w:sz w:val="21"/>
          <w:szCs w:val="21"/>
          <w:color w:val="auto"/>
        </w:rPr>
        <w:t>incorporated herein by reference.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Reasonable</w:t>
      </w:r>
      <w:r>
        <w:rPr>
          <w:rFonts w:ascii="Arial" w:cs="Arial" w:eastAsia="Arial" w:hAnsi="Arial"/>
          <w:sz w:val="21"/>
          <w:szCs w:val="21"/>
          <w:color w:val="auto"/>
        </w:rPr>
        <w:t>. Executive agrees and acknowledges that the time limitation on the restrictions in this Section 6, combined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geographic scope, is reasonable. Executive also acknowledges and agrees that this provision is reasonably necessary for the protection of Proprietary Information, that through Executive’s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6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Successors.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21"/>
          <w:szCs w:val="21"/>
          <w:b w:val="1"/>
          <w:bCs w:val="1"/>
          <w:color w:val="auto"/>
        </w:rPr>
        <w:t>Company’s Successors</w:t>
      </w:r>
      <w:r>
        <w:rPr>
          <w:rFonts w:ascii="Arial" w:cs="Arial" w:eastAsia="Arial" w:hAnsi="Arial"/>
          <w:sz w:val="21"/>
          <w:szCs w:val="21"/>
          <w:color w:val="auto"/>
        </w:rPr>
        <w:t>. This Plan shall be binding upon any successor (whether direct or indirect and whether by purchase, lease,</w:t>
      </w:r>
      <w:r>
        <w:rPr>
          <w:rFonts w:ascii="Arial" w:cs="Arial" w:eastAsia="Arial" w:hAnsi="Arial"/>
          <w:sz w:val="21"/>
          <w:szCs w:val="21"/>
          <w:b w:val="1"/>
          <w:bCs w:val="1"/>
          <w:color w:val="auto"/>
        </w:rPr>
        <w:t xml:space="preserve"> </w:t>
      </w:r>
      <w:r>
        <w:rPr>
          <w:rFonts w:ascii="Arial" w:cs="Arial" w:eastAsia="Arial" w:hAnsi="Arial"/>
          <w:sz w:val="21"/>
          <w:szCs w:val="21"/>
          <w:color w:val="auto"/>
        </w:rPr>
        <w:t>merger, consolidation, liquidation or otherwise) to all or substantially all of the Company’s business and/or assets. For all purposes hereunder, the term “Company” shall include any successor to the Company’s business and/or assets which becomes bound by this Plan.</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b w:val="1"/>
          <w:bCs w:val="1"/>
          <w:color w:val="auto"/>
        </w:rPr>
        <w:t>Employee’s Successors</w:t>
      </w:r>
      <w:r>
        <w:rPr>
          <w:rFonts w:ascii="Arial" w:cs="Arial" w:eastAsia="Arial" w:hAnsi="Arial"/>
          <w:sz w:val="19"/>
          <w:szCs w:val="19"/>
          <w:color w:val="auto"/>
        </w:rPr>
        <w:t>. This Plan and all rights of Executive hereunder shall inure to the benefit of, and be enforceable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personal or legal representatives, executors, administrators, successors, heirs, distributees, devisees and legatees.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Taxes.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Withholding Taxes</w:t>
      </w:r>
      <w:r>
        <w:rPr>
          <w:rFonts w:ascii="Arial" w:cs="Arial" w:eastAsia="Arial" w:hAnsi="Arial"/>
          <w:sz w:val="21"/>
          <w:szCs w:val="21"/>
          <w:color w:val="auto"/>
        </w:rPr>
        <w:t>. All payments made hereunder shall be subject to reduction to reflect applicable withholding and payroll taxes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deductions required to be withheld by law.</w:t>
      </w:r>
    </w:p>
    <w:p>
      <w:pPr>
        <w:sectPr>
          <w:pgSz w:w="11900" w:h="16838" w:orient="portrait"/>
          <w:cols w:equalWidth="0" w:num="1">
            <w:col w:w="11240"/>
          </w:cols>
          <w:pgMar w:left="320" w:top="1347" w:right="339" w:bottom="1440" w:gutter="0" w:footer="0" w:header="0"/>
        </w:sectPr>
      </w:pPr>
    </w:p>
    <w:bookmarkStart w:id="62" w:name="page63"/>
    <w:bookmarkEnd w:id="62"/>
    <w:p>
      <w:pPr>
        <w:jc w:val="both"/>
        <w:spacing w:after="0"/>
        <w:rPr>
          <w:sz w:val="20"/>
          <w:szCs w:val="20"/>
          <w:color w:val="auto"/>
        </w:rPr>
      </w:pPr>
      <w:r>
        <w:rPr>
          <w:rFonts w:ascii="Arial" w:cs="Arial" w:eastAsia="Arial" w:hAnsi="Arial"/>
          <w:sz w:val="21"/>
          <w:szCs w:val="21"/>
          <w:b w:val="1"/>
          <w:bCs w:val="1"/>
          <w:color w:val="auto"/>
        </w:rPr>
        <w:t>Tax Advice</w:t>
      </w:r>
      <w:r>
        <w:rPr>
          <w:rFonts w:ascii="Arial" w:cs="Arial" w:eastAsia="Arial" w:hAnsi="Arial"/>
          <w:sz w:val="21"/>
          <w:szCs w:val="21"/>
          <w:color w:val="auto"/>
        </w:rPr>
        <w:t>. Executive is encouraged to obtain Executive’s own tax advice regarding Executive’s compensation from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agrees 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Parachute Taxes</w:t>
      </w:r>
      <w:r>
        <w:rPr>
          <w:rFonts w:ascii="Arial" w:cs="Arial" w:eastAsia="Arial" w:hAnsi="Arial"/>
          <w:sz w:val="19"/>
          <w:szCs w:val="19"/>
          <w:color w:val="auto"/>
        </w:rPr>
        <w:t>. Notwithstanding anything in this Plan to the contrary, if it shall be determined that any payment or distribution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to or for the benefit of Executive, whether paid or payable or distributed or distributable pursuant to the terms hereunder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9f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6 above, and the amount of Executive’s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Cause</w:t>
      </w:r>
      <w:r>
        <w:rPr>
          <w:rFonts w:ascii="Arial" w:cs="Arial" w:eastAsia="Arial" w:hAnsi="Arial"/>
          <w:sz w:val="21"/>
          <w:szCs w:val="21"/>
          <w:color w:val="auto"/>
        </w:rPr>
        <w:t>. For all purposes under this Plan, “Cause” shall mean: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An intentional and unauthorized use or disclosure by Executive of the Company’s confidential information or trade secrets, which use or disclosure causes material harm to the Company;</w:t>
      </w:r>
    </w:p>
    <w:p>
      <w:pPr>
        <w:spacing w:after="0" w:line="162" w:lineRule="exact"/>
        <w:rPr>
          <w:sz w:val="20"/>
          <w:szCs w:val="20"/>
          <w:color w:val="auto"/>
        </w:rPr>
      </w:pPr>
    </w:p>
    <w:p>
      <w:pPr>
        <w:ind w:right="3200"/>
        <w:spacing w:after="0" w:line="509" w:lineRule="auto"/>
        <w:rPr>
          <w:sz w:val="20"/>
          <w:szCs w:val="20"/>
          <w:color w:val="auto"/>
        </w:rPr>
      </w:pPr>
      <w:r>
        <w:rPr>
          <w:rFonts w:ascii="Arial" w:cs="Arial" w:eastAsia="Arial" w:hAnsi="Arial"/>
          <w:sz w:val="18"/>
          <w:szCs w:val="18"/>
          <w:color w:val="auto"/>
        </w:rPr>
        <w:t>A material breach by Executive of any material agreement between Executive and the Company; A material failure by Executive to comply with the Company’s written policies or rules;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Executive’s conviction of, indictment for or plea of “guilty” or “no contest” to, a felony under the laws of the United States or any State thereof;</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Executive’s gross negligence or willful misconduct which causes material harm to the Company;</w:t>
      </w:r>
    </w:p>
    <w:p>
      <w:pPr>
        <w:sectPr>
          <w:pgSz w:w="11900" w:h="16838" w:orient="portrait"/>
          <w:cols w:equalWidth="0" w:num="1">
            <w:col w:w="11240"/>
          </w:cols>
          <w:pgMar w:left="320" w:top="1341"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21"/>
          <w:szCs w:val="21"/>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 in Control</w:t>
      </w:r>
      <w:r>
        <w:rPr>
          <w:rFonts w:ascii="Arial" w:cs="Arial" w:eastAsia="Arial" w:hAnsi="Arial"/>
          <w:sz w:val="21"/>
          <w:szCs w:val="21"/>
          <w:color w:val="auto"/>
        </w:rPr>
        <w:t>. For all purposes under this Plan, “Change in Control” shall mean the occurrence of:</w:t>
      </w:r>
    </w:p>
    <w:p>
      <w:pPr>
        <w:spacing w:after="0" w:line="204" w:lineRule="exact"/>
        <w:rPr>
          <w:sz w:val="20"/>
          <w:szCs w:val="20"/>
          <w:color w:val="auto"/>
        </w:rPr>
      </w:pPr>
    </w:p>
    <w:p>
      <w:pPr>
        <w:ind w:right="320" w:firstLine="3"/>
        <w:spacing w:after="0" w:line="278" w:lineRule="auto"/>
        <w:tabs>
          <w:tab w:leader="none" w:pos="46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39" w:lineRule="exact"/>
        <w:rPr>
          <w:rFonts w:ascii="Arial" w:cs="Arial" w:eastAsia="Arial" w:hAnsi="Arial"/>
          <w:sz w:val="20"/>
          <w:szCs w:val="20"/>
          <w:color w:val="auto"/>
        </w:rPr>
      </w:pPr>
    </w:p>
    <w:p>
      <w:pPr>
        <w:ind w:right="300" w:firstLine="3"/>
        <w:spacing w:after="0" w:line="254" w:lineRule="auto"/>
        <w:tabs>
          <w:tab w:leader="none" w:pos="522"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acquisition, during a 12-month period ending on the date of the most recent acquisition, by a person or persons acting as a group, of 30% or more of the total voting power of the Company;</w:t>
      </w:r>
    </w:p>
    <w:p>
      <w:pPr>
        <w:spacing w:after="0" w:line="161" w:lineRule="exact"/>
        <w:rPr>
          <w:rFonts w:ascii="Arial" w:cs="Arial" w:eastAsia="Arial" w:hAnsi="Arial"/>
          <w:sz w:val="21"/>
          <w:szCs w:val="21"/>
          <w:color w:val="auto"/>
        </w:rPr>
      </w:pPr>
    </w:p>
    <w:p>
      <w:pPr>
        <w:ind w:right="320" w:firstLine="3"/>
        <w:spacing w:after="0" w:line="306" w:lineRule="auto"/>
        <w:tabs>
          <w:tab w:leader="none" w:pos="568"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15" w:lineRule="exact"/>
        <w:rPr>
          <w:rFonts w:ascii="Arial" w:cs="Arial" w:eastAsia="Arial" w:hAnsi="Arial"/>
          <w:sz w:val="19"/>
          <w:szCs w:val="19"/>
          <w:color w:val="auto"/>
        </w:rPr>
      </w:pPr>
    </w:p>
    <w:p>
      <w:pPr>
        <w:jc w:val="both"/>
        <w:ind w:right="320" w:firstLine="3"/>
        <w:spacing w:after="0" w:line="272" w:lineRule="auto"/>
        <w:tabs>
          <w:tab w:leader="none" w:pos="561"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48" w:lineRule="exact"/>
        <w:rPr>
          <w:sz w:val="20"/>
          <w:szCs w:val="20"/>
          <w:color w:val="auto"/>
        </w:rPr>
      </w:pPr>
    </w:p>
    <w:p>
      <w:pPr>
        <w:jc w:val="both"/>
        <w:ind w:right="300" w:firstLine="621"/>
        <w:spacing w:after="0" w:line="239" w:lineRule="auto"/>
        <w:rPr>
          <w:sz w:val="20"/>
          <w:szCs w:val="20"/>
          <w:color w:val="auto"/>
        </w:rPr>
      </w:pPr>
      <w:r>
        <w:rPr>
          <w:rFonts w:ascii="Arial" w:cs="Arial" w:eastAsia="Arial" w:hAnsi="Arial"/>
          <w:sz w:val="21"/>
          <w:szCs w:val="21"/>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Client. </w:t>
      </w:r>
      <w:r>
        <w:rPr>
          <w:rFonts w:ascii="Arial" w:cs="Arial" w:eastAsia="Arial" w:hAnsi="Arial"/>
          <w:sz w:val="19"/>
          <w:szCs w:val="19"/>
          <w:color w:val="auto"/>
        </w:rPr>
        <w:t>For all purposes under this Plan, “Client” shall mean (i) anyone who is a client of the Company as of, or at any time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one-year period immediately preceding, the termination of Executive’s employment, but only if Executive had a direct relationship with, supervisory responsibility for or otherwise were involved with such client during Executive’s employment with the Company and</w:t>
      </w:r>
    </w:p>
    <w:p>
      <w:pPr>
        <w:spacing w:after="0" w:line="2" w:lineRule="exact"/>
        <w:rPr>
          <w:sz w:val="20"/>
          <w:szCs w:val="20"/>
          <w:color w:val="auto"/>
        </w:rPr>
      </w:pPr>
    </w:p>
    <w:p>
      <w:pPr>
        <w:jc w:val="both"/>
        <w:ind w:firstLine="3"/>
        <w:spacing w:after="0" w:line="235" w:lineRule="auto"/>
        <w:tabs>
          <w:tab w:leader="none" w:pos="310"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w:t>
      </w:r>
    </w:p>
    <w:p>
      <w:pPr>
        <w:sectPr>
          <w:pgSz w:w="11900" w:h="16838" w:orient="portrait"/>
          <w:cols w:equalWidth="0" w:num="1">
            <w:col w:w="11240"/>
          </w:cols>
          <w:pgMar w:left="320" w:top="1347" w:right="339" w:bottom="1440" w:gutter="0" w:footer="0" w:header="0"/>
        </w:sectPr>
      </w:pPr>
    </w:p>
    <w:bookmarkStart w:id="64" w:name="page65"/>
    <w:bookmarkEnd w:id="64"/>
    <w:p>
      <w:pPr>
        <w:jc w:val="both"/>
        <w:spacing w:after="0" w:line="254" w:lineRule="auto"/>
        <w:rPr>
          <w:sz w:val="20"/>
          <w:szCs w:val="20"/>
          <w:color w:val="auto"/>
        </w:rPr>
      </w:pPr>
      <w:r>
        <w:rPr>
          <w:rFonts w:ascii="Arial" w:cs="Arial" w:eastAsia="Arial" w:hAnsi="Arial"/>
          <w:sz w:val="21"/>
          <w:szCs w:val="21"/>
          <w:color w:val="auto"/>
        </w:rPr>
        <w:t>rendering of services occurred prior to the termination date, and only if Executive participated in or supervised such presentation and/or its preparation or the discussions leading up to it).</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Code</w:t>
      </w:r>
      <w:r>
        <w:rPr>
          <w:rFonts w:ascii="Arial" w:cs="Arial" w:eastAsia="Arial" w:hAnsi="Arial"/>
          <w:sz w:val="21"/>
          <w:szCs w:val="21"/>
          <w:color w:val="auto"/>
        </w:rPr>
        <w:t>. For all purposes under this Plan, “Code” shall mean the Internal Revenue Code of 1986, as amended.</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Company</w:t>
      </w:r>
      <w:r>
        <w:rPr>
          <w:rFonts w:ascii="Arial" w:cs="Arial" w:eastAsia="Arial" w:hAnsi="Arial"/>
          <w:sz w:val="21"/>
          <w:szCs w:val="21"/>
          <w:color w:val="auto"/>
        </w:rPr>
        <w:t>. For all purposes under this Plan, “Company” shall include Synchronoss Technologies, Inc. and all of its subsidiaries and</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Good Reason</w:t>
      </w:r>
      <w:r>
        <w:rPr>
          <w:rFonts w:ascii="Arial" w:cs="Arial" w:eastAsia="Arial" w:hAnsi="Arial"/>
          <w:sz w:val="21"/>
          <w:szCs w:val="21"/>
          <w:color w:val="auto"/>
        </w:rPr>
        <w:t>. For all purposes under this Plan, “Good Reason” shall mean:</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a material dimunition in Executive’s authorities, duties or responsibilities;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a reduction in Executive’s base salary by more than 10% unless pursuant to a Company-wide salary reduction affecting all Executives proportionately;</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relocation of Executive’s principal workplace that results in an increase to Executive’s commute by more than 50 miles;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a material breach by the Company of this Agreement.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A condition shall not be considered “Good Reason” unless Executive gives the Company written notice of such condition within 90 days Executive has knowledge of such condition and the Company fails to remedy such condition (or in the case of (v) remedy such breach) within 30 days after receiving Executive’s written notice. In addition, Executive’s resignation must occur within 12 months after Executive has knowledge of such condition.</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Involuntary Termination</w:t>
      </w:r>
      <w:r>
        <w:rPr>
          <w:rFonts w:ascii="Arial" w:cs="Arial" w:eastAsia="Arial" w:hAnsi="Arial"/>
          <w:sz w:val="21"/>
          <w:szCs w:val="21"/>
          <w:color w:val="auto"/>
        </w:rPr>
        <w:t>. For all purposes under this Plan, “Involuntary Termination” shall mean either (i) the Company terminates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with the Company for a reason other than death, Cause or Permanent Disability and a Separation occurs, or (ii) Executive resigns Executive’s Employment for Good Reason and a Separation occurs.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Permanent Disability</w:t>
      </w:r>
      <w:r>
        <w:rPr>
          <w:rFonts w:ascii="Arial" w:cs="Arial" w:eastAsia="Arial" w:hAnsi="Arial"/>
          <w:sz w:val="20"/>
          <w:szCs w:val="20"/>
          <w:color w:val="auto"/>
        </w:rPr>
        <w:t>. For all purposes under this Plan, “Permanent Disability” shall mean, in the reasonable determination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Committee, Executive’s inability to perform the essential functions of Executive’s position, with or without reasonable accommodation, for a period of at least 180 consecutive days because of a physical or mental impairment.</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Proprietary Information</w:t>
      </w:r>
      <w:r>
        <w:rPr>
          <w:rFonts w:ascii="Arial" w:cs="Arial" w:eastAsia="Arial" w:hAnsi="Arial"/>
          <w:sz w:val="19"/>
          <w:szCs w:val="19"/>
          <w:color w:val="auto"/>
        </w:rPr>
        <w:t>. For all purposes under this Plan, “Proprietary Information” shall mean any and all confidential and/or</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proprietary knowledge, data or information of the Company. By way of illustration but not limitation, Proprietary Information includes</w:t>
      </w:r>
    </w:p>
    <w:p>
      <w:pPr>
        <w:spacing w:after="0" w:line="2" w:lineRule="exact"/>
        <w:rPr>
          <w:sz w:val="20"/>
          <w:szCs w:val="20"/>
          <w:color w:val="auto"/>
        </w:rPr>
      </w:pPr>
    </w:p>
    <w:p>
      <w:pPr>
        <w:jc w:val="both"/>
        <w:ind w:firstLine="3"/>
        <w:spacing w:after="0" w:line="235" w:lineRule="auto"/>
        <w:tabs>
          <w:tab w:leader="none" w:pos="301" w:val="left"/>
        </w:tabs>
        <w:numPr>
          <w:ilvl w:val="0"/>
          <w:numId w:val="46"/>
        </w:numPr>
        <w:rPr>
          <w:rFonts w:ascii="Arial" w:cs="Arial" w:eastAsia="Arial" w:hAnsi="Arial"/>
          <w:sz w:val="21"/>
          <w:szCs w:val="21"/>
          <w:color w:val="auto"/>
        </w:rPr>
      </w:pPr>
      <w:r>
        <w:rPr>
          <w:rFonts w:ascii="Arial" w:cs="Arial" w:eastAsia="Arial" w:hAnsi="Arial"/>
          <w:sz w:val="21"/>
          <w:szCs w:val="21"/>
          <w:color w:val="auto"/>
        </w:rPr>
        <w:t>trade secrets, inventions, mask works, ideas, processes, formulas, source and object codes, data, programs, other works of authorship, knowhow, improvements, discoveries, developments, designs and techniques; and (ii) information regarding plans for research, development, new products, marketing and selling,</w:t>
      </w:r>
    </w:p>
    <w:p>
      <w:pPr>
        <w:sectPr>
          <w:pgSz w:w="11900" w:h="16838" w:orient="portrait"/>
          <w:cols w:equalWidth="0" w:num="1">
            <w:col w:w="11240"/>
          </w:cols>
          <w:pgMar w:left="320" w:top="1347" w:right="339" w:bottom="1440" w:gutter="0" w:footer="0" w:header="0"/>
        </w:sectPr>
      </w:pPr>
    </w:p>
    <w:bookmarkStart w:id="65" w:name="page66"/>
    <w:bookmarkEnd w:id="65"/>
    <w:p>
      <w:pPr>
        <w:jc w:val="both"/>
        <w:spacing w:after="0" w:line="254" w:lineRule="auto"/>
        <w:rPr>
          <w:sz w:val="20"/>
          <w:szCs w:val="20"/>
          <w:color w:val="auto"/>
        </w:rPr>
      </w:pPr>
      <w:r>
        <w:rPr>
          <w:rFonts w:ascii="Arial" w:cs="Arial" w:eastAsia="Arial" w:hAnsi="Arial"/>
          <w:sz w:val="21"/>
          <w:szCs w:val="21"/>
          <w:color w:val="auto"/>
        </w:rPr>
        <w:t>business plans, budgets and unpublished financial statements, licenses, prices and costs, suppliers and customers; and (iii) information regarding the skills and compensation of other employees of the Company.</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21"/>
          <w:szCs w:val="21"/>
          <w:b w:val="1"/>
          <w:bCs w:val="1"/>
          <w:color w:val="auto"/>
        </w:rPr>
        <w:t>Restricted Business</w:t>
      </w:r>
      <w:r>
        <w:rPr>
          <w:rFonts w:ascii="Arial" w:cs="Arial" w:eastAsia="Arial" w:hAnsi="Arial"/>
          <w:sz w:val="21"/>
          <w:szCs w:val="21"/>
          <w:color w:val="auto"/>
        </w:rPr>
        <w:t>. For all purposes under this Plan, “Restricted Business” shall mean the design, development, marketing or sales of</w:t>
      </w:r>
      <w:r>
        <w:rPr>
          <w:rFonts w:ascii="Arial" w:cs="Arial" w:eastAsia="Arial" w:hAnsi="Arial"/>
          <w:sz w:val="21"/>
          <w:szCs w:val="21"/>
          <w:b w:val="1"/>
          <w:bCs w:val="1"/>
          <w:color w:val="auto"/>
        </w:rPr>
        <w:t xml:space="preserve"> </w:t>
      </w:r>
      <w:r>
        <w:rPr>
          <w:rFonts w:ascii="Arial" w:cs="Arial" w:eastAsia="Arial" w:hAnsi="Arial"/>
          <w:sz w:val="21"/>
          <w:szCs w:val="21"/>
          <w:color w:val="auto"/>
        </w:rPr>
        <w:t>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Restricted Territory</w:t>
      </w:r>
      <w:r>
        <w:rPr>
          <w:rFonts w:ascii="Arial" w:cs="Arial" w:eastAsia="Arial" w:hAnsi="Arial"/>
          <w:sz w:val="21"/>
          <w:szCs w:val="21"/>
          <w:color w:val="auto"/>
        </w:rPr>
        <w:t>. For all purposes under this Plan, “Restricted Territory” shall mean any state, county, or locality in the United</w:t>
      </w:r>
      <w:r>
        <w:rPr>
          <w:rFonts w:ascii="Arial" w:cs="Arial" w:eastAsia="Arial" w:hAnsi="Arial"/>
          <w:sz w:val="21"/>
          <w:szCs w:val="21"/>
          <w:b w:val="1"/>
          <w:bCs w:val="1"/>
          <w:color w:val="auto"/>
        </w:rPr>
        <w:t xml:space="preserve"> </w:t>
      </w:r>
      <w:r>
        <w:rPr>
          <w:rFonts w:ascii="Arial" w:cs="Arial" w:eastAsia="Arial" w:hAnsi="Arial"/>
          <w:sz w:val="21"/>
          <w:szCs w:val="21"/>
          <w:color w:val="auto"/>
        </w:rPr>
        <w:t>States or around the world in which the Company conducts business.</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Separation</w:t>
      </w:r>
      <w:r>
        <w:rPr>
          <w:rFonts w:ascii="Arial" w:cs="Arial" w:eastAsia="Arial" w:hAnsi="Arial"/>
          <w:sz w:val="21"/>
          <w:szCs w:val="21"/>
          <w:color w:val="auto"/>
        </w:rPr>
        <w:t>. For all purposes under this Plan, “Separation” means a “separation from service,” as defined in the regulations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409A of the Code.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Solicit. </w:t>
      </w:r>
      <w:r>
        <w:rPr>
          <w:rFonts w:ascii="Arial" w:cs="Arial" w:eastAsia="Arial" w:hAnsi="Arial"/>
          <w:sz w:val="21"/>
          <w:szCs w:val="21"/>
          <w:color w:val="auto"/>
        </w:rPr>
        <w:t>For all purposes under this Plan, “solicit” shall mean (i) active solicitation of any Client or Company employee (but not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Miscellaneous Provisions.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Plan shall be in writing and shall be deemed to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Modifications and Waivers</w:t>
      </w:r>
      <w:r>
        <w:rPr>
          <w:rFonts w:ascii="Arial" w:cs="Arial" w:eastAsia="Arial" w:hAnsi="Arial"/>
          <w:sz w:val="19"/>
          <w:szCs w:val="19"/>
          <w:color w:val="auto"/>
        </w:rPr>
        <w:t>. No provision of this Plan shall be modified, waived or discharged unless the modification, waiver or</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is agreed to in writing and signed by Executive and by an authorized officer of the Company (other than Executive). No waiver by either party of any breach of, or of compliance with, any condition or provision of this Plan by the other party shall be considered a waiver of any other condition or provision or of the same condition or provision at another time.</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This Plan and the Proprietary Information and Inventions Agreement supersede and replace any prior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or understandings (whether oral or written and whether express or implied) between Executive and the Company and constitute the complete agreement between Executive and the Company regarding the subject matter set forth</w:t>
      </w:r>
    </w:p>
    <w:p>
      <w:pPr>
        <w:sectPr>
          <w:pgSz w:w="11900" w:h="16838" w:orient="portrait"/>
          <w:cols w:equalWidth="0" w:num="1">
            <w:col w:w="11240"/>
          </w:cols>
          <w:pgMar w:left="320" w:top="134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herein; provided that nothing in this Agreement shall supersede an express promise made by the Company in Executive’s Offer Letter.</w:t>
      </w: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Choice of Law and Severability</w:t>
      </w:r>
      <w:r>
        <w:rPr>
          <w:rFonts w:ascii="Arial" w:cs="Arial" w:eastAsia="Arial" w:hAnsi="Arial"/>
          <w:sz w:val="20"/>
          <w:szCs w:val="20"/>
          <w:color w:val="auto"/>
        </w:rPr>
        <w:t>. This Plan shall be interpreted in accordance with the laws of the State of New Jersey (except their</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governing the choice of law). If any provision of this Plan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Plan shall continue in full force and effect. If any provision of this Plan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Plan shall continue in full force and effect without impairment or limitation.</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This Plan and all rights and obligations of Executive hereunder are personal to Executive and may not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or assigned by Executive at any time. The Company may assign its rights under this Plan to any entity that assumes the Company’s obligations hereunder in connection with any sale or transfer of all or a substantial portion of the Company’s assets to such entity.</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Survival. </w:t>
      </w:r>
      <w:r>
        <w:rPr>
          <w:rFonts w:ascii="Arial" w:cs="Arial" w:eastAsia="Arial" w:hAnsi="Arial"/>
          <w:sz w:val="21"/>
          <w:szCs w:val="21"/>
          <w:color w:val="auto"/>
        </w:rPr>
        <w:t>The rights and obligations of the parties under the provisions of this Plant (including without limitation Section 6 shall</w:t>
      </w:r>
      <w:r>
        <w:rPr>
          <w:rFonts w:ascii="Arial" w:cs="Arial" w:eastAsia="Arial" w:hAnsi="Arial"/>
          <w:sz w:val="21"/>
          <w:szCs w:val="21"/>
          <w:b w:val="1"/>
          <w:bCs w:val="1"/>
          <w:color w:val="auto"/>
        </w:rPr>
        <w:t xml:space="preserve"> </w:t>
      </w:r>
      <w:r>
        <w:rPr>
          <w:rFonts w:ascii="Arial" w:cs="Arial" w:eastAsia="Arial" w:hAnsi="Arial"/>
          <w:sz w:val="21"/>
          <w:szCs w:val="21"/>
          <w:color w:val="auto"/>
        </w:rPr>
        <w:t>survive, and remaining binding and enforceable, notwithstanding the termination of Executive’s employment hereunder or otherwise, to the extent necessary to preserve the intended benefits of such provision.</w:t>
      </w:r>
    </w:p>
    <w:p>
      <w:pPr>
        <w:sectPr>
          <w:pgSz w:w="11900" w:h="16838" w:orient="portrait"/>
          <w:cols w:equalWidth="0" w:num="1">
            <w:col w:w="11240"/>
          </w:cols>
          <w:pgMar w:left="320" w:top="134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Jeff Miller</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2021;</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15240</wp:posOffset>
            </wp:positionV>
            <wp:extent cx="21031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Taylor Greenwald</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2021;</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15240</wp:posOffset>
            </wp:positionV>
            <wp:extent cx="2365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Taylor Greenwald</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85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September 30, 2021,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15240</wp:posOffset>
            </wp:positionV>
            <wp:extent cx="2283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September 30, 2021, as filed with the Securities and Exchange Commission on the date hereof (the “Report”), I, </w:t>
      </w:r>
      <w:r>
        <w:rPr>
          <w:rFonts w:ascii="Arial" w:cs="Arial" w:eastAsia="Arial" w:hAnsi="Arial"/>
          <w:sz w:val="16"/>
          <w:szCs w:val="16"/>
          <w:b w:val="1"/>
          <w:bCs w:val="1"/>
          <w:color w:val="auto"/>
        </w:rPr>
        <w:t>Taylor Greenwald</w:t>
      </w:r>
      <w:r>
        <w:rPr>
          <w:rFonts w:ascii="Arial" w:cs="Arial" w:eastAsia="Arial" w:hAnsi="Arial"/>
          <w:sz w:val="16"/>
          <w:szCs w:val="16"/>
          <w:color w:val="auto"/>
        </w:rPr>
        <w:t>, the Chief Financial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154" w:lineRule="exact"/>
        <w:rPr>
          <w:sz w:val="20"/>
          <w:szCs w:val="20"/>
          <w:color w:val="auto"/>
        </w:rPr>
      </w:pPr>
    </w:p>
    <w:p>
      <w:pPr>
        <w:ind w:left="4720"/>
        <w:spacing w:after="0"/>
        <w:rPr>
          <w:sz w:val="20"/>
          <w:szCs w:val="20"/>
          <w:color w:val="auto"/>
        </w:rPr>
      </w:pPr>
      <w:r>
        <w:rPr>
          <w:rFonts w:ascii="Arial" w:cs="Arial" w:eastAsia="Arial" w:hAnsi="Arial"/>
          <w:sz w:val="17"/>
          <w:szCs w:val="17"/>
          <w:i w:val="1"/>
          <w:iCs w:val="1"/>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15240</wp:posOffset>
            </wp:positionV>
            <wp:extent cx="1963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Taylor Greenwald</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bullet"/>
      <w:start w:val="1"/>
    </w:lvl>
  </w:abstractNum>
  <w:abstractNum w:abstractNumId="3">
    <w:nsid w:val="54E49EB4"/>
    <w:multiLevelType w:val="hybridMultilevel"/>
    <w:lvl w:ilvl="0">
      <w:lvlJc w:val="left"/>
      <w:lvlText w:val="1"/>
      <w:numFmt w:val="bullet"/>
      <w:start w:val="1"/>
    </w:lvl>
  </w:abstractNum>
  <w:abstractNum w:abstractNumId="4">
    <w:nsid w:val="71F32454"/>
    <w:multiLevelType w:val="hybridMultilevel"/>
    <w:lvl w:ilvl="0">
      <w:lvlJc w:val="left"/>
      <w:lvlText w:val="1"/>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bullet"/>
      <w:start w:val="1"/>
    </w:lvl>
  </w:abstractNum>
  <w:abstractNum w:abstractNumId="11">
    <w:nsid w:val="7C3DBD3D"/>
    <w:multiLevelType w:val="hybridMultilevel"/>
    <w:lvl w:ilvl="0">
      <w:lvlJc w:val="left"/>
      <w:lvlText w:val="2"/>
      <w:numFmt w:val="bullet"/>
      <w:start w:val="1"/>
    </w:lvl>
  </w:abstractNum>
  <w:abstractNum w:abstractNumId="12">
    <w:nsid w:val="737B8DDC"/>
    <w:multiLevelType w:val="hybridMultilevel"/>
    <w:lvl w:ilvl="0">
      <w:lvlJc w:val="left"/>
      <w:lvlText w:val="1"/>
      <w:numFmt w:val="bullet"/>
      <w:start w:val="1"/>
    </w:lvl>
  </w:abstractNum>
  <w:abstractNum w:abstractNumId="13">
    <w:nsid w:val="6CEAF087"/>
    <w:multiLevelType w:val="hybridMultilevel"/>
    <w:lvl w:ilvl="0">
      <w:lvlJc w:val="left"/>
      <w:lvlText w:val="1"/>
      <w:numFmt w:val="bullet"/>
      <w:start w:val="1"/>
    </w:lvl>
  </w:abstractNum>
  <w:abstractNum w:abstractNumId="14">
    <w:nsid w:val="22221A70"/>
    <w:multiLevelType w:val="hybridMultilevel"/>
    <w:lvl w:ilvl="0">
      <w:lvlJc w:val="left"/>
      <w:lvlText w:val="2"/>
      <w:numFmt w:val="bullet"/>
      <w:start w:val="1"/>
    </w:lvl>
  </w:abstractNum>
  <w:abstractNum w:abstractNumId="15">
    <w:nsid w:val="4516DDE9"/>
    <w:multiLevelType w:val="hybridMultilevel"/>
    <w:lvl w:ilvl="0">
      <w:lvlJc w:val="left"/>
      <w:lvlText w:val="1"/>
      <w:numFmt w:val="bullet"/>
      <w:start w:val="1"/>
    </w:lvl>
  </w:abstractNum>
  <w:abstractNum w:abstractNumId="16">
    <w:nsid w:val="3006C83E"/>
    <w:multiLevelType w:val="hybridMultilevel"/>
    <w:lvl w:ilvl="0">
      <w:lvlJc w:val="left"/>
      <w:lvlText w:val="1"/>
      <w:numFmt w:val="bullet"/>
      <w:start w:val="1"/>
    </w:lvl>
  </w:abstractNum>
  <w:abstractNum w:abstractNumId="17">
    <w:nsid w:val="614FD4A1"/>
    <w:multiLevelType w:val="hybridMultilevel"/>
    <w:lvl w:ilvl="0">
      <w:lvlJc w:val="left"/>
      <w:lvlText w:val="1"/>
      <w:numFmt w:val="bullet"/>
      <w:start w:val="1"/>
    </w:lvl>
  </w:abstractNum>
  <w:abstractNum w:abstractNumId="18">
    <w:nsid w:val="419AC241"/>
    <w:multiLevelType w:val="hybridMultilevel"/>
    <w:lvl w:ilvl="0">
      <w:lvlJc w:val="left"/>
      <w:lvlText w:val="1"/>
      <w:numFmt w:val="bullet"/>
      <w:start w:val="1"/>
    </w:lvl>
  </w:abstractNum>
  <w:abstractNum w:abstractNumId="19">
    <w:nsid w:val="5577F8E1"/>
    <w:multiLevelType w:val="hybridMultilevel"/>
    <w:lvl w:ilvl="0">
      <w:lvlJc w:val="left"/>
      <w:lvlText w:val="2"/>
      <w:numFmt w:val="bullet"/>
      <w:start w:val="1"/>
    </w:lvl>
  </w:abstractNum>
  <w:abstractNum w:abstractNumId="20">
    <w:nsid w:val="440BADFC"/>
    <w:multiLevelType w:val="hybridMultilevel"/>
    <w:lvl w:ilvl="0">
      <w:lvlJc w:val="left"/>
      <w:lvlText w:val="3"/>
      <w:numFmt w:val="bullet"/>
      <w:start w:val="1"/>
    </w:lvl>
  </w:abstractNum>
  <w:abstractNum w:abstractNumId="21">
    <w:nsid w:val="5072367"/>
    <w:multiLevelType w:val="hybridMultilevel"/>
    <w:lvl w:ilvl="0">
      <w:lvlJc w:val="left"/>
      <w:lvlText w:val="1"/>
      <w:numFmt w:val="bullet"/>
      <w:start w:val="1"/>
    </w:lvl>
  </w:abstractNum>
  <w:abstractNum w:abstractNumId="22">
    <w:nsid w:val="3804823E"/>
    <w:multiLevelType w:val="hybridMultilevel"/>
    <w:lvl w:ilvl="0">
      <w:lvlJc w:val="left"/>
      <w:lvlText w:val="2"/>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bullet"/>
      <w:start w:val="1"/>
    </w:lvl>
  </w:abstractNum>
  <w:abstractNum w:abstractNumId="25">
    <w:nsid w:val="5C482A97"/>
    <w:multiLevelType w:val="hybridMultilevel"/>
    <w:lvl w:ilvl="0">
      <w:lvlJc w:val="left"/>
      <w:lvlText w:val="1"/>
      <w:numFmt w:val="bullet"/>
      <w:start w:val="1"/>
    </w:lvl>
  </w:abstractNum>
  <w:abstractNum w:abstractNumId="26">
    <w:nsid w:val="2463B9EA"/>
    <w:multiLevelType w:val="hybridMultilevel"/>
    <w:lvl w:ilvl="0">
      <w:lvlJc w:val="left"/>
      <w:lvlText w:val="1"/>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decimal"/>
      <w:start w:val="1"/>
    </w:lvl>
    <w:lvl w:ilvl="1">
      <w:lvlJc w:val="left"/>
      <w:lvlText w:val="(%2)"/>
      <w:numFmt w:val="lowerLetter"/>
      <w:start w:val="3"/>
    </w:lvl>
  </w:abstractNum>
  <w:abstractNum w:abstractNumId="32">
    <w:nsid w:val="3855585C"/>
    <w:multiLevelType w:val="hybridMultilevel"/>
    <w:lvl w:ilvl="0">
      <w:lvlJc w:val="left"/>
      <w:lvlText w:val="%1."/>
      <w:numFmt w:val="decimal"/>
      <w:start w:val="3"/>
    </w:lvl>
    <w:lvl w:ilvl="1">
      <w:lvlJc w:val="left"/>
      <w:lvlText w:val="%2"/>
      <w:numFmt w:val="lowerLetter"/>
      <w:start w:val="1"/>
    </w:lvl>
  </w:abstractNum>
  <w:abstractNum w:abstractNumId="33">
    <w:nsid w:val="70A64E2A"/>
    <w:multiLevelType w:val="hybridMultilevel"/>
    <w:lvl w:ilvl="0">
      <w:lvlJc w:val="left"/>
      <w:lvlText w:val="%1."/>
      <w:numFmt w:val="decimal"/>
      <w:start w:val="4"/>
    </w:lvl>
    <w:lvl w:ilvl="1">
      <w:lvlJc w:val="left"/>
      <w:lvlText w:val="(%2)"/>
      <w:numFmt w:val="lowerLetter"/>
      <w:start w:val="1"/>
    </w:lvl>
  </w:abstractNum>
  <w:abstractNum w:abstractNumId="34">
    <w:nsid w:val="6A2342EC"/>
    <w:multiLevelType w:val="hybridMultilevel"/>
    <w:lvl w:ilvl="0">
      <w:lvlJc w:val="left"/>
      <w:lvlText w:val="%1."/>
      <w:numFmt w:val="decimal"/>
      <w:start w:val="5"/>
    </w:lvl>
  </w:abstractNum>
  <w:abstractNum w:abstractNumId="35">
    <w:nsid w:val="2A487CB0"/>
    <w:multiLevelType w:val="hybridMultilevel"/>
    <w:lvl w:ilvl="0">
      <w:lvlJc w:val="left"/>
      <w:lvlText w:val="%1."/>
      <w:numFmt w:val="decimal"/>
      <w:start w:val="8"/>
    </w:lvl>
  </w:abstractNum>
  <w:abstractNum w:abstractNumId="36">
    <w:nsid w:val="1D4ED43B"/>
    <w:multiLevelType w:val="hybridMultilevel"/>
    <w:lvl w:ilvl="0">
      <w:lvlJc w:val="left"/>
      <w:lvlText w:val="%1."/>
      <w:numFmt w:val="decimal"/>
      <w:start w:val="13"/>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4"/>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Roman"/>
      <w:start w:val="2"/>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Roman"/>
      <w:start w:val="2"/>
    </w:lvl>
  </w:abstractNum>
  <w:abstractNum w:abstractNumId="43">
    <w:nsid w:val="6DE91B18"/>
    <w:multiLevelType w:val="hybridMultilevel"/>
    <w:lvl w:ilvl="0">
      <w:lvlJc w:val="left"/>
      <w:lvlText w:val="(%1)"/>
      <w:numFmt w:val="lowerRoman"/>
      <w:start w:val="1"/>
    </w:lvl>
  </w:abstractNum>
  <w:abstractNum w:abstractNumId="44">
    <w:nsid w:val="38437FDB"/>
    <w:multiLevelType w:val="hybridMultilevel"/>
    <w:lvl w:ilvl="0">
      <w:lvlJc w:val="left"/>
      <w:lvlText w:val="(%1)"/>
      <w:numFmt w:val="lowerRoman"/>
      <w:start w:val="2"/>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jpe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62" Type="http://schemas.openxmlformats.org/officeDocument/2006/relationships/hyperlink" Target="http://www.sec.gov/Archives/edgar/data/1131554/000095012306005985/y15440a2exv3w2.txt" TargetMode="External"/><Relationship Id="rId63" Type="http://schemas.openxmlformats.org/officeDocument/2006/relationships/hyperlink" Target="http://www.sec.gov/Archives/edgar/data/1131554/000095012306005985/y15440a2exv3w4.txt" TargetMode="External"/><Relationship Id="rId64" Type="http://schemas.openxmlformats.org/officeDocument/2006/relationships/hyperlink" Target="http://www.sec.gov/Archives/edgar/data/1131554/000110465918010721/a18-6289_1ex3d2.htm" TargetMode="External"/><Relationship Id="rId65" Type="http://schemas.openxmlformats.org/officeDocument/2006/relationships/hyperlink" Target="https://www.sec.gov/Archives/edgar/data/1131554/000110465921087598/tm2120300d3_ex3-3.htm" TargetMode="External"/><Relationship Id="rId66" Type="http://schemas.openxmlformats.org/officeDocument/2006/relationships/hyperlink" Target="https://www.sec.gov/Archives/edgar/data/1131554/000110465921087598/tm2120300d3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2021-11-09T15:40:33Z</dcterms:created>
  <dcterms:modified xsi:type="dcterms:W3CDTF">2021-11-09T15:40:33Z</dcterms:modified>
</cp:coreProperties>
</file>