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18"/>
        </w:rPr>
      </w:pPr>
      <w:r>
        <w:rPr>
          <w:rFonts w:ascii="sans-serif" w:hAnsi="sans-serif"/>
          <w:b/>
          <w:color w:val="000000"/>
          <w:sz w:val="18"/>
        </w:rPr>
        <w:t>UNITED STATES</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SECURITIES AND EXCHANGE COMMISSION</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FORM 8-K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CURRENT REPORT</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PURSUANT TO SECTION 13 OR 15(d)</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sans-serif" w:hAnsi="sans-serif"/>
          <w:b w:val="false"/>
          <w:color w:val="000000"/>
          <w:sz w:val="18"/>
        </w:rPr>
        <w:t>Date of report (Date of earliest event reported):</w:t>
      </w:r>
      <w:r>
        <w:rPr>
          <w:color w:val="000000"/>
        </w:rPr>
        <w:t xml:space="preserve"> </w:t>
      </w:r>
      <w:r>
        <w:rPr>
          <w:rFonts w:ascii="sans-serif" w:hAnsi="sans-serif"/>
          <w:b/>
          <w:color w:val="000000"/>
          <w:sz w:val="18"/>
        </w:rPr>
        <w:t>(February 12,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Synchronoss Technologies, Inc.</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(Exact Name of Registrant as Specified in its Charter)</w:t>
      </w:r>
    </w:p>
    <w:p>
      <w:pPr>
        <w:pStyle w:val="TextBody"/>
        <w:bidi w:val="0"/>
        <w:spacing w:lineRule="auto" w:line="288" w:before="0" w:after="0"/>
        <w:jc w:val="left"/>
        <w:rPr>
          <w:color w:val="000000"/>
        </w:rPr>
      </w:pPr>
      <w:r>
        <w:rPr>
          <w:color w:val="000000"/>
        </w:rPr>
        <w:t> </w:t>
      </w:r>
    </w:p>
    <w:tbl>
      <w:tblPr>
        <w:tblW w:w="6262" w:type="dxa"/>
        <w:jc w:val="left"/>
        <w:tblInd w:w="0" w:type="dxa"/>
        <w:tblLayout w:type="fixed"/>
        <w:tblCellMar>
          <w:top w:w="28" w:type="dxa"/>
          <w:left w:w="28" w:type="dxa"/>
          <w:bottom w:w="28" w:type="dxa"/>
          <w:right w:w="28" w:type="dxa"/>
        </w:tblCellMar>
      </w:tblPr>
      <w:tblGrid>
        <w:gridCol w:w="922"/>
        <w:gridCol w:w="811"/>
        <w:gridCol w:w="817"/>
        <w:gridCol w:w="109"/>
        <w:gridCol w:w="109"/>
        <w:gridCol w:w="109"/>
        <w:gridCol w:w="423"/>
        <w:gridCol w:w="423"/>
        <w:gridCol w:w="428"/>
        <w:gridCol w:w="109"/>
        <w:gridCol w:w="109"/>
        <w:gridCol w:w="109"/>
        <w:gridCol w:w="522"/>
        <w:gridCol w:w="522"/>
        <w:gridCol w:w="740"/>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001-40574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06-1594540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(Commission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(IRS Employer</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Identification No.)</w:t>
            </w:r>
          </w:p>
        </w:tc>
      </w:tr>
    </w:tbl>
    <w:p>
      <w:pPr>
        <w:pStyle w:val="TextBody"/>
        <w:bidi w:val="0"/>
        <w:spacing w:lineRule="auto" w:line="288" w:before="0" w:after="0"/>
        <w:jc w:val="left"/>
        <w:rPr>
          <w:color w:val="000000"/>
        </w:rPr>
      </w:pPr>
      <w:r>
        <w:rPr>
          <w:color w:val="000000"/>
        </w:rPr>
        <w:t> </w:t>
      </w:r>
    </w:p>
    <w:tbl>
      <w:tblPr>
        <w:tblW w:w="5081" w:type="dxa"/>
        <w:jc w:val="left"/>
        <w:tblInd w:w="0" w:type="dxa"/>
        <w:tblLayout w:type="fixed"/>
        <w:tblCellMar>
          <w:top w:w="28" w:type="dxa"/>
          <w:left w:w="28" w:type="dxa"/>
          <w:bottom w:w="28" w:type="dxa"/>
          <w:right w:w="28" w:type="dxa"/>
        </w:tblCellMar>
      </w:tblPr>
      <w:tblGrid>
        <w:gridCol w:w="1325"/>
        <w:gridCol w:w="1165"/>
        <w:gridCol w:w="1169"/>
        <w:gridCol w:w="109"/>
        <w:gridCol w:w="109"/>
        <w:gridCol w:w="109"/>
        <w:gridCol w:w="321"/>
        <w:gridCol w:w="321"/>
        <w:gridCol w:w="453"/>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200 Crossing Boulevard, 8th Floor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Bridgewater, New Jersey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08807</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sans-serif" w:hAnsi="sans-serif"/>
          <w:b w:val="false"/>
          <w:color w:val="000000"/>
          <w:sz w:val="18"/>
        </w:rPr>
        <w:t xml:space="preserve">Registrant’s telephone number, including area code: </w:t>
      </w:r>
      <w:r>
        <w:rPr>
          <w:rFonts w:ascii="sans-serif" w:hAnsi="sans-serif"/>
          <w:b/>
          <w:color w:val="000000"/>
          <w:sz w:val="18"/>
        </w:rPr>
        <w:t>(866) 620-3940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Not Applicable</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sans-serif" w:hAnsi="sans-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sans-serif" w:hAnsi="sans-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sans-serif" w:hAnsi="sans-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sans-serif" w:hAnsi="sans-serif"/>
          <w:b w:val="false"/>
          <w:color w:val="000000"/>
          <w:sz w:val="18"/>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Emerging growth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sans-serif" w:hAnsi="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r>
        <w:rPr>
          <w:rFonts w:ascii="Wingdings;sans-serif" w:hAnsi="Wingdings;sans-serif"/>
          <w:b w:val="false"/>
          <w:color w:val="000000"/>
          <w:sz w:val="18"/>
        </w:rPr>
        <w:t>o</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05"/>
        <w:gridCol w:w="1212"/>
        <w:gridCol w:w="1219"/>
        <w:gridCol w:w="109"/>
        <w:gridCol w:w="109"/>
        <w:gridCol w:w="109"/>
        <w:gridCol w:w="584"/>
        <w:gridCol w:w="584"/>
        <w:gridCol w:w="586"/>
        <w:gridCol w:w="109"/>
        <w:gridCol w:w="109"/>
        <w:gridCol w:w="109"/>
        <w:gridCol w:w="1158"/>
        <w:gridCol w:w="1158"/>
        <w:gridCol w:w="1645"/>
      </w:tblGrid>
      <w:tr>
        <w:trPr/>
        <w:tc>
          <w:tcPr>
            <w:tcW w:w="140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Name of each exchange on which registered</w:t>
            </w:r>
          </w:p>
        </w:tc>
      </w:tr>
      <w:tr>
        <w:trPr/>
        <w:tc>
          <w:tcPr>
            <w:tcW w:w="3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Common Stock, par value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SNCR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The Nasdaq Stock Market, LLC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7955"/>
                <wp:effectExtent l="0" t="0" r="0" b="0"/>
                <wp:wrapNone/>
                <wp:docPr id="1" name="Frame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0"/>
        </w:rPr>
      </w:pPr>
      <w:r>
        <w:rPr>
          <w:rFonts w:ascii="sans-serif" w:hAnsi="sans-serif"/>
          <w:b/>
          <w:color w:val="000000"/>
          <w:sz w:val="20"/>
        </w:rPr>
        <w:t>Introduction</w:t>
      </w:r>
    </w:p>
    <w:p>
      <w:pPr>
        <w:pStyle w:val="TextBody"/>
        <w:bidi w:val="0"/>
        <w:spacing w:before="0" w:after="0"/>
        <w:jc w:val="left"/>
        <w:rPr/>
      </w:pPr>
      <w:r>
        <w:rPr/>
      </w:r>
    </w:p>
    <w:p>
      <w:pPr>
        <w:pStyle w:val="TextBody"/>
        <w:bidi w:val="0"/>
        <w:spacing w:lineRule="auto" w:line="268" w:before="0" w:after="0"/>
        <w:ind w:left="0" w:right="0" w:firstLine="490"/>
        <w:jc w:val="both"/>
        <w:rPr/>
      </w:pPr>
      <w:r>
        <w:rPr>
          <w:rFonts w:ascii="sans-serif" w:hAnsi="sans-serif"/>
          <w:b w:val="false"/>
          <w:color w:val="000000"/>
          <w:sz w:val="20"/>
        </w:rPr>
        <w:t>On February 13, 2026 (the “</w:t>
      </w:r>
      <w:r>
        <w:rPr>
          <w:rFonts w:ascii="sans-serif" w:hAnsi="sans-serif"/>
          <w:b w:val="false"/>
          <w:color w:val="000000"/>
          <w:sz w:val="20"/>
          <w:u w:val="single"/>
        </w:rPr>
        <w:t>Closing Date</w:t>
      </w:r>
      <w:r>
        <w:rPr>
          <w:color w:val="000000"/>
        </w:rPr>
        <w:t>”</w:t>
      </w:r>
      <w:r>
        <w:rPr>
          <w:rFonts w:ascii="sans-serif" w:hAnsi="sans-serif"/>
          <w:b w:val="false"/>
          <w:color w:val="000000"/>
          <w:sz w:val="20"/>
        </w:rPr>
        <w:t>), Skyfall Merger Sub Inc., a Delaware corporation (“</w:t>
      </w:r>
      <w:r>
        <w:rPr>
          <w:rFonts w:ascii="sans-serif" w:hAnsi="sans-serif"/>
          <w:b w:val="false"/>
          <w:color w:val="000000"/>
          <w:sz w:val="20"/>
          <w:u w:val="single"/>
        </w:rPr>
        <w:t>Merger Sub</w:t>
      </w:r>
      <w:r>
        <w:rPr>
          <w:color w:val="000000"/>
        </w:rPr>
        <w:t>”</w:t>
      </w:r>
      <w:r>
        <w:rPr>
          <w:rFonts w:ascii="sans-serif" w:hAnsi="sans-serif"/>
          <w:b w:val="false"/>
          <w:color w:val="000000"/>
          <w:sz w:val="20"/>
        </w:rPr>
        <w:t>) and a wholly owned subsidiary of Lumine Group US Holdco Inc., a Delaware corporation (“</w:t>
      </w:r>
      <w:r>
        <w:rPr>
          <w:rFonts w:ascii="sans-serif" w:hAnsi="sans-serif"/>
          <w:b w:val="false"/>
          <w:color w:val="000000"/>
          <w:sz w:val="20"/>
          <w:u w:val="single"/>
        </w:rPr>
        <w:t>Parent</w:t>
      </w:r>
      <w:r>
        <w:rPr>
          <w:color w:val="000000"/>
        </w:rPr>
        <w:t>”</w:t>
      </w:r>
      <w:r>
        <w:rPr>
          <w:rFonts w:ascii="sans-serif" w:hAnsi="sans-serif"/>
          <w:b w:val="false"/>
          <w:color w:val="000000"/>
          <w:sz w:val="20"/>
        </w:rPr>
        <w:t>), completed its merger (the “</w:t>
      </w:r>
      <w:r>
        <w:rPr>
          <w:rFonts w:ascii="sans-serif" w:hAnsi="sans-serif"/>
          <w:b w:val="false"/>
          <w:color w:val="000000"/>
          <w:sz w:val="20"/>
          <w:u w:val="single"/>
        </w:rPr>
        <w:t>Merger</w:t>
      </w:r>
      <w:r>
        <w:rPr>
          <w:color w:val="000000"/>
        </w:rPr>
        <w:t>”</w:t>
      </w:r>
      <w:r>
        <w:rPr>
          <w:rFonts w:ascii="sans-serif" w:hAnsi="sans-serif"/>
          <w:b w:val="false"/>
          <w:color w:val="000000"/>
          <w:sz w:val="20"/>
        </w:rPr>
        <w:t>) with and into Synchronoss Technologies, Inc., a Delaware corporation (“</w:t>
      </w:r>
      <w:r>
        <w:rPr>
          <w:rFonts w:ascii="sans-serif" w:hAnsi="sans-serif"/>
          <w:b w:val="false"/>
          <w:color w:val="000000"/>
          <w:sz w:val="20"/>
          <w:u w:val="single"/>
        </w:rPr>
        <w:t>Synchronoss</w:t>
      </w:r>
      <w:r>
        <w:rPr>
          <w:color w:val="000000"/>
        </w:rPr>
        <w:t xml:space="preserve">” </w:t>
      </w:r>
      <w:r>
        <w:rPr>
          <w:rFonts w:ascii="sans-serif" w:hAnsi="sans-serif"/>
          <w:b w:val="false"/>
          <w:color w:val="000000"/>
          <w:sz w:val="20"/>
        </w:rPr>
        <w:t>or the “</w:t>
      </w:r>
      <w:r>
        <w:rPr>
          <w:rFonts w:ascii="sans-serif" w:hAnsi="sans-serif"/>
          <w:b w:val="false"/>
          <w:color w:val="000000"/>
          <w:sz w:val="20"/>
          <w:u w:val="single"/>
        </w:rPr>
        <w:t>Company</w:t>
      </w:r>
      <w:r>
        <w:rPr>
          <w:color w:val="000000"/>
        </w:rPr>
        <w:t>”</w:t>
      </w:r>
      <w:r>
        <w:rPr>
          <w:rFonts w:ascii="sans-serif" w:hAnsi="sans-serif"/>
          <w:b w:val="false"/>
          <w:color w:val="000000"/>
          <w:sz w:val="20"/>
        </w:rPr>
        <w:t>) pursuant to the terms of the Agreement and Plan of Merger, dated as of December 3, 2025 (the “</w:t>
      </w:r>
      <w:r>
        <w:rPr>
          <w:rFonts w:ascii="sans-serif" w:hAnsi="sans-serif"/>
          <w:b w:val="false"/>
          <w:color w:val="000000"/>
          <w:sz w:val="20"/>
          <w:u w:val="single"/>
        </w:rPr>
        <w:t>Merger Agreement</w:t>
      </w:r>
      <w:r>
        <w:rPr>
          <w:color w:val="000000"/>
        </w:rPr>
        <w:t>”</w:t>
      </w:r>
      <w:r>
        <w:rPr>
          <w:rFonts w:ascii="sans-serif" w:hAnsi="sans-serif"/>
          <w:b w:val="false"/>
          <w:color w:val="000000"/>
          <w:sz w:val="20"/>
        </w:rPr>
        <w:t xml:space="preserve">), by and among Parent, Merger Sub and the Company. The Company was the surviving corporation in the Merger and, as a result, is now a wholly owned subsidiary of Parent. </w:t>
      </w:r>
    </w:p>
    <w:p>
      <w:pPr>
        <w:pStyle w:val="TextBody"/>
        <w:bidi w:val="0"/>
        <w:spacing w:before="0" w:after="0"/>
        <w:jc w:val="left"/>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The descriptions of the Merger Agreement and the transactions contemplated thereby (including, without limitation, the Merger) in this Current Report on Form 8-K are only a summary, do not purport to be complete and are subject to, and qualified in their entirety by reference to, the full text of the Merger Agreement, a copy of which was filed as Exhibit 2.1 to the Company’s Current Report on Form 8-K filed with the Securities and Exchange Commission (the “SEC”) on December 4, 2025, which is incorporated herein by reference.</w:t>
      </w:r>
    </w:p>
    <w:p>
      <w:pPr>
        <w:pStyle w:val="TextBody"/>
        <w:bidi w:val="0"/>
        <w:spacing w:before="0" w:after="0"/>
        <w:ind w:left="0" w:right="0" w:firstLine="490"/>
        <w:jc w:val="both"/>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Item 1.02.     Termination of a Material Definitive Agreement.</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both"/>
        <w:rPr>
          <w:rFonts w:ascii="sans-serif" w:hAnsi="sans-serif"/>
          <w:b w:val="false"/>
          <w:i/>
          <w:color w:val="000000"/>
          <w:sz w:val="20"/>
        </w:rPr>
      </w:pPr>
      <w:r>
        <w:rPr>
          <w:rFonts w:ascii="sans-serif" w:hAnsi="sans-serif"/>
          <w:b w:val="false"/>
          <w:i/>
          <w:color w:val="000000"/>
          <w:sz w:val="20"/>
        </w:rPr>
        <w:t>Termination of Credit Agreement</w:t>
      </w:r>
    </w:p>
    <w:p>
      <w:pPr>
        <w:pStyle w:val="TextBody"/>
        <w:bidi w:val="0"/>
        <w:spacing w:before="0" w:after="0"/>
        <w:jc w:val="left"/>
        <w:rPr/>
      </w:pPr>
      <w:r>
        <w:rPr/>
      </w:r>
    </w:p>
    <w:p>
      <w:pPr>
        <w:pStyle w:val="TextBody"/>
        <w:bidi w:val="0"/>
        <w:spacing w:lineRule="auto" w:line="268" w:before="0" w:after="0"/>
        <w:ind w:left="0" w:right="0" w:firstLine="490"/>
        <w:jc w:val="both"/>
        <w:rPr/>
      </w:pPr>
      <w:r>
        <w:rPr>
          <w:rFonts w:ascii="sans-serif" w:hAnsi="sans-serif"/>
          <w:b w:val="false"/>
          <w:color w:val="000000"/>
          <w:sz w:val="20"/>
        </w:rPr>
        <w:t>In connection with the consummation of the Merger, on the Closing Date, the Company terminated all outstanding commitments, including commitments to issue letters of credit, under that certain Credit Agreement, dated as of June 28, 2024, by and among the Company, the lenders party thereto and BGC Lender Rep LLC, as administrative agent, as amended by that certain First Amendment to Credit Agreement and Pledge and Security Agreement, dated as of April 24, 2025, by and among the Company and the parties thereto (the “</w:t>
      </w:r>
      <w:r>
        <w:rPr>
          <w:rFonts w:ascii="sans-serif" w:hAnsi="sans-serif"/>
          <w:b w:val="false"/>
          <w:color w:val="000000"/>
          <w:sz w:val="20"/>
          <w:u w:val="single"/>
        </w:rPr>
        <w:t>Credit Agreement</w:t>
      </w:r>
      <w:r>
        <w:rPr>
          <w:color w:val="000000"/>
        </w:rPr>
        <w:t>”</w:t>
      </w:r>
      <w:r>
        <w:rPr>
          <w:rFonts w:ascii="sans-serif" w:hAnsi="sans-serif"/>
          <w:b w:val="false"/>
          <w:color w:val="000000"/>
          <w:sz w:val="20"/>
        </w:rPr>
        <w:t>). In connection with the termination of the Credit Agreement, all outstanding obligations for principal, interest and fees under the Credit Agreement were paid in full, and all liens and guarantees related thereto were released and terminated.</w:t>
      </w:r>
    </w:p>
    <w:p>
      <w:pPr>
        <w:pStyle w:val="TextBody"/>
        <w:bidi w:val="0"/>
        <w:spacing w:before="0" w:after="0"/>
        <w:jc w:val="left"/>
        <w:rPr/>
      </w:pPr>
      <w:r>
        <w:rPr/>
      </w:r>
    </w:p>
    <w:p>
      <w:pPr>
        <w:pStyle w:val="TextBody"/>
        <w:bidi w:val="0"/>
        <w:spacing w:lineRule="auto" w:line="268" w:before="0" w:after="0"/>
        <w:jc w:val="both"/>
        <w:rPr>
          <w:rFonts w:ascii="sans-serif" w:hAnsi="sans-serif"/>
          <w:b w:val="false"/>
          <w:i/>
          <w:color w:val="000000"/>
          <w:sz w:val="20"/>
        </w:rPr>
      </w:pPr>
      <w:r>
        <w:rPr>
          <w:rFonts w:ascii="sans-serif" w:hAnsi="sans-serif"/>
          <w:b w:val="false"/>
          <w:i/>
          <w:color w:val="000000"/>
          <w:sz w:val="20"/>
        </w:rPr>
        <w:t>Termination of Receivables Purchase Agreement</w:t>
      </w:r>
    </w:p>
    <w:p>
      <w:pPr>
        <w:pStyle w:val="TextBody"/>
        <w:bidi w:val="0"/>
        <w:spacing w:before="0" w:after="0"/>
        <w:jc w:val="left"/>
        <w:rPr/>
      </w:pPr>
      <w:r>
        <w:rPr/>
      </w:r>
    </w:p>
    <w:p>
      <w:pPr>
        <w:pStyle w:val="TextBody"/>
        <w:bidi w:val="0"/>
        <w:spacing w:lineRule="auto" w:line="268" w:before="0" w:after="0"/>
        <w:ind w:left="0" w:right="0" w:firstLine="490"/>
        <w:jc w:val="both"/>
        <w:rPr/>
      </w:pPr>
      <w:r>
        <w:rPr>
          <w:rFonts w:ascii="sans-serif" w:hAnsi="sans-serif"/>
          <w:b w:val="false"/>
          <w:color w:val="000000"/>
          <w:sz w:val="20"/>
        </w:rPr>
        <w:t xml:space="preserve">In connection with the consummation of the Merger, on the Closing Date, the Company and certain of its subsidiaries terminated all outstanding obligations under that certain Receivables Purchase Agreement, dated as of June 22, 2022 (as amended, restated, modified or supplemented from time to time, the </w:t>
      </w:r>
      <w:r>
        <w:rPr>
          <w:color w:val="000000"/>
        </w:rPr>
        <w:t>“</w:t>
      </w:r>
      <w:r>
        <w:rPr>
          <w:rFonts w:ascii="sans-serif" w:hAnsi="sans-serif"/>
          <w:b w:val="false"/>
          <w:color w:val="000000"/>
          <w:sz w:val="20"/>
          <w:u w:val="single"/>
        </w:rPr>
        <w:t>Receivables Purchase Agreement</w:t>
      </w:r>
      <w:r>
        <w:rPr>
          <w:color w:val="000000"/>
        </w:rPr>
        <w:t>”</w:t>
      </w:r>
      <w:r>
        <w:rPr>
          <w:rFonts w:ascii="sans-serif" w:hAnsi="sans-serif"/>
          <w:b w:val="false"/>
          <w:color w:val="000000"/>
          <w:sz w:val="20"/>
        </w:rPr>
        <w:t>), among SN Technologies, LLC, SN Technologies, Inc., the Purchasers party thereto, the Group Agents party thereto, and Norddeutsche Landesbank Girozentrale, as administrative agent. In connection with the termination of the Receivables Purchase Agreement, all outstanding liabilities and obligations under the Receivables Purchase Agreement were paid in full, and any liens and guarantees related thereto were released and terminated.</w:t>
      </w:r>
    </w:p>
    <w:p>
      <w:pPr>
        <w:pStyle w:val="TextBody"/>
        <w:bidi w:val="0"/>
        <w:spacing w:before="0" w:after="0"/>
        <w:ind w:left="0" w:right="0" w:firstLine="490"/>
        <w:jc w:val="both"/>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Item 2.01.     Completion of Acquisition or Disposition of Assets.</w:t>
      </w:r>
    </w:p>
    <w:p>
      <w:pPr>
        <w:pStyle w:val="TextBody"/>
        <w:bidi w:val="0"/>
        <w:spacing w:before="0" w:after="0"/>
        <w:jc w:val="both"/>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 xml:space="preserve">The information set forth in the Introduction and Items 3.01, 5.01, 5.02 and 5.03 of this Current Report on Form 8-K is incorporated into this Item 2.01 by reference. </w:t>
      </w:r>
    </w:p>
    <w:p>
      <w:pPr>
        <w:pStyle w:val="TextBody"/>
        <w:bidi w:val="0"/>
        <w:spacing w:before="0" w:after="0"/>
        <w:jc w:val="left"/>
        <w:rPr/>
      </w:pPr>
      <w:r>
        <w:rPr/>
      </w:r>
    </w:p>
    <w:p>
      <w:pPr>
        <w:pStyle w:val="TextBody"/>
        <w:bidi w:val="0"/>
        <w:spacing w:lineRule="auto" w:line="268" w:before="0" w:after="0"/>
        <w:ind w:left="0" w:right="0" w:firstLine="490"/>
        <w:jc w:val="both"/>
        <w:rPr/>
      </w:pPr>
      <w:r>
        <w:rPr>
          <w:rFonts w:ascii="sans-serif" w:hAnsi="sans-serif"/>
          <w:b w:val="false"/>
          <w:color w:val="000000"/>
          <w:sz w:val="20"/>
        </w:rPr>
        <w:t>At the effective time of the Merger (the “</w:t>
      </w:r>
      <w:r>
        <w:rPr>
          <w:rFonts w:ascii="sans-serif" w:hAnsi="sans-serif"/>
          <w:b w:val="false"/>
          <w:color w:val="000000"/>
          <w:sz w:val="20"/>
          <w:u w:val="single"/>
        </w:rPr>
        <w:t>Effective Time</w:t>
      </w:r>
      <w:r>
        <w:rPr>
          <w:color w:val="000000"/>
        </w:rPr>
        <w:t>”</w:t>
      </w:r>
      <w:r>
        <w:rPr>
          <w:rFonts w:ascii="sans-serif" w:hAnsi="sans-serif"/>
          <w:b w:val="false"/>
          <w:color w:val="000000"/>
          <w:sz w:val="20"/>
        </w:rPr>
        <w:t>), each share of common stock, par value $0.0001 per share, of the Company (“</w:t>
      </w:r>
      <w:r>
        <w:rPr>
          <w:rFonts w:ascii="sans-serif" w:hAnsi="sans-serif"/>
          <w:b w:val="false"/>
          <w:color w:val="000000"/>
          <w:sz w:val="20"/>
          <w:u w:val="single"/>
        </w:rPr>
        <w:t>Company Shares</w:t>
      </w:r>
      <w:r>
        <w:rPr>
          <w:color w:val="000000"/>
        </w:rPr>
        <w:t>”</w:t>
      </w:r>
      <w:r>
        <w:rPr>
          <w:rFonts w:ascii="sans-serif" w:hAnsi="sans-serif"/>
          <w:b w:val="false"/>
          <w:color w:val="000000"/>
          <w:sz w:val="20"/>
        </w:rPr>
        <w:t xml:space="preserve">) issued and outstanding as of immediately prior to the Effective Time (other than Company RSAs (as defined below), Dissenting Company Shares (as defined in the Merger Agreement), shares held in the treasury of the Company or shares owned by Parent, Merger Sub or any of their respective subsidiaries) were cancelled and automatically converted into the right to receive an amount in cash, without interest, equal to $9.00 per share. </w:t>
      </w:r>
    </w:p>
    <w:p>
      <w:pPr>
        <w:pStyle w:val="TextBody"/>
        <w:bidi w:val="0"/>
        <w:spacing w:before="0" w:after="0"/>
        <w:jc w:val="left"/>
        <w:rPr/>
      </w:pPr>
      <w:r>
        <w:rPr/>
      </w:r>
    </w:p>
    <w:p>
      <w:pPr>
        <w:pStyle w:val="TextBody"/>
        <w:bidi w:val="0"/>
        <w:spacing w:lineRule="auto" w:line="268" w:before="0" w:after="0"/>
        <w:ind w:left="0" w:right="0" w:firstLine="490"/>
        <w:jc w:val="both"/>
        <w:rPr/>
      </w:pPr>
      <w:r>
        <w:rPr>
          <w:rFonts w:ascii="sans-serif" w:hAnsi="sans-serif"/>
          <w:b w:val="false"/>
          <w:color w:val="000000"/>
          <w:sz w:val="20"/>
        </w:rPr>
        <w:t>At the Effective Time, each option to purchase Company Shares that was outstanding as of the Effective Time, whether vested or unvested (each, a “</w:t>
      </w:r>
      <w:r>
        <w:rPr>
          <w:rFonts w:ascii="sans-serif" w:hAnsi="sans-serif"/>
          <w:b w:val="false"/>
          <w:color w:val="000000"/>
          <w:sz w:val="20"/>
          <w:u w:val="single"/>
        </w:rPr>
        <w:t>Company Stock Option</w:t>
      </w:r>
      <w:r>
        <w:rPr>
          <w:color w:val="000000"/>
        </w:rPr>
        <w:t>”</w:t>
      </w:r>
      <w:r>
        <w:rPr>
          <w:rFonts w:ascii="sans-serif" w:hAnsi="sans-serif"/>
          <w:b w:val="false"/>
          <w:color w:val="000000"/>
          <w:sz w:val="20"/>
        </w:rPr>
        <w:t>), was cancelled and converted into the right to receive an amount in cash determined by multiplying (x) the excess, if any, of the Merger Consideration (as defined in the Merger Agreement) over the applicable exercise price of such option by (y) the number of Company Shares subject to such Company Stock Option, less all applicable deductions and withholdings required by law to be withheld in respect of such payment. Each Company Stock Option with an exercise price per share equal to or greater than the Merger Consideration was cancelled without consideration. Each Company restricted stock award (each a “</w:t>
      </w:r>
      <w:r>
        <w:rPr>
          <w:rFonts w:ascii="sans-serif" w:hAnsi="sans-serif"/>
          <w:b w:val="false"/>
          <w:color w:val="000000"/>
          <w:sz w:val="20"/>
          <w:u w:val="single"/>
        </w:rPr>
        <w:t>Company RSA</w:t>
      </w:r>
      <w:r>
        <w:rPr>
          <w:color w:val="000000"/>
        </w:rPr>
        <w:t>”</w:t>
      </w:r>
      <w:r>
        <w:rPr>
          <w:rFonts w:ascii="sans-serif" w:hAnsi="sans-serif"/>
          <w:b w:val="false"/>
          <w:color w:val="000000"/>
          <w:sz w:val="20"/>
        </w:rPr>
        <w:t xml:space="preserve">) (or any portion thereof) that was outstanding immediately prior to the Effective Time (including any Company RSAs which were subject to performance conditions that have not been satisfied at the Effective Time, which performance conditions were deemed satisfied in accordance with (and to the extent provided by) the terms of the Company Stock Plans and the applicable award agreements in connection with the Merger) were cancelled at the Effective Time and converted automatically into the right to receive, as soon as practicable after the Effective Time, an amount in cash (without interest) equal to (A) the Merger Consideration multiplied by (B) the number of Company Shares subject to each such Company RSA, less all applicable deductions and withholdings required by law to be withheld in respect of such payment. Each performance-based cash unit and any other cash award denominated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0"/>
        </w:rPr>
        <w:t>Company Shares subject to the attainment of specified performance goals granted under any of the Company Stock Plans (each a “</w:t>
      </w:r>
      <w:r>
        <w:rPr>
          <w:rFonts w:ascii="sans-serif" w:hAnsi="sans-serif"/>
          <w:b w:val="false"/>
          <w:color w:val="000000"/>
          <w:sz w:val="20"/>
          <w:u w:val="single"/>
        </w:rPr>
        <w:t>Company PBCU</w:t>
      </w:r>
      <w:r>
        <w:rPr>
          <w:color w:val="000000"/>
        </w:rPr>
        <w:t>”</w:t>
      </w:r>
      <w:r>
        <w:rPr>
          <w:rFonts w:ascii="sans-serif" w:hAnsi="sans-serif"/>
          <w:b w:val="false"/>
          <w:color w:val="000000"/>
          <w:sz w:val="20"/>
        </w:rPr>
        <w:t>) (or any portion thereof) that were outstanding as of immediately prior to the Effective Time, whether vested or unvested (each, an “</w:t>
      </w:r>
      <w:r>
        <w:rPr>
          <w:rFonts w:ascii="sans-serif" w:hAnsi="sans-serif"/>
          <w:b w:val="false"/>
          <w:color w:val="000000"/>
          <w:sz w:val="20"/>
          <w:u w:val="single"/>
        </w:rPr>
        <w:t>Outstanding PBCU</w:t>
      </w:r>
      <w:r>
        <w:rPr>
          <w:color w:val="000000"/>
        </w:rPr>
        <w:t>”</w:t>
      </w:r>
      <w:r>
        <w:rPr>
          <w:rFonts w:ascii="sans-serif" w:hAnsi="sans-serif"/>
          <w:b w:val="false"/>
          <w:color w:val="000000"/>
          <w:sz w:val="20"/>
        </w:rPr>
        <w:t>), were cancelled at the Effective Time and converted automatically into the right to receive, as soon as practicable after the Effective Time, an amount in cash equal to (A) the Merger Consideration multiplied by (B) the number of Company Shares subject to each such Outstanding PBCU based on the achievement of the target performance criteria set forth in the applicable award agreement, less all applicable deductions and withholdings required by law to be withheld in respect of such payment.</w:t>
      </w:r>
    </w:p>
    <w:p>
      <w:pPr>
        <w:pStyle w:val="TextBody"/>
        <w:bidi w:val="0"/>
        <w:spacing w:before="0" w:after="0"/>
        <w:ind w:left="0" w:right="0" w:firstLine="490"/>
        <w:jc w:val="both"/>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Item 3.01.     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The information set forth in the Introduction and Item 2.01 of this Current Report on Form 8-K is incorporated by reference into this Item 3.01.</w:t>
      </w:r>
    </w:p>
    <w:p>
      <w:pPr>
        <w:pStyle w:val="TextBody"/>
        <w:bidi w:val="0"/>
        <w:spacing w:before="0" w:after="0"/>
        <w:jc w:val="left"/>
        <w:rPr/>
      </w:pPr>
      <w:r>
        <w:rPr/>
      </w:r>
    </w:p>
    <w:p>
      <w:pPr>
        <w:pStyle w:val="TextBody"/>
        <w:bidi w:val="0"/>
        <w:spacing w:lineRule="auto" w:line="268" w:before="0" w:after="0"/>
        <w:ind w:left="0" w:right="0" w:firstLine="490"/>
        <w:jc w:val="both"/>
        <w:rPr/>
      </w:pPr>
      <w:r>
        <w:rPr>
          <w:rFonts w:ascii="sans-serif" w:hAnsi="sans-serif"/>
          <w:b w:val="false"/>
          <w:color w:val="000000"/>
          <w:sz w:val="20"/>
        </w:rPr>
        <w:t>In connection with the closing of the Merger, on February 13, 2026, the Company notified The Nasdaq Stock Market, LLC (“</w:t>
      </w:r>
      <w:r>
        <w:rPr>
          <w:rFonts w:ascii="sans-serif" w:hAnsi="sans-serif"/>
          <w:b w:val="false"/>
          <w:color w:val="000000"/>
          <w:sz w:val="20"/>
          <w:u w:val="single"/>
        </w:rPr>
        <w:t>Nasdaq</w:t>
      </w:r>
      <w:r>
        <w:rPr>
          <w:color w:val="000000"/>
        </w:rPr>
        <w:t>”</w:t>
      </w:r>
      <w:r>
        <w:rPr>
          <w:rFonts w:ascii="sans-serif" w:hAnsi="sans-serif"/>
          <w:b w:val="false"/>
          <w:color w:val="000000"/>
          <w:sz w:val="20"/>
        </w:rPr>
        <w:t>) of the consummation of the Merger and requested Nasdaq file a Notification of Removal from Listing and/or Registration on Form 25 with the SEC to delist the Company Shares from Nasdaq and deregister the Company Shares under Section 12(b) of the Securities Exchange Act of 1934, as amended (the “</w:t>
      </w:r>
      <w:r>
        <w:rPr>
          <w:rFonts w:ascii="sans-serif" w:hAnsi="sans-serif"/>
          <w:b w:val="false"/>
          <w:color w:val="000000"/>
          <w:sz w:val="20"/>
          <w:u w:val="single"/>
        </w:rPr>
        <w:t>Exchange Act</w:t>
      </w:r>
      <w:r>
        <w:rPr>
          <w:color w:val="000000"/>
        </w:rPr>
        <w:t>”</w:t>
      </w:r>
      <w:r>
        <w:rPr>
          <w:rFonts w:ascii="sans-serif" w:hAnsi="sans-serif"/>
          <w:b w:val="false"/>
          <w:color w:val="000000"/>
          <w:sz w:val="20"/>
        </w:rPr>
        <w:t xml:space="preserve">). Upon effectiveness of the Form 25, the Company intends to file with the SEC a Form 15 under the Exchange Act, requesting the deregistration of the Company Shares and the suspension of the Company’s reporting obligations under Sections 13 and 15(d) of the Exchange Act. Trading of the Company Shares on Nasdaq was halted prior to the opening of trading on the Closing Date. </w:t>
      </w:r>
    </w:p>
    <w:p>
      <w:pPr>
        <w:pStyle w:val="TextBody"/>
        <w:bidi w:val="0"/>
        <w:spacing w:before="0" w:after="0"/>
        <w:ind w:left="0" w:right="0" w:firstLine="490"/>
        <w:jc w:val="both"/>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Item 3.03.     Material Modification to Rights of Security Holders.</w:t>
      </w:r>
    </w:p>
    <w:p>
      <w:pPr>
        <w:pStyle w:val="TextBody"/>
        <w:bidi w:val="0"/>
        <w:spacing w:before="0" w:after="0"/>
        <w:jc w:val="both"/>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 xml:space="preserve">The information set forth in the Introduction and Items 2.01, 3.01, 5.01 and 5.03 to this Current Report on Form 8-K is incorporated into this Item 3.03 by reference. </w:t>
      </w:r>
    </w:p>
    <w:p>
      <w:pPr>
        <w:pStyle w:val="TextBody"/>
        <w:bidi w:val="0"/>
        <w:spacing w:before="0" w:after="0"/>
        <w:jc w:val="left"/>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As a result of the Merger, each Company Share that was issued and outstanding immediately prior to the Effective Time (except as described in Item 2.01 of this Current Report on Form 8-K) was cancelled and converted automatically, at the Effective Time, into the right to receive the Merger Consideration. Accordingly, at the Effective Time, the holders of such Company Shares ceased to have any rights as stockholders of the Company, other than the right to receive the Merger Consideration.</w:t>
      </w:r>
    </w:p>
    <w:p>
      <w:pPr>
        <w:pStyle w:val="TextBody"/>
        <w:bidi w:val="0"/>
        <w:spacing w:before="0" w:after="0"/>
        <w:ind w:left="0" w:right="0" w:firstLine="490"/>
        <w:jc w:val="both"/>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Item 5.01.     Changes in Control of Registrant.</w:t>
      </w:r>
    </w:p>
    <w:p>
      <w:pPr>
        <w:pStyle w:val="TextBody"/>
        <w:bidi w:val="0"/>
        <w:spacing w:before="0" w:after="0"/>
        <w:jc w:val="both"/>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 xml:space="preserve">The information set forth in the Introduction and Items 2.01 and 3.03 to this Current Report on Form 8-K is incorporated into this Item 5.01 by reference. </w:t>
      </w:r>
    </w:p>
    <w:p>
      <w:pPr>
        <w:pStyle w:val="TextBody"/>
        <w:bidi w:val="0"/>
        <w:spacing w:before="0" w:after="0"/>
        <w:jc w:val="left"/>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 xml:space="preserve">As a result of the Merger, at the Effective Time, a change in control of the Company occurred and the Company became a wholly-owned subsidiary of Parent. In connection with the Merger, the aggregate purchase price paid for all outstanding Company Shares (except as described in Item 2.01 of this Current Report on Form 8-K) was approximately $116.4 million. </w:t>
      </w:r>
    </w:p>
    <w:p>
      <w:pPr>
        <w:pStyle w:val="TextBody"/>
        <w:bidi w:val="0"/>
        <w:spacing w:before="0" w:after="0"/>
        <w:jc w:val="left"/>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 xml:space="preserve">To the knowledge of the Company, there are no arrangements, including any pledge by any person of securities of the Company or Parent, the operation of which may at a subsequent date result in a further change in control of the Company. </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The information set forth in the Introduction and Item 2.01 of this Current Report on Form 8-K is incorporated herein by reference into this Item 5.02.</w:t>
      </w:r>
    </w:p>
    <w:p>
      <w:pPr>
        <w:pStyle w:val="TextBody"/>
        <w:bidi w:val="0"/>
        <w:spacing w:before="0" w:after="0"/>
        <w:jc w:val="left"/>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 xml:space="preserve">In connection with the consummation of the Merger and as contemplated by the Merger Agreement (and not because of any disagreement with the Company), Stephen Waldis, Jeffrey Miller, Kristin Rinne, Mohan Gyani, Laurie Harris, Martin Bernstein and Kevin Rendino each resigned from the board of directors of the Company and from any and all committees thereof on which they served and ceased to be directors of the Company, as of the Effective Time. In accordance with the terms of the Merger Agreement, at the Effective Time, the directors of Merger Sub became directors of the Company. At the Effective Time, the Company’s board of directors consisted of David Nyland. </w:t>
      </w:r>
    </w:p>
    <w:p>
      <w:pPr>
        <w:pStyle w:val="TextBody"/>
        <w:bidi w:val="0"/>
        <w:spacing w:before="0" w:after="0"/>
        <w:jc w:val="left"/>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 xml:space="preserve">The officers of the Company immediately prior to the Effective Time continued as officers of the Company following the Effective Time. </w:t>
      </w:r>
    </w:p>
    <w:p>
      <w:pPr>
        <w:pStyle w:val="TextBody"/>
        <w:bidi w:val="0"/>
        <w:spacing w:before="0" w:after="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Item 5.03.    Amendments to Articles of Incorporation or Bylaws; Change in Fiscal Year.</w:t>
      </w:r>
    </w:p>
    <w:p>
      <w:pPr>
        <w:pStyle w:val="TextBody"/>
        <w:bidi w:val="0"/>
        <w:spacing w:before="0" w:after="0"/>
        <w:jc w:val="left"/>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The information set forth in the Introduction and Item 2.01 of this Current Report on Form 8-K is incorporated by reference into this Item 5.03.</w:t>
      </w:r>
    </w:p>
    <w:p>
      <w:pPr>
        <w:pStyle w:val="TextBody"/>
        <w:bidi w:val="0"/>
        <w:spacing w:before="0" w:after="0"/>
        <w:jc w:val="left"/>
        <w:rPr/>
      </w:pPr>
      <w:r>
        <w:rPr/>
      </w:r>
    </w:p>
    <w:p>
      <w:pPr>
        <w:pStyle w:val="TextBody"/>
        <w:bidi w:val="0"/>
        <w:spacing w:lineRule="auto" w:line="268" w:before="0" w:after="0"/>
        <w:ind w:left="0" w:right="0" w:firstLine="490"/>
        <w:jc w:val="both"/>
        <w:rPr/>
      </w:pPr>
      <w:r>
        <w:rPr>
          <w:rFonts w:ascii="sans-serif" w:hAnsi="sans-serif"/>
          <w:b w:val="false"/>
          <w:color w:val="000000"/>
          <w:sz w:val="20"/>
        </w:rPr>
        <w:t>At the Effective Time, the Restated Certificate of Incorporation of the Company, as in effect immediately prior to the Effective Time, was amended and restated to be in the form of the certificate of incorporation set forth on Exhibit A to the Merger Agreement (the “</w:t>
      </w:r>
      <w:r>
        <w:rPr>
          <w:rFonts w:ascii="sans-serif" w:hAnsi="sans-serif"/>
          <w:b w:val="false"/>
          <w:color w:val="000000"/>
          <w:sz w:val="20"/>
          <w:u w:val="single"/>
        </w:rPr>
        <w:t>Third Amended and Restated Certificate of Incorporation</w:t>
      </w:r>
      <w:r>
        <w:rPr>
          <w:color w:val="000000"/>
        </w:rPr>
        <w:t>”</w:t>
      </w:r>
      <w:r>
        <w:rPr>
          <w:rFonts w:ascii="sans-serif" w:hAnsi="sans-serif"/>
          <w:b w:val="false"/>
          <w:color w:val="000000"/>
          <w:sz w:val="20"/>
        </w:rPr>
        <w:t>) in accordance with the terms of the Merger Agreement. In addition, at the Effective Time, the Company’s bylaws, as in effect immediately prior to the Effective Time, were amended and restated to conform to the bylaws of Merger Sub (the “</w:t>
      </w:r>
      <w:r>
        <w:rPr>
          <w:rFonts w:ascii="sans-serif" w:hAnsi="sans-serif"/>
          <w:b w:val="false"/>
          <w:color w:val="000000"/>
          <w:sz w:val="20"/>
          <w:u w:val="single"/>
        </w:rPr>
        <w:t>Amended and Restated Bylaws</w:t>
      </w:r>
      <w:r>
        <w:rPr>
          <w:color w:val="000000"/>
        </w:rPr>
        <w:t>”</w:t>
      </w:r>
      <w:r>
        <w:rPr>
          <w:rFonts w:ascii="sans-serif" w:hAnsi="sans-serif"/>
          <w:b w:val="false"/>
          <w:color w:val="000000"/>
          <w:sz w:val="20"/>
        </w:rPr>
        <w:t xml:space="preserve">). Copies of the Third Amended and Restated Certificate of Incorporation and the Amended and Restated Bylaws are filed as Exhibits 3.1 and 3.2 to this Current Report on Form 8-K, respectively, and are incorporated herein by reference. </w:t>
      </w:r>
    </w:p>
    <w:p>
      <w:pPr>
        <w:pStyle w:val="TextBody"/>
        <w:bidi w:val="0"/>
        <w:spacing w:before="0" w:after="0"/>
        <w:ind w:left="0" w:right="0" w:firstLine="490"/>
        <w:jc w:val="both"/>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On February 12, 2026, the Company held a special meeting of stockholders (the “Special Meeting”) to vote on the proposals described in the Company’s definitive proxy statement filed with the SEC on January 5, 2026. A total of 11,506,734 shares of the Company’s common stock were entitled to vote at the close of business on December 29, 2025, the record date for the Special Meeting, and approximately 7,931,637 shares of the Company’s common stock issued and outstanding were present or represented by proxy at the Special Meeting, representing approximately 68.93% of those shares entitled to vote, which constituted a quorum.</w:t>
      </w:r>
    </w:p>
    <w:p>
      <w:pPr>
        <w:pStyle w:val="TextBody"/>
        <w:bidi w:val="0"/>
        <w:spacing w:before="0" w:after="0"/>
        <w:jc w:val="left"/>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Each of the proposals upon which the Company’s stockholders voted at the Special Meeting, and the final, certified results reported by the Company’s independent inspector of elections, Broadridge Financial Solutions, Inc., are set forth below.</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0"/>
        </w:rPr>
        <w:t>1.    Proposal to adopt the Merger Agreement, pursuant to which Merger Sub will merge with and into the Company, and the Company will become a wholly owned subsidiary of Parent (the “</w:t>
      </w:r>
      <w:r>
        <w:rPr>
          <w:rFonts w:ascii="sans-serif" w:hAnsi="sans-serif"/>
          <w:b w:val="false"/>
          <w:color w:val="000000"/>
          <w:sz w:val="20"/>
          <w:u w:val="single"/>
        </w:rPr>
        <w:t>Merger Proposal</w:t>
      </w:r>
      <w:r>
        <w:rPr>
          <w:color w:val="000000"/>
        </w:rPr>
        <w:t>”</w:t>
      </w:r>
      <w:r>
        <w:rPr>
          <w:rFonts w:ascii="sans-serif" w:hAnsi="sans-serif"/>
          <w:b w:val="false"/>
          <w:color w:val="000000"/>
          <w:sz w:val="20"/>
        </w:rPr>
        <w:t>).</w:t>
      </w:r>
    </w:p>
    <w:p>
      <w:pPr>
        <w:pStyle w:val="TextBody"/>
        <w:bidi w:val="0"/>
        <w:spacing w:before="0" w:after="0"/>
        <w:jc w:val="left"/>
        <w:rPr/>
      </w:pPr>
      <w:r>
        <w:rPr/>
      </w:r>
    </w:p>
    <w:tbl>
      <w:tblPr>
        <w:tblW w:w="6024" w:type="dxa"/>
        <w:jc w:val="left"/>
        <w:tblInd w:w="0" w:type="dxa"/>
        <w:tblLayout w:type="fixed"/>
        <w:tblCellMar>
          <w:top w:w="28" w:type="dxa"/>
          <w:left w:w="28" w:type="dxa"/>
          <w:bottom w:w="28" w:type="dxa"/>
          <w:right w:w="28" w:type="dxa"/>
        </w:tblCellMar>
      </w:tblPr>
      <w:tblGrid>
        <w:gridCol w:w="391"/>
        <w:gridCol w:w="343"/>
        <w:gridCol w:w="347"/>
        <w:gridCol w:w="109"/>
        <w:gridCol w:w="109"/>
        <w:gridCol w:w="109"/>
        <w:gridCol w:w="310"/>
        <w:gridCol w:w="310"/>
        <w:gridCol w:w="311"/>
        <w:gridCol w:w="109"/>
        <w:gridCol w:w="109"/>
        <w:gridCol w:w="109"/>
        <w:gridCol w:w="310"/>
        <w:gridCol w:w="310"/>
        <w:gridCol w:w="311"/>
        <w:gridCol w:w="109"/>
        <w:gridCol w:w="109"/>
        <w:gridCol w:w="109"/>
        <w:gridCol w:w="615"/>
        <w:gridCol w:w="615"/>
        <w:gridCol w:w="870"/>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color w:val="000000"/>
                <w:sz w:val="20"/>
              </w:rPr>
            </w:pPr>
            <w:r>
              <w:rPr>
                <w:rFonts w:ascii="sans-serif" w:hAnsi="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color w:val="000000"/>
                <w:sz w:val="20"/>
              </w:rPr>
            </w:pPr>
            <w:r>
              <w:rPr>
                <w:rFonts w:ascii="sans-serif" w:hAnsi="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color w:val="000000"/>
                <w:sz w:val="20"/>
              </w:rPr>
            </w:pPr>
            <w:r>
              <w:rPr>
                <w:rFonts w:ascii="sans-serif" w:hAnsi="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color w:val="000000"/>
                <w:sz w:val="20"/>
              </w:rPr>
            </w:pPr>
            <w:r>
              <w:rPr>
                <w:rFonts w:ascii="sans-serif" w:hAnsi="sans-serif"/>
                <w:b/>
                <w:color w:val="000000"/>
                <w:sz w:val="20"/>
              </w:rPr>
              <w:t>Broker Non-Votes</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20"/>
              </w:rPr>
            </w:pPr>
            <w:r>
              <w:rPr>
                <w:rFonts w:ascii="sans-serif" w:hAnsi="sans-serif"/>
                <w:b w:val="false"/>
                <w:color w:val="000000"/>
                <w:sz w:val="20"/>
              </w:rPr>
              <w:t>7,691,899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20"/>
              </w:rPr>
            </w:pPr>
            <w:r>
              <w:rPr>
                <w:rFonts w:ascii="sans-serif" w:hAnsi="sans-serif"/>
                <w:b w:val="false"/>
                <w:color w:val="000000"/>
                <w:sz w:val="20"/>
              </w:rPr>
              <w:t>223,251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20"/>
              </w:rPr>
            </w:pPr>
            <w:r>
              <w:rPr>
                <w:rFonts w:ascii="sans-serif" w:hAnsi="sans-serif"/>
                <w:b w:val="false"/>
                <w:color w:val="000000"/>
                <w:sz w:val="20"/>
              </w:rPr>
              <w:t>16,487</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 </w:t>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Based on the votes set forth above, the Merger Proposal was approved by the Company’s stockholders at the Special Meeting.</w:t>
      </w:r>
    </w:p>
    <w:p>
      <w:pPr>
        <w:pStyle w:val="TextBody"/>
        <w:bidi w:val="0"/>
        <w:spacing w:before="0" w:after="0"/>
        <w:jc w:val="both"/>
        <w:rPr/>
      </w:pPr>
      <w:r>
        <w:rPr/>
      </w:r>
    </w:p>
    <w:p>
      <w:pPr>
        <w:pStyle w:val="TextBody"/>
        <w:bidi w:val="0"/>
        <w:spacing w:lineRule="auto" w:line="268" w:before="0" w:after="0"/>
        <w:jc w:val="both"/>
        <w:rPr/>
      </w:pPr>
      <w:r>
        <w:rPr>
          <w:rFonts w:ascii="sans-serif" w:hAnsi="sans-serif"/>
          <w:b w:val="false"/>
          <w:color w:val="000000"/>
          <w:sz w:val="20"/>
        </w:rPr>
        <w:t>2.    Proposal to approve, on a non-binding, advisory basis, certain compensation that will or may become payable by the Company to its named executive officers in connection with the Merger (the “</w:t>
      </w:r>
      <w:r>
        <w:rPr>
          <w:rFonts w:ascii="sans-serif" w:hAnsi="sans-serif"/>
          <w:b w:val="false"/>
          <w:color w:val="000000"/>
          <w:sz w:val="20"/>
          <w:u w:val="single"/>
        </w:rPr>
        <w:t>Compensation Proposal</w:t>
      </w:r>
      <w:r>
        <w:rPr>
          <w:color w:val="000000"/>
        </w:rPr>
        <w:t>”</w:t>
      </w:r>
      <w:r>
        <w:rPr>
          <w:rFonts w:ascii="sans-serif" w:hAnsi="sans-serif"/>
          <w:b w:val="false"/>
          <w:color w:val="000000"/>
          <w:sz w:val="20"/>
        </w:rPr>
        <w:t>).</w:t>
      </w:r>
    </w:p>
    <w:p>
      <w:pPr>
        <w:pStyle w:val="TextBody"/>
        <w:bidi w:val="0"/>
        <w:spacing w:before="0" w:after="0"/>
        <w:jc w:val="both"/>
        <w:rPr/>
      </w:pPr>
      <w:r>
        <w:rPr/>
      </w:r>
    </w:p>
    <w:tbl>
      <w:tblPr>
        <w:tblW w:w="6159" w:type="dxa"/>
        <w:jc w:val="left"/>
        <w:tblInd w:w="0" w:type="dxa"/>
        <w:tblLayout w:type="fixed"/>
        <w:tblCellMar>
          <w:top w:w="28" w:type="dxa"/>
          <w:left w:w="28" w:type="dxa"/>
          <w:bottom w:w="28" w:type="dxa"/>
          <w:right w:w="28" w:type="dxa"/>
        </w:tblCellMar>
      </w:tblPr>
      <w:tblGrid>
        <w:gridCol w:w="391"/>
        <w:gridCol w:w="343"/>
        <w:gridCol w:w="347"/>
        <w:gridCol w:w="109"/>
        <w:gridCol w:w="109"/>
        <w:gridCol w:w="109"/>
        <w:gridCol w:w="354"/>
        <w:gridCol w:w="354"/>
        <w:gridCol w:w="358"/>
        <w:gridCol w:w="109"/>
        <w:gridCol w:w="109"/>
        <w:gridCol w:w="109"/>
        <w:gridCol w:w="310"/>
        <w:gridCol w:w="310"/>
        <w:gridCol w:w="311"/>
        <w:gridCol w:w="109"/>
        <w:gridCol w:w="109"/>
        <w:gridCol w:w="109"/>
        <w:gridCol w:w="615"/>
        <w:gridCol w:w="615"/>
        <w:gridCol w:w="870"/>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color w:val="000000"/>
                <w:sz w:val="20"/>
              </w:rPr>
            </w:pPr>
            <w:r>
              <w:rPr>
                <w:rFonts w:ascii="sans-serif" w:hAnsi="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color w:val="000000"/>
                <w:sz w:val="20"/>
              </w:rPr>
            </w:pPr>
            <w:r>
              <w:rPr>
                <w:rFonts w:ascii="sans-serif" w:hAnsi="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color w:val="000000"/>
                <w:sz w:val="20"/>
              </w:rPr>
            </w:pPr>
            <w:r>
              <w:rPr>
                <w:rFonts w:ascii="sans-serif" w:hAnsi="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color w:val="000000"/>
                <w:sz w:val="20"/>
              </w:rPr>
            </w:pPr>
            <w:r>
              <w:rPr>
                <w:rFonts w:ascii="sans-serif" w:hAnsi="sans-serif"/>
                <w:b/>
                <w:color w:val="000000"/>
                <w:sz w:val="20"/>
              </w:rPr>
              <w:t>Broker Non-Votes</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20"/>
              </w:rPr>
            </w:pPr>
            <w:r>
              <w:rPr>
                <w:rFonts w:ascii="sans-serif" w:hAnsi="sans-serif"/>
                <w:b w:val="false"/>
                <w:color w:val="000000"/>
                <w:sz w:val="20"/>
              </w:rPr>
              <w:t>3,963,671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20"/>
              </w:rPr>
            </w:pPr>
            <w:r>
              <w:rPr>
                <w:rFonts w:ascii="sans-serif" w:hAnsi="sans-serif"/>
                <w:b w:val="false"/>
                <w:color w:val="000000"/>
                <w:sz w:val="20"/>
              </w:rPr>
              <w:t>3,355,968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20"/>
              </w:rPr>
            </w:pPr>
            <w:r>
              <w:rPr>
                <w:rFonts w:ascii="sans-serif" w:hAnsi="sans-serif"/>
                <w:b w:val="false"/>
                <w:color w:val="000000"/>
                <w:sz w:val="20"/>
              </w:rPr>
              <w:t>611,998</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 </w:t>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before="0" w:after="0"/>
        <w:jc w:val="both"/>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Based on the votes set forth above, the Compensation Proposal was approved by the Company’s stockholders at the Special Meeting.</w:t>
      </w:r>
    </w:p>
    <w:p>
      <w:pPr>
        <w:pStyle w:val="TextBody"/>
        <w:bidi w:val="0"/>
        <w:spacing w:before="0" w:after="0"/>
        <w:jc w:val="left"/>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The proposal to adjourn the Special Meeting from time to time, if necessary or appropriate, to solicit additional proxies if there were insufficient votes to adopt the Merger Agreement at the time of the Special Meeting was rendered moot in light of the approval of the Merger Proposal.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0"/>
        </w:rPr>
      </w:pPr>
      <w:r>
        <w:rPr>
          <w:rFonts w:ascii="sans-serif" w:hAnsi="sans-serif"/>
          <w:b/>
          <w:color w:val="000000"/>
          <w:sz w:val="20"/>
        </w:rPr>
        <w:t>Item 8.01.    Other Events.</w:t>
      </w:r>
    </w:p>
    <w:p>
      <w:pPr>
        <w:pStyle w:val="TextBody"/>
        <w:bidi w:val="0"/>
        <w:spacing w:before="0" w:after="0"/>
        <w:jc w:val="both"/>
        <w:rPr/>
      </w:pPr>
      <w:r>
        <w:rPr/>
      </w:r>
    </w:p>
    <w:p>
      <w:pPr>
        <w:pStyle w:val="TextBody"/>
        <w:bidi w:val="0"/>
        <w:spacing w:lineRule="auto" w:line="268" w:before="0" w:after="0"/>
        <w:ind w:left="0" w:right="0" w:firstLine="490"/>
        <w:jc w:val="both"/>
        <w:rPr>
          <w:rFonts w:ascii="sans-serif" w:hAnsi="sans-serif"/>
          <w:b w:val="false"/>
          <w:color w:val="000000"/>
          <w:sz w:val="20"/>
        </w:rPr>
      </w:pPr>
      <w:r>
        <w:rPr>
          <w:rFonts w:ascii="sans-serif" w:hAnsi="sans-serif"/>
          <w:b w:val="false"/>
          <w:color w:val="000000"/>
          <w:sz w:val="20"/>
        </w:rPr>
        <w:t xml:space="preserve">On February 13, 2026, the Company issued a press release announcing the completion of the Merger. A copy of the press release is attached as Exhibit 99.1 and is incorporated herein by reference.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2637"/>
        <w:gridCol w:w="2637"/>
        <w:gridCol w:w="3763"/>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Description</w:t>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Agreement and Plan of Merger, dated as of December 3, 2025, by and among the Company, Parent and Merger Sub (incorporated by reference to Exhibit 2.1 to the Company’s Current Report on Form 8-K filed December 4, 2025).</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projectskyfall-thirdar.htm">
              <w:r>
                <w:rPr>
                  <w:rStyle w:val="InternetLink"/>
                  <w:rFonts w:ascii="sans-serif" w:hAnsi="sans-serif"/>
                  <w:b w:val="false"/>
                  <w:color w:val="0000FF"/>
                  <w:sz w:val="20"/>
                  <w:u w:val="single"/>
                </w:rPr>
                <w:t xml:space="preserve">Third Amended and Restated Certificate of Incorporation of the Company. </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projectskyfall-survivi.htm">
              <w:r>
                <w:rPr>
                  <w:rStyle w:val="InternetLink"/>
                  <w:rFonts w:ascii="sans-serif" w:hAnsi="sans-serif"/>
                  <w:b w:val="false"/>
                  <w:color w:val="0000FF"/>
                  <w:sz w:val="20"/>
                  <w:u w:val="single"/>
                </w:rPr>
                <w:t>Amended and Restated Bylaws of the Company.</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projectskyfallxseccl.htm">
              <w:r>
                <w:rPr>
                  <w:rStyle w:val="InternetLink"/>
                  <w:rFonts w:ascii="sans-serif" w:hAnsi="sans-serif"/>
                  <w:b w:val="false"/>
                  <w:color w:val="0000FF"/>
                  <w:sz w:val="20"/>
                  <w:u w:val="single"/>
                </w:rPr>
                <w:t xml:space="preserve">Press Release, dated February 13, issued by the Company. </w:t>
              </w:r>
            </w:hyperlink>
          </w:p>
        </w:tc>
      </w:tr>
    </w:tbl>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All schedules to the Merger Agreement have been omitted pursuant to Item 601(b)(2) of Regulation S-K. The Company hereby agrees to furnish supplementally a copy of any omitted schedule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Date: February 13, 2026</w:t>
      </w:r>
    </w:p>
    <w:p>
      <w:pPr>
        <w:pStyle w:val="TextBody"/>
        <w:bidi w:val="0"/>
        <w:spacing w:lineRule="auto" w:line="288" w:before="0" w:after="0"/>
        <w:jc w:val="center"/>
        <w:rPr>
          <w:color w:val="000000"/>
        </w:rPr>
      </w:pPr>
      <w:r>
        <w:rPr>
          <w:color w:val="000000"/>
        </w:rPr>
        <w:t> </w:t>
      </w:r>
    </w:p>
    <w:tbl>
      <w:tblPr>
        <w:tblW w:w="5198" w:type="dxa"/>
        <w:jc w:val="left"/>
        <w:tblInd w:w="0" w:type="dxa"/>
        <w:tblLayout w:type="fixed"/>
        <w:tblCellMar>
          <w:top w:w="28" w:type="dxa"/>
          <w:left w:w="28" w:type="dxa"/>
          <w:bottom w:w="28" w:type="dxa"/>
          <w:right w:w="28" w:type="dxa"/>
        </w:tblCellMar>
      </w:tblPr>
      <w:tblGrid>
        <w:gridCol w:w="276"/>
        <w:gridCol w:w="244"/>
        <w:gridCol w:w="245"/>
        <w:gridCol w:w="109"/>
        <w:gridCol w:w="109"/>
        <w:gridCol w:w="109"/>
        <w:gridCol w:w="1244"/>
        <w:gridCol w:w="1244"/>
        <w:gridCol w:w="1246"/>
        <w:gridCol w:w="109"/>
        <w:gridCol w:w="109"/>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Synchronoss Technologies,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Christina Gabrys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Christina Gabrys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Chief Legal Officer 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3.1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THIRD AMENDED AND RESTATED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CERTIFICATE OF INCORPORATION</w:t>
        <w:br/>
        <w:t>OF</w:t>
        <w:br/>
        <w:t xml:space="preserve">SYNCHRONOSS TECHNOLOGIES, INC. </w:t>
      </w:r>
    </w:p>
    <w:p>
      <w:pPr>
        <w:pStyle w:val="TextBody"/>
        <w:bidi w:val="0"/>
        <w:spacing w:lineRule="auto" w:line="288" w:before="0" w:after="240"/>
        <w:ind w:left="0" w:right="0" w:firstLine="720"/>
        <w:jc w:val="both"/>
        <w:rPr/>
      </w:pPr>
      <w:r>
        <w:rPr>
          <w:rFonts w:ascii="Times New Roman;serif" w:hAnsi="Times New Roman;serif"/>
          <w:b w:val="false"/>
          <w:color w:val="000000"/>
          <w:sz w:val="22"/>
        </w:rPr>
        <w:t>FIRST: The name of the corporation is Synchronoss Technologies, Inc. (the “</w:t>
      </w:r>
      <w:r>
        <w:rPr>
          <w:rFonts w:ascii="Times New Roman;serif" w:hAnsi="Times New Roman;serif"/>
          <w:b/>
          <w:i/>
          <w:color w:val="000000"/>
          <w:sz w:val="22"/>
        </w:rPr>
        <w:t>Corporation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SECOND: The address of the registered office of the Corporation in the State of Delaware is 1209 Orange Street, Wilmington, DE 19801, New Castle County. The name of the registered agent at such address is The Corporation Trust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THIRD: The purpose of the Corporation is to engage in any lawful act or activity for which a corporation may be organized under the General Corporation Law of Delaware (the “</w:t>
      </w:r>
      <w:r>
        <w:rPr>
          <w:rFonts w:ascii="Times New Roman;serif" w:hAnsi="Times New Roman;serif"/>
          <w:b/>
          <w:i/>
          <w:color w:val="000000"/>
          <w:sz w:val="22"/>
        </w:rPr>
        <w:t>DGCL</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FOURTH: The Corporation is authorized to issue one class of stock, to be designated </w:t>
      </w:r>
      <w:r>
        <w:rPr>
          <w:color w:val="000000"/>
        </w:rPr>
        <w:t>“</w:t>
      </w:r>
      <w:r>
        <w:rPr>
          <w:rFonts w:ascii="Times New Roman;serif" w:hAnsi="Times New Roman;serif"/>
          <w:b/>
          <w:i/>
          <w:color w:val="000000"/>
          <w:sz w:val="22"/>
        </w:rPr>
        <w:t>Common Stock</w:t>
      </w:r>
      <w:r>
        <w:rPr>
          <w:color w:val="000000"/>
        </w:rPr>
        <w:t xml:space="preserve">” </w:t>
      </w:r>
      <w:r>
        <w:rPr>
          <w:rFonts w:ascii="Times New Roman;serif" w:hAnsi="Times New Roman;serif"/>
          <w:b w:val="false"/>
          <w:color w:val="000000"/>
          <w:sz w:val="22"/>
        </w:rPr>
        <w:t>with a par value of $0.0001 per share. The total number of shares of Common Stock that the Corporation shall have authority to issue is Ten Thousand (10000).</w:t>
      </w:r>
    </w:p>
    <w:p>
      <w:pPr>
        <w:pStyle w:val="TextBody"/>
        <w:bidi w:val="0"/>
        <w:spacing w:lineRule="auto" w:line="288" w:before="0" w:after="240"/>
        <w:ind w:left="0" w:right="0" w:firstLine="720"/>
        <w:jc w:val="both"/>
        <w:rPr/>
      </w:pPr>
      <w:r>
        <w:rPr>
          <w:rFonts w:ascii="Times New Roman;serif" w:hAnsi="Times New Roman;serif"/>
          <w:b w:val="false"/>
          <w:color w:val="000000"/>
          <w:sz w:val="22"/>
        </w:rPr>
        <w:t>FIFTH: The business and affairs of the Corporation shall be managed by or under the direction of the Board of Directors of the Corporation (the “</w:t>
      </w:r>
      <w:r>
        <w:rPr>
          <w:rFonts w:ascii="Times New Roman;serif" w:hAnsi="Times New Roman;serif"/>
          <w:b/>
          <w:i/>
          <w:color w:val="000000"/>
          <w:sz w:val="22"/>
        </w:rPr>
        <w:t>Board of Directors</w:t>
      </w:r>
      <w:r>
        <w:rPr>
          <w:color w:val="000000"/>
        </w:rPr>
        <w:t>”</w:t>
      </w:r>
      <w:r>
        <w:rPr>
          <w:rFonts w:ascii="Times New Roman;serif" w:hAnsi="Times New Roman;serif"/>
          <w:b w:val="false"/>
          <w:color w:val="000000"/>
          <w:sz w:val="22"/>
        </w:rPr>
        <w:t>)</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In addition to the powers and authority expressly conferred upon them by statute or by this Third Amended and Restated Certificate of Incorporation (the “</w:t>
      </w:r>
      <w:r>
        <w:rPr>
          <w:rFonts w:ascii="Times New Roman;serif" w:hAnsi="Times New Roman;serif"/>
          <w:b/>
          <w:i/>
          <w:color w:val="000000"/>
          <w:sz w:val="22"/>
        </w:rPr>
        <w:t>Certificate</w:t>
      </w:r>
      <w:r>
        <w:rPr>
          <w:color w:val="000000"/>
        </w:rPr>
        <w:t>”</w:t>
      </w:r>
      <w:r>
        <w:rPr>
          <w:rFonts w:ascii="Times New Roman;serif" w:hAnsi="Times New Roman;serif"/>
          <w:b w:val="false"/>
          <w:color w:val="000000"/>
          <w:sz w:val="22"/>
        </w:rPr>
        <w:t>) or the Bylaws of the Corporation (the “</w:t>
      </w:r>
      <w:r>
        <w:rPr>
          <w:rFonts w:ascii="Times New Roman;serif" w:hAnsi="Times New Roman;serif"/>
          <w:b/>
          <w:i/>
          <w:color w:val="000000"/>
          <w:sz w:val="22"/>
        </w:rPr>
        <w:t>Bylaws</w:t>
      </w:r>
      <w:r>
        <w:rPr>
          <w:color w:val="000000"/>
        </w:rPr>
        <w:t>”</w:t>
      </w:r>
      <w:r>
        <w:rPr>
          <w:rFonts w:ascii="Times New Roman;serif" w:hAnsi="Times New Roman;serif"/>
          <w:b w:val="false"/>
          <w:color w:val="000000"/>
          <w:sz w:val="22"/>
        </w:rPr>
        <w:t>), the directors are hereby empowered to exercise all such powers and do all such acts and things as may be exercised or done by the Corporation. Election of directors need not be by written ballot, unless the Bylaws so provide.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SIXTH: The Board of Directors is authorized to make, adopt, amend, alter or repeal the Bylaws. The stockholders shall also have power to make, adopt, amend, alter or repeal the Bylaws. The number of directors of the Corporation shall be as from time to time fixed by, or in the manner provided in, the Bylaws.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SEVENTH: The Corporation reserves the right at any time, and from time to time, to amend, alter, change or repeal any provision contained in this Certificate, and to add or insert other provisions authorized by the laws of the State of Delaware at the time in force, in the manner now or hereafter prescribed by law; and all rights, preferences and privileges of whatsoever nature conferred upon stockholders, directors or any other persons whomsoever by and pursuant to this Certificate in its present form or as hereafter amended are granted subject to the rights reserved in this Article SEVENTH.</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EIGHTH: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1.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any improper personal benefit. If the DGCL is amended after approval by the stockholders of this Article VIII to authorize corporate action further eliminating or limiting the personal liability of directors, then the liability of a director of the Corporation shall be eliminated or limited to the fullest extent permitted by the DGCL as so amended.</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 Subject to any provisions in the Bylaws of the Corporation related to indemnification of directors of the Corporation, the Corporation shall indemnify, to the fullest extent permitted by applicable law, any director of the Corporation who was or is a party or is threatened to be made a party to any threatened, pending or completed action, suit or proceeding, whether civil, criminal, administrative or investigative (a “</w:t>
      </w:r>
      <w:r>
        <w:rPr>
          <w:rFonts w:ascii="Times New Roman;serif" w:hAnsi="Times New Roman;serif"/>
          <w:b/>
          <w:i/>
          <w:color w:val="000000"/>
          <w:sz w:val="22"/>
        </w:rPr>
        <w:t>Proceeding</w:t>
      </w:r>
      <w:r>
        <w:rPr>
          <w:color w:val="000000"/>
        </w:rPr>
        <w:t>”</w:t>
      </w:r>
      <w:r>
        <w:rPr>
          <w:rFonts w:ascii="Times New Roman;serif" w:hAnsi="Times New Roman;serif"/>
          <w:b w:val="false"/>
          <w:color w:val="000000"/>
          <w:sz w:val="22"/>
        </w:rPr>
        <w:t>) by reason of the fact that he or she is or was a director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(or part thereof) initiated by such person only if the Proceeding (or part thereof) was authorized by the Board of Directors.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3. The Corporation shall have the power to indemnify, to the extent permitted by applicable law, any officer,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4. Neither any amendment nor repeal of any Section of this Article EIGHTH, nor the adoption of any provision of this Certificate or the Bylaws of the Corporation inconsistent with this Article EIGHTH, shall eliminate or reduce the effect of this Article EIGHTH in respect of any matter occurring, or any Proceeding accruing or arising or that, but for this Article EIGHTH, would accrue or arise, prior to such amendment, repeal or adoption of an inconsistent provision.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br/>
        <w:t>[The remainder of the page intentionally left blank]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3.2</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SECOND AMENDED AND RESTATED BYLAWS</w:t>
        <w:br/>
        <w:t>OF</w:t>
        <w:br/>
        <w:t xml:space="preserve">SYNCHRONOSS TECHNOLOGIES, INC. </w:t>
        <w:br/>
        <w:t>(A DELAWARE CORPORATION)</w:t>
      </w:r>
    </w:p>
    <w:p>
      <w:pPr>
        <w:pStyle w:val="TextBody"/>
        <w:bidi w:val="0"/>
        <w:spacing w:lineRule="auto" w:line="240" w:before="0" w:after="240"/>
        <w:ind w:left="0" w:right="0" w:firstLine="1800"/>
        <w:jc w:val="center"/>
        <w:rPr>
          <w:rFonts w:ascii="Times New Roman;serif" w:hAnsi="Times New Roman;serif"/>
          <w:b/>
          <w:color w:val="000000"/>
          <w:sz w:val="24"/>
        </w:rPr>
      </w:pPr>
      <w:r>
        <w:rPr>
          <w:rFonts w:ascii="Times New Roman;serif" w:hAnsi="Times New Roman;serif"/>
          <w:b/>
          <w:color w:val="000000"/>
          <w:sz w:val="24"/>
        </w:rPr>
        <w:t>Article I</w:t>
        <w:br/>
        <w:t>STOCKHOLDERS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Place of Meetings</w:t>
      </w:r>
      <w:r>
        <w:rPr>
          <w:rFonts w:ascii="Times New Roman;serif" w:hAnsi="Times New Roman;serif"/>
          <w:b w:val="false"/>
          <w:color w:val="000000"/>
          <w:sz w:val="24"/>
        </w:rPr>
        <w:t>. All meetings of stockholders shall be held at such place (if any) within or without the State of Delaware as may be determined from time to time by the Board of Directors of the corporation (the “</w:t>
      </w:r>
      <w:r>
        <w:rPr>
          <w:rFonts w:ascii="Times New Roman;serif" w:hAnsi="Times New Roman;serif"/>
          <w:b/>
          <w:i/>
          <w:color w:val="000000"/>
          <w:sz w:val="24"/>
        </w:rPr>
        <w:t>Board of Directors</w:t>
      </w:r>
      <w:r>
        <w:rPr>
          <w:color w:val="000000"/>
        </w:rPr>
        <w:t>”</w:t>
      </w:r>
      <w:r>
        <w:rPr>
          <w:rFonts w:ascii="Times New Roman;serif" w:hAnsi="Times New Roman;serif"/>
          <w:b w:val="false"/>
          <w:color w:val="000000"/>
          <w:sz w:val="24"/>
        </w:rPr>
        <w:t>) or, if not determined by the Board of Directors, by the Chairman of the Board or the President; provided that the Board of Directors may, in its sole discretion, determine that any meeting of stockholders shall not be held at any place but shall be held solely by means of remote communication in accordance with Section 1.12.</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Annual Meeting</w:t>
      </w:r>
      <w:r>
        <w:rPr>
          <w:rFonts w:ascii="Times New Roman;serif" w:hAnsi="Times New Roman;serif"/>
          <w:b w:val="false"/>
          <w:color w:val="000000"/>
          <w:sz w:val="24"/>
        </w:rPr>
        <w:t>. The annual meeting of stockholders for the election of directors and for the transaction of such other business as may properly be brought before the meeting shall be held on a date to be fixed by the Board of Directors at a time to be fixed by the Board of Directors and stated in the notice of the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Special meetings of stockholders may be called at any time by the Board of Directors, the Chairman of the Board or the President or the holders of record of not less than 10% of all shares entitled to cast votes at the meeting, for any purpose or purposes prescribed in the notice of the meeting and shall be held, on such date and at such time as the Board of Directors may fix. Business transacted at any special meeting of stockholders shall be confined to the purpose or purposes stated in the notice of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Notice of Meetings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Written notice of each meeting of stockholders, whether annual or special, shall be given not less than 10 nor more than 60 days before the date on which the meeting is to be held, to each stockholder entitled to vote at such meeting as of the record date fixed by the Board of Directors, except as otherwise provided herein or as required by law (meaning here and hereafter, as required from time to time by the Delaware General Corporation Law or the Certificate of Incorporation of the corporation). The notice of any meeting shall state the place, if any, date and hour of the meeting, and the means of remote communication, if any, by which stockholders and proxy holders may be deemed to be present in person and vote at such meeting. The notice of a special meeting shall state, in addition, the purpose or purposes for which the meeting is called.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Notice to stockholders may be given by personal delivery, mail, or, with the consent of the stockholder entitled to receive notice, by facsimile or other means of electronic transmission. If mailed, such notice shall be delivered by postage prepaid envelope directed to each stockholder at such stockholder’s address as it appears in the records of the corporation and shall be deemed given when deposited in the United States mail. Notice given by electronic transmission pursuant to this subsection shall be deemed given: (1) if by facsimile telecommunication, when directed to a facsimile telecommunication number at which the stockholder has consented to receive notice; (2) if by electronic mail, when directed to an electronic mail address at which the stockholder has consented to receive notice; (3) if by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secretary or an assistant secretary or of the transfer agent or other agent of the corporation that the notice has been given by personal delivery, by mail, or by a form of electronic transmission shall, in the absence of fraud, be prima facie evidence of the facts stated therein.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Notice of any meeting of stockholders need not be given to any stockholder if waived by such stockholder either in a writing signed by such stockholder or by electronic transmission, whether such waiver is given before or after such meeting is held. If such a waiver is given by electronic transmission, the electronic transmission must either set forth or be submitted with information from which it can be determined that the electronic transmission was authorized by the stockholder.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Voting List</w:t>
      </w:r>
      <w:r>
        <w:rPr>
          <w:rFonts w:ascii="Times New Roman;serif" w:hAnsi="Times New Roman;serif"/>
          <w:b w:val="false"/>
          <w:color w:val="000000"/>
          <w:sz w:val="24"/>
        </w:rPr>
        <w:t>. The officer who has charge of the stock ledger of the corporation shall prepare, at least 10 days before each meeting of stockholders, a complete list of the stockholders entitled to vote at the meeting, arranged in alphabetical order for each class of stock, and showing the mailing address of each stockholder and the number of shares registered in the name of each stockholder. Such list shall be open to the examination of any stockholder, for any purpose germane to the meeting, during ordinary business hours, for a period of at least 10 days prior to the meeting, in the manner provided by law. If the meeting is held at a place, the list shall be produced and kept at the time and place of the meeting during the whole time of the meeting, and may be examined by any stockholder who is present. If the meeting is to be held solely by means of remote communication, such list shall also be open to the examination of any stockholder during the whole time of the meeting on a reasonably accessible electronic network, and the information required to access such list shall be provided with the notice of the meeting. The stock ledger shall be the only evidence as to the stockholders who are entitled to examine the list required by this Section 1.5 or to vote in person or by proxy at any meeting of stockholders.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Quorum</w:t>
      </w:r>
      <w:r>
        <w:rPr>
          <w:rFonts w:ascii="Times New Roman;serif" w:hAnsi="Times New Roman;serif"/>
          <w:b w:val="false"/>
          <w:color w:val="000000"/>
          <w:sz w:val="24"/>
        </w:rPr>
        <w:t>. Except as otherwise provided by law or these Bylaws, the holders of a majority of the shares of the capital stock of the corporation entitled to vote at the meeting, present in person or represented by proxy, shall constitute a quorum for the transaction of business. Where a separate class vote by a class or classes or series is required, a majority of the shares of such class or classes or series present in person or represented by proxy shall constitute a quorum entitled to take action with respect to that vote on that matter.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Adjournments</w:t>
      </w:r>
      <w:r>
        <w:rPr>
          <w:rFonts w:ascii="Times New Roman;serif" w:hAnsi="Times New Roman;serif"/>
          <w:b w:val="false"/>
          <w:color w:val="000000"/>
          <w:sz w:val="24"/>
        </w:rPr>
        <w:t>. Any meeting of stockholders may be adjourned to any other time and to any other place at which a meeting of stockholders may be held under these Bylaws by the chairman of the meeting or, in the absence of such person, by any officer entitled to preside at or to act as secretary of such meeting, or by the holders of a majority of the shares of stock present or represented at the meeting and entitled to vote, although less than a quorum. When a meeting is adjourned to another place, date or time, written notice need not be given of the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provided, however, that if the date of any adjourned meeting is more than 30 days after the date for which the meeting was originally noticed, or if the Board of Directors fixes a new record date for the adjourned meeting in accordance with Section 4.5, written notice of the place, if any, date and time of the adjourned meeting and the means of remote communication, if any, by which stockholders and proxy holders may be deemed to be present in person and vote at such adjourned meeting, shall be given in conformity herewith. At the adjourned meeting, the corporation may transact any business which might have been transacted at the original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Voting and Proxies</w:t>
      </w:r>
      <w:r>
        <w:rPr>
          <w:rFonts w:ascii="Times New Roman;serif" w:hAnsi="Times New Roman;serif"/>
          <w:b w:val="false"/>
          <w:color w:val="000000"/>
          <w:sz w:val="24"/>
        </w:rPr>
        <w:t xml:space="preserve">. Each stockholder shall have one vote for each share of stock entitled to vote held of record by such stockholder and a proportionate vote for each fractional share so held, unless otherwise provided by law or in the Certificate of Incorporation. Each stockholder of record entitled to vote at a meeting of stockholders may vote in person or may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authorize any other person or persons to vote or act for such stockholder by a written proxy executed by the stockholder or the stockholder’s authorized agent or by an electronic transmission permitted by law and delivered to the Secretary of the corporation. No stockholder may authorize more than one proxy for his or her shares. Any copy, facsimile transmission or other reliable reproduction of the writing or electronic transmission created pursuant to this section may be substituted or used in lieu of the original writing or electronic transmission for any and all purposes for which the original writing or transmission could be used, provided that such copy, facsimile transmission or other reproduction shall be a complete reproduction of the entire original writing or electronic transmission.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Action at Meeting</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At any meeting of stockholders for the election of one or more directors at which a quorum is present, the election shall be determined by a plurality of the votes cast by the stockholders entitled to vote at the election.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 other matters shall be determined by a majority in voting power of the shares present in person or represented by proxy and entitled to vote on the matter (or if there are two or more classes of stock entitled to vote as separate classes, then in the case of each such class, a majority of the shares of each such class present in person or represented by proxy and entitled to vote on the matter shall decide such matter), provided that a quorum is present, except when a different vote is required by express provision of law, the Certificate of Incorporation or these Bylaws.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All voting, including on the election of directors, but excepting where otherwise required by law, may be by a voice vote; provided, however, that upon demand therefor by a stockholder entitled to vote or the stockholder’s proxy, a vote by ballot shall be taken. Each ballot shall state the name of the stockholder or proxy voting and such other information as may be required under the procedure established for the meeting. The corporation may, and to the extent required by law, shall, in advance of any meeting of stockholders, appoint one or more inspectors to act at the meeting and make a written report thereof. The corporation may designate one or more persons as an alternate inspector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faithfully execute the duties of inspector with strict impartiality and according to the best of his or her ability.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w:t>
      </w:r>
      <w:r>
        <w:rPr>
          <w:rFonts w:ascii="Times New Roman;serif" w:hAnsi="Times New Roman;serif"/>
          <w:b w:val="false"/>
          <w:color w:val="000000"/>
          <w:sz w:val="24"/>
          <w:u w:val="single"/>
        </w:rPr>
        <w:t>Conduct of Business</w:t>
      </w:r>
      <w:r>
        <w:rPr>
          <w:rFonts w:ascii="Times New Roman;serif" w:hAnsi="Times New Roman;serif"/>
          <w:b w:val="false"/>
          <w:color w:val="000000"/>
          <w:sz w:val="24"/>
        </w:rPr>
        <w:t>. At every meeting of the stockholders, the Chairman of the Board, or, in his or her absence, the President, or, in his or her absence, such other person as may be appointed by the Board of Directors, shall act as chairman. The Secretary of the corporation or a person designated by the chairman of the meeting shall act as secretary of the meeting. Unless otherwise approved by the chairman of the meeting, attendance at the stockholders’ meeting is restricted to stockholders of record, persons authorized in accordance with Section 1.8 of these Bylaws to act by proxy, and officers of the corporation.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chairman of the meeting shall call the meeting to order, establish the agenda, and conduct the business of the meeting in accordance therewith or, at the chairman’s discretion, the business of the meeting may be conducted otherwise in accordance with the wishes of the stockholders in attendance. The date and time of the opening and closing of the polls for each matter upon which the stockholders will vote at the meeting shall be announced at the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w:t>
      </w:r>
      <w:r>
        <w:rPr>
          <w:rFonts w:ascii="Times New Roman;serif" w:hAnsi="Times New Roman;serif"/>
          <w:b w:val="false"/>
          <w:color w:val="000000"/>
          <w:sz w:val="24"/>
          <w:u w:val="single"/>
        </w:rPr>
        <w:t>Stockholder Action Without Meeting</w:t>
      </w:r>
      <w:r>
        <w:rPr>
          <w:rFonts w:ascii="Times New Roman;serif" w:hAnsi="Times New Roman;serif"/>
          <w:b w:val="false"/>
          <w:color w:val="000000"/>
          <w:sz w:val="24"/>
        </w:rPr>
        <w:t xml:space="preserve">. Any action which may be taken at any annual or special meeting of stockholders may be taken without a meeting and without prior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notice, if a consent in writing, setting forth the actions so taken, is signed by the holders of outstanding shares having not less than the minimum number of votes that would be necessary to authorize or take such action at a meeting at which all shares entitled to vote thereon were present and voted. All such consents shall be filed with the Secretary of the corporation and shall be maintained in the corporate records. Prompt notice of the taking of a corporate action without a meeting by less than unanimous written consent shall be given to those stockholders who have not consented in writing.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 electronic transmission consenting to an action to be taken and transmitted by a stockholder, or by a proxy holder or other person authorized to act for a stockholder, shall be deemed to be written, signed and dated for the purpose of this Section 1.11, provided that such electronic transmission sets forth or is delivered with information from which the corporation can determine (a) that the electronic transmission was transmitted by the stockholder or by a person authorized to act for the stockholder and (b) the date on which such stockholder or authorized person transmitted such electronic transmission. The date on which such electronic transmission is transmitted shall be deemed to be the date on which such consent was signed. No consent given by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books in which proceedings of meetings of stockholders are recorded.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1.12</w:t>
      </w:r>
      <w:r>
        <w:rPr>
          <w:rFonts w:ascii="Times New Roman;serif" w:hAnsi="Times New Roman;serif"/>
          <w:b w:val="false"/>
          <w:color w:val="000000"/>
          <w:sz w:val="24"/>
          <w:u w:val="single"/>
        </w:rPr>
        <w:t>Meetings by Remote Communication</w:t>
      </w:r>
      <w:r>
        <w:rPr>
          <w:rFonts w:ascii="Times New Roman;serif" w:hAnsi="Times New Roman;serif"/>
          <w:b w:val="false"/>
          <w:color w:val="000000"/>
          <w:sz w:val="24"/>
        </w:rPr>
        <w:t>. If authorized by the Board of Directors, and subject to such guidelines and procedures as the Board of Directors may adopt, stockholders and proxy holders not physically present at a meeting of stockholders may, by means of remote communication, participate in the meeting and be deemed present in person and vote at the meeting,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(c) if any stockholder or proxy holder votes or takes other action at the meeting by means of remote communication, a record of such vote or other action shall be maintained by the corporation.</w:t>
      </w:r>
    </w:p>
    <w:p>
      <w:pPr>
        <w:pStyle w:val="TextBody"/>
        <w:bidi w:val="0"/>
        <w:spacing w:lineRule="auto" w:line="240" w:before="0" w:after="240"/>
        <w:jc w:val="center"/>
        <w:rPr/>
      </w:pPr>
      <w:r>
        <w:rPr>
          <w:rFonts w:ascii="Times New Roman;serif" w:hAnsi="Times New Roman;serif"/>
          <w:b/>
          <w:color w:val="000000"/>
          <w:sz w:val="24"/>
        </w:rPr>
        <w:t>Article II</w:t>
      </w:r>
      <w:r>
        <w:rPr>
          <w:rFonts w:ascii="Times New Roman;serif" w:hAnsi="Times New Roman;serif"/>
          <w:b/>
          <w:color w:val="000000"/>
          <w:sz w:val="24"/>
        </w:rPr>
        <w:br/>
        <w:t>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General Powers</w:t>
      </w:r>
      <w:r>
        <w:rPr>
          <w:rFonts w:ascii="Times New Roman;serif" w:hAnsi="Times New Roman;serif"/>
          <w:b w:val="false"/>
          <w:color w:val="000000"/>
          <w:sz w:val="24"/>
        </w:rPr>
        <w:t>. The business and affairs of the corporation shall be managed by or under the direction of a Board of Directors, who may exercise all of the powers of the corporation except as otherwise provided by law or the Certificate of Incorporation. In the event of a vacancy on the Board of Directors, the remaining directors, except as otherwise provided by law, may exercise the powers of the full Board of Directors until the vacancy is filled.</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Number and Term of Office</w:t>
      </w:r>
      <w:r>
        <w:rPr>
          <w:rFonts w:ascii="Times New Roman;serif" w:hAnsi="Times New Roman;serif"/>
          <w:b w:val="false"/>
          <w:color w:val="000000"/>
          <w:sz w:val="24"/>
        </w:rPr>
        <w:t>. Subject to the rights of the holders of any series of preferred stock to elect directors under specified circumstances, the number of directors shall initially be one (1) and, thereafter, shall be fixed from time to time by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by the stockholders of the corporation pursuant to a resolution adopted by the stockholders of the corporation holding a majority of the outstanding capital stock of the corporation (voting as a single class on an as-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2"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converted basis) All directors shall hold office until their successors are elected and qualified or until their earlier resignation or removal.</w: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Vacancies and Newly Created Directorships</w:t>
      </w:r>
      <w:r>
        <w:rPr>
          <w:rFonts w:ascii="Times New Roman;serif" w:hAnsi="Times New Roman;serif"/>
          <w:b w:val="false"/>
          <w:color w:val="000000"/>
          <w:sz w:val="24"/>
        </w:rPr>
        <w:t>.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or other cause (other than removal from office by a vote of the stockholders) may be filled only by a majority vote of the directors then in office, though less than a quorum, by the sole remaining director, or, to the extent required by the Certificate of Incorporation or if there are no directors, by the stockholders, and directors so chosen shall hold office for a term expiring at the next annual meeting of stockholders. No decrease in the number of authorized directors shall shorten the term of any incumbent director.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Resignation</w:t>
      </w:r>
      <w:r>
        <w:rPr>
          <w:rFonts w:ascii="Times New Roman;serif" w:hAnsi="Times New Roman;serif"/>
          <w:b w:val="false"/>
          <w:color w:val="000000"/>
          <w:sz w:val="24"/>
        </w:rPr>
        <w:t>. Any director may resign by delivering notice in writing or by electronic transmission to the President, Chairman of the Board or Secretary. Such resignation shall be effective upon receipt unless it is specified to be effective at some other time or upon the happening of some other event.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Removal</w:t>
      </w:r>
      <w:r>
        <w:rPr>
          <w:rFonts w:ascii="Times New Roman;serif" w:hAnsi="Times New Roman;serif"/>
          <w:b w:val="false"/>
          <w:color w:val="000000"/>
          <w:sz w:val="24"/>
        </w:rPr>
        <w:t>. Subject to the rights of the holders of any series of preferred stock then outstanding, any directors, or the entire Board of Directors, may be removed from office at any time, with or without cause, by the affirmative vote of the holders of a majority of the voting power of all of the outstanding shares of capital stock entitled to vote generally in the election of directors, voting together as a single class. Vacancies in the Board of Directors resulting from such removal may be filled by a majority of the directors then in office, though less than a quorum, by the sole remaining director, or by the stockholders at the next annual meeting or at a special meeting called in accordance with Section 1.3 above. Directors so chosen shall hold office until the next annual meeting of stockholders.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Regular Meetings</w:t>
      </w:r>
      <w:r>
        <w:rPr>
          <w:rFonts w:ascii="Times New Roman;serif" w:hAnsi="Times New Roman;serif"/>
          <w:b w:val="false"/>
          <w:color w:val="000000"/>
          <w:sz w:val="24"/>
        </w:rPr>
        <w:t>. Regular meetings of the Board of Directors may be held without notice at such time and place, either within or without the State of Delaware,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Special meetings of the Board of Directors may be called by the Chairman of the Board, the President or one or more directors and may be held at any time and place, within or without the State of Delaware.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Notice of Special Meetings</w:t>
      </w:r>
      <w:r>
        <w:rPr>
          <w:rFonts w:ascii="Times New Roman;serif" w:hAnsi="Times New Roman;serif"/>
          <w:b w:val="false"/>
          <w:color w:val="000000"/>
          <w:sz w:val="24"/>
        </w:rPr>
        <w:t>. Notice of any special meeting of directors shall be given to each director by whom it is not waived by the Secretary or by the officer or one of the directors calling the meeting. Notice shall be duly given to each director by whom it is not waived by (a) giving notice to such director in person or by telephone, electronic transmission or voice message system at least 24 hours in advance of the meeting, (b) sending a facsimile to his or her last known facsimile number, or delivering written notice by hand to his or her last known business or home address, at least 24 hours in advance of the meeting, or (c) mailing written notice to his or her last known business or home address at least three days in advance of the meeting. A notice or waiver of notice of a meeting of the Board of Directors need not specify the purposes of the meeting. Unless otherwise indicated in the notice thereof, any and all business may be transacted at a special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Participation in Meetings by Telephone Conference Calls or Other Methods of Communication</w:t>
      </w:r>
      <w:r>
        <w:rPr>
          <w:rFonts w:ascii="Times New Roman;serif" w:hAnsi="Times New Roman;serif"/>
          <w:b w:val="false"/>
          <w:color w:val="000000"/>
          <w:sz w:val="24"/>
        </w:rPr>
        <w:t xml:space="preserve">. Directors or any members of any committee designated by the directors may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3"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participate in a meeting of the Board of Directors or such committee by means of conference telephone or other communications equipment by means of which all persons participating in the meeting can hear each other, and participation by such means shall constitute presence in person at such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2.10</w:t>
      </w:r>
      <w:r>
        <w:rPr>
          <w:rFonts w:ascii="Times New Roman;serif" w:hAnsi="Times New Roman;serif"/>
          <w:b w:val="false"/>
          <w:color w:val="000000"/>
          <w:sz w:val="24"/>
          <w:u w:val="single"/>
        </w:rPr>
        <w:t>Quorum</w:t>
      </w:r>
      <w:r>
        <w:rPr>
          <w:rFonts w:ascii="Times New Roman;serif" w:hAnsi="Times New Roman;serif"/>
          <w:b w:val="false"/>
          <w:color w:val="000000"/>
          <w:sz w:val="24"/>
        </w:rPr>
        <w:t>. A majority of the total number of authorized directors shall constitute a quorum at any meeting of the Board of Directors. In the absence of a quorum at any such meeting, a majority of the directors present may adjourn the meeting from time to time without further notice other than announcement at the meeting, until a quorum shall be present. Interested directors may be counted in determining the presence of a quorum at a meeting of the Board of Directors or at a meeting of a committee which authorizes a particular contract or transaction.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2.11</w:t>
      </w:r>
      <w:r>
        <w:rPr>
          <w:rFonts w:ascii="Times New Roman;serif" w:hAnsi="Times New Roman;serif"/>
          <w:b w:val="false"/>
          <w:color w:val="000000"/>
          <w:sz w:val="24"/>
          <w:u w:val="single"/>
        </w:rPr>
        <w:t>Action at Meeting</w:t>
      </w:r>
      <w:r>
        <w:rPr>
          <w:rFonts w:ascii="Times New Roman;serif" w:hAnsi="Times New Roman;serif"/>
          <w:b w:val="false"/>
          <w:color w:val="000000"/>
          <w:sz w:val="24"/>
        </w:rPr>
        <w:t>. At any meeting of the Board of Directors at which a quorum is present, the vote of a majority of those present shall be sufficient to take any action, unless a different vote is specified by law, the Certificate of Incorporation or these Bylaws.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2.12</w:t>
      </w:r>
      <w:r>
        <w:rPr>
          <w:rFonts w:ascii="Times New Roman;serif" w:hAnsi="Times New Roman;serif"/>
          <w:b w:val="false"/>
          <w:color w:val="000000"/>
          <w:sz w:val="24"/>
          <w:u w:val="single"/>
        </w:rPr>
        <w:t>Action by Written Consent</w:t>
      </w:r>
      <w:r>
        <w:rPr>
          <w:rFonts w:ascii="Times New Roman;serif" w:hAnsi="Times New Roman;serif"/>
          <w:b w:val="false"/>
          <w:color w:val="000000"/>
          <w:sz w:val="24"/>
        </w:rPr>
        <w:t>. Any action required or permitted to be taken at any meeting of the Board of Directors or of any committee of the Board of Directors may be taken without a meeting if all members of the Board of Directors or committee, as the case may be, consent to the action in writing or by electronic transmission, and the writings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pStyle w:val="TextBody"/>
        <w:bidi w:val="0"/>
        <w:spacing w:lineRule="auto" w:line="240" w:before="0" w:after="240"/>
        <w:ind w:left="0" w:right="0" w:firstLine="720"/>
        <w:jc w:val="both"/>
        <w:rPr/>
      </w:pPr>
      <w:r>
        <w:rPr>
          <w:rFonts w:ascii="Times New Roman;serif" w:hAnsi="Times New Roman;serif"/>
          <w:b w:val="false"/>
          <w:color w:val="000000"/>
          <w:sz w:val="24"/>
        </w:rPr>
        <w:t>2.13</w:t>
      </w:r>
      <w:r>
        <w:rPr>
          <w:rFonts w:ascii="Times New Roman;serif" w:hAnsi="Times New Roman;serif"/>
          <w:b w:val="false"/>
          <w:color w:val="000000"/>
          <w:sz w:val="24"/>
          <w:u w:val="single"/>
        </w:rPr>
        <w:t>Committees</w:t>
      </w:r>
      <w:r>
        <w:rPr>
          <w:rFonts w:ascii="Times New Roman;serif" w:hAnsi="Times New Roman;serif"/>
          <w:b w:val="false"/>
          <w:color w:val="000000"/>
          <w:sz w:val="24"/>
        </w:rPr>
        <w:t>. The Board of Directors may designate one or more committees, each committee to consist of one or more of the directors of the corporation, with such lawfully delegated powers and duties as it therefor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he or she or they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the Delaware General Corporation Law,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such rules, its business shall be conducted as nearly as possible in the same manner as is provided in these Bylaws for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2.14</w:t>
      </w:r>
      <w:r>
        <w:rPr>
          <w:rFonts w:ascii="Times New Roman;serif" w:hAnsi="Times New Roman;serif"/>
          <w:b w:val="false"/>
          <w:color w:val="000000"/>
          <w:sz w:val="24"/>
          <w:u w:val="single"/>
        </w:rPr>
        <w:t>Compensation of Directors</w:t>
      </w:r>
      <w:r>
        <w:rPr>
          <w:rFonts w:ascii="Times New Roman;serif" w:hAnsi="Times New Roman;serif"/>
          <w:b w:val="false"/>
          <w:color w:val="000000"/>
          <w:sz w:val="24"/>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corporations in any other capacity and receiving compensation for such service.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2.15</w:t>
      </w:r>
      <w:r>
        <w:rPr>
          <w:rFonts w:ascii="Times New Roman;serif" w:hAnsi="Times New Roman;serif"/>
          <w:b w:val="false"/>
          <w:color w:val="000000"/>
          <w:sz w:val="24"/>
          <w:u w:val="single"/>
        </w:rPr>
        <w:t>Nomination of Director Candidates</w:t>
      </w:r>
      <w:r>
        <w:rPr>
          <w:rFonts w:ascii="Times New Roman;serif" w:hAnsi="Times New Roman;serif"/>
          <w:b w:val="false"/>
          <w:color w:val="000000"/>
          <w:sz w:val="24"/>
        </w:rPr>
        <w:t>. Subject to the rights of holders of any class or series of preferred stock then outstanding, nominations for the election of Directors may be made by (a) the Board of Directors or a duly authorized committee thereof or (b) any stockholder entitled to vote in the election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4"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III</w:t>
      </w:r>
      <w:r>
        <w:rPr>
          <w:rFonts w:ascii="Times New Roman;serif" w:hAnsi="Times New Roman;serif"/>
          <w:b/>
          <w:color w:val="000000"/>
          <w:sz w:val="24"/>
        </w:rPr>
        <w:br/>
        <w:t>OFFICERS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Enumeration</w:t>
      </w:r>
      <w:r>
        <w:rPr>
          <w:rFonts w:ascii="Times New Roman;serif" w:hAnsi="Times New Roman;serif"/>
          <w:b w:val="false"/>
          <w:color w:val="000000"/>
          <w:sz w:val="24"/>
        </w:rPr>
        <w:t>. The officers of the corporation shall consist of a President, a Secretary, a Treasurer and such other officers with such other titles as the Board of Directors shall determine, including, at the discretion of the Board of Directors, a Chairman of the Board, a Chief Executive Officer and one or more Vice Presidents and Assistant Secretaries. The Board of Directors may appoint such other officers as it may deem appropriate.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Election</w:t>
      </w:r>
      <w:r>
        <w:rPr>
          <w:rFonts w:ascii="Times New Roman;serif" w:hAnsi="Times New Roman;serif"/>
          <w:b w:val="false"/>
          <w:color w:val="000000"/>
          <w:sz w:val="24"/>
        </w:rPr>
        <w:t>. Officers shall be elected annually by the Board of Directors at its first meeting following the annual meeting of stockholders. Officers may be appointed by the Board of Directors at any other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Qualification</w:t>
      </w:r>
      <w:r>
        <w:rPr>
          <w:rFonts w:ascii="Times New Roman;serif" w:hAnsi="Times New Roman;serif"/>
          <w:b w:val="false"/>
          <w:color w:val="000000"/>
          <w:sz w:val="24"/>
        </w:rPr>
        <w:t>. No officer need be a stockholder. Any two or more offices may be held by the same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Tenure</w:t>
      </w:r>
      <w:r>
        <w:rPr>
          <w:rFonts w:ascii="Times New Roman;serif" w:hAnsi="Times New Roman;serif"/>
          <w:b w:val="false"/>
          <w:color w:val="000000"/>
          <w:sz w:val="24"/>
        </w:rPr>
        <w:t>. Except as otherwise provided by law, by the Certificate of Incorporation or by these Bylaws, each officer shall hold office until his or her successor is elected and qualified, unless a different term is specified in the vote appointing the officer, or until his or her earlier death, resignation or removal.</w:t>
      </w:r>
    </w:p>
    <w:p>
      <w:pPr>
        <w:pStyle w:val="TextBody"/>
        <w:bidi w:val="0"/>
        <w:spacing w:lineRule="auto" w:line="240" w:before="0" w:after="240"/>
        <w:ind w:left="0" w:right="0" w:firstLine="720"/>
        <w:jc w:val="both"/>
        <w:rPr/>
      </w:pPr>
      <w:r>
        <w:rPr>
          <w:rFonts w:ascii="Times New Roman;serif" w:hAnsi="Times New Roman;serif"/>
          <w:b w:val="false"/>
          <w:color w:val="000000"/>
          <w:sz w:val="24"/>
        </w:rPr>
        <w:t>3.5</w:t>
      </w:r>
      <w:r>
        <w:rPr>
          <w:rFonts w:ascii="Times New Roman;serif" w:hAnsi="Times New Roman;serif"/>
          <w:b w:val="false"/>
          <w:color w:val="000000"/>
          <w:sz w:val="24"/>
          <w:u w:val="single"/>
        </w:rPr>
        <w:t>Resignation and Removal</w:t>
      </w:r>
      <w:r>
        <w:rPr>
          <w:rFonts w:ascii="Times New Roman;serif" w:hAnsi="Times New Roman;serif"/>
          <w:b w:val="false"/>
          <w:color w:val="000000"/>
          <w:sz w:val="24"/>
        </w:rPr>
        <w:t>. Any officer may resign by delivering his or her written resignation to the corporation at its principal office or to the President or Secretary. Such resignation shall be effective upon receipt unless it is specified to be effective at some other time or upon the happening of some other event. Any officer elected by the Board of Directors may be removed at any time, with or without cause, by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3.6</w:t>
      </w:r>
      <w:r>
        <w:rPr>
          <w:rFonts w:ascii="Times New Roman;serif" w:hAnsi="Times New Roman;serif"/>
          <w:b w:val="false"/>
          <w:color w:val="000000"/>
          <w:sz w:val="24"/>
          <w:u w:val="single"/>
        </w:rPr>
        <w:t>Chairman of the Board</w:t>
      </w:r>
      <w:r>
        <w:rPr>
          <w:rFonts w:ascii="Times New Roman;serif" w:hAnsi="Times New Roman;serif"/>
          <w:b w:val="false"/>
          <w:color w:val="000000"/>
          <w:sz w:val="24"/>
        </w:rPr>
        <w:t>. The Board of Directors may appoint a Chairman of the Board. If the Board of Directors appoints a Chairman of the Board, he or she shall perform such duties and possess such powers as are assigned to the Chairman by the Board of Directors and these Bylaws. Unless otherwise provided by the Board of Directors, he or she shall preside at all meetings of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3.7</w:t>
      </w:r>
      <w:r>
        <w:rPr>
          <w:rFonts w:ascii="Times New Roman;serif" w:hAnsi="Times New Roman;serif"/>
          <w:b w:val="false"/>
          <w:color w:val="000000"/>
          <w:sz w:val="24"/>
          <w:u w:val="single"/>
        </w:rPr>
        <w:t>President</w:t>
      </w:r>
      <w:r>
        <w:rPr>
          <w:rFonts w:ascii="Times New Roman;serif" w:hAnsi="Times New Roman;serif"/>
          <w:b w:val="false"/>
          <w:color w:val="000000"/>
          <w:sz w:val="24"/>
        </w:rPr>
        <w:t>. Subject to the direction of the Board of Directors and such supervisory powers as may be given by these Bylaws or the Board of Directors to the Chairman of the Board, if such titles be held by other officers, the President shall have general supervision, direction and control of the business and supervision of other officers of the corporation. The President shall have such other powers and duties as may be prescribed by the Board of Directors or these Bylaws. The President shall have power to sign stock certificates, contracts and other instruments of the corporation which are authorized and shall have general supervision and direction of all of the other officers, employees and agents of the corporation, other than the Chairman of the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3.8</w:t>
      </w:r>
      <w:r>
        <w:rPr>
          <w:rFonts w:ascii="Times New Roman;serif" w:hAnsi="Times New Roman;serif"/>
          <w:b w:val="false"/>
          <w:color w:val="000000"/>
          <w:sz w:val="24"/>
          <w:u w:val="single"/>
        </w:rPr>
        <w:t>Vice Presidents</w:t>
      </w:r>
      <w:r>
        <w:rPr>
          <w:rFonts w:ascii="Times New Roman;serif" w:hAnsi="Times New Roman;serif"/>
          <w:b w:val="false"/>
          <w:color w:val="000000"/>
          <w:sz w:val="24"/>
        </w:rPr>
        <w:t>. Any Vice President shall perform such duties and possess such powers as the Board of Directors or the President may from time to time prescribe. In the event of the absence, inability or refusal to act of the President, the Vice President (or if there shall be more than one, the Vice Presidents in the order determined by the Board of Directors) shall perform the duties of the President and when so performing shall have all the powers of and be subject to all the restrictions upon the President. The Board of Directors may assign to any Vice President the title of Executive Vice President, Senior Vice President or any other title selected by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3.9</w:t>
      </w:r>
      <w:r>
        <w:rPr>
          <w:rFonts w:ascii="Times New Roman;serif" w:hAnsi="Times New Roman;serif"/>
          <w:b w:val="false"/>
          <w:color w:val="000000"/>
          <w:sz w:val="24"/>
          <w:u w:val="single"/>
        </w:rPr>
        <w:t>Secretary and Assistant Secretaries</w:t>
      </w:r>
      <w:r>
        <w:rPr>
          <w:rFonts w:ascii="Times New Roman;serif" w:hAnsi="Times New Roman;serif"/>
          <w:b w:val="false"/>
          <w:color w:val="000000"/>
          <w:sz w:val="24"/>
        </w:rPr>
        <w:t xml:space="preserve">. The Secretary shall perform such duties and shall have such powers as the Board of Directors or the President may from time to time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5"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prescribe. In addition, the Secretary shall perform such duties and have such powers as are set forth in these Bylaws and as are incident to the office of the Secretary, including, without limitation, the duty and power to give notices of all meetings of stockholders and special meetings of the Board of Directors, to keep a record of the proceedings of all meetings of stockholders and the Board of Directors, to maintain a stock ledger and prepare lists of stockholders and their addresses as required, to be custodian of corporate records and the corporate seal and to affix and attest to the same on documents.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Assistant Secretary shall perform such duties and possess such powers as the Board of Directors,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absence of the Secretary or any Assistant Secretary at any meeting of stockholders or directors, the person presiding at the meeting shall designate a temporary secretary to keep a record of the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3.10</w:t>
      </w:r>
      <w:r>
        <w:rPr>
          <w:rFonts w:ascii="Times New Roman;serif" w:hAnsi="Times New Roman;serif"/>
          <w:b w:val="false"/>
          <w:color w:val="000000"/>
          <w:sz w:val="24"/>
          <w:u w:val="single"/>
        </w:rPr>
        <w:t>Treasurer</w:t>
      </w:r>
      <w:r>
        <w:rPr>
          <w:rFonts w:ascii="Times New Roman;serif" w:hAnsi="Times New Roman;serif"/>
          <w:b w:val="false"/>
          <w:color w:val="000000"/>
          <w:sz w:val="24"/>
        </w:rPr>
        <w:t>. The Treasurer shall perform such duties and have such powers as are incident to the office of treasurer, including without limitation, the duty and power to keep and be responsible for all funds and securities of the corporation, to maintain the financial records of the corporation, to deposit funds of the corporation in depositories as authorized, to disburse such funds as authorized, to make proper accounts of such funds, and to render as required by the Board of Directors accounts of all such transactions and of the financial condition of the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3.11</w:t>
      </w:r>
      <w:r>
        <w:rPr>
          <w:rFonts w:ascii="Times New Roman;serif" w:hAnsi="Times New Roman;serif"/>
          <w:b w:val="false"/>
          <w:color w:val="000000"/>
          <w:sz w:val="24"/>
          <w:u w:val="single"/>
        </w:rPr>
        <w:t>Salaries</w:t>
      </w:r>
      <w:r>
        <w:rPr>
          <w:rFonts w:ascii="Times New Roman;serif" w:hAnsi="Times New Roman;serif"/>
          <w:b w:val="false"/>
          <w:color w:val="000000"/>
          <w:sz w:val="24"/>
        </w:rPr>
        <w:t>. Officers of the corporation shall be entitled to such salaries, compensation or reimbursement as shall be fixed or allowed from time to time by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3.12</w:t>
      </w:r>
      <w:r>
        <w:rPr>
          <w:rFonts w:ascii="Times New Roman;serif" w:hAnsi="Times New Roman;serif"/>
          <w:b w:val="false"/>
          <w:color w:val="000000"/>
          <w:sz w:val="24"/>
          <w:u w:val="single"/>
        </w:rPr>
        <w:t>Delegation of Authority</w:t>
      </w:r>
      <w:r>
        <w:rPr>
          <w:rFonts w:ascii="Times New Roman;serif" w:hAnsi="Times New Roman;serif"/>
          <w:b w:val="false"/>
          <w:color w:val="000000"/>
          <w:sz w:val="24"/>
        </w:rPr>
        <w:t>. The Board of Directors may from time-to-time delegate the powers or duties of any officer to any other officers or agents, notwithstanding any provision hereof.</w:t>
      </w:r>
    </w:p>
    <w:p>
      <w:pPr>
        <w:pStyle w:val="TextBody"/>
        <w:bidi w:val="0"/>
        <w:spacing w:lineRule="auto" w:line="240" w:before="0" w:after="240"/>
        <w:jc w:val="center"/>
        <w:rPr/>
      </w:pPr>
      <w:r>
        <w:rPr>
          <w:rFonts w:ascii="Times New Roman;serif" w:hAnsi="Times New Roman;serif"/>
          <w:b/>
          <w:color w:val="000000"/>
          <w:sz w:val="24"/>
        </w:rPr>
        <w:t>Article IV</w:t>
      </w:r>
      <w:r>
        <w:rPr>
          <w:rFonts w:ascii="Times New Roman;serif" w:hAnsi="Times New Roman;serif"/>
          <w:b/>
          <w:color w:val="000000"/>
          <w:sz w:val="24"/>
        </w:rPr>
        <w:br/>
        <w:t>CAPITAL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Issuance of Stock</w:t>
      </w:r>
      <w:r>
        <w:rPr>
          <w:rFonts w:ascii="Times New Roman;serif" w:hAnsi="Times New Roman;serif"/>
          <w:b w:val="false"/>
          <w:color w:val="000000"/>
          <w:sz w:val="24"/>
        </w:rPr>
        <w:t>. Subject to the provisions of the Certificate of Incorporation, the whole or any part of any unissued balance of the authorized capital stock of the corporation or the whole or any part of any unissued balance of the authorized capital stock of the corporation held in its treasury may be issued, sold, transferred or otherwise disposed of by vote of the Board of Directors in such manner, for such consideration and on such terms as the Board of Directors may determine.</w:t>
      </w:r>
    </w:p>
    <w:p>
      <w:pPr>
        <w:pStyle w:val="TextBody"/>
        <w:bidi w:val="0"/>
        <w:spacing w:lineRule="auto" w:line="240"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Certificates of Stock</w:t>
      </w:r>
      <w:r>
        <w:rPr>
          <w:rFonts w:ascii="Times New Roman;serif" w:hAnsi="Times New Roman;serif"/>
          <w:b w:val="false"/>
          <w:color w:val="000000"/>
          <w:sz w:val="24"/>
        </w:rPr>
        <w:t xml:space="preserve">. The shares of the corporation shall be uncertificated, provided that the Board of Directors may provide by resolution or resolutions that some or all of any or all classes or series of its stock shall be certificated shares, whereby each stockholder shall be entitled to a certificate of the capital stock of the corporation in such form as may from time to time be prescribed by law and by the Board of Directors. Each such certificate shall be signed by, or in the name of, the corporation by any two (2) authorized officers of the corporation. Such signatures may be a facsimile. In case any officer, transfer agent or registrar who has signed or whose facsimile signature has been placed on such certificate shall have ceased to be such officer, transfer agent or registrar before such certificate is issued, it may be issued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6"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corporation with the same effect as if such person were such officer, transfer agent or registrar at the time of its issue. The corporation shall be permitted to issue fractional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rPr>
        <w:t>Each certificate for shares of stock which are subject to any restriction on transfer pursuant to the Certificate of Incorporation, the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Transfers</w:t>
      </w:r>
      <w:r>
        <w:rPr>
          <w:rFonts w:ascii="Times New Roman;serif" w:hAnsi="Times New Roman;serif"/>
          <w:b w:val="false"/>
          <w:color w:val="000000"/>
          <w:sz w:val="24"/>
        </w:rPr>
        <w:t>. Except as otherwise established by rules and regulations adopted by the Board of Directors, and subject to applicable law, shares of stock may be transferred on the books of the corporation by the surrender to the corporation or its transfer agent of the certificate representing such shares properly endorsed or accompanied by a written assignment or power of attorney properly executed, and with such proof of authority or authenticity of signature as the corporation or its transfer agent may reasonably require. Except as may be otherwise required by law, the Certificate of Incorporation or the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Lost, Stolen or Destroyed Certificates</w:t>
      </w:r>
      <w:r>
        <w:rPr>
          <w:rFonts w:ascii="Times New Roman;serif" w:hAnsi="Times New Roman;serif"/>
          <w:b w:val="false"/>
          <w:color w:val="000000"/>
          <w:sz w:val="24"/>
        </w:rPr>
        <w:t>. The corporation may issue a new certificate of stock in place of any previously issued certificate alleged to have been lost, stolen, or destroyed, upon such terms and conditions as the Board of Directors may prescribe, including the presentation of reasonable evidence of such loss, theft or destruction and the giving of such indemnity as the Board of Directors may require for the protection of the corporation or any transfer agent or registrar.</w:t>
      </w:r>
    </w:p>
    <w:p>
      <w:pPr>
        <w:pStyle w:val="TextBody"/>
        <w:bidi w:val="0"/>
        <w:spacing w:lineRule="auto" w:line="240" w:before="0" w:after="24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Record Date</w:t>
      </w:r>
      <w:r>
        <w:rPr>
          <w:rFonts w:ascii="Times New Roman;serif" w:hAnsi="Times New Roman;serif"/>
          <w:b w:val="false"/>
          <w:color w:val="000000"/>
          <w:sz w:val="24"/>
        </w:rPr>
        <w:t>. The Board of Directors may fix in advance a record date for the determination of the stockholders entitled to notice of and to vote at any meeting of stockholders or to express consent to corporate action in writing without a meeting, or entitled to receive payment of any dividend or other distribution or allotment of any rights in respect of any change, concession or exchange of stock, or for the purpose of any other lawful action. Such record date shall not precede the date on which the resolution fixing the record date is adopted and shall not be more than 60 nor less than 10 days before the date of such meeting, nor more than 60 days prior to any other action to which such record date relates.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no record date is fixed by the Board of Directors, the record date for determining the stockholders entitled to notice of and to vote at a meeting of stockholders shall be the close of business on the day before the date on which notice is given, or, if notice is waived, the close of business on the day before the date on which the meeting is held. If no record date is fixed by the Board of Directors, the record date for determining stockholders entitled to express consent to corporate action in writing without a meeting when no prior action by the Board of Directors is necessary, shall be the date on which the first written consent is expressed. The record date for determining stockholders for any other purpose shall be at the close of business on the day on which the Board of Directors adopts the resolution relating to such purpose.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determination of stockholders of record entitled to notice of and to vote at a meeting of stockholders shall apply to any adjournment of the meeting; provided, however, that the Board of Directors may fix a new record date for the adjourned meeting.</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7"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V</w:t>
      </w:r>
      <w:r>
        <w:rPr>
          <w:rFonts w:ascii="Times New Roman;serif" w:hAnsi="Times New Roman;serif"/>
          <w:b/>
          <w:color w:val="000000"/>
          <w:sz w:val="24"/>
        </w:rPr>
        <w:br/>
        <w:t>GENERAL PROVISIONS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Fiscal Year</w:t>
      </w:r>
      <w:r>
        <w:rPr>
          <w:rFonts w:ascii="Times New Roman;serif" w:hAnsi="Times New Roman;serif"/>
          <w:b w:val="false"/>
          <w:color w:val="000000"/>
          <w:sz w:val="24"/>
        </w:rPr>
        <w:t>. The fiscal year of the corporation shall be as fixed by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Corporate Seal</w:t>
      </w:r>
      <w:r>
        <w:rPr>
          <w:rFonts w:ascii="Times New Roman;serif" w:hAnsi="Times New Roman;serif"/>
          <w:b w:val="false"/>
          <w:color w:val="000000"/>
          <w:sz w:val="24"/>
        </w:rPr>
        <w:t>. The corporate seal shall be in such form as shall be approved by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5.3</w:t>
      </w:r>
      <w:r>
        <w:rPr>
          <w:rFonts w:ascii="Times New Roman;serif" w:hAnsi="Times New Roman;serif"/>
          <w:b w:val="false"/>
          <w:color w:val="000000"/>
          <w:sz w:val="24"/>
          <w:u w:val="single"/>
        </w:rPr>
        <w:t>Waiver of Notice</w:t>
      </w:r>
      <w:r>
        <w:rPr>
          <w:rFonts w:ascii="Times New Roman;serif" w:hAnsi="Times New Roman;serif"/>
          <w:b w:val="false"/>
          <w:color w:val="000000"/>
          <w:sz w:val="24"/>
        </w:rPr>
        <w:t>. Whenever any notice whatsoever is required to be given by law, by the Certificate of Incorporation or by these Bylaws, a waiver of such notice either in writing signed by the person entitled to such notice or such person’s duly authorized attorney, or by electronic transmission or any other method permitted under the Delaware General Corporation Law, whether before, at or after the time stated in such waiver, or the appearance of such person or persons at such meeting in person or by proxy, shall be deemed equivalent to such notice. Neither the business nor the purpose of any meeting need be specified in such a waiver. Attendance at any meeting shall constitute waiver of notice except attendance for the sole purpose of objecting to the timeliness or manner of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5.4</w:t>
      </w:r>
      <w:r>
        <w:rPr>
          <w:rFonts w:ascii="Times New Roman;serif" w:hAnsi="Times New Roman;serif"/>
          <w:b w:val="false"/>
          <w:color w:val="000000"/>
          <w:sz w:val="24"/>
          <w:u w:val="single"/>
        </w:rPr>
        <w:t>Actions with Respect to Securities of Other Corporations</w:t>
      </w:r>
      <w:r>
        <w:rPr>
          <w:rFonts w:ascii="Times New Roman;serif" w:hAnsi="Times New Roman;serif"/>
          <w:b w:val="false"/>
          <w:color w:val="000000"/>
          <w:sz w:val="24"/>
        </w:rPr>
        <w:t>. Except as the Board of Directors may otherwise designate, the President or any officer of the corporation authorized by the President shall have the power to vote and otherwise act on behalf of the corporation, in person or by proxy, and may waive notice of, and act as, or appoint any person or persons to act as, proxy or attorney-in-fact to this corporation (with or without power of substitution) at any meeting of stockholders or shareholders (or with respect to any action of stockholders) of any other corporation or organization, the securities of which may be held by this corporation and otherwise to exercise any and all rights and powers that this corporation may possess by reason of this corporation’s ownership of securities in such other corporation or other organization.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5.5</w:t>
      </w:r>
      <w:r>
        <w:rPr>
          <w:rFonts w:ascii="Times New Roman;serif" w:hAnsi="Times New Roman;serif"/>
          <w:b w:val="false"/>
          <w:color w:val="000000"/>
          <w:sz w:val="24"/>
          <w:u w:val="single"/>
        </w:rPr>
        <w:t>Evidence of Authority</w:t>
      </w:r>
      <w:r>
        <w:rPr>
          <w:rFonts w:ascii="Times New Roman;serif" w:hAnsi="Times New Roman;serif"/>
          <w:b w:val="false"/>
          <w:color w:val="000000"/>
          <w:sz w:val="24"/>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5.6</w:t>
      </w:r>
      <w:r>
        <w:rPr>
          <w:rFonts w:ascii="Times New Roman;serif" w:hAnsi="Times New Roman;serif"/>
          <w:b w:val="false"/>
          <w:color w:val="000000"/>
          <w:sz w:val="24"/>
          <w:u w:val="single"/>
        </w:rPr>
        <w:t>Certificate of Incorporation</w:t>
      </w:r>
      <w:r>
        <w:rPr>
          <w:rFonts w:ascii="Times New Roman;serif" w:hAnsi="Times New Roman;serif"/>
          <w:b w:val="false"/>
          <w:color w:val="000000"/>
          <w:sz w:val="24"/>
        </w:rPr>
        <w:t>. All references in these Bylaws to the Certificate of Incorporation shall be deemed to refer to the Certificate of Incorporation of the corporation, as amended and in effect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5.7</w:t>
      </w:r>
      <w:r>
        <w:rPr>
          <w:rFonts w:ascii="Times New Roman;serif" w:hAnsi="Times New Roman;serif"/>
          <w:b w:val="false"/>
          <w:color w:val="000000"/>
          <w:sz w:val="24"/>
          <w:u w:val="single"/>
        </w:rPr>
        <w:t>Severability</w:t>
      </w:r>
      <w:r>
        <w:rPr>
          <w:rFonts w:ascii="Times New Roman;serif" w:hAnsi="Times New Roman;serif"/>
          <w:b w:val="false"/>
          <w:color w:val="000000"/>
          <w:sz w:val="24"/>
        </w:rPr>
        <w:t>. Any determination that any provision of these Bylaws is for any reason inapplicable, illegal or ineffective shall not affect or invalidate any other provision of these Bylaws.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5.8</w:t>
      </w:r>
      <w:r>
        <w:rPr>
          <w:rFonts w:ascii="Times New Roman;serif" w:hAnsi="Times New Roman;serif"/>
          <w:b w:val="false"/>
          <w:color w:val="000000"/>
          <w:sz w:val="24"/>
          <w:u w:val="single"/>
        </w:rPr>
        <w:t>Pronouns</w:t>
      </w:r>
      <w:r>
        <w:rPr>
          <w:rFonts w:ascii="Times New Roman;serif" w:hAnsi="Times New Roman;serif"/>
          <w:b w:val="false"/>
          <w:color w:val="000000"/>
          <w:sz w:val="24"/>
        </w:rPr>
        <w:t>. All pronouns used in these Bylaws shall be deemed to refer to the masculine, feminine or neuter, singular or plural, as the identity of the person or persons may require.</w:t>
      </w:r>
    </w:p>
    <w:p>
      <w:pPr>
        <w:pStyle w:val="TextBody"/>
        <w:bidi w:val="0"/>
        <w:spacing w:lineRule="auto" w:line="240" w:before="0" w:after="240"/>
        <w:ind w:left="0" w:right="0" w:firstLine="720"/>
        <w:jc w:val="both"/>
        <w:rPr/>
      </w:pPr>
      <w:r>
        <w:rPr>
          <w:rFonts w:ascii="Times New Roman;serif" w:hAnsi="Times New Roman;serif"/>
          <w:b w:val="false"/>
          <w:color w:val="000000"/>
          <w:sz w:val="24"/>
        </w:rPr>
        <w:t>5.9</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Except as otherwise specifically provided herein or required by law, all notices required to be given to any stockholder, director, officer, employee or agent of the corporation shall be in writing and may in every instance be effectively given by hand delivery to the recipient thereof, by depositing such notice in the mails, postage paid, or by sending such notice by commercial courier service, or by facsimile or other electronic transmission, provided that notice to stockholders by electronic 10 transmission shall be given in the manner provided in Section 232 of the Delaware General Corporation Law. Any such notice shall be addressed to such stockholder, director, officer, employee or agent at his or her last known address as the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8"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same appears on the books of the corporation. The time when such notice shall be deemed to be given shall be the time such notice is received by such stockholder, director, officer, employee or agent, or by any person accepting such notice on behalf of such person, if delivered by hand, facsimile, other electronic transmission or commercial courier service, or the time such notice is dispatched, if delivered through the mails. Without limiting the manner by which notice otherwise may be given effectively, notice to any stockholder shall be deemed given: (a) if by facsimile,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specific posting, upon the later of (i) such posting and (ii) the giving of such separate notice; (d) if by any other form of electronic transmission, when directed to the stockholder; and (e) if by mail, when deposited in the mail, postage prepaid, directed to the stockholder at such stockholder’s address as it appears on the records of the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5.10</w:t>
      </w:r>
      <w:r>
        <w:rPr>
          <w:rFonts w:ascii="Times New Roman;serif" w:hAnsi="Times New Roman;serif"/>
          <w:b w:val="false"/>
          <w:color w:val="000000"/>
          <w:sz w:val="24"/>
          <w:u w:val="single"/>
        </w:rPr>
        <w:t>Reliance Upon Books, Reports and Records</w:t>
      </w:r>
      <w:r>
        <w:rPr>
          <w:rFonts w:ascii="Times New Roman;serif" w:hAnsi="Times New Roman;serif"/>
          <w:b w:val="false"/>
          <w:color w:val="000000"/>
          <w:sz w:val="24"/>
        </w:rPr>
        <w:t>. Each director, each member of any committee designated by the Board of Directors, and each officer of the corporation shall, in the performance of his or her duties, be fully protected in relying in good faith upon the books of account or other records of the corporation, as provided by law, including reports made to the corporation by any of its officers, by an independent certified public accountant, or by an appraiser selected with reasonable care.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5.11</w:t>
      </w:r>
      <w:r>
        <w:rPr>
          <w:rFonts w:ascii="Times New Roman;serif" w:hAnsi="Times New Roman;serif"/>
          <w:b w:val="false"/>
          <w:color w:val="000000"/>
          <w:sz w:val="24"/>
          <w:u w:val="single"/>
        </w:rPr>
        <w:t>Time Periods</w:t>
      </w:r>
      <w:r>
        <w:rPr>
          <w:rFonts w:ascii="Times New Roman;serif" w:hAnsi="Times New Roman;serif"/>
          <w:b w:val="false"/>
          <w:color w:val="000000"/>
          <w:sz w:val="24"/>
        </w:rPr>
        <w:t>. In applying any provision of these Bylaws which require that an act be done or not done a specified number of days prior to an event or that an act be done during a period of a specified number of days prior to an event, calendar days shall be used, the day of the doing of the act shall be excluded, and the day of the event shall be included.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5.12</w:t>
      </w:r>
      <w:r>
        <w:rPr>
          <w:rFonts w:ascii="Times New Roman;serif" w:hAnsi="Times New Roman;serif"/>
          <w:b w:val="false"/>
          <w:color w:val="000000"/>
          <w:sz w:val="24"/>
          <w:u w:val="single"/>
        </w:rPr>
        <w:t>Facsimile Signatures</w:t>
      </w:r>
      <w:r>
        <w:rPr>
          <w:rFonts w:ascii="Times New Roman;serif" w:hAnsi="Times New Roman;serif"/>
          <w:b w:val="false"/>
          <w:color w:val="000000"/>
          <w:sz w:val="24"/>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5.13</w:t>
      </w:r>
      <w:r>
        <w:rPr>
          <w:rFonts w:ascii="Times New Roman;serif" w:hAnsi="Times New Roman;serif"/>
          <w:b w:val="false"/>
          <w:color w:val="000000"/>
          <w:sz w:val="24"/>
          <w:u w:val="single"/>
        </w:rPr>
        <w:t>Annual Report</w:t>
      </w:r>
      <w:r>
        <w:rPr>
          <w:rFonts w:ascii="Times New Roman;serif" w:hAnsi="Times New Roman;serif"/>
          <w:b w:val="false"/>
          <w:color w:val="000000"/>
          <w:sz w:val="24"/>
        </w:rPr>
        <w:t>. For so long as the corporation has fewer than 100 holders of record of its shares, the mandatory requirement of an annual report under Section 1501 of the California Corporations Code is hereby expressly waived.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5.14</w:t>
      </w:r>
      <w:r>
        <w:rPr>
          <w:rFonts w:ascii="Times New Roman;serif" w:hAnsi="Times New Roman;serif"/>
          <w:b w:val="false"/>
          <w:color w:val="000000"/>
          <w:sz w:val="24"/>
          <w:u w:val="single"/>
        </w:rPr>
        <w:t>Forum for Certain Actions</w:t>
      </w:r>
      <w:r>
        <w:rPr>
          <w:rFonts w:ascii="Times New Roman;serif" w:hAnsi="Times New Roman;serif"/>
          <w:b w:val="false"/>
          <w:color w:val="000000"/>
          <w:sz w:val="24"/>
        </w:rPr>
        <w:t>. To the fullest extent permitted by law, the Court of Chancery of the State of Delaware shall be the sole and exclusive forum for (i) any derivative action or proceeding brought on behalf of the corporation, (ii) any action asserting a claim of breach of a fiduciary duty owed by any director or officer of the corporation to the corporation or the corporation’s stockholders, (iii) any action asserting a claim against the corporation arising pursuant to any provision of the Delaware General Corporation Law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Section 5.14.</w:t>
      </w:r>
    </w:p>
    <w:p>
      <w:pPr>
        <w:pStyle w:val="TextBody"/>
        <w:bidi w:val="0"/>
        <w:spacing w:lineRule="auto" w:line="240" w:before="0" w:after="240"/>
        <w:jc w:val="center"/>
        <w:rPr/>
      </w:pPr>
      <w:r>
        <w:rPr>
          <w:rFonts w:ascii="Times New Roman;serif" w:hAnsi="Times New Roman;serif"/>
          <w:b/>
          <w:color w:val="000000"/>
          <w:sz w:val="24"/>
        </w:rPr>
        <w:t>Article VI</w:t>
      </w:r>
      <w:r>
        <w:rPr>
          <w:rFonts w:ascii="Times New Roman;serif" w:hAnsi="Times New Roman;serif"/>
          <w:b/>
          <w:color w:val="000000"/>
          <w:sz w:val="24"/>
        </w:rPr>
        <w:br/>
        <w:t>AMENDMENTS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By the Board of Directors</w:t>
      </w:r>
      <w:r>
        <w:rPr>
          <w:rFonts w:ascii="Times New Roman;serif" w:hAnsi="Times New Roman;serif"/>
          <w:b w:val="false"/>
          <w:color w:val="000000"/>
          <w:sz w:val="24"/>
        </w:rPr>
        <w:t>. Except as otherwise set forth in these Bylaws, these Bylaws may be altered, amended or repealed or new Bylaws may be adopted by the affirmative vote of a majority of the directors present at any regular or special meeting of the Board of Directors at which a quorum is present.</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9"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By the Stockholders</w:t>
      </w:r>
      <w:r>
        <w:rPr>
          <w:rFonts w:ascii="Times New Roman;serif" w:hAnsi="Times New Roman;serif"/>
          <w:b w:val="false"/>
          <w:color w:val="000000"/>
          <w:sz w:val="24"/>
        </w:rPr>
        <w:t>. Except as otherwise set forth in these Bylaws, these Bylaws may be altered, amended or repealed or new Bylaws may be adopted by the affirmative vote of the holders of a majority of the voting power of all of the shares of capital stock of the corporation issued and outstanding and entitled to vote generally in any election of directors, voting together as a single class. Such vote may be held at any annual meeting of stockholders, or at any special meeting of stockholders provided that notice of such alteration, amendment, repeal or adoption of new Bylaws shall have been stated in the notice of such special meeting.</w:t>
      </w:r>
    </w:p>
    <w:p>
      <w:pPr>
        <w:pStyle w:val="TextBody"/>
        <w:bidi w:val="0"/>
        <w:spacing w:lineRule="auto" w:line="240" w:before="0" w:after="240"/>
        <w:jc w:val="center"/>
        <w:rPr/>
      </w:pPr>
      <w:r>
        <w:rPr>
          <w:rFonts w:ascii="Times New Roman;serif" w:hAnsi="Times New Roman;serif"/>
          <w:b/>
          <w:color w:val="000000"/>
          <w:sz w:val="24"/>
        </w:rPr>
        <w:t>Article VII</w:t>
      </w:r>
      <w:r>
        <w:rPr>
          <w:rFonts w:ascii="Times New Roman;serif" w:hAnsi="Times New Roman;serif"/>
          <w:b/>
          <w:color w:val="000000"/>
          <w:sz w:val="24"/>
        </w:rPr>
        <w:br/>
        <w:t>INDEMNIFICATION OF DIRECTORS AND OFFICERS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Right to Indemnification</w:t>
      </w:r>
      <w:r>
        <w:rPr>
          <w:rFonts w:ascii="Times New Roman;serif" w:hAnsi="Times New Roman;serif"/>
          <w:b w:val="false"/>
          <w:color w:val="000000"/>
          <w:sz w:val="24"/>
        </w:rPr>
        <w:t>. Each person who was or is made a party or is threatened to be made a party to or is otherwise involved in any action, suit or proceeding, whether civil, criminal, administrative or investigative (hereinafter a "proceeding"),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or other enterprise, including service with respect to an employee benefit plan (hereinafter an "indemnitee"), where the basis of such proceeding is alleged action in an official capacity as a director, officer, employee or agent,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permitted prior thereto), against all expense, liability and loss (including attorneys' fees, judgments, fines, ERISA excise taxes or penalties and amounts paid in settlement) reasonably incurred or suffered by such indemnitee in connection therewith and such indemnification shall continue as to an indemnitee who has ceased to be a director, officer, employee or agent and shall inure to the benefit of the indemnitee's heirs, executors and administrators; provided, however, that, except as provided in Section 7.4 hereof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 The right to indemnification conferred in Section 6.1 shall include the right to be paid by the corporation the expenses incurred in defending any proceeding for which such right to indemnification is applicable in advance of its final disposition (hereinafter an "advancement of expenses"); provided, however,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Right of Claimant to Bring Suit</w:t>
      </w:r>
      <w:r>
        <w:rPr>
          <w:rFonts w:ascii="Times New Roman;serif" w:hAnsi="Times New Roman;serif"/>
          <w:b w:val="false"/>
          <w:color w:val="000000"/>
          <w:sz w:val="24"/>
        </w:rPr>
        <w:t xml:space="preserve">. The rights to indemnification and to the advancement of expenses conferred in Section 7.1 shall be contract rights. If a claim under Section 7.1 is not paid in full by the corporation within sixty days after a written claim has been received by the corporation, except in the case of a claim for an advancement of expenses, in which case the applicable period shall be twenty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(A) any suit brought by the indemnitee to enforce a right to indemnification hereunder (but not in a suit brought by the indemnitee to enforce a right to an advancement of expenses) it shall be a defense that, and (B) in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20"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any suit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Section 7.2 or otherwise shall be on the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7.3</w:t>
      </w:r>
      <w:r>
        <w:rPr>
          <w:rFonts w:ascii="Times New Roman;serif" w:hAnsi="Times New Roman;serif"/>
          <w:b w:val="false"/>
          <w:color w:val="000000"/>
          <w:sz w:val="24"/>
          <w:u w:val="single"/>
        </w:rPr>
        <w:t>Indemnification of Employees and Agents</w:t>
      </w:r>
      <w:r>
        <w:rPr>
          <w:rFonts w:ascii="Times New Roman;serif" w:hAnsi="Times New Roman;serif"/>
          <w:b w:val="false"/>
          <w:color w:val="000000"/>
          <w:sz w:val="24"/>
        </w:rPr>
        <w:t>. The corporation may, to the extent authorized from time to time by the Board of Directors, grant rights to indemnification, and to the advancement of related expenses, to any employee or agent of the corporation to the fullest extent of the provisions of this Article VII with respect to the indemnification of and advancement of expenses to directors and officers of the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7.4</w:t>
      </w:r>
      <w:r>
        <w:rPr>
          <w:rFonts w:ascii="Times New Roman;serif" w:hAnsi="Times New Roman;serif"/>
          <w:b w:val="false"/>
          <w:color w:val="000000"/>
          <w:sz w:val="24"/>
          <w:u w:val="single"/>
        </w:rPr>
        <w:t>Non-Exclusivity of Rights</w:t>
      </w:r>
      <w:r>
        <w:rPr>
          <w:rFonts w:ascii="Times New Roman;serif" w:hAnsi="Times New Roman;serif"/>
          <w:b w:val="false"/>
          <w:color w:val="000000"/>
          <w:sz w:val="24"/>
        </w:rPr>
        <w:t>. The rights to indemnification and to the advancement of expenses conferred on any person in this Article VII shall not be exclusive of any other right which such persons may have or hereafter acquire under any statute, provision of the Certificate of Incorporation, Bylaw, agreement, vote of stockholders or disinterested directors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7.5</w:t>
      </w:r>
      <w:r>
        <w:rPr>
          <w:rFonts w:ascii="Times New Roman;serif" w:hAnsi="Times New Roman;serif"/>
          <w:b w:val="false"/>
          <w:color w:val="000000"/>
          <w:sz w:val="24"/>
          <w:u w:val="single"/>
        </w:rPr>
        <w:t>Indemnification Contracts</w:t>
      </w:r>
      <w:r>
        <w:rPr>
          <w:rFonts w:ascii="Times New Roman;serif" w:hAnsi="Times New Roman;serif"/>
          <w:b w:val="false"/>
          <w:color w:val="000000"/>
          <w:sz w:val="24"/>
        </w:rPr>
        <w:t>. The Board of Directors is authorized to enter into a contract with any director, officer, employee or agent of the corporation, or any person serving at the request of the corporation as a director, officer, employee or agent of another corporation, partnership, joint venture, trust or other enterprise, including employee benefit plans, providing for indemnification rights equivalent to or, if the Board of Directors so determines, greater than, those provided for in this Article VII.</w:t>
      </w:r>
    </w:p>
    <w:p>
      <w:pPr>
        <w:pStyle w:val="TextBody"/>
        <w:bidi w:val="0"/>
        <w:spacing w:lineRule="auto" w:line="240" w:before="0" w:after="240"/>
        <w:ind w:left="0" w:right="0" w:firstLine="720"/>
        <w:jc w:val="both"/>
        <w:rPr/>
      </w:pPr>
      <w:r>
        <w:rPr>
          <w:rFonts w:ascii="Times New Roman;serif" w:hAnsi="Times New Roman;serif"/>
          <w:b w:val="false"/>
          <w:color w:val="000000"/>
          <w:sz w:val="24"/>
        </w:rPr>
        <w:t>7.6</w:t>
      </w:r>
      <w:r>
        <w:rPr>
          <w:rFonts w:ascii="Times New Roman;serif" w:hAnsi="Times New Roman;serif"/>
          <w:b w:val="false"/>
          <w:color w:val="000000"/>
          <w:sz w:val="24"/>
          <w:u w:val="single"/>
        </w:rPr>
        <w:t>Insurance</w:t>
      </w:r>
      <w:r>
        <w:rPr>
          <w:rFonts w:ascii="Times New Roman;serif" w:hAnsi="Times New Roman;serif"/>
          <w:b w:val="false"/>
          <w:color w:val="000000"/>
          <w:sz w:val="24"/>
        </w:rPr>
        <w:t>. The corporation may maintain insurance to the extent reasonably available, at its expense, to protect itself and any such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7.7</w:t>
      </w:r>
      <w:r>
        <w:rPr>
          <w:rFonts w:ascii="Times New Roman;serif" w:hAnsi="Times New Roman;serif"/>
          <w:b w:val="false"/>
          <w:color w:val="000000"/>
          <w:sz w:val="24"/>
          <w:u w:val="single"/>
        </w:rPr>
        <w:t>Effect of Amendment</w:t>
      </w:r>
      <w:r>
        <w:rPr>
          <w:rFonts w:ascii="Times New Roman;serif" w:hAnsi="Times New Roman;serif"/>
          <w:b w:val="false"/>
          <w:color w:val="000000"/>
          <w:sz w:val="24"/>
        </w:rPr>
        <w:t>. Any amendment, repeal or modification of any provision of this Article VII shall not adversely affect any right or protection of an indemnitee or his or her successor in respect of any act or omission occurring prior to such amendment, repeal or modification.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1"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CERTIFICATE OF SECRETARY</w:t>
        <w:br/>
        <w:t>OF</w:t>
        <w:br/>
        <w:t>SYNCHRONOSS TECHNOLOGIES, INC.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Christina Gabrys, duly elected and qualified Secretary of Synchronoss Technologies, Inc., a Delaware corporation (the “Corporation”), hereby certify that the Bylaws to which this Certificate is attached are the Bylaws of the Corporation.</w:t>
      </w:r>
    </w:p>
    <w:p>
      <w:pPr>
        <w:pStyle w:val="TextBody"/>
        <w:bidi w:val="0"/>
        <w:spacing w:lineRule="auto" w:line="288" w:before="0" w:after="6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Executed effective on February 13, 2026.</w:t>
      </w:r>
    </w:p>
    <w:p>
      <w:pPr>
        <w:pStyle w:val="TextBody"/>
        <w:bidi w:val="0"/>
        <w:spacing w:lineRule="auto" w:line="288" w:before="0" w:after="240"/>
        <w:jc w:val="both"/>
        <w:rPr/>
      </w:pPr>
      <w:r>
        <w:rPr>
          <w:rFonts w:ascii="Times New Roman;serif" w:hAnsi="Times New Roman;serif"/>
          <w:b w:val="false"/>
          <w:color w:val="000000"/>
          <w:sz w:val="24"/>
          <w:u w:val="single"/>
        </w:rPr>
        <w:t>/s/ Christina Gabrys    </w:t>
      </w:r>
      <w:r>
        <w:rPr>
          <w:rFonts w:ascii="Times New Roman;serif" w:hAnsi="Times New Roman;serif"/>
          <w:b w:val="false"/>
          <w:color w:val="000000"/>
          <w:sz w:val="24"/>
        </w:rPr>
        <w:br/>
        <w:t>Christina Gabrys, Secretary</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Aptos;sans-serif" w:hAnsi="Aptos;sans-serif"/>
          <w:b/>
          <w:color w:val="000000"/>
          <w:sz w:val="24"/>
        </w:rPr>
      </w:pPr>
      <w:r>
        <w:rPr>
          <w:rFonts w:ascii="Aptos;sans-serif" w:hAnsi="Aptos;sans-serif"/>
          <w:b/>
          <w:color w:val="000000"/>
          <w:sz w:val="24"/>
        </w:rPr>
        <w:t>Exhibit 99.1</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val="false"/>
          <w:color w:val="000000"/>
          <w:sz w:val="28"/>
          <w:shd w:fill="FFFFFF" w:val="clear"/>
        </w:rPr>
      </w:pPr>
      <w:r>
        <w:rPr>
          <w:rFonts w:ascii="sans-serif" w:hAnsi="sans-serif"/>
          <w:b w:val="false"/>
          <w:color w:val="000000"/>
          <w:sz w:val="28"/>
          <w:shd w:fill="FFFFFF" w:val="clear"/>
        </w:rPr>
        <w:t>Lumine Group Completes Acquisition of Synchronoss Technologies</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0"/>
          <w:shd w:fill="FFFFFF" w:val="clear"/>
        </w:rPr>
        <w:t>Bridgewater, NJ – February 13, 2026 – Synchronoss Technologies, Inc. (Nasdaq: SNCR) (“Synchronoss” or the “Company”), a global leader and innovator in Personal Cloud platforms, today announced the completion of its acquisition by Lumine Group Inc.</w:t>
      </w:r>
      <w:r>
        <w:rPr>
          <w:color w:val="000000"/>
        </w:rPr>
        <w:t xml:space="preserve"> </w:t>
      </w:r>
      <w:r>
        <w:rPr>
          <w:rFonts w:ascii="sans-serif" w:hAnsi="sans-serif"/>
          <w:b w:val="false"/>
          <w:color w:val="000000"/>
          <w:sz w:val="20"/>
          <w:shd w:fill="FFFFFF" w:val="clear"/>
        </w:rPr>
        <w:t>(“Lumine Group”), a global buy-and-hold forever acquirer of communications and media software businesses, through one of its wholly-owned subsidiaries in an all-cash transaction that values the Company at an implied equity value of approximately $116.4 million and an enterprise value of approximately $258.4 million. With the completion of the acquisition, Synchronoss’s common stock will cease trading and the Company will no longer be listed on the Nasdaq Stock Market.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Synchronoss stockholders voted to approve the transaction at the Company’s Special Meeting of Stockholders on February 12, 2026.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24" w:space="0" w:color="6D6D6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4" w:space="0" w:color="6D6D6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4" w:space="0" w:color="6D6D6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4" w:space="0" w:color="6D6D6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24" w:space="0" w:color="6D6D6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Advisors</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TD Cowen served as exclusive financial advisor and Gunderson Dettmer Stough Villeneuve Franklin &amp; Hachigian, LLP served as legal advisor to the Company. Goodwin Procter LLP served as legal advisor to Lumine Group.</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About Synchronoss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Synchronoss Technologies, Inc. (Nasdaq: SNCR), a global leader in personal Cloud solutions, empowers service providers to establish secure and meaningful connections with their subscribers. Synchronoss’ SaaS Cloud platform simplifies onboarding processes and fosters subscriber engagement, resulting in enhanced revenue streams, reduced expenses, and faster time-to-market. Millions of subscribers trust Synchronoss to safeguard their most cherished memories and important digital content. Explore how our Cloud-focused solutions redefine the way you connect with your digital world at www.synchronoss.com.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About Lumine Group</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Lumine Group (TSXV: LMN) acquires, strengthens, and grows vertical market software businesses in the Communications and Media industry. Learn more at www.luminegroup.com.</w:t>
      </w: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For Synchronoss </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Press Contact</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Springboard</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Domenick Cilea, President</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Domenick.cilea@SpringBoardPR.com</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Investor Relations Contact</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ICR Inc</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Ryan Gardella, Senior Vice President </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Ryan.Gardella@icrinc.com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For Lumine Group</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Lumine Group Media Relations Contact </w:t>
        <w:br/>
        <w:t>Erini Andriopoulos</w:t>
        <w:br/>
        <w:t>Director of Marketing, Lumine Group</w:t>
        <w:br/>
        <w:t>erini.andriopoulos@luminegroup.com</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Wingdings">
    <w:altName w:val="sans-serif"/>
    <w:charset w:val="02"/>
    <w:family w:val="auto"/>
    <w:pitch w:val="default"/>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12455</Words>
  <Characters>63704</Characters>
  <CharactersWithSpaces>76072</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