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511810</wp:posOffset>
            </wp:positionV>
            <wp:extent cx="711517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41"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-83820</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-92075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343"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6400" w:space="400"/>
            <w:col w:w="4440"/>
          </w:cols>
          <w:pgMar w:left="320" w:top="233" w:right="3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 000-52049</w:t>
      </w:r>
    </w:p>
    <w:p>
      <w:pPr>
        <w:sectPr>
          <w:pgSz w:w="11900" w:h="16838" w:orient="portrait"/>
          <w:cols w:equalWidth="0" w:num="1">
            <w:col w:w="11240"/>
          </w:cols>
          <w:pgMar w:left="320" w:top="233" w:right="339" w:bottom="1440" w:gutter="0" w:footer="0" w:header="0"/>
          <w:type w:val="continuous"/>
        </w:sect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SYNCHRONOSS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41" w:lineRule="exact"/>
        <w:rPr>
          <w:sz w:val="24"/>
          <w:szCs w:val="24"/>
          <w:color w:val="auto"/>
        </w:rPr>
      </w:pPr>
    </w:p>
    <w:tbl>
      <w:tblPr>
        <w:tblLayout w:type="fixed"/>
        <w:tblInd w:w="1540" w:type="dxa"/>
        <w:tblCellMar>
          <w:top w:w="0" w:type="dxa"/>
          <w:left w:w="0" w:type="dxa"/>
          <w:bottom w:w="0" w:type="dxa"/>
          <w:right w:w="0" w:type="dxa"/>
        </w:tblCellMar>
      </w:tblPr>
      <w:tr>
        <w:trPr>
          <w:trHeight w:val="210"/>
        </w:trPr>
        <w:tc>
          <w:tcPr>
            <w:tcW w:w="6020" w:type="dxa"/>
            <w:vAlign w:val="bottom"/>
          </w:tcPr>
          <w:p>
            <w:pPr>
              <w:jc w:val="center"/>
              <w:ind w:right="3399"/>
              <w:spacing w:after="0"/>
              <w:rPr>
                <w:sz w:val="20"/>
                <w:szCs w:val="20"/>
                <w:color w:val="auto"/>
              </w:rPr>
            </w:pPr>
            <w:r>
              <w:rPr>
                <w:rFonts w:ascii="Arial" w:cs="Arial" w:eastAsia="Arial" w:hAnsi="Arial"/>
                <w:sz w:val="16"/>
                <w:szCs w:val="16"/>
                <w:b w:val="1"/>
                <w:bCs w:val="1"/>
                <w:color w:val="auto"/>
                <w:w w:val="93"/>
              </w:rPr>
              <w:t>Delaware</w:t>
            </w:r>
          </w:p>
        </w:tc>
        <w:tc>
          <w:tcPr>
            <w:tcW w:w="1460" w:type="dxa"/>
            <w:vAlign w:val="bottom"/>
          </w:tcPr>
          <w:p>
            <w:pPr>
              <w:jc w:val="right"/>
              <w:ind w:right="139"/>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253"/>
        </w:trPr>
        <w:tc>
          <w:tcPr>
            <w:tcW w:w="6020" w:type="dxa"/>
            <w:vAlign w:val="bottom"/>
          </w:tcPr>
          <w:p>
            <w:pPr>
              <w:jc w:val="center"/>
              <w:ind w:right="3379"/>
              <w:spacing w:after="0"/>
              <w:rPr>
                <w:sz w:val="20"/>
                <w:szCs w:val="20"/>
                <w:color w:val="auto"/>
              </w:rPr>
            </w:pPr>
            <w:r>
              <w:rPr>
                <w:rFonts w:ascii="Arial" w:cs="Arial" w:eastAsia="Arial" w:hAnsi="Arial"/>
                <w:sz w:val="16"/>
                <w:szCs w:val="16"/>
                <w:color w:val="auto"/>
                <w:w w:val="93"/>
              </w:rPr>
              <w:t>(State or other jurisdiction of</w:t>
            </w:r>
          </w:p>
        </w:tc>
        <w:tc>
          <w:tcPr>
            <w:tcW w:w="1460" w:type="dxa"/>
            <w:vAlign w:val="bottom"/>
          </w:tcPr>
          <w:p>
            <w:pPr>
              <w:jc w:val="center"/>
              <w:ind w:left="159"/>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6"/>
        </w:trPr>
        <w:tc>
          <w:tcPr>
            <w:tcW w:w="6020" w:type="dxa"/>
            <w:vAlign w:val="bottom"/>
          </w:tcPr>
          <w:p>
            <w:pPr>
              <w:jc w:val="center"/>
              <w:ind w:right="3379"/>
              <w:spacing w:after="0"/>
              <w:rPr>
                <w:sz w:val="20"/>
                <w:szCs w:val="20"/>
                <w:color w:val="auto"/>
              </w:rPr>
            </w:pPr>
            <w:r>
              <w:rPr>
                <w:rFonts w:ascii="Arial" w:cs="Arial" w:eastAsia="Arial" w:hAnsi="Arial"/>
                <w:sz w:val="16"/>
                <w:szCs w:val="16"/>
                <w:color w:val="auto"/>
                <w:w w:val="94"/>
              </w:rPr>
              <w:t>incorporation or organization)</w:t>
            </w:r>
          </w:p>
        </w:tc>
        <w:tc>
          <w:tcPr>
            <w:tcW w:w="1460" w:type="dxa"/>
            <w:vAlign w:val="bottom"/>
          </w:tcPr>
          <w:p>
            <w:pPr>
              <w:jc w:val="center"/>
              <w:ind w:left="159"/>
              <w:spacing w:after="0"/>
              <w:rPr>
                <w:sz w:val="20"/>
                <w:szCs w:val="20"/>
                <w:color w:val="auto"/>
              </w:rPr>
            </w:pPr>
            <w:r>
              <w:rPr>
                <w:rFonts w:ascii="Arial" w:cs="Arial" w:eastAsia="Arial" w:hAnsi="Arial"/>
                <w:sz w:val="16"/>
                <w:szCs w:val="16"/>
                <w:color w:val="auto"/>
                <w:w w:val="97"/>
              </w:rPr>
              <w:t>Identification No.)</w:t>
            </w:r>
          </w:p>
        </w:tc>
        <w:tc>
          <w:tcPr>
            <w:tcW w:w="0" w:type="dxa"/>
            <w:vAlign w:val="bottom"/>
          </w:tcPr>
          <w:p>
            <w:pPr>
              <w:spacing w:after="0"/>
              <w:rPr>
                <w:sz w:val="1"/>
                <w:szCs w:val="1"/>
                <w:color w:val="auto"/>
              </w:rPr>
            </w:pPr>
          </w:p>
        </w:tc>
      </w:tr>
      <w:tr>
        <w:trPr>
          <w:trHeight w:val="451"/>
        </w:trPr>
        <w:tc>
          <w:tcPr>
            <w:tcW w:w="6020" w:type="dxa"/>
            <w:vAlign w:val="bottom"/>
          </w:tcPr>
          <w:p>
            <w:pPr>
              <w:jc w:val="center"/>
              <w:ind w:right="3399"/>
              <w:spacing w:after="0"/>
              <w:rPr>
                <w:sz w:val="20"/>
                <w:szCs w:val="20"/>
                <w:color w:val="auto"/>
              </w:rPr>
            </w:pPr>
            <w:r>
              <w:rPr>
                <w:rFonts w:ascii="Arial" w:cs="Arial" w:eastAsia="Arial" w:hAnsi="Arial"/>
                <w:sz w:val="16"/>
                <w:szCs w:val="16"/>
                <w:b w:val="1"/>
                <w:bCs w:val="1"/>
                <w:color w:val="auto"/>
                <w:w w:val="91"/>
              </w:rPr>
              <w:t>200 Crossing Boulevard, 8th Floor</w:t>
            </w:r>
          </w:p>
        </w:tc>
        <w:tc>
          <w:tcPr>
            <w:tcW w:w="14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8807</w:t>
            </w:r>
          </w:p>
        </w:tc>
        <w:tc>
          <w:tcPr>
            <w:tcW w:w="0" w:type="dxa"/>
            <w:vAlign w:val="bottom"/>
          </w:tcPr>
          <w:p>
            <w:pPr>
              <w:spacing w:after="0"/>
              <w:rPr>
                <w:sz w:val="1"/>
                <w:szCs w:val="1"/>
                <w:color w:val="auto"/>
              </w:rPr>
            </w:pPr>
          </w:p>
        </w:tc>
      </w:tr>
      <w:tr>
        <w:trPr>
          <w:trHeight w:val="210"/>
        </w:trPr>
        <w:tc>
          <w:tcPr>
            <w:tcW w:w="6020" w:type="dxa"/>
            <w:vAlign w:val="bottom"/>
          </w:tcPr>
          <w:p>
            <w:pPr>
              <w:jc w:val="center"/>
              <w:ind w:right="3379"/>
              <w:spacing w:after="0"/>
              <w:rPr>
                <w:sz w:val="20"/>
                <w:szCs w:val="20"/>
                <w:color w:val="auto"/>
              </w:rPr>
            </w:pPr>
            <w:r>
              <w:rPr>
                <w:rFonts w:ascii="Arial" w:cs="Arial" w:eastAsia="Arial" w:hAnsi="Arial"/>
                <w:sz w:val="16"/>
                <w:szCs w:val="16"/>
                <w:b w:val="1"/>
                <w:bCs w:val="1"/>
                <w:color w:val="auto"/>
                <w:w w:val="90"/>
              </w:rPr>
              <w:t>Bridgewater, New Jersey</w:t>
            </w: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jc w:val="center"/>
              <w:ind w:right="3379"/>
              <w:spacing w:after="0"/>
              <w:rPr>
                <w:sz w:val="20"/>
                <w:szCs w:val="20"/>
                <w:color w:val="auto"/>
              </w:rPr>
            </w:pPr>
            <w:r>
              <w:rPr>
                <w:rFonts w:ascii="Arial" w:cs="Arial" w:eastAsia="Arial" w:hAnsi="Arial"/>
                <w:sz w:val="16"/>
                <w:szCs w:val="16"/>
                <w:color w:val="auto"/>
                <w:w w:val="93"/>
              </w:rPr>
              <w:t>(Address of principal executive offices)</w:t>
            </w:r>
          </w:p>
        </w:tc>
        <w:tc>
          <w:tcPr>
            <w:tcW w:w="1460" w:type="dxa"/>
            <w:vAlign w:val="bottom"/>
          </w:tcPr>
          <w:p>
            <w:pPr>
              <w:jc w:val="center"/>
              <w:ind w:left="159"/>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509"/>
        </w:trPr>
        <w:tc>
          <w:tcPr>
            <w:tcW w:w="6020" w:type="dxa"/>
            <w:vAlign w:val="bottom"/>
          </w:tcPr>
          <w:p>
            <w:pPr>
              <w:jc w:val="right"/>
              <w:ind w:right="1339"/>
              <w:spacing w:after="0"/>
              <w:rPr>
                <w:sz w:val="20"/>
                <w:szCs w:val="20"/>
                <w:color w:val="auto"/>
              </w:rPr>
            </w:pPr>
            <w:r>
              <w:rPr>
                <w:rFonts w:ascii="Arial" w:cs="Arial" w:eastAsia="Arial" w:hAnsi="Arial"/>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20" w:type="dxa"/>
            <w:vAlign w:val="bottom"/>
          </w:tcPr>
          <w:p>
            <w:pPr>
              <w:jc w:val="center"/>
              <w:ind w:left="2019"/>
              <w:spacing w:after="0"/>
              <w:rPr>
                <w:sz w:val="20"/>
                <w:szCs w:val="20"/>
                <w:color w:val="auto"/>
              </w:rPr>
            </w:pPr>
            <w:r>
              <w:rPr>
                <w:rFonts w:ascii="Arial" w:cs="Arial" w:eastAsia="Arial" w:hAnsi="Arial"/>
                <w:sz w:val="16"/>
                <w:szCs w:val="16"/>
                <w:color w:val="auto"/>
                <w:w w:val="91"/>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48" w:lineRule="exact"/>
        <w:rPr>
          <w:sz w:val="24"/>
          <w:szCs w:val="24"/>
          <w:color w:val="auto"/>
        </w:rPr>
      </w:pPr>
    </w:p>
    <w:p>
      <w:pPr>
        <w:jc w:val="both"/>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Arial" w:cs="Arial" w:eastAsia="Arial" w:hAnsi="Arial"/>
          <w:sz w:val="15"/>
          <w:szCs w:val="15"/>
          <w:color w:val="auto"/>
        </w:rPr>
        <w:t xml:space="preserve"> No </w:t>
      </w:r>
      <w:r>
        <w:rPr>
          <w:rFonts w:ascii="MS PGothic" w:cs="MS PGothic" w:eastAsia="MS PGothic" w:hAnsi="MS PGothic"/>
          <w:sz w:val="13"/>
          <w:szCs w:val="13"/>
          <w:color w:val="auto"/>
        </w:rPr>
        <w:t>☐</w:t>
      </w:r>
    </w:p>
    <w:p>
      <w:pPr>
        <w:spacing w:after="0" w:line="162" w:lineRule="exact"/>
        <w:rPr>
          <w:sz w:val="24"/>
          <w:szCs w:val="24"/>
          <w:color w:val="auto"/>
        </w:rPr>
      </w:pPr>
    </w:p>
    <w:p>
      <w:pPr>
        <w:jc w:val="both"/>
        <w:ind w:right="2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680" w:type="dxa"/>
        <w:tblCellMar>
          <w:top w:w="0" w:type="dxa"/>
          <w:left w:w="0" w:type="dxa"/>
          <w:bottom w:w="0" w:type="dxa"/>
          <w:right w:w="0" w:type="dxa"/>
        </w:tblCellMar>
      </w:tblPr>
      <w:tr>
        <w:trPr>
          <w:trHeight w:val="257"/>
        </w:trPr>
        <w:tc>
          <w:tcPr>
            <w:tcW w:w="2160" w:type="dxa"/>
            <w:vAlign w:val="bottom"/>
          </w:tcPr>
          <w:p>
            <w:pPr>
              <w:jc w:val="center"/>
              <w:ind w:right="319"/>
              <w:spacing w:after="0"/>
              <w:rPr>
                <w:sz w:val="20"/>
                <w:szCs w:val="20"/>
                <w:color w:val="auto"/>
              </w:rPr>
            </w:pPr>
            <w:r>
              <w:rPr>
                <w:rFonts w:ascii="Arial" w:cs="Arial" w:eastAsia="Arial" w:hAnsi="Arial"/>
                <w:sz w:val="16"/>
                <w:szCs w:val="16"/>
                <w:color w:val="auto"/>
                <w:w w:val="90"/>
              </w:rPr>
              <w:t>Large accelerated filer</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jc w:val="center"/>
              <w:ind w:left="2099"/>
              <w:spacing w:after="0"/>
              <w:rPr>
                <w:sz w:val="20"/>
                <w:szCs w:val="20"/>
                <w:color w:val="auto"/>
              </w:rPr>
            </w:pPr>
            <w:r>
              <w:rPr>
                <w:rFonts w:ascii="Arial" w:cs="Arial" w:eastAsia="Arial" w:hAnsi="Arial"/>
                <w:sz w:val="16"/>
                <w:szCs w:val="16"/>
                <w:color w:val="auto"/>
                <w:w w:val="94"/>
              </w:rPr>
              <w:t>Accelerated filer</w:t>
            </w:r>
          </w:p>
        </w:tc>
        <w:tc>
          <w:tcPr>
            <w:tcW w:w="480" w:type="dxa"/>
            <w:vAlign w:val="bottom"/>
          </w:tcPr>
          <w:p>
            <w:pPr>
              <w:jc w:val="center"/>
              <w:ind w:left="284"/>
              <w:spacing w:after="0"/>
              <w:rPr>
                <w:sz w:val="20"/>
                <w:szCs w:val="20"/>
                <w:color w:val="auto"/>
              </w:rPr>
            </w:pPr>
            <w:r>
              <w:rPr>
                <w:rFonts w:ascii="Arial" w:cs="Arial" w:eastAsia="Arial" w:hAnsi="Arial"/>
                <w:sz w:val="14"/>
                <w:szCs w:val="14"/>
                <w:color w:val="auto"/>
              </w:rPr>
              <w:t>x</w:t>
            </w:r>
          </w:p>
        </w:tc>
      </w:tr>
      <w:tr>
        <w:trPr>
          <w:trHeight w:val="254"/>
        </w:trPr>
        <w:tc>
          <w:tcPr>
            <w:tcW w:w="2160" w:type="dxa"/>
            <w:vAlign w:val="bottom"/>
          </w:tcPr>
          <w:p>
            <w:pPr>
              <w:jc w:val="center"/>
              <w:ind w:right="319"/>
              <w:spacing w:after="0"/>
              <w:rPr>
                <w:sz w:val="20"/>
                <w:szCs w:val="20"/>
                <w:color w:val="auto"/>
              </w:rPr>
            </w:pPr>
            <w:r>
              <w:rPr>
                <w:rFonts w:ascii="Arial" w:cs="Arial" w:eastAsia="Arial" w:hAnsi="Arial"/>
                <w:sz w:val="16"/>
                <w:szCs w:val="16"/>
                <w:color w:val="auto"/>
                <w:w w:val="92"/>
              </w:rPr>
              <w:t>Non-accelerated filer</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jc w:val="center"/>
              <w:ind w:left="2119"/>
              <w:spacing w:after="0"/>
              <w:rPr>
                <w:sz w:val="20"/>
                <w:szCs w:val="20"/>
                <w:color w:val="auto"/>
              </w:rPr>
            </w:pPr>
            <w:r>
              <w:rPr>
                <w:rFonts w:ascii="Arial" w:cs="Arial" w:eastAsia="Arial" w:hAnsi="Arial"/>
                <w:sz w:val="16"/>
                <w:szCs w:val="16"/>
                <w:color w:val="auto"/>
                <w:w w:val="92"/>
              </w:rPr>
              <w:t>Smaller Reporting Company</w:t>
            </w:r>
          </w:p>
        </w:tc>
        <w:tc>
          <w:tcPr>
            <w:tcW w:w="480" w:type="dxa"/>
            <w:vAlign w:val="bottom"/>
          </w:tcPr>
          <w:p>
            <w:pPr>
              <w:jc w:val="center"/>
              <w:ind w:left="264"/>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2160" w:type="dxa"/>
            <w:vAlign w:val="bottom"/>
          </w:tcPr>
          <w:p>
            <w:pPr>
              <w:jc w:val="center"/>
              <w:ind w:right="319"/>
              <w:spacing w:after="0"/>
              <w:rPr>
                <w:sz w:val="20"/>
                <w:szCs w:val="20"/>
                <w:color w:val="auto"/>
              </w:rPr>
            </w:pPr>
            <w:r>
              <w:rPr>
                <w:rFonts w:ascii="Arial" w:cs="Arial" w:eastAsia="Arial" w:hAnsi="Arial"/>
                <w:sz w:val="16"/>
                <w:szCs w:val="16"/>
                <w:color w:val="auto"/>
                <w:w w:val="92"/>
              </w:rPr>
              <w:t>Emerging growth company</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380" w:type="dxa"/>
            <w:vAlign w:val="bottom"/>
          </w:tcPr>
          <w:p>
            <w:pPr>
              <w:jc w:val="center"/>
              <w:ind w:left="179"/>
              <w:spacing w:after="0"/>
              <w:rPr>
                <w:sz w:val="20"/>
                <w:szCs w:val="20"/>
                <w:color w:val="auto"/>
              </w:rPr>
            </w:pPr>
            <w:r>
              <w:rPr>
                <w:rFonts w:ascii="Arial" w:cs="Arial" w:eastAsia="Arial" w:hAnsi="Arial"/>
                <w:sz w:val="16"/>
                <w:szCs w:val="16"/>
                <w:color w:val="auto"/>
                <w:w w:val="90"/>
              </w:rPr>
              <w:t>Title of each class</w:t>
            </w:r>
          </w:p>
        </w:tc>
        <w:tc>
          <w:tcPr>
            <w:tcW w:w="2500" w:type="dxa"/>
            <w:vAlign w:val="bottom"/>
          </w:tcPr>
          <w:p>
            <w:pPr>
              <w:jc w:val="center"/>
              <w:spacing w:after="0"/>
              <w:rPr>
                <w:sz w:val="20"/>
                <w:szCs w:val="20"/>
                <w:color w:val="auto"/>
              </w:rPr>
            </w:pPr>
            <w:r>
              <w:rPr>
                <w:rFonts w:ascii="Arial" w:cs="Arial" w:eastAsia="Arial" w:hAnsi="Arial"/>
                <w:sz w:val="16"/>
                <w:szCs w:val="16"/>
                <w:color w:val="auto"/>
                <w:w w:val="93"/>
              </w:rPr>
              <w:t>Trading Symbol(s)</w:t>
            </w:r>
          </w:p>
        </w:tc>
        <w:tc>
          <w:tcPr>
            <w:tcW w:w="4340" w:type="dxa"/>
            <w:vAlign w:val="bottom"/>
          </w:tcPr>
          <w:p>
            <w:pPr>
              <w:jc w:val="center"/>
              <w:ind w:right="179"/>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3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jc w:val="center"/>
              <w:ind w:left="199"/>
              <w:spacing w:after="0"/>
              <w:rPr>
                <w:sz w:val="20"/>
                <w:szCs w:val="20"/>
                <w:color w:val="auto"/>
              </w:rPr>
            </w:pPr>
            <w:r>
              <w:rPr>
                <w:rFonts w:ascii="Arial" w:cs="Arial" w:eastAsia="Arial" w:hAnsi="Arial"/>
                <w:sz w:val="16"/>
                <w:szCs w:val="16"/>
                <w:color w:val="auto"/>
                <w:w w:val="91"/>
              </w:rPr>
              <w:t>Common Stock, par value $.0001 par value</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SNCR</w:t>
            </w:r>
          </w:p>
        </w:tc>
        <w:tc>
          <w:tcPr>
            <w:tcW w:w="4340" w:type="dxa"/>
            <w:vAlign w:val="bottom"/>
          </w:tcPr>
          <w:p>
            <w:pPr>
              <w:jc w:val="center"/>
              <w:ind w:right="179"/>
              <w:spacing w:after="0"/>
              <w:rPr>
                <w:sz w:val="20"/>
                <w:szCs w:val="20"/>
                <w:color w:val="auto"/>
              </w:rPr>
            </w:pPr>
            <w:r>
              <w:rPr>
                <w:rFonts w:ascii="Arial" w:cs="Arial" w:eastAsia="Arial" w:hAnsi="Arial"/>
                <w:sz w:val="16"/>
                <w:szCs w:val="16"/>
                <w:color w:val="auto"/>
                <w:w w:val="93"/>
              </w:rPr>
              <w:t>The Nasdaq Stock Market, LLC</w:t>
            </w:r>
          </w:p>
        </w:tc>
      </w:tr>
    </w:tbl>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As of May 18, 2020, there were 44,541,776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16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860" w:type="dxa"/>
            <w:vAlign w:val="bottom"/>
          </w:tcPr>
          <w:p>
            <w:pPr>
              <w:spacing w:after="0"/>
              <w:rPr>
                <w:sz w:val="24"/>
                <w:szCs w:val="24"/>
                <w:color w:val="auto"/>
              </w:rPr>
            </w:pPr>
          </w:p>
        </w:tc>
        <w:tc>
          <w:tcPr>
            <w:tcW w:w="9300" w:type="dxa"/>
            <w:vAlign w:val="bottom"/>
          </w:tcPr>
          <w:p>
            <w:pPr>
              <w:ind w:left="3420"/>
              <w:spacing w:after="0"/>
              <w:rPr>
                <w:sz w:val="20"/>
                <w:szCs w:val="20"/>
                <w:color w:val="auto"/>
              </w:rPr>
            </w:pPr>
            <w:r>
              <w:rPr>
                <w:rFonts w:ascii="Arial" w:cs="Arial" w:eastAsia="Arial" w:hAnsi="Arial"/>
                <w:sz w:val="18"/>
                <w:szCs w:val="18"/>
                <w:b w:val="1"/>
                <w:bCs w:val="1"/>
                <w:color w:val="auto"/>
              </w:rPr>
              <w:t>SYNCHRONOSS TECHNOLOGIES, INC.</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9300" w:type="dxa"/>
            <w:vAlign w:val="bottom"/>
          </w:tcPr>
          <w:p>
            <w:pPr>
              <w:ind w:left="4280"/>
              <w:spacing w:after="0"/>
              <w:rPr>
                <w:sz w:val="20"/>
                <w:szCs w:val="20"/>
                <w:color w:val="auto"/>
              </w:rPr>
            </w:pPr>
            <w:r>
              <w:rPr>
                <w:rFonts w:ascii="Arial" w:cs="Arial" w:eastAsia="Arial" w:hAnsi="Arial"/>
                <w:sz w:val="18"/>
                <w:szCs w:val="18"/>
                <w:b w:val="1"/>
                <w:bCs w:val="1"/>
                <w:color w:val="auto"/>
              </w:rPr>
              <w:t>FORM 10-Q INDEX</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86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7"/>
        </w:trPr>
        <w:tc>
          <w:tcPr>
            <w:tcW w:w="860" w:type="dxa"/>
            <w:vAlign w:val="bottom"/>
            <w:vMerge w:val="restart"/>
          </w:tcPr>
          <w:p>
            <w:pPr>
              <w:ind w:left="20"/>
              <w:spacing w:after="0"/>
              <w:rPr>
                <w:rFonts w:ascii="Arial" w:cs="Arial" w:eastAsia="Arial" w:hAnsi="Arial"/>
                <w:sz w:val="18"/>
                <w:szCs w:val="18"/>
                <w:color w:val="0000FF"/>
              </w:rPr>
            </w:pPr>
            <w:hyperlink w:anchor="page2">
              <w:r>
                <w:rPr>
                  <w:rFonts w:ascii="Arial" w:cs="Arial" w:eastAsia="Arial" w:hAnsi="Arial"/>
                  <w:sz w:val="18"/>
                  <w:szCs w:val="18"/>
                  <w:u w:val="single" w:color="auto"/>
                  <w:color w:val="0000FF"/>
                </w:rPr>
                <w:t>PART I</w:t>
              </w:r>
              <w:r>
                <w:rPr>
                  <w:rFonts w:ascii="Arial" w:cs="Arial" w:eastAsia="Arial" w:hAnsi="Arial"/>
                  <w:sz w:val="18"/>
                  <w:szCs w:val="18"/>
                  <w:color w:val="0000FF"/>
                </w:rPr>
                <w:t>.</w:t>
              </w:r>
            </w:hyperlink>
          </w:p>
        </w:tc>
        <w:tc>
          <w:tcPr>
            <w:tcW w:w="9300" w:type="dxa"/>
            <w:vAlign w:val="bottom"/>
            <w:vMerge w:val="restart"/>
          </w:tcPr>
          <w:p>
            <w:pPr>
              <w:ind w:left="2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INFORMATION</w:t>
              </w:r>
            </w:hyperlink>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60" w:type="dxa"/>
            <w:vAlign w:val="bottom"/>
            <w:vMerge w:val="continue"/>
          </w:tcPr>
          <w:p>
            <w:pPr>
              <w:spacing w:after="0"/>
              <w:rPr>
                <w:sz w:val="19"/>
                <w:szCs w:val="19"/>
                <w:color w:val="auto"/>
              </w:rPr>
            </w:pPr>
          </w:p>
        </w:tc>
        <w:tc>
          <w:tcPr>
            <w:tcW w:w="9300" w:type="dxa"/>
            <w:vAlign w:val="bottom"/>
            <w:vMerge w:val="continue"/>
          </w:tcPr>
          <w:p>
            <w:pPr>
              <w:spacing w:after="0"/>
              <w:rPr>
                <w:sz w:val="19"/>
                <w:szCs w:val="19"/>
                <w:color w:val="auto"/>
              </w:rPr>
            </w:pPr>
          </w:p>
        </w:tc>
        <w:tc>
          <w:tcPr>
            <w:tcW w:w="1040" w:type="dxa"/>
            <w:vAlign w:val="bottom"/>
          </w:tcPr>
          <w:p>
            <w:pPr>
              <w:jc w:val="center"/>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86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Financial Statements and Notes</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(Loss)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Stockholders’ Equity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860" w:type="dxa"/>
            <w:vAlign w:val="bottom"/>
          </w:tcPr>
          <w:p>
            <w:pPr>
              <w:ind w:lef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2.</w:t>
              </w:r>
            </w:hyperlink>
          </w:p>
        </w:tc>
        <w:tc>
          <w:tcPr>
            <w:tcW w:w="9300" w:type="dxa"/>
            <w:vAlign w:val="bottom"/>
          </w:tcPr>
          <w:p>
            <w:pPr>
              <w:ind w:left="20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Management’s Discussion and Analysis of Financial Condition and Results of Operations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3.</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Quantitative and Qualitative Disclosures About Market Risk</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4.</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Controls and Procedures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86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PART II.</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OTHER INFORMATION</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Legal Proceedings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1A.</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Risk Factors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2.</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Unregistered Sales of Equity Securities and Use of Proceeds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3.</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Defaults Upon Senior Securities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4.</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Mine Safety Disclosures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5.</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Other Information</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6.</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Exhibits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160" w:type="dxa"/>
            <w:vAlign w:val="bottom"/>
            <w:gridSpan w:val="2"/>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SIGNATURES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5"/>
        </w:trPr>
        <w:tc>
          <w:tcPr>
            <w:tcW w:w="8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AND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 (In thousands)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39"/>
        </w:trPr>
        <w:tc>
          <w:tcPr>
            <w:tcW w:w="76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620" w:type="dxa"/>
            <w:vAlign w:val="bottom"/>
            <w:tcBorders>
              <w:bottom w:val="single" w:sz="8" w:color="CCEEFF"/>
            </w:tcBorders>
            <w:shd w:val="clear" w:color="auto" w:fill="CCEEFF"/>
          </w:tcPr>
          <w:p>
            <w:pPr>
              <w:ind w:left="35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restricted 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39,001</w:t>
            </w:r>
          </w:p>
        </w:tc>
        <w:tc>
          <w:tcPr>
            <w:tcW w:w="0" w:type="dxa"/>
            <w:vAlign w:val="bottom"/>
          </w:tcPr>
          <w:p>
            <w:pPr>
              <w:spacing w:after="0"/>
              <w:rPr>
                <w:sz w:val="1"/>
                <w:szCs w:val="1"/>
                <w:color w:val="auto"/>
              </w:rPr>
            </w:pPr>
          </w:p>
        </w:tc>
      </w:tr>
      <w:tr>
        <w:trPr>
          <w:trHeight w:val="224"/>
        </w:trPr>
        <w:tc>
          <w:tcPr>
            <w:tcW w:w="7620" w:type="dxa"/>
            <w:vAlign w:val="bottom"/>
          </w:tcPr>
          <w:p>
            <w:pPr>
              <w:ind w:left="200"/>
              <w:spacing w:after="0"/>
              <w:rPr>
                <w:sz w:val="20"/>
                <w:szCs w:val="20"/>
                <w:color w:val="auto"/>
              </w:rPr>
            </w:pPr>
            <w:r>
              <w:rPr>
                <w:rFonts w:ascii="Arial" w:cs="Arial" w:eastAsia="Arial" w:hAnsi="Arial"/>
                <w:sz w:val="16"/>
                <w:szCs w:val="16"/>
                <w:color w:val="auto"/>
              </w:rPr>
              <w:t>Marketable securities, current</w:t>
            </w:r>
          </w:p>
        </w:tc>
        <w:tc>
          <w:tcPr>
            <w:tcW w:w="24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60,817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65,863</w:t>
            </w: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Prepaid &amp; Other Current Assets</w:t>
            </w:r>
          </w:p>
        </w:tc>
        <w:tc>
          <w:tcPr>
            <w:tcW w:w="24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43,919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38,022</w:t>
            </w:r>
          </w:p>
        </w:tc>
        <w:tc>
          <w:tcPr>
            <w:tcW w:w="0" w:type="dxa"/>
            <w:vAlign w:val="bottom"/>
          </w:tcPr>
          <w:p>
            <w:pPr>
              <w:spacing w:after="0"/>
              <w:rPr>
                <w:sz w:val="1"/>
                <w:szCs w:val="1"/>
                <w:color w:val="auto"/>
              </w:rPr>
            </w:pPr>
          </w:p>
        </w:tc>
      </w:tr>
      <w:tr>
        <w:trPr>
          <w:trHeight w:val="33"/>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135,642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142,897</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22,160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26,525</w:t>
            </w:r>
          </w:p>
        </w:tc>
        <w:tc>
          <w:tcPr>
            <w:tcW w:w="0" w:type="dxa"/>
            <w:vAlign w:val="bottom"/>
          </w:tcPr>
          <w:p>
            <w:pPr>
              <w:spacing w:after="0"/>
              <w:rPr>
                <w:sz w:val="1"/>
                <w:szCs w:val="1"/>
                <w:color w:val="auto"/>
              </w:rPr>
            </w:pPr>
          </w:p>
        </w:tc>
      </w:tr>
      <w:tr>
        <w:trPr>
          <w:trHeight w:val="224"/>
        </w:trPr>
        <w:tc>
          <w:tcPr>
            <w:tcW w:w="76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52,576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53,965</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219,825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222,969</w:t>
            </w: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74,812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77,613</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Assets, non-current</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8,054</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377,152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389,126</w:t>
            </w:r>
          </w:p>
        </w:tc>
        <w:tc>
          <w:tcPr>
            <w:tcW w:w="0" w:type="dxa"/>
            <w:vAlign w:val="bottom"/>
          </w:tcPr>
          <w:p>
            <w:pPr>
              <w:spacing w:after="0"/>
              <w:rPr>
                <w:sz w:val="1"/>
                <w:szCs w:val="1"/>
                <w:color w:val="auto"/>
              </w:rPr>
            </w:pPr>
          </w:p>
        </w:tc>
      </w:tr>
      <w:tr>
        <w:trPr>
          <w:trHeight w:val="33"/>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512,794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532,023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17,955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65,456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65,987</w:t>
            </w: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Deferred revenues, current</w:t>
            </w:r>
          </w:p>
        </w:tc>
        <w:tc>
          <w:tcPr>
            <w:tcW w:w="24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49,042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65,858</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Debt, current</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142,453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153,396</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revenues, non-current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21,941</w:t>
            </w: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Leases, non-current</w:t>
            </w:r>
          </w:p>
        </w:tc>
        <w:tc>
          <w:tcPr>
            <w:tcW w:w="24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59,085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60,976</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4,589</w:t>
            </w: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12,500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20"/>
          </w:cols>
          <w:pgMar w:left="320" w:top="125" w:right="359" w:bottom="1440" w:gutter="0" w:footer="0" w:header="0"/>
        </w:sectPr>
      </w:pPr>
    </w:p>
    <w:p>
      <w:pPr>
        <w:ind w:left="260" w:right="500"/>
        <w:spacing w:after="0"/>
        <w:rPr>
          <w:sz w:val="20"/>
          <w:szCs w:val="20"/>
          <w:color w:val="auto"/>
        </w:rPr>
      </w:pPr>
      <w:r>
        <w:rPr>
          <w:rFonts w:ascii="Arial" w:cs="Arial" w:eastAsia="Arial" w:hAnsi="Arial"/>
          <w:sz w:val="16"/>
          <w:szCs w:val="16"/>
          <w:color w:val="auto"/>
        </w:rPr>
        <w:t>Series A Convertible Participating Perpetual Preferred Stock, $0.0001 par value; 10,000 shares authorized; 225 shares issued and outstanding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710628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Stockholders’ equity:</w:t>
      </w:r>
    </w:p>
    <w:p>
      <w:pPr>
        <w:spacing w:after="0" w:line="63" w:lineRule="exact"/>
        <w:rPr>
          <w:sz w:val="20"/>
          <w:szCs w:val="20"/>
          <w:color w:val="auto"/>
        </w:rPr>
      </w:pPr>
    </w:p>
    <w:p>
      <w:pPr>
        <w:ind w:left="260" w:right="720"/>
        <w:spacing w:after="0"/>
        <w:rPr>
          <w:sz w:val="20"/>
          <w:szCs w:val="20"/>
          <w:color w:val="auto"/>
        </w:rPr>
      </w:pPr>
      <w:r>
        <w:rPr>
          <w:rFonts w:ascii="Arial" w:cs="Arial" w:eastAsia="Arial" w:hAnsi="Arial"/>
          <w:sz w:val="16"/>
          <w:szCs w:val="16"/>
          <w:color w:val="auto"/>
        </w:rPr>
        <w:t>Common stock, $0.0001 par value; 100,000 shares authorized, 51,758 and 51,704 shares issued; 44,596 and 44,542 outstanding at March 31, 2020 and December 31, 2019, respectively</w:t>
      </w:r>
    </w:p>
    <w:p>
      <w:pPr>
        <w:spacing w:after="0" w:line="20" w:lineRule="exact"/>
        <w:rPr>
          <w:sz w:val="20"/>
          <w:szCs w:val="20"/>
          <w:color w:val="auto"/>
        </w:rPr>
      </w:pPr>
      <w:r>
        <w:rPr>
          <w:sz w:val="20"/>
          <w:szCs w:val="20"/>
          <w:color w:val="auto"/>
        </w:rPr>
        <w:br w:type="column"/>
      </w:r>
    </w:p>
    <w:p>
      <w:pPr>
        <w:spacing w:after="0"/>
        <w:tabs>
          <w:tab w:leader="none" w:pos="1820" w:val="left"/>
        </w:tabs>
        <w:rPr>
          <w:sz w:val="20"/>
          <w:szCs w:val="20"/>
          <w:color w:val="auto"/>
        </w:rPr>
      </w:pPr>
      <w:r>
        <w:rPr>
          <w:rFonts w:ascii="Arial" w:cs="Arial" w:eastAsia="Arial" w:hAnsi="Arial"/>
          <w:sz w:val="14"/>
          <w:szCs w:val="14"/>
          <w:color w:val="auto"/>
        </w:rPr>
        <w:t>209,488</w:t>
      </w:r>
      <w:r>
        <w:rPr>
          <w:sz w:val="20"/>
          <w:szCs w:val="20"/>
          <w:color w:val="auto"/>
        </w:rPr>
        <w:tab/>
      </w:r>
      <w:r>
        <w:rPr>
          <w:rFonts w:ascii="Arial" w:cs="Arial" w:eastAsia="Arial" w:hAnsi="Arial"/>
          <w:sz w:val="14"/>
          <w:szCs w:val="14"/>
          <w:color w:val="auto"/>
        </w:rPr>
        <w:t>200,865</w:t>
      </w:r>
    </w:p>
    <w:p>
      <w:pPr>
        <w:spacing w:after="0" w:line="200" w:lineRule="exact"/>
        <w:rPr>
          <w:sz w:val="20"/>
          <w:szCs w:val="20"/>
          <w:color w:val="auto"/>
        </w:rPr>
      </w:pPr>
    </w:p>
    <w:p>
      <w:pPr>
        <w:spacing w:after="0" w:line="274" w:lineRule="exact"/>
        <w:rPr>
          <w:sz w:val="20"/>
          <w:szCs w:val="20"/>
          <w:color w:val="auto"/>
        </w:rPr>
      </w:pPr>
    </w:p>
    <w:p>
      <w:pPr>
        <w:jc w:val="both"/>
        <w:ind w:left="460"/>
        <w:spacing w:after="0"/>
        <w:tabs>
          <w:tab w:leader="none" w:pos="228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5</w:t>
      </w:r>
    </w:p>
    <w:p>
      <w:pPr>
        <w:spacing w:after="0" w:line="190" w:lineRule="exact"/>
        <w:rPr>
          <w:sz w:val="20"/>
          <w:szCs w:val="20"/>
          <w:color w:val="auto"/>
        </w:rPr>
      </w:pPr>
    </w:p>
    <w:p>
      <w:pPr>
        <w:sectPr>
          <w:pgSz w:w="11900" w:h="16838" w:orient="portrait"/>
          <w:cols w:equalWidth="0" w:num="2">
            <w:col w:w="7980" w:space="720"/>
            <w:col w:w="2520"/>
          </w:cols>
          <w:pgMar w:left="320" w:top="125" w:right="359" w:bottom="1440" w:gutter="0" w:footer="0" w:header="0"/>
          <w:type w:val="continuous"/>
        </w:sectPr>
      </w:pPr>
    </w:p>
    <w:tbl>
      <w:tblPr>
        <w:tblLayout w:type="fixed"/>
        <w:tblInd w:w="40" w:type="dxa"/>
        <w:tblCellMar>
          <w:top w:w="0" w:type="dxa"/>
          <w:left w:w="0" w:type="dxa"/>
          <w:bottom w:w="0" w:type="dxa"/>
          <w:right w:w="0" w:type="dxa"/>
        </w:tblCellMar>
      </w:tblPr>
      <w:tr>
        <w:trPr>
          <w:trHeight w:val="243"/>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Treasury stock, at cost (7,162 and 7,162 shares at March 31, 2020 and December 31, 2019, respectively)</w:t>
            </w:r>
          </w:p>
        </w:tc>
        <w:tc>
          <w:tcPr>
            <w:tcW w:w="5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(82,087)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(82,087)</w:t>
            </w: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5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522,164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525,739</w:t>
            </w:r>
          </w:p>
        </w:tc>
      </w:tr>
      <w:tr>
        <w:trPr>
          <w:trHeight w:val="33"/>
        </w:trPr>
        <w:tc>
          <w:tcPr>
            <w:tcW w:w="7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5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(36,823)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(33,261)</w:t>
            </w: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5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(338,348)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(334,319)</w:t>
            </w:r>
          </w:p>
        </w:tc>
      </w:tr>
      <w:tr>
        <w:trPr>
          <w:trHeight w:val="33"/>
        </w:trPr>
        <w:tc>
          <w:tcPr>
            <w:tcW w:w="76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stockholders’ equity</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64,911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76,077</w:t>
            </w:r>
          </w:p>
        </w:tc>
      </w:tr>
      <w:tr>
        <w:trPr>
          <w:trHeight w:val="217"/>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512,794</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532,023</w:t>
            </w:r>
          </w:p>
        </w:tc>
      </w:tr>
      <w:tr>
        <w:trPr>
          <w:trHeight w:val="33"/>
        </w:trPr>
        <w:tc>
          <w:tcPr>
            <w:tcW w:w="76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7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5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thousands,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3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77,122</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88,105</w:t>
            </w:r>
          </w:p>
        </w:tc>
      </w:tr>
      <w:tr>
        <w:trPr>
          <w:trHeight w:val="224"/>
        </w:trPr>
        <w:tc>
          <w:tcPr>
            <w:tcW w:w="8360" w:type="dxa"/>
            <w:vAlign w:val="bottom"/>
          </w:tcPr>
          <w:p>
            <w:pPr>
              <w:ind w:left="220"/>
              <w:spacing w:after="0"/>
              <w:rPr>
                <w:sz w:val="20"/>
                <w:szCs w:val="20"/>
                <w:color w:val="auto"/>
              </w:rPr>
            </w:pPr>
            <w:r>
              <w:rPr>
                <w:rFonts w:ascii="Arial" w:cs="Arial" w:eastAsia="Arial" w:hAnsi="Arial"/>
                <w:sz w:val="16"/>
                <w:szCs w:val="16"/>
                <w:color w:val="auto"/>
              </w:rPr>
              <w:t>Costs and expenses: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35,471</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38,953</w:t>
            </w:r>
          </w:p>
        </w:tc>
      </w:tr>
      <w:tr>
        <w:trPr>
          <w:trHeight w:val="223"/>
        </w:trPr>
        <w:tc>
          <w:tcPr>
            <w:tcW w:w="8360" w:type="dxa"/>
            <w:vAlign w:val="bottom"/>
          </w:tcPr>
          <w:p>
            <w:pPr>
              <w:ind w:left="4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19,788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19,681</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26,344</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29,246</w:t>
            </w:r>
          </w:p>
        </w:tc>
      </w:tr>
      <w:tr>
        <w:trPr>
          <w:trHeight w:val="224"/>
        </w:trPr>
        <w:tc>
          <w:tcPr>
            <w:tcW w:w="8360" w:type="dxa"/>
            <w:vAlign w:val="bottom"/>
          </w:tcPr>
          <w:p>
            <w:pPr>
              <w:ind w:left="42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1,450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421</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11,356</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20,143</w:t>
            </w:r>
          </w:p>
        </w:tc>
      </w:tr>
      <w:tr>
        <w:trPr>
          <w:trHeight w:val="217"/>
        </w:trPr>
        <w:tc>
          <w:tcPr>
            <w:tcW w:w="8360" w:type="dxa"/>
            <w:vAlign w:val="bottom"/>
          </w:tcPr>
          <w:p>
            <w:pPr>
              <w:ind w:left="22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94,409</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108,444</w:t>
            </w: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(17,287)</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(20,339)</w:t>
            </w:r>
          </w:p>
        </w:tc>
      </w:tr>
      <w:tr>
        <w:trPr>
          <w:trHeight w:val="223"/>
        </w:trPr>
        <w:tc>
          <w:tcPr>
            <w:tcW w:w="83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189</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r>
      <w:tr>
        <w:trPr>
          <w:trHeight w:val="224"/>
        </w:trPr>
        <w:tc>
          <w:tcPr>
            <w:tcW w:w="8360" w:type="dxa"/>
            <w:vAlign w:val="bottom"/>
          </w:tcPr>
          <w:p>
            <w:pPr>
              <w:ind w:left="220"/>
              <w:spacing w:after="0"/>
              <w:rPr>
                <w:sz w:val="20"/>
                <w:szCs w:val="20"/>
                <w:color w:val="auto"/>
              </w:rPr>
            </w:pPr>
            <w:r>
              <w:rPr>
                <w:rFonts w:ascii="Arial" w:cs="Arial" w:eastAsia="Arial" w:hAnsi="Arial"/>
                <w:sz w:val="16"/>
                <w:szCs w:val="16"/>
                <w:color w:val="auto"/>
              </w:rPr>
              <w:t>Gain (loss) on extinguishment of debt</w:t>
            </w:r>
          </w:p>
        </w:tc>
        <w:tc>
          <w:tcPr>
            <w:tcW w:w="2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387</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1,692</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463</w:t>
            </w:r>
          </w:p>
        </w:tc>
      </w:tr>
      <w:tr>
        <w:trPr>
          <w:trHeight w:val="223"/>
        </w:trPr>
        <w:tc>
          <w:tcPr>
            <w:tcW w:w="8360" w:type="dxa"/>
            <w:vAlign w:val="bottom"/>
          </w:tcPr>
          <w:p>
            <w:pPr>
              <w:ind w:left="220"/>
              <w:spacing w:after="0"/>
              <w:rPr>
                <w:sz w:val="20"/>
                <w:szCs w:val="20"/>
                <w:color w:val="auto"/>
              </w:rPr>
            </w:pPr>
            <w:r>
              <w:rPr>
                <w:rFonts w:ascii="Arial" w:cs="Arial" w:eastAsia="Arial" w:hAnsi="Arial"/>
                <w:sz w:val="16"/>
                <w:szCs w:val="16"/>
                <w:color w:val="auto"/>
              </w:rPr>
              <w:t>Equity method investment loss</w:t>
            </w:r>
          </w:p>
        </w:tc>
        <w:tc>
          <w:tcPr>
            <w:tcW w:w="2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(1,243)</w:t>
            </w: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before taxes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(15,782)</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(21,128)</w:t>
            </w:r>
          </w:p>
        </w:tc>
      </w:tr>
      <w:tr>
        <w:trPr>
          <w:trHeight w:val="224"/>
        </w:trPr>
        <w:tc>
          <w:tcPr>
            <w:tcW w:w="8360" w:type="dxa"/>
            <w:vAlign w:val="bottom"/>
          </w:tcPr>
          <w:p>
            <w:pPr>
              <w:ind w:left="220"/>
              <w:spacing w:after="0"/>
              <w:rPr>
                <w:sz w:val="20"/>
                <w:szCs w:val="20"/>
                <w:color w:val="auto"/>
              </w:rPr>
            </w:pPr>
            <w:r>
              <w:rPr>
                <w:rFonts w:ascii="Arial" w:cs="Arial" w:eastAsia="Arial" w:hAnsi="Arial"/>
                <w:sz w:val="16"/>
                <w:szCs w:val="16"/>
                <w:color w:val="auto"/>
              </w:rPr>
              <w:t>Benefit for income taxes</w:t>
            </w:r>
          </w:p>
        </w:tc>
        <w:tc>
          <w:tcPr>
            <w:tcW w:w="26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12,432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1,391</w:t>
            </w: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(3,350)</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(19,737)</w:t>
            </w:r>
          </w:p>
        </w:tc>
      </w:tr>
      <w:tr>
        <w:trPr>
          <w:trHeight w:val="224"/>
        </w:trPr>
        <w:tc>
          <w:tcPr>
            <w:tcW w:w="8360" w:type="dxa"/>
            <w:vAlign w:val="bottom"/>
          </w:tcPr>
          <w:p>
            <w:pPr>
              <w:ind w:left="220"/>
              <w:spacing w:after="0"/>
              <w:rPr>
                <w:sz w:val="20"/>
                <w:szCs w:val="20"/>
                <w:color w:val="auto"/>
              </w:rPr>
            </w:pPr>
            <w:r>
              <w:rPr>
                <w:rFonts w:ascii="Arial" w:cs="Arial" w:eastAsia="Arial" w:hAnsi="Arial"/>
                <w:sz w:val="16"/>
                <w:szCs w:val="16"/>
                <w:color w:val="auto"/>
              </w:rPr>
              <w:t>Net loss attributable to redeemable noncontrolling interests</w:t>
            </w:r>
          </w:p>
        </w:tc>
        <w:tc>
          <w:tcPr>
            <w:tcW w:w="2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(313)</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Preferred stock dividend</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(8,909)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(7,537)</w:t>
            </w:r>
          </w:p>
        </w:tc>
      </w:tr>
      <w:tr>
        <w:trPr>
          <w:trHeight w:val="220"/>
        </w:trPr>
        <w:tc>
          <w:tcPr>
            <w:tcW w:w="8360" w:type="dxa"/>
            <w:vAlign w:val="bottom"/>
          </w:tcPr>
          <w:p>
            <w:pPr>
              <w:ind w:left="20"/>
              <w:spacing w:after="0"/>
              <w:rPr>
                <w:sz w:val="20"/>
                <w:szCs w:val="20"/>
                <w:color w:val="auto"/>
              </w:rPr>
            </w:pPr>
            <w:r>
              <w:rPr>
                <w:rFonts w:ascii="Arial" w:cs="Arial" w:eastAsia="Arial" w:hAnsi="Arial"/>
                <w:sz w:val="16"/>
                <w:szCs w:val="16"/>
                <w:color w:val="auto"/>
              </w:rPr>
              <w:t>Net loss attributable to Synchronoss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(12,276)</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(27,587)</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6"/>
        </w:trPr>
        <w:tc>
          <w:tcPr>
            <w:tcW w:w="8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1"/>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360" w:type="dxa"/>
            <w:vAlign w:val="bottom"/>
          </w:tcPr>
          <w:p>
            <w:pPr>
              <w:ind w:left="1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(0.30)</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(0.68)</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33"/>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Diluted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Cost of revenues excludes depreciation and amortization which are shown separately.</w:t>
      </w:r>
    </w:p>
    <w:p>
      <w:pPr>
        <w:spacing w:after="0" w:line="20" w:lineRule="exact"/>
        <w:rPr>
          <w:sz w:val="20"/>
          <w:szCs w:val="20"/>
          <w:color w:val="auto"/>
        </w:rPr>
      </w:pPr>
      <w:r>
        <w:rPr>
          <w:sz w:val="20"/>
          <w:szCs w:val="20"/>
          <w:color w:val="auto"/>
        </w:rPr>
        <w:br w:type="column"/>
      </w:r>
    </w:p>
    <w:p>
      <w:pPr>
        <w:spacing w:after="0"/>
        <w:tabs>
          <w:tab w:leader="none" w:pos="1480" w:val="left"/>
        </w:tabs>
        <w:rPr>
          <w:sz w:val="20"/>
          <w:szCs w:val="20"/>
          <w:color w:val="auto"/>
        </w:rPr>
      </w:pPr>
      <w:r>
        <w:rPr>
          <w:rFonts w:ascii="Arial" w:cs="Arial" w:eastAsia="Arial" w:hAnsi="Arial"/>
          <w:sz w:val="15"/>
          <w:szCs w:val="15"/>
          <w:color w:val="auto"/>
        </w:rPr>
        <w:t>41,483</w:t>
      </w:r>
      <w:r>
        <w:rPr>
          <w:sz w:val="20"/>
          <w:szCs w:val="20"/>
          <w:color w:val="auto"/>
        </w:rPr>
        <w:tab/>
      </w:r>
      <w:r>
        <w:rPr>
          <w:rFonts w:ascii="Arial" w:cs="Arial" w:eastAsia="Arial" w:hAnsi="Arial"/>
          <w:sz w:val="15"/>
          <w:szCs w:val="15"/>
          <w:color w:val="auto"/>
        </w:rPr>
        <w:t>40,320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42545</wp:posOffset>
            </wp:positionV>
            <wp:extent cx="18345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18"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color w:val="auto"/>
        </w:rPr>
        <w:t>41,483</w:t>
      </w:r>
      <w:r>
        <w:rPr>
          <w:sz w:val="20"/>
          <w:szCs w:val="20"/>
          <w:color w:val="auto"/>
        </w:rPr>
        <w:tab/>
      </w:r>
      <w:r>
        <w:rPr>
          <w:rFonts w:ascii="Arial" w:cs="Arial" w:eastAsia="Arial" w:hAnsi="Arial"/>
          <w:sz w:val="15"/>
          <w:szCs w:val="15"/>
          <w:color w:val="auto"/>
        </w:rPr>
        <w:t>40,320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67945</wp:posOffset>
            </wp:positionV>
            <wp:extent cx="18345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828" w:lineRule="exact"/>
        <w:rPr>
          <w:sz w:val="20"/>
          <w:szCs w:val="20"/>
          <w:color w:val="auto"/>
        </w:rPr>
      </w:pPr>
    </w:p>
    <w:p>
      <w:pPr>
        <w:sectPr>
          <w:pgSz w:w="11900" w:h="16838" w:orient="portrait"/>
          <w:cols w:equalWidth="0" w:num="2">
            <w:col w:w="8420" w:space="720"/>
            <w:col w:w="2100"/>
          </w:cols>
          <w:pgMar w:left="320" w:top="125" w:right="339" w:bottom="1440" w:gutter="0" w:footer="0" w:header="0"/>
          <w:type w:val="continuous"/>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50" w:lineRule="exact"/>
        <w:rPr>
          <w:sz w:val="20"/>
          <w:szCs w:val="20"/>
          <w:color w:val="auto"/>
        </w:rPr>
      </w:pPr>
    </w:p>
    <w:p>
      <w:pPr>
        <w:ind w:left="4900" w:right="2000" w:hanging="2902"/>
        <w:spacing w:after="0" w:line="294" w:lineRule="auto"/>
        <w:rPr>
          <w:sz w:val="20"/>
          <w:szCs w:val="20"/>
          <w:color w:val="auto"/>
        </w:rPr>
      </w:pPr>
      <w:r>
        <w:rPr>
          <w:rFonts w:ascii="Arial" w:cs="Arial" w:eastAsia="Arial" w:hAnsi="Arial"/>
          <w:sz w:val="18"/>
          <w:szCs w:val="18"/>
          <w:b w:val="1"/>
          <w:bCs w:val="1"/>
          <w:color w:val="auto"/>
        </w:rPr>
        <w:t>CONDENSED CONSOLIDATED STATEMENTS OF COMPREHENSIVE (LOSS) INCOME (Unaudited)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8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(19,737)</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Other comprehensive (loss) income, net of tax:</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(3,941)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24"/>
        </w:trPr>
        <w:tc>
          <w:tcPr>
            <w:tcW w:w="8240" w:type="dxa"/>
            <w:vAlign w:val="bottom"/>
          </w:tcPr>
          <w:p>
            <w:pPr>
              <w:ind w:left="320"/>
              <w:spacing w:after="0"/>
              <w:rPr>
                <w:sz w:val="20"/>
                <w:szCs w:val="20"/>
                <w:color w:val="auto"/>
              </w:rPr>
            </w:pPr>
            <w:r>
              <w:rPr>
                <w:rFonts w:ascii="Arial" w:cs="Arial" w:eastAsia="Arial" w:hAnsi="Arial"/>
                <w:sz w:val="16"/>
                <w:szCs w:val="16"/>
                <w:color w:val="auto"/>
              </w:rPr>
              <w:t>Unrealized gain (loss) on available for sale securities</w:t>
            </w:r>
          </w:p>
        </w:tc>
        <w:tc>
          <w:tcPr>
            <w:tcW w:w="30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(905)</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loss on inter-company foreign currency transactions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17"/>
        </w:trPr>
        <w:tc>
          <w:tcPr>
            <w:tcW w:w="8240" w:type="dxa"/>
            <w:vAlign w:val="bottom"/>
          </w:tcPr>
          <w:p>
            <w:pPr>
              <w:ind w:left="120"/>
              <w:spacing w:after="0"/>
              <w:rPr>
                <w:sz w:val="20"/>
                <w:szCs w:val="20"/>
                <w:color w:val="auto"/>
              </w:rPr>
            </w:pPr>
            <w:r>
              <w:rPr>
                <w:rFonts w:ascii="Arial" w:cs="Arial" w:eastAsia="Arial" w:hAnsi="Arial"/>
                <w:sz w:val="16"/>
                <w:szCs w:val="16"/>
                <w:color w:val="auto"/>
              </w:rPr>
              <w:t>Total other comprehensive loss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(3,562)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(1,583)</w:t>
            </w: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(21,320)</w:t>
            </w:r>
          </w:p>
        </w:tc>
      </w:tr>
      <w:tr>
        <w:trPr>
          <w:trHeight w:val="223"/>
        </w:trPr>
        <w:tc>
          <w:tcPr>
            <w:tcW w:w="8240" w:type="dxa"/>
            <w:vAlign w:val="bottom"/>
          </w:tcPr>
          <w:p>
            <w:pPr>
              <w:ind w:left="220"/>
              <w:spacing w:after="0"/>
              <w:rPr>
                <w:sz w:val="20"/>
                <w:szCs w:val="20"/>
                <w:color w:val="auto"/>
              </w:rPr>
            </w:pPr>
            <w:r>
              <w:rPr>
                <w:rFonts w:ascii="Arial" w:cs="Arial" w:eastAsia="Arial" w:hAnsi="Arial"/>
                <w:sz w:val="16"/>
                <w:szCs w:val="16"/>
                <w:color w:val="auto"/>
              </w:rPr>
              <w:t>Comprehensive loss attributable to redeemable noncontrolling interests</w:t>
            </w:r>
          </w:p>
        </w:tc>
        <w:tc>
          <w:tcPr>
            <w:tcW w:w="30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(313)</w:t>
            </w: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Synchronoss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(21,633)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89"/>
              </w:rPr>
              <w:t>Three Months Ended March 31, 2020</w:t>
            </w: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34"/>
        </w:trPr>
        <w:tc>
          <w:tcPr>
            <w:tcW w:w="3620" w:type="dxa"/>
            <w:vAlign w:val="bottom"/>
          </w:tcPr>
          <w:p>
            <w:pPr>
              <w:spacing w:after="0"/>
              <w:rPr>
                <w:sz w:val="11"/>
                <w:szCs w:val="11"/>
                <w:color w:val="auto"/>
              </w:rPr>
            </w:pPr>
          </w:p>
        </w:tc>
        <w:tc>
          <w:tcPr>
            <w:tcW w:w="1840" w:type="dxa"/>
            <w:vAlign w:val="bottom"/>
            <w:gridSpan w:val="5"/>
          </w:tcPr>
          <w:p>
            <w:pPr>
              <w:ind w:left="560"/>
              <w:spacing w:after="0"/>
              <w:rPr>
                <w:sz w:val="20"/>
                <w:szCs w:val="20"/>
                <w:color w:val="auto"/>
              </w:rPr>
            </w:pPr>
            <w:r>
              <w:rPr>
                <w:rFonts w:ascii="Arial" w:cs="Arial" w:eastAsia="Arial" w:hAnsi="Arial"/>
                <w:sz w:val="9"/>
                <w:szCs w:val="9"/>
                <w:b w:val="1"/>
                <w:bCs w:val="1"/>
                <w:color w:val="auto"/>
              </w:rPr>
              <w:t>Common Stock</w:t>
            </w:r>
          </w:p>
        </w:tc>
        <w:tc>
          <w:tcPr>
            <w:tcW w:w="1880" w:type="dxa"/>
            <w:vAlign w:val="bottom"/>
            <w:gridSpan w:val="5"/>
          </w:tcPr>
          <w:p>
            <w:pPr>
              <w:ind w:left="58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Additional</w:t>
            </w:r>
          </w:p>
        </w:tc>
        <w:tc>
          <w:tcPr>
            <w:tcW w:w="100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1"/>
              </w:rPr>
              <w:t>Accumulated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298"/>
              <w:spacing w:after="0"/>
              <w:rPr>
                <w:sz w:val="20"/>
                <w:szCs w:val="20"/>
                <w:color w:val="auto"/>
              </w:rPr>
            </w:pPr>
            <w:r>
              <w:rPr>
                <w:rFonts w:ascii="Arial" w:cs="Arial" w:eastAsia="Arial" w:hAnsi="Arial"/>
                <w:sz w:val="9"/>
                <w:szCs w:val="9"/>
                <w:b w:val="1"/>
                <w:bCs w:val="1"/>
                <w:color w:val="auto"/>
              </w:rPr>
              <w:t>Total</w:t>
            </w:r>
          </w:p>
        </w:tc>
      </w:tr>
      <w:tr>
        <w:trPr>
          <w:trHeight w:val="127"/>
        </w:trPr>
        <w:tc>
          <w:tcPr>
            <w:tcW w:w="3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w w:val="88"/>
              </w:rPr>
              <w:t>Comprehensive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4"/>
        </w:trPr>
        <w:tc>
          <w:tcPr>
            <w:tcW w:w="3620" w:type="dxa"/>
            <w:vAlign w:val="bottom"/>
          </w:tcPr>
          <w:p>
            <w:pPr>
              <w:spacing w:after="0"/>
              <w:rPr>
                <w:sz w:val="10"/>
                <w:szCs w:val="10"/>
                <w:color w:val="auto"/>
              </w:rPr>
            </w:pPr>
          </w:p>
        </w:tc>
        <w:tc>
          <w:tcPr>
            <w:tcW w:w="860" w:type="dxa"/>
            <w:vAlign w:val="bottom"/>
            <w:gridSpan w:val="2"/>
          </w:tcPr>
          <w:p>
            <w:pPr>
              <w:ind w:left="24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0"/>
                <w:szCs w:val="10"/>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w:t>
            </w:r>
          </w:p>
        </w:tc>
        <w:tc>
          <w:tcPr>
            <w:tcW w:w="88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920" w:type="dxa"/>
            <w:vAlign w:val="bottom"/>
            <w:gridSpan w:val="2"/>
          </w:tcPr>
          <w:p>
            <w:pPr>
              <w:ind w:left="20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8"/>
              </w:rPr>
              <w:t>Income (Loss)</w:t>
            </w:r>
          </w:p>
        </w:tc>
        <w:tc>
          <w:tcPr>
            <w:tcW w:w="1000" w:type="dxa"/>
            <w:vAlign w:val="bottom"/>
            <w:gridSpan w:val="3"/>
          </w:tcPr>
          <w:p>
            <w:pPr>
              <w:ind w:left="40"/>
              <w:spacing w:after="0"/>
              <w:rPr>
                <w:sz w:val="20"/>
                <w:szCs w:val="20"/>
                <w:color w:val="auto"/>
              </w:rPr>
            </w:pPr>
            <w:r>
              <w:rPr>
                <w:rFonts w:ascii="Arial" w:cs="Arial" w:eastAsia="Arial" w:hAnsi="Arial"/>
                <w:sz w:val="9"/>
                <w:szCs w:val="9"/>
                <w:b w:val="1"/>
                <w:bCs w:val="1"/>
                <w:color w:val="auto"/>
              </w:rPr>
              <w:t>Accumulated deficit</w:t>
            </w:r>
          </w:p>
        </w:tc>
        <w:tc>
          <w:tcPr>
            <w:tcW w:w="900" w:type="dxa"/>
            <w:vAlign w:val="bottom"/>
            <w:gridSpan w:val="2"/>
          </w:tcPr>
          <w:p>
            <w:pPr>
              <w:jc w:val="right"/>
              <w:spacing w:after="0"/>
              <w:rPr>
                <w:sz w:val="20"/>
                <w:szCs w:val="20"/>
                <w:color w:val="auto"/>
              </w:rPr>
            </w:pPr>
            <w:r>
              <w:rPr>
                <w:rFonts w:ascii="Arial" w:cs="Arial" w:eastAsia="Arial" w:hAnsi="Arial"/>
                <w:sz w:val="9"/>
                <w:szCs w:val="9"/>
                <w:b w:val="1"/>
                <w:bCs w:val="1"/>
                <w:color w:val="auto"/>
                <w:w w:val="94"/>
              </w:rPr>
              <w:t>Stockholders' Equity</w:t>
            </w:r>
          </w:p>
        </w:tc>
      </w:tr>
      <w:tr>
        <w:trPr>
          <w:trHeight w:val="18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7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51,704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5</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(7,162)</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(82,087)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525,739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(33,261)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(334,319)</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76,077</w:t>
            </w:r>
          </w:p>
        </w:tc>
      </w:tr>
      <w:tr>
        <w:trPr>
          <w:trHeight w:val="181"/>
        </w:trPr>
        <w:tc>
          <w:tcPr>
            <w:tcW w:w="3620" w:type="dxa"/>
            <w:vAlign w:val="bottom"/>
          </w:tcPr>
          <w:p>
            <w:pPr>
              <w:ind w:left="120"/>
              <w:spacing w:after="0"/>
              <w:rPr>
                <w:sz w:val="20"/>
                <w:szCs w:val="20"/>
                <w:color w:val="auto"/>
              </w:rPr>
            </w:pPr>
            <w:r>
              <w:rPr>
                <w:rFonts w:ascii="Arial" w:cs="Arial" w:eastAsia="Arial" w:hAnsi="Arial"/>
                <w:sz w:val="13"/>
                <w:szCs w:val="13"/>
                <w:color w:val="auto"/>
              </w:rPr>
              <w:t>Stock based compensation</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3"/>
                <w:szCs w:val="13"/>
                <w:color w:val="auto"/>
              </w:rPr>
              <w:t>5,316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5,316</w:t>
            </w:r>
          </w:p>
        </w:tc>
      </w:tr>
      <w:tr>
        <w:trPr>
          <w:trHeight w:val="197"/>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stock</w:t>
            </w: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r>
      <w:tr>
        <w:trPr>
          <w:trHeight w:val="181"/>
        </w:trPr>
        <w:tc>
          <w:tcPr>
            <w:tcW w:w="3620" w:type="dxa"/>
            <w:vAlign w:val="bottom"/>
          </w:tcPr>
          <w:p>
            <w:pPr>
              <w:ind w:left="120"/>
              <w:spacing w:after="0"/>
              <w:rPr>
                <w:sz w:val="20"/>
                <w:szCs w:val="20"/>
                <w:color w:val="auto"/>
              </w:rPr>
            </w:pPr>
            <w:r>
              <w:rPr>
                <w:rFonts w:ascii="Arial" w:cs="Arial" w:eastAsia="Arial" w:hAnsi="Arial"/>
                <w:sz w:val="13"/>
                <w:szCs w:val="13"/>
                <w:color w:val="auto"/>
              </w:rPr>
              <w:t>Preferred stock dividends declared</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(8,158)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(8,158)</w:t>
            </w:r>
          </w:p>
        </w:tc>
      </w:tr>
      <w:tr>
        <w:trPr>
          <w:trHeight w:val="197"/>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preferred stock issuance costs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(750)</w:t>
            </w:r>
          </w:p>
        </w:tc>
      </w:tr>
      <w:tr>
        <w:trPr>
          <w:trHeight w:val="148"/>
        </w:trPr>
        <w:tc>
          <w:tcPr>
            <w:tcW w:w="3620" w:type="dxa"/>
            <w:vAlign w:val="bottom"/>
          </w:tcPr>
          <w:p>
            <w:pPr>
              <w:ind w:left="120"/>
              <w:spacing w:after="0" w:line="148" w:lineRule="exact"/>
              <w:rPr>
                <w:sz w:val="20"/>
                <w:szCs w:val="20"/>
                <w:color w:val="auto"/>
              </w:rPr>
            </w:pPr>
            <w:r>
              <w:rPr>
                <w:rFonts w:ascii="Arial" w:cs="Arial" w:eastAsia="Arial" w:hAnsi="Arial"/>
                <w:sz w:val="13"/>
                <w:szCs w:val="13"/>
                <w:color w:val="auto"/>
                <w:w w:val="91"/>
              </w:rPr>
              <w:t>Shares withheld for taxes in connection with issuance of restricted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stock</w:t>
            </w:r>
          </w:p>
        </w:tc>
        <w:tc>
          <w:tcPr>
            <w:tcW w:w="740" w:type="dxa"/>
            <w:vAlign w:val="bottom"/>
          </w:tcPr>
          <w:p>
            <w:pPr>
              <w:jc w:val="right"/>
              <w:ind w:right="6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197"/>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loss attributable to Synchronoss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(3,350)</w:t>
            </w:r>
          </w:p>
        </w:tc>
      </w:tr>
      <w:tr>
        <w:trPr>
          <w:trHeight w:val="181"/>
        </w:trPr>
        <w:tc>
          <w:tcPr>
            <w:tcW w:w="3620" w:type="dxa"/>
            <w:vAlign w:val="bottom"/>
          </w:tcPr>
          <w:p>
            <w:pPr>
              <w:ind w:left="120"/>
              <w:spacing w:after="0"/>
              <w:rPr>
                <w:sz w:val="20"/>
                <w:szCs w:val="20"/>
                <w:color w:val="auto"/>
              </w:rPr>
            </w:pPr>
            <w:r>
              <w:rPr>
                <w:rFonts w:ascii="Arial" w:cs="Arial" w:eastAsia="Arial" w:hAnsi="Arial"/>
                <w:sz w:val="13"/>
                <w:szCs w:val="13"/>
                <w:color w:val="auto"/>
              </w:rPr>
              <w:t>Non-controlling interest</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197"/>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other comprehensive income (loss)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(3,562)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(3,562)</w:t>
            </w:r>
          </w:p>
        </w:tc>
      </w:tr>
      <w:tr>
        <w:trPr>
          <w:trHeight w:val="181"/>
        </w:trPr>
        <w:tc>
          <w:tcPr>
            <w:tcW w:w="3620" w:type="dxa"/>
            <w:vAlign w:val="bottom"/>
          </w:tcPr>
          <w:p>
            <w:pPr>
              <w:ind w:left="120"/>
              <w:spacing w:after="0"/>
              <w:rPr>
                <w:sz w:val="20"/>
                <w:szCs w:val="20"/>
                <w:color w:val="auto"/>
              </w:rPr>
            </w:pPr>
            <w:r>
              <w:rPr>
                <w:rFonts w:ascii="Arial" w:cs="Arial" w:eastAsia="Arial" w:hAnsi="Arial"/>
                <w:sz w:val="13"/>
                <w:szCs w:val="13"/>
                <w:color w:val="auto"/>
              </w:rPr>
              <w:t>Adoption of new credit loss accounting standard</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(768)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(768)</w:t>
            </w:r>
          </w:p>
        </w:tc>
      </w:tr>
      <w:tr>
        <w:trPr>
          <w:trHeight w:val="190"/>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106</w:t>
            </w: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7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3"/>
                <w:szCs w:val="13"/>
                <w:color w:val="auto"/>
              </w:rPr>
              <w:t>51,758</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3"/>
                <w:szCs w:val="13"/>
                <w:color w:val="auto"/>
              </w:rPr>
              <w:t>(7,162)</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color w:val="auto"/>
              </w:rPr>
              <w:t>(82,087)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3"/>
                <w:szCs w:val="13"/>
                <w:color w:val="auto"/>
              </w:rPr>
              <w:t>522,164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3"/>
                <w:szCs w:val="13"/>
                <w:color w:val="auto"/>
              </w:rPr>
              <w:t>(36,823)</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(338,348)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64,911</w:t>
            </w:r>
          </w:p>
        </w:tc>
      </w:tr>
      <w:tr>
        <w:trPr>
          <w:trHeight w:val="20"/>
        </w:trPr>
        <w:tc>
          <w:tcPr>
            <w:tcW w:w="3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91"/>
              </w:rPr>
              <w:t>Three Months Ended March 31, 2019</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34"/>
        </w:trPr>
        <w:tc>
          <w:tcPr>
            <w:tcW w:w="3700" w:type="dxa"/>
            <w:vAlign w:val="bottom"/>
          </w:tcPr>
          <w:p>
            <w:pPr>
              <w:spacing w:after="0"/>
              <w:rPr>
                <w:sz w:val="11"/>
                <w:szCs w:val="11"/>
                <w:color w:val="auto"/>
              </w:rPr>
            </w:pPr>
          </w:p>
        </w:tc>
        <w:tc>
          <w:tcPr>
            <w:tcW w:w="1820" w:type="dxa"/>
            <w:vAlign w:val="bottom"/>
            <w:gridSpan w:val="5"/>
          </w:tcPr>
          <w:p>
            <w:pPr>
              <w:ind w:left="560"/>
              <w:spacing w:after="0"/>
              <w:rPr>
                <w:sz w:val="20"/>
                <w:szCs w:val="20"/>
                <w:color w:val="auto"/>
              </w:rPr>
            </w:pPr>
            <w:r>
              <w:rPr>
                <w:rFonts w:ascii="Arial" w:cs="Arial" w:eastAsia="Arial" w:hAnsi="Arial"/>
                <w:sz w:val="9"/>
                <w:szCs w:val="9"/>
                <w:b w:val="1"/>
                <w:bCs w:val="1"/>
                <w:color w:val="auto"/>
              </w:rPr>
              <w:t>Common Stock</w:t>
            </w:r>
          </w:p>
        </w:tc>
        <w:tc>
          <w:tcPr>
            <w:tcW w:w="1860" w:type="dxa"/>
            <w:vAlign w:val="bottom"/>
            <w:gridSpan w:val="5"/>
          </w:tcPr>
          <w:p>
            <w:pPr>
              <w:ind w:left="58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Additional</w:t>
            </w:r>
          </w:p>
        </w:tc>
        <w:tc>
          <w:tcPr>
            <w:tcW w:w="9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Accumulated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Arial" w:cs="Arial" w:eastAsia="Arial" w:hAnsi="Arial"/>
                <w:sz w:val="9"/>
                <w:szCs w:val="9"/>
                <w:b w:val="1"/>
                <w:bCs w:val="1"/>
                <w:color w:val="auto"/>
              </w:rPr>
              <w:t>Total</w:t>
            </w:r>
          </w:p>
        </w:tc>
      </w:tr>
      <w:tr>
        <w:trPr>
          <w:trHeight w:val="127"/>
        </w:trPr>
        <w:tc>
          <w:tcPr>
            <w:tcW w:w="3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88"/>
              </w:rPr>
              <w:t>Comprehensive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4"/>
        </w:trPr>
        <w:tc>
          <w:tcPr>
            <w:tcW w:w="3700" w:type="dxa"/>
            <w:vAlign w:val="bottom"/>
          </w:tcPr>
          <w:p>
            <w:pPr>
              <w:spacing w:after="0"/>
              <w:rPr>
                <w:sz w:val="10"/>
                <w:szCs w:val="10"/>
                <w:color w:val="auto"/>
              </w:rPr>
            </w:pPr>
          </w:p>
        </w:tc>
        <w:tc>
          <w:tcPr>
            <w:tcW w:w="860" w:type="dxa"/>
            <w:vAlign w:val="bottom"/>
            <w:gridSpan w:val="2"/>
          </w:tcPr>
          <w:p>
            <w:pPr>
              <w:ind w:left="24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0"/>
                <w:szCs w:val="10"/>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w:t>
            </w:r>
          </w:p>
        </w:tc>
        <w:tc>
          <w:tcPr>
            <w:tcW w:w="88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0"/>
                <w:szCs w:val="10"/>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Income (Loss)</w:t>
            </w:r>
          </w:p>
        </w:tc>
        <w:tc>
          <w:tcPr>
            <w:tcW w:w="1000" w:type="dxa"/>
            <w:vAlign w:val="bottom"/>
            <w:gridSpan w:val="3"/>
          </w:tcPr>
          <w:p>
            <w:pPr>
              <w:ind w:left="60"/>
              <w:spacing w:after="0"/>
              <w:rPr>
                <w:sz w:val="20"/>
                <w:szCs w:val="20"/>
                <w:color w:val="auto"/>
              </w:rPr>
            </w:pPr>
            <w:r>
              <w:rPr>
                <w:rFonts w:ascii="Arial" w:cs="Arial" w:eastAsia="Arial" w:hAnsi="Arial"/>
                <w:sz w:val="9"/>
                <w:szCs w:val="9"/>
                <w:b w:val="1"/>
                <w:bCs w:val="1"/>
                <w:color w:val="auto"/>
              </w:rPr>
              <w:t>Accumulated deficit</w:t>
            </w:r>
          </w:p>
        </w:tc>
        <w:tc>
          <w:tcPr>
            <w:tcW w:w="900" w:type="dxa"/>
            <w:vAlign w:val="bottom"/>
            <w:gridSpan w:val="2"/>
          </w:tcPr>
          <w:p>
            <w:pPr>
              <w:jc w:val="right"/>
              <w:spacing w:after="0"/>
              <w:rPr>
                <w:sz w:val="20"/>
                <w:szCs w:val="20"/>
                <w:color w:val="auto"/>
              </w:rPr>
            </w:pPr>
            <w:r>
              <w:rPr>
                <w:rFonts w:ascii="Arial" w:cs="Arial" w:eastAsia="Arial" w:hAnsi="Arial"/>
                <w:sz w:val="9"/>
                <w:szCs w:val="9"/>
                <w:b w:val="1"/>
                <w:bCs w:val="1"/>
                <w:color w:val="auto"/>
                <w:w w:val="94"/>
              </w:rPr>
              <w:t>Stockholders' Equity</w:t>
            </w:r>
          </w:p>
        </w:tc>
      </w:tr>
      <w:tr>
        <w:trPr>
          <w:trHeight w:val="18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7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49,836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(7,162)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(82,087)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534,673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(30,383)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(233,299)</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188,909</w:t>
            </w:r>
          </w:p>
        </w:tc>
      </w:tr>
      <w:tr>
        <w:trPr>
          <w:trHeight w:val="181"/>
        </w:trPr>
        <w:tc>
          <w:tcPr>
            <w:tcW w:w="3700" w:type="dxa"/>
            <w:vAlign w:val="bottom"/>
          </w:tcPr>
          <w:p>
            <w:pPr>
              <w:ind w:left="120"/>
              <w:spacing w:after="0"/>
              <w:rPr>
                <w:sz w:val="20"/>
                <w:szCs w:val="20"/>
                <w:color w:val="auto"/>
              </w:rPr>
            </w:pPr>
            <w:r>
              <w:rPr>
                <w:rFonts w:ascii="Arial" w:cs="Arial" w:eastAsia="Arial" w:hAnsi="Arial"/>
                <w:sz w:val="13"/>
                <w:szCs w:val="13"/>
                <w:color w:val="auto"/>
              </w:rPr>
              <w:t>Stock based compensation</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3"/>
                <w:szCs w:val="13"/>
                <w:color w:val="auto"/>
              </w:rPr>
              <w:t>5,779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color w:val="auto"/>
              </w:rPr>
              <w:t>5,779</w:t>
            </w:r>
          </w:p>
        </w:tc>
      </w:tr>
      <w:tr>
        <w:trPr>
          <w:trHeight w:val="197"/>
        </w:trPr>
        <w:tc>
          <w:tcPr>
            <w:tcW w:w="3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stock</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w:t>
            </w:r>
          </w:p>
        </w:tc>
      </w:tr>
      <w:tr>
        <w:trPr>
          <w:trHeight w:val="181"/>
        </w:trPr>
        <w:tc>
          <w:tcPr>
            <w:tcW w:w="3700" w:type="dxa"/>
            <w:vAlign w:val="bottom"/>
          </w:tcPr>
          <w:p>
            <w:pPr>
              <w:ind w:left="120"/>
              <w:spacing w:after="0"/>
              <w:rPr>
                <w:sz w:val="20"/>
                <w:szCs w:val="20"/>
                <w:color w:val="auto"/>
              </w:rPr>
            </w:pPr>
            <w:r>
              <w:rPr>
                <w:rFonts w:ascii="Arial" w:cs="Arial" w:eastAsia="Arial" w:hAnsi="Arial"/>
                <w:sz w:val="13"/>
                <w:szCs w:val="13"/>
                <w:color w:val="auto"/>
              </w:rPr>
              <w:t>Preferred stock dividends declared</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(7,075)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(7,075)</w:t>
            </w:r>
          </w:p>
        </w:tc>
      </w:tr>
      <w:tr>
        <w:trPr>
          <w:trHeight w:val="197"/>
        </w:trPr>
        <w:tc>
          <w:tcPr>
            <w:tcW w:w="3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preferred stock issuance costs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(462)</w:t>
            </w:r>
          </w:p>
        </w:tc>
      </w:tr>
      <w:tr>
        <w:trPr>
          <w:trHeight w:val="148"/>
        </w:trPr>
        <w:tc>
          <w:tcPr>
            <w:tcW w:w="3700" w:type="dxa"/>
            <w:vAlign w:val="bottom"/>
          </w:tcPr>
          <w:p>
            <w:pPr>
              <w:ind w:left="120"/>
              <w:spacing w:after="0" w:line="148" w:lineRule="exact"/>
              <w:rPr>
                <w:sz w:val="20"/>
                <w:szCs w:val="20"/>
                <w:color w:val="auto"/>
              </w:rPr>
            </w:pPr>
            <w:r>
              <w:rPr>
                <w:rFonts w:ascii="Arial" w:cs="Arial" w:eastAsia="Arial" w:hAnsi="Arial"/>
                <w:sz w:val="13"/>
                <w:szCs w:val="13"/>
                <w:color w:val="auto"/>
                <w:w w:val="93"/>
              </w:rPr>
              <w:t>Shares withheld for taxes in connection with issuance of restricted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8"/>
        </w:trPr>
        <w:tc>
          <w:tcPr>
            <w:tcW w:w="3700" w:type="dxa"/>
            <w:vAlign w:val="bottom"/>
          </w:tcPr>
          <w:p>
            <w:pPr>
              <w:ind w:left="120"/>
              <w:spacing w:after="0"/>
              <w:rPr>
                <w:sz w:val="20"/>
                <w:szCs w:val="20"/>
                <w:color w:val="auto"/>
              </w:rPr>
            </w:pPr>
            <w:r>
              <w:rPr>
                <w:rFonts w:ascii="Arial" w:cs="Arial" w:eastAsia="Arial" w:hAnsi="Arial"/>
                <w:sz w:val="13"/>
                <w:szCs w:val="13"/>
                <w:color w:val="auto"/>
              </w:rPr>
              <w:t>stock</w:t>
            </w:r>
          </w:p>
        </w:tc>
        <w:tc>
          <w:tcPr>
            <w:tcW w:w="740" w:type="dxa"/>
            <w:vAlign w:val="bottom"/>
          </w:tcPr>
          <w:p>
            <w:pPr>
              <w:jc w:val="right"/>
              <w:ind w:right="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(4)</w:t>
            </w:r>
          </w:p>
        </w:tc>
      </w:tr>
      <w:tr>
        <w:trPr>
          <w:trHeight w:val="197"/>
        </w:trPr>
        <w:tc>
          <w:tcPr>
            <w:tcW w:w="3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Adoption of new lease accounting standard</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3,573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3,573</w:t>
            </w:r>
          </w:p>
        </w:tc>
      </w:tr>
      <w:tr>
        <w:trPr>
          <w:trHeight w:val="181"/>
        </w:trPr>
        <w:tc>
          <w:tcPr>
            <w:tcW w:w="3700" w:type="dxa"/>
            <w:vAlign w:val="bottom"/>
          </w:tcPr>
          <w:p>
            <w:pPr>
              <w:ind w:left="120"/>
              <w:spacing w:after="0"/>
              <w:rPr>
                <w:sz w:val="20"/>
                <w:szCs w:val="20"/>
                <w:color w:val="auto"/>
              </w:rPr>
            </w:pPr>
            <w:r>
              <w:rPr>
                <w:rFonts w:ascii="Arial" w:cs="Arial" w:eastAsia="Arial" w:hAnsi="Arial"/>
                <w:sz w:val="13"/>
                <w:szCs w:val="13"/>
                <w:color w:val="auto"/>
              </w:rPr>
              <w:t>Net loss attributable to Synchronoss</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(20,050)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(20,050)</w:t>
            </w:r>
          </w:p>
        </w:tc>
      </w:tr>
      <w:tr>
        <w:trPr>
          <w:trHeight w:val="197"/>
        </w:trPr>
        <w:tc>
          <w:tcPr>
            <w:tcW w:w="3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Non-controlling interest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313</w:t>
            </w:r>
          </w:p>
        </w:tc>
      </w:tr>
      <w:tr>
        <w:trPr>
          <w:trHeight w:val="183"/>
        </w:trPr>
        <w:tc>
          <w:tcPr>
            <w:tcW w:w="3700" w:type="dxa"/>
            <w:vAlign w:val="bottom"/>
          </w:tcPr>
          <w:p>
            <w:pPr>
              <w:ind w:left="120"/>
              <w:spacing w:after="0"/>
              <w:rPr>
                <w:sz w:val="20"/>
                <w:szCs w:val="20"/>
                <w:color w:val="auto"/>
              </w:rPr>
            </w:pPr>
            <w:r>
              <w:rPr>
                <w:rFonts w:ascii="Arial" w:cs="Arial" w:eastAsia="Arial" w:hAnsi="Arial"/>
                <w:sz w:val="13"/>
                <w:szCs w:val="13"/>
                <w:color w:val="auto"/>
              </w:rPr>
              <w:t>Total other comprehensive income (loss)</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(1,583)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(1,583)</w:t>
            </w:r>
          </w:p>
        </w:tc>
      </w:tr>
      <w:tr>
        <w:trPr>
          <w:trHeight w:val="214"/>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2019</w:t>
            </w:r>
          </w:p>
        </w:tc>
        <w:tc>
          <w:tcPr>
            <w:tcW w:w="7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49,908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(7,162)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(82,087)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533,224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(31,966)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(249,776)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169,400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89"/>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Net loss continuing operations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(3,350)</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(19,737)</w:t>
            </w:r>
          </w:p>
        </w:tc>
      </w:tr>
      <w:tr>
        <w:trPr>
          <w:trHeight w:val="222"/>
        </w:trPr>
        <w:tc>
          <w:tcPr>
            <w:tcW w:w="8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97"/>
        </w:trPr>
        <w:tc>
          <w:tcPr>
            <w:tcW w:w="852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20,143</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2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155</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extinguishment of debt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Loss (earnings) from Equity method investments</w:t>
            </w:r>
          </w:p>
        </w:tc>
        <w:tc>
          <w:tcPr>
            <w:tcW w:w="2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1,243</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Disposals of intangible 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Amortization of bond premium</w:t>
            </w:r>
          </w:p>
        </w:tc>
        <w:tc>
          <w:tcPr>
            <w:tcW w:w="2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5,186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5,555</w:t>
            </w:r>
          </w:p>
        </w:tc>
      </w:tr>
      <w:tr>
        <w:trPr>
          <w:trHeight w:val="208"/>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(6,141)</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4,272</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(242)</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6,084</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(10,780)</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r>
      <w:tr>
        <w:trPr>
          <w:trHeight w:val="197"/>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Deferred revenues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(20,454)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(4,918)</w:t>
            </w:r>
          </w:p>
        </w:tc>
      </w:tr>
      <w:tr>
        <w:trPr>
          <w:trHeight w:val="202"/>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(15,016)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(5,684)</w:t>
            </w:r>
          </w:p>
        </w:tc>
      </w:tr>
      <w:tr>
        <w:trPr>
          <w:trHeight w:val="216"/>
        </w:trPr>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Purchases of fixed assets</w:t>
            </w:r>
          </w:p>
        </w:tc>
        <w:tc>
          <w:tcPr>
            <w:tcW w:w="2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(2,627)</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intangible assets and capitalized software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(2,704)</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Proceeds from the sale of intangibles</w:t>
            </w:r>
          </w:p>
        </w:tc>
        <w:tc>
          <w:tcPr>
            <w:tcW w:w="2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1,843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marketable securities available for sale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(11,278)</w:t>
            </w:r>
          </w:p>
        </w:tc>
      </w:tr>
      <w:tr>
        <w:trPr>
          <w:trHeight w:val="197"/>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Maturity of marketable securities available for sale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26,207</w:t>
            </w:r>
          </w:p>
        </w:tc>
      </w:tr>
      <w:tr>
        <w:trPr>
          <w:trHeight w:val="202"/>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9,598</w:t>
            </w:r>
          </w:p>
        </w:tc>
      </w:tr>
      <w:tr>
        <w:trPr>
          <w:trHeight w:val="216"/>
        </w:trPr>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Taxes paid on withholding shares</w:t>
            </w:r>
          </w:p>
        </w:tc>
        <w:tc>
          <w:tcPr>
            <w:tcW w:w="2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Retirement of Convertible Senior Notes &amp; related costs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(16,106)</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Borrowings on revolving line of credit</w:t>
            </w:r>
          </w:p>
        </w:tc>
        <w:tc>
          <w:tcPr>
            <w:tcW w:w="2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dividend payment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(7,075)</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Payments on capital obligations</w:t>
            </w:r>
          </w:p>
        </w:tc>
        <w:tc>
          <w:tcPr>
            <w:tcW w:w="2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w:t>
            </w:r>
          </w:p>
        </w:tc>
      </w:tr>
      <w:tr>
        <w:trPr>
          <w:trHeight w:val="202"/>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9,996</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(23,461)</w:t>
            </w:r>
          </w:p>
        </w:tc>
      </w:tr>
      <w:tr>
        <w:trPr>
          <w:trHeight w:val="216"/>
        </w:trPr>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7"/>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02"/>
        </w:trPr>
        <w:tc>
          <w:tcPr>
            <w:tcW w:w="8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(19,566)</w:t>
            </w:r>
          </w:p>
        </w:tc>
      </w:tr>
      <w:tr>
        <w:trPr>
          <w:trHeight w:val="197"/>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restricted cash and cash equivalents, beginning of period</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39,001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109,860</w:t>
            </w:r>
          </w:p>
        </w:tc>
      </w:tr>
      <w:tr>
        <w:trPr>
          <w:trHeight w:val="20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restricted cash and cash equivalents,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30,906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90,294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8520" w:type="dxa"/>
            <w:vAlign w:val="bottom"/>
          </w:tcPr>
          <w:p>
            <w:pPr>
              <w:ind w:left="220"/>
              <w:spacing w:after="0"/>
              <w:rPr>
                <w:sz w:val="20"/>
                <w:szCs w:val="20"/>
                <w:color w:val="auto"/>
              </w:rPr>
            </w:pPr>
            <w:r>
              <w:rPr>
                <w:rFonts w:ascii="Arial" w:cs="Arial" w:eastAsia="Arial" w:hAnsi="Arial"/>
                <w:sz w:val="14"/>
                <w:szCs w:val="14"/>
                <w:color w:val="auto"/>
              </w:rPr>
              <w:t>Paid in kind dividends on Series A Convertible Participating Perpetual Preferred Stock</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8,623</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7,075</w:t>
            </w:r>
          </w:p>
        </w:tc>
      </w:tr>
    </w:tbl>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Synchronoss Technologies, Inc. (“Synchronoss” or the “Company”) Digital, Cloud, Messaging and IoT platforms help the world’s leading companies, including operators, original equipment manufacturers (“OEMs”), and Technology, Media and Telecom (“TMT”) providers to deliver continuously transformative customer experiences that create high value engagement and new monetization opportunities.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currently operates in and markets solutions and services directly through the Company’s sales organizations in North America, Europe and Asia-Pacific. The Company’s platforms give customers new opportunities in TMT space, taking advantage of the rapidly converging services, connected devices, networks and applications.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delivers platforms, products and solutions including:</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Cloud sync, backup, storage, device set up, content transfer and content engagement for user generated content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multi-channel messaging peer-to-peer (“P2P”) communications and application-to-person (“A2P”) commerce solutions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experience management (Platform as a Service) - including digital journey creation, and journey design products that use analytics that power digital advisor products for IT and Business Channel Owners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IoT management technology for Smart Cities, Smart Buildings and more</w:t>
      </w:r>
    </w:p>
    <w:p>
      <w:pPr>
        <w:spacing w:after="0" w:line="2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Synchronoss Personal Cloud Platform™ is a secure and highly scalable white label platform designed to store and sync subscriber’s personally created content seamlessly to and from current and new devices. This allows an Operator’s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 Additionally, the Company’s Personal Cloud Platform performs an expanding set of value-add services including facilitating an Operator’s initial device setup and enhancing visibility and control across disparate devices within subscribers’ smart homes.</w:t>
      </w:r>
    </w:p>
    <w:p>
      <w:pPr>
        <w:spacing w:after="0" w:line="2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Synchronoss Digital Experience Platform (“DXP”) is a purpose-built experience management toolset that sits between the Company’s customers end-user facing applications and their existing back end systems, enabling the authoring and management of customer journeys in a cloud-native no/low-code environment. This platform uses products such as Journey Creator, Journey Advisor, CX Baseline and Digital Coach to create a wide variety of insight-driven customer experiences across existing channels (digital and analogue) including creating the ability to pause and resume continuous, intelligent experiences in an omni-channel environment. DXP can be operated by IT professionals and “citizen” developers (business analysts, etc.) enabling the Company’s customers to bring more compelling and complex experiences to market in less time with fewer and more diverse resources in a real-time, collaborative environment.</w:t>
      </w:r>
    </w:p>
    <w:p>
      <w:pPr>
        <w:spacing w:after="0" w:line="2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IoT Platform creates an easy to use environment and extensible ecosystem making the management of disparate devices, sensors, data pools and networks easier to manage by IoT administrators and drives the propagation of new IoT applications and monetization models for TMT companies. The Company’s IoT platform utilizes Synchronoss platforms (DXP, Cloud, Messaging), products and solutions to make IoT more accessible and actionable for Smart Building facility managers, Smart City planners, Automotive OEMs and TMT ecosystem players.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Basis of Presentation and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2019. The results of operations for the three months ended March 31, 2020 are not necessarily indicative of the results to be expected for the year ending December 31, 2020.</w:t>
      </w:r>
    </w:p>
    <w:p>
      <w:pPr>
        <w:spacing w:after="0" w:line="2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20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year amounts have been reclassified to conform with the current year presentation.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There are many uncertainties regarding the current coronavirus ("COVID-19") pandemic, and the Company is closely monitoring the impact of the pandemic on all aspects of its business, including how it will impact its customers, employees, suppliers, vendors, business partners and distribution channels. While the pandemic did not materially affect the Company’s financial results and business operations in the Company’s first quarter ended March 31, 2020, the Company is unable to predict the impact that COVID-19 will have on its financial position and operating results due to numerous uncertainties. The Company will continue to assess the evolving impact of the COVID-19 pandemic and will make adjustments to its operations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7115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940" w:type="dxa"/>
            <w:vAlign w:val="bottom"/>
          </w:tcPr>
          <w:p>
            <w:pPr>
              <w:ind w:left="20"/>
              <w:spacing w:after="0"/>
              <w:rPr>
                <w:sz w:val="20"/>
                <w:szCs w:val="20"/>
                <w:color w:val="auto"/>
              </w:rPr>
            </w:pPr>
            <w:r>
              <w:rPr>
                <w:rFonts w:ascii="Arial" w:cs="Arial" w:eastAsia="Arial" w:hAnsi="Arial"/>
                <w:sz w:val="16"/>
                <w:szCs w:val="16"/>
                <w:color w:val="auto"/>
              </w:rPr>
              <w:t>Standard</w:t>
            </w:r>
          </w:p>
        </w:tc>
        <w:tc>
          <w:tcPr>
            <w:tcW w:w="4660" w:type="dxa"/>
            <w:vAlign w:val="bottom"/>
          </w:tcPr>
          <w:p>
            <w:pPr>
              <w:ind w:left="60"/>
              <w:spacing w:after="0"/>
              <w:rPr>
                <w:sz w:val="20"/>
                <w:szCs w:val="20"/>
                <w:color w:val="auto"/>
              </w:rPr>
            </w:pPr>
            <w:r>
              <w:rPr>
                <w:rFonts w:ascii="Arial" w:cs="Arial" w:eastAsia="Arial" w:hAnsi="Arial"/>
                <w:sz w:val="16"/>
                <w:szCs w:val="16"/>
                <w:color w:val="auto"/>
              </w:rPr>
              <w:t>Description</w:t>
            </w:r>
          </w:p>
        </w:tc>
        <w:tc>
          <w:tcPr>
            <w:tcW w:w="4600" w:type="dxa"/>
            <w:vAlign w:val="bottom"/>
          </w:tcPr>
          <w:p>
            <w:pPr>
              <w:ind w:left="60"/>
              <w:spacing w:after="0"/>
              <w:rPr>
                <w:sz w:val="20"/>
                <w:szCs w:val="20"/>
                <w:color w:val="auto"/>
              </w:rPr>
            </w:pPr>
            <w:r>
              <w:rPr>
                <w:rFonts w:ascii="Arial" w:cs="Arial" w:eastAsia="Arial" w:hAnsi="Arial"/>
                <w:sz w:val="16"/>
                <w:szCs w:val="16"/>
                <w:color w:val="auto"/>
              </w:rPr>
              <w:t>Effect on the financial statements</w:t>
            </w:r>
          </w:p>
        </w:tc>
        <w:tc>
          <w:tcPr>
            <w:tcW w:w="0" w:type="dxa"/>
            <w:vAlign w:val="bottom"/>
          </w:tcPr>
          <w:p>
            <w:pPr>
              <w:spacing w:after="0"/>
              <w:rPr>
                <w:sz w:val="1"/>
                <w:szCs w:val="1"/>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40" w:type="dxa"/>
            <w:vAlign w:val="bottom"/>
          </w:tcPr>
          <w:p>
            <w:pPr>
              <w:ind w:left="20"/>
              <w:spacing w:after="0" w:line="169" w:lineRule="exact"/>
              <w:rPr>
                <w:sz w:val="20"/>
                <w:szCs w:val="20"/>
                <w:color w:val="auto"/>
              </w:rPr>
            </w:pPr>
            <w:r>
              <w:rPr>
                <w:rFonts w:ascii="Arial" w:cs="Arial" w:eastAsia="Arial" w:hAnsi="Arial"/>
                <w:sz w:val="16"/>
                <w:szCs w:val="16"/>
                <w:color w:val="auto"/>
                <w:w w:val="98"/>
              </w:rPr>
              <w:t>ASU 2016-13, ASU 2019-4</w:t>
            </w:r>
          </w:p>
        </w:tc>
        <w:tc>
          <w:tcPr>
            <w:tcW w:w="4660" w:type="dxa"/>
            <w:vAlign w:val="bottom"/>
          </w:tcPr>
          <w:p>
            <w:pPr>
              <w:ind w:left="60"/>
              <w:spacing w:after="0" w:line="169" w:lineRule="exact"/>
              <w:rPr>
                <w:sz w:val="20"/>
                <w:szCs w:val="20"/>
                <w:color w:val="auto"/>
              </w:rPr>
            </w:pPr>
            <w:r>
              <w:rPr>
                <w:rFonts w:ascii="Arial" w:cs="Arial" w:eastAsia="Arial" w:hAnsi="Arial"/>
                <w:sz w:val="16"/>
                <w:szCs w:val="16"/>
                <w:color w:val="auto"/>
                <w:w w:val="99"/>
              </w:rPr>
              <w:t>In June 2016, the FASB issued ASU 2016-13 which replaces the</w:t>
            </w:r>
          </w:p>
        </w:tc>
        <w:tc>
          <w:tcPr>
            <w:tcW w:w="4600" w:type="dxa"/>
            <w:vAlign w:val="bottom"/>
          </w:tcPr>
          <w:p>
            <w:pPr>
              <w:ind w:left="60"/>
              <w:spacing w:after="0" w:line="169" w:lineRule="exact"/>
              <w:rPr>
                <w:sz w:val="20"/>
                <w:szCs w:val="20"/>
                <w:color w:val="auto"/>
              </w:rPr>
            </w:pPr>
            <w:r>
              <w:rPr>
                <w:rFonts w:ascii="Arial" w:cs="Arial" w:eastAsia="Arial" w:hAnsi="Arial"/>
                <w:sz w:val="16"/>
                <w:szCs w:val="16"/>
                <w:color w:val="auto"/>
              </w:rPr>
              <w:t>We adopted Topic 326 beginning on January 1, 2020 using the</w:t>
            </w:r>
          </w:p>
        </w:tc>
        <w:tc>
          <w:tcPr>
            <w:tcW w:w="0" w:type="dxa"/>
            <w:vAlign w:val="bottom"/>
          </w:tcPr>
          <w:p>
            <w:pPr>
              <w:spacing w:after="0"/>
              <w:rPr>
                <w:sz w:val="1"/>
                <w:szCs w:val="1"/>
                <w:color w:val="auto"/>
              </w:rPr>
            </w:pPr>
          </w:p>
        </w:tc>
      </w:tr>
      <w:tr>
        <w:trPr>
          <w:trHeight w:val="203"/>
        </w:trPr>
        <w:tc>
          <w:tcPr>
            <w:tcW w:w="19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4660" w:type="dxa"/>
            <w:vAlign w:val="bottom"/>
          </w:tcPr>
          <w:p>
            <w:pPr>
              <w:ind w:left="60"/>
              <w:spacing w:after="0"/>
              <w:rPr>
                <w:sz w:val="20"/>
                <w:szCs w:val="20"/>
                <w:color w:val="auto"/>
              </w:rPr>
            </w:pPr>
            <w:r>
              <w:rPr>
                <w:rFonts w:ascii="Arial" w:cs="Arial" w:eastAsia="Arial" w:hAnsi="Arial"/>
                <w:sz w:val="16"/>
                <w:szCs w:val="16"/>
                <w:color w:val="auto"/>
                <w:w w:val="96"/>
              </w:rPr>
              <w:t>incurred loss impairment methodology in current U.S. GAAP with a</w:t>
            </w:r>
          </w:p>
        </w:tc>
        <w:tc>
          <w:tcPr>
            <w:tcW w:w="4600" w:type="dxa"/>
            <w:vAlign w:val="bottom"/>
          </w:tcPr>
          <w:p>
            <w:pPr>
              <w:ind w:left="60"/>
              <w:spacing w:after="0"/>
              <w:rPr>
                <w:sz w:val="20"/>
                <w:szCs w:val="20"/>
                <w:color w:val="auto"/>
              </w:rPr>
            </w:pPr>
            <w:r>
              <w:rPr>
                <w:rFonts w:ascii="Arial" w:cs="Arial" w:eastAsia="Arial" w:hAnsi="Arial"/>
                <w:sz w:val="16"/>
                <w:szCs w:val="16"/>
                <w:color w:val="auto"/>
                <w:w w:val="93"/>
              </w:rPr>
              <w:t>modified retrospective approach with a cumulative effect adjustment</w:t>
            </w:r>
          </w:p>
        </w:tc>
        <w:tc>
          <w:tcPr>
            <w:tcW w:w="0" w:type="dxa"/>
            <w:vAlign w:val="bottom"/>
          </w:tcPr>
          <w:p>
            <w:pPr>
              <w:spacing w:after="0"/>
              <w:rPr>
                <w:sz w:val="1"/>
                <w:szCs w:val="1"/>
                <w:color w:val="auto"/>
              </w:rPr>
            </w:pPr>
          </w:p>
        </w:tc>
      </w:tr>
      <w:tr>
        <w:trPr>
          <w:trHeight w:val="112"/>
        </w:trPr>
        <w:tc>
          <w:tcPr>
            <w:tcW w:w="1940" w:type="dxa"/>
            <w:vAlign w:val="bottom"/>
            <w:vMerge w:val="restart"/>
          </w:tcPr>
          <w:p>
            <w:pPr>
              <w:ind w:left="20"/>
              <w:spacing w:after="0"/>
              <w:rPr>
                <w:sz w:val="20"/>
                <w:szCs w:val="20"/>
                <w:color w:val="auto"/>
              </w:rPr>
            </w:pPr>
            <w:r>
              <w:rPr>
                <w:rFonts w:ascii="Arial" w:cs="Arial" w:eastAsia="Arial" w:hAnsi="Arial"/>
                <w:sz w:val="16"/>
                <w:szCs w:val="16"/>
                <w:color w:val="auto"/>
              </w:rPr>
              <w:t>Credit Losses (Topic 326):</w:t>
            </w:r>
          </w:p>
        </w:tc>
        <w:tc>
          <w:tcPr>
            <w:tcW w:w="4660" w:type="dxa"/>
            <w:vAlign w:val="bottom"/>
            <w:vMerge w:val="restart"/>
          </w:tcPr>
          <w:p>
            <w:pPr>
              <w:ind w:left="60"/>
              <w:spacing w:after="0"/>
              <w:rPr>
                <w:sz w:val="20"/>
                <w:szCs w:val="20"/>
                <w:color w:val="auto"/>
              </w:rPr>
            </w:pPr>
            <w:r>
              <w:rPr>
                <w:rFonts w:ascii="Arial" w:cs="Arial" w:eastAsia="Arial" w:hAnsi="Arial"/>
                <w:sz w:val="16"/>
                <w:szCs w:val="16"/>
                <w:color w:val="auto"/>
                <w:w w:val="98"/>
              </w:rPr>
              <w:t>methodology  that  reflects  expected  credit  losses  and  requires</w:t>
            </w:r>
          </w:p>
        </w:tc>
        <w:tc>
          <w:tcPr>
            <w:tcW w:w="4600" w:type="dxa"/>
            <w:vAlign w:val="bottom"/>
          </w:tcPr>
          <w:p>
            <w:pPr>
              <w:ind w:left="60"/>
              <w:spacing w:after="0" w:line="112" w:lineRule="exact"/>
              <w:rPr>
                <w:sz w:val="20"/>
                <w:szCs w:val="20"/>
                <w:color w:val="auto"/>
              </w:rPr>
            </w:pPr>
            <w:r>
              <w:rPr>
                <w:rFonts w:ascii="Arial" w:cs="Arial" w:eastAsia="Arial" w:hAnsi="Arial"/>
                <w:sz w:val="12"/>
                <w:szCs w:val="12"/>
                <w:color w:val="auto"/>
              </w:rPr>
              <w:t>to opening retained earnings recorded at the beginning of the period</w:t>
            </w:r>
          </w:p>
        </w:tc>
        <w:tc>
          <w:tcPr>
            <w:tcW w:w="0" w:type="dxa"/>
            <w:vAlign w:val="bottom"/>
          </w:tcPr>
          <w:p>
            <w:pPr>
              <w:spacing w:after="0"/>
              <w:rPr>
                <w:sz w:val="1"/>
                <w:szCs w:val="1"/>
                <w:color w:val="auto"/>
              </w:rPr>
            </w:pPr>
          </w:p>
        </w:tc>
      </w:tr>
      <w:tr>
        <w:trPr>
          <w:trHeight w:val="158"/>
        </w:trPr>
        <w:tc>
          <w:tcPr>
            <w:tcW w:w="1940" w:type="dxa"/>
            <w:vAlign w:val="bottom"/>
            <w:vMerge w:val="continue"/>
          </w:tcPr>
          <w:p>
            <w:pPr>
              <w:spacing w:after="0"/>
              <w:rPr>
                <w:sz w:val="13"/>
                <w:szCs w:val="13"/>
                <w:color w:val="auto"/>
              </w:rPr>
            </w:pPr>
          </w:p>
        </w:tc>
        <w:tc>
          <w:tcPr>
            <w:tcW w:w="4660" w:type="dxa"/>
            <w:vAlign w:val="bottom"/>
            <w:vMerge w:val="continue"/>
          </w:tcPr>
          <w:p>
            <w:pPr>
              <w:spacing w:after="0"/>
              <w:rPr>
                <w:sz w:val="13"/>
                <w:szCs w:val="13"/>
                <w:color w:val="auto"/>
              </w:rPr>
            </w:pPr>
          </w:p>
        </w:tc>
        <w:tc>
          <w:tcPr>
            <w:tcW w:w="4600" w:type="dxa"/>
            <w:vAlign w:val="bottom"/>
          </w:tcPr>
          <w:p>
            <w:pPr>
              <w:ind w:left="60"/>
              <w:spacing w:after="0" w:line="158" w:lineRule="exact"/>
              <w:rPr>
                <w:sz w:val="20"/>
                <w:szCs w:val="20"/>
                <w:color w:val="auto"/>
              </w:rPr>
            </w:pPr>
            <w:r>
              <w:rPr>
                <w:rFonts w:ascii="Arial" w:cs="Arial" w:eastAsia="Arial" w:hAnsi="Arial"/>
                <w:sz w:val="16"/>
                <w:szCs w:val="16"/>
                <w:color w:val="auto"/>
                <w:w w:val="97"/>
              </w:rPr>
              <w:t>of adoption. Upon adoption, we changed our impairment model to</w:t>
            </w:r>
          </w:p>
        </w:tc>
        <w:tc>
          <w:tcPr>
            <w:tcW w:w="0" w:type="dxa"/>
            <w:vAlign w:val="bottom"/>
          </w:tcPr>
          <w:p>
            <w:pPr>
              <w:spacing w:after="0"/>
              <w:rPr>
                <w:sz w:val="1"/>
                <w:szCs w:val="1"/>
                <w:color w:val="auto"/>
              </w:rPr>
            </w:pPr>
          </w:p>
        </w:tc>
      </w:tr>
      <w:tr>
        <w:trPr>
          <w:trHeight w:val="166"/>
        </w:trPr>
        <w:tc>
          <w:tcPr>
            <w:tcW w:w="1940" w:type="dxa"/>
            <w:vAlign w:val="bottom"/>
          </w:tcPr>
          <w:p>
            <w:pPr>
              <w:ind w:left="20"/>
              <w:spacing w:after="0" w:line="166" w:lineRule="exact"/>
              <w:rPr>
                <w:sz w:val="20"/>
                <w:szCs w:val="20"/>
                <w:color w:val="auto"/>
              </w:rPr>
            </w:pPr>
            <w:r>
              <w:rPr>
                <w:rFonts w:ascii="Arial" w:cs="Arial" w:eastAsia="Arial" w:hAnsi="Arial"/>
                <w:sz w:val="16"/>
                <w:szCs w:val="16"/>
                <w:color w:val="auto"/>
              </w:rPr>
              <w:t>Measurement of Credit</w:t>
            </w:r>
          </w:p>
        </w:tc>
        <w:tc>
          <w:tcPr>
            <w:tcW w:w="4660" w:type="dxa"/>
            <w:vAlign w:val="bottom"/>
          </w:tcPr>
          <w:p>
            <w:pPr>
              <w:ind w:left="60"/>
              <w:spacing w:after="0" w:line="166" w:lineRule="exact"/>
              <w:rPr>
                <w:sz w:val="20"/>
                <w:szCs w:val="20"/>
                <w:color w:val="auto"/>
              </w:rPr>
            </w:pPr>
            <w:r>
              <w:rPr>
                <w:rFonts w:ascii="Arial" w:cs="Arial" w:eastAsia="Arial" w:hAnsi="Arial"/>
                <w:sz w:val="16"/>
                <w:szCs w:val="16"/>
                <w:color w:val="auto"/>
              </w:rPr>
              <w:t>consideration of a broader range of reasonable and supportable</w:t>
            </w:r>
          </w:p>
        </w:tc>
        <w:tc>
          <w:tcPr>
            <w:tcW w:w="4600" w:type="dxa"/>
            <w:vAlign w:val="bottom"/>
          </w:tcPr>
          <w:p>
            <w:pPr>
              <w:ind w:left="60"/>
              <w:spacing w:after="0" w:line="166" w:lineRule="exact"/>
              <w:rPr>
                <w:sz w:val="20"/>
                <w:szCs w:val="20"/>
                <w:color w:val="auto"/>
              </w:rPr>
            </w:pPr>
            <w:r>
              <w:rPr>
                <w:rFonts w:ascii="Arial" w:cs="Arial" w:eastAsia="Arial" w:hAnsi="Arial"/>
                <w:sz w:val="16"/>
                <w:szCs w:val="16"/>
                <w:color w:val="auto"/>
              </w:rPr>
              <w:t>utilize a forward-looking current expected credit losses (CECL)</w:t>
            </w:r>
          </w:p>
        </w:tc>
        <w:tc>
          <w:tcPr>
            <w:tcW w:w="0" w:type="dxa"/>
            <w:vAlign w:val="bottom"/>
          </w:tcPr>
          <w:p>
            <w:pPr>
              <w:spacing w:after="0"/>
              <w:rPr>
                <w:sz w:val="1"/>
                <w:szCs w:val="1"/>
                <w:color w:val="auto"/>
              </w:rPr>
            </w:pPr>
          </w:p>
        </w:tc>
      </w:tr>
      <w:tr>
        <w:trPr>
          <w:trHeight w:val="172"/>
        </w:trPr>
        <w:tc>
          <w:tcPr>
            <w:tcW w:w="1940" w:type="dxa"/>
            <w:vAlign w:val="bottom"/>
          </w:tcPr>
          <w:p>
            <w:pPr>
              <w:ind w:left="20"/>
              <w:spacing w:after="0" w:line="172" w:lineRule="exact"/>
              <w:rPr>
                <w:sz w:val="20"/>
                <w:szCs w:val="20"/>
                <w:color w:val="auto"/>
              </w:rPr>
            </w:pPr>
            <w:r>
              <w:rPr>
                <w:rFonts w:ascii="Arial" w:cs="Arial" w:eastAsia="Arial" w:hAnsi="Arial"/>
                <w:sz w:val="16"/>
                <w:szCs w:val="16"/>
                <w:color w:val="auto"/>
              </w:rPr>
              <w:t>Losses on Financial</w:t>
            </w:r>
          </w:p>
        </w:tc>
        <w:tc>
          <w:tcPr>
            <w:tcW w:w="4660" w:type="dxa"/>
            <w:vAlign w:val="bottom"/>
          </w:tcPr>
          <w:p>
            <w:pPr>
              <w:ind w:left="60"/>
              <w:spacing w:after="0" w:line="172" w:lineRule="exact"/>
              <w:rPr>
                <w:sz w:val="20"/>
                <w:szCs w:val="20"/>
                <w:color w:val="auto"/>
              </w:rPr>
            </w:pPr>
            <w:r>
              <w:rPr>
                <w:rFonts w:ascii="Arial" w:cs="Arial" w:eastAsia="Arial" w:hAnsi="Arial"/>
                <w:sz w:val="16"/>
                <w:szCs w:val="16"/>
                <w:color w:val="auto"/>
                <w:w w:val="96"/>
              </w:rPr>
              <w:t>information to inform credit loss estimates. The ASU is effective for</w:t>
            </w:r>
          </w:p>
        </w:tc>
        <w:tc>
          <w:tcPr>
            <w:tcW w:w="4600" w:type="dxa"/>
            <w:vAlign w:val="bottom"/>
          </w:tcPr>
          <w:p>
            <w:pPr>
              <w:ind w:left="60"/>
              <w:spacing w:after="0" w:line="172" w:lineRule="exact"/>
              <w:rPr>
                <w:sz w:val="20"/>
                <w:szCs w:val="20"/>
                <w:color w:val="auto"/>
              </w:rPr>
            </w:pPr>
            <w:r>
              <w:rPr>
                <w:rFonts w:ascii="Arial" w:cs="Arial" w:eastAsia="Arial" w:hAnsi="Arial"/>
                <w:sz w:val="16"/>
                <w:szCs w:val="16"/>
                <w:color w:val="auto"/>
              </w:rPr>
              <w:t>model in place of the incurred loss methodology for financial</w:t>
            </w:r>
          </w:p>
        </w:tc>
        <w:tc>
          <w:tcPr>
            <w:tcW w:w="0" w:type="dxa"/>
            <w:vAlign w:val="bottom"/>
          </w:tcPr>
          <w:p>
            <w:pPr>
              <w:spacing w:after="0"/>
              <w:rPr>
                <w:sz w:val="1"/>
                <w:szCs w:val="1"/>
                <w:color w:val="auto"/>
              </w:rPr>
            </w:pPr>
          </w:p>
        </w:tc>
      </w:tr>
      <w:tr>
        <w:trPr>
          <w:trHeight w:val="203"/>
        </w:trPr>
        <w:tc>
          <w:tcPr>
            <w:tcW w:w="1940" w:type="dxa"/>
            <w:vAlign w:val="bottom"/>
          </w:tcPr>
          <w:p>
            <w:pPr>
              <w:ind w:left="20"/>
              <w:spacing w:after="0"/>
              <w:rPr>
                <w:sz w:val="20"/>
                <w:szCs w:val="20"/>
                <w:color w:val="auto"/>
              </w:rPr>
            </w:pPr>
            <w:r>
              <w:rPr>
                <w:rFonts w:ascii="Arial" w:cs="Arial" w:eastAsia="Arial" w:hAnsi="Arial"/>
                <w:sz w:val="16"/>
                <w:szCs w:val="16"/>
                <w:color w:val="auto"/>
              </w:rPr>
              <w:t>Instruments</w:t>
            </w:r>
          </w:p>
        </w:tc>
        <w:tc>
          <w:tcPr>
            <w:tcW w:w="4660" w:type="dxa"/>
            <w:vAlign w:val="bottom"/>
          </w:tcPr>
          <w:p>
            <w:pPr>
              <w:ind w:left="60"/>
              <w:spacing w:after="0"/>
              <w:rPr>
                <w:sz w:val="20"/>
                <w:szCs w:val="20"/>
                <w:color w:val="auto"/>
              </w:rPr>
            </w:pPr>
            <w:r>
              <w:rPr>
                <w:rFonts w:ascii="Arial" w:cs="Arial" w:eastAsia="Arial" w:hAnsi="Arial"/>
                <w:sz w:val="16"/>
                <w:szCs w:val="16"/>
                <w:color w:val="auto"/>
                <w:w w:val="98"/>
              </w:rPr>
              <w:t>public companies in annual periods beginning after December 15,</w:t>
            </w:r>
          </w:p>
        </w:tc>
        <w:tc>
          <w:tcPr>
            <w:tcW w:w="4600" w:type="dxa"/>
            <w:vAlign w:val="bottom"/>
          </w:tcPr>
          <w:p>
            <w:pPr>
              <w:ind w:left="60"/>
              <w:spacing w:after="0"/>
              <w:rPr>
                <w:sz w:val="20"/>
                <w:szCs w:val="20"/>
                <w:color w:val="auto"/>
              </w:rPr>
            </w:pPr>
            <w:r>
              <w:rPr>
                <w:rFonts w:ascii="Arial" w:cs="Arial" w:eastAsia="Arial" w:hAnsi="Arial"/>
                <w:sz w:val="16"/>
                <w:szCs w:val="16"/>
                <w:color w:val="auto"/>
                <w:w w:val="99"/>
              </w:rPr>
              <w:t>instruments measured at amortized cost, including our accounts</w:t>
            </w:r>
          </w:p>
        </w:tc>
        <w:tc>
          <w:tcPr>
            <w:tcW w:w="0" w:type="dxa"/>
            <w:vAlign w:val="bottom"/>
          </w:tcPr>
          <w:p>
            <w:pPr>
              <w:spacing w:after="0"/>
              <w:rPr>
                <w:sz w:val="1"/>
                <w:szCs w:val="1"/>
                <w:color w:val="auto"/>
              </w:rPr>
            </w:pPr>
          </w:p>
        </w:tc>
      </w:tr>
      <w:tr>
        <w:trPr>
          <w:trHeight w:val="112"/>
        </w:trPr>
        <w:tc>
          <w:tcPr>
            <w:tcW w:w="1940" w:type="dxa"/>
            <w:vAlign w:val="bottom"/>
          </w:tcPr>
          <w:p>
            <w:pPr>
              <w:spacing w:after="0"/>
              <w:rPr>
                <w:sz w:val="9"/>
                <w:szCs w:val="9"/>
                <w:color w:val="auto"/>
              </w:rPr>
            </w:pPr>
          </w:p>
        </w:tc>
        <w:tc>
          <w:tcPr>
            <w:tcW w:w="4660" w:type="dxa"/>
            <w:vAlign w:val="bottom"/>
            <w:vMerge w:val="restart"/>
          </w:tcPr>
          <w:p>
            <w:pPr>
              <w:ind w:left="60"/>
              <w:spacing w:after="0"/>
              <w:rPr>
                <w:sz w:val="20"/>
                <w:szCs w:val="20"/>
                <w:color w:val="auto"/>
              </w:rPr>
            </w:pPr>
            <w:r>
              <w:rPr>
                <w:rFonts w:ascii="Arial" w:cs="Arial" w:eastAsia="Arial" w:hAnsi="Arial"/>
                <w:sz w:val="16"/>
                <w:szCs w:val="16"/>
                <w:color w:val="auto"/>
              </w:rPr>
              <w:t>2019, and interim periods within those years. Early adoption is</w:t>
            </w:r>
          </w:p>
        </w:tc>
        <w:tc>
          <w:tcPr>
            <w:tcW w:w="4600" w:type="dxa"/>
            <w:vAlign w:val="bottom"/>
          </w:tcPr>
          <w:p>
            <w:pPr>
              <w:ind w:left="60"/>
              <w:spacing w:after="0" w:line="112" w:lineRule="exact"/>
              <w:rPr>
                <w:sz w:val="20"/>
                <w:szCs w:val="20"/>
                <w:color w:val="auto"/>
              </w:rPr>
            </w:pPr>
            <w:r>
              <w:rPr>
                <w:rFonts w:ascii="Arial" w:cs="Arial" w:eastAsia="Arial" w:hAnsi="Arial"/>
                <w:sz w:val="12"/>
                <w:szCs w:val="12"/>
                <w:color w:val="auto"/>
              </w:rPr>
              <w:t>receivable. CECL estimates on accounts receivable are recorded as</w:t>
            </w: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4660" w:type="dxa"/>
            <w:vAlign w:val="bottom"/>
            <w:vMerge w:val="continue"/>
          </w:tcPr>
          <w:p>
            <w:pPr>
              <w:spacing w:after="0"/>
              <w:rPr>
                <w:sz w:val="13"/>
                <w:szCs w:val="13"/>
                <w:color w:val="auto"/>
              </w:rPr>
            </w:pPr>
          </w:p>
        </w:tc>
        <w:tc>
          <w:tcPr>
            <w:tcW w:w="4600" w:type="dxa"/>
            <w:vAlign w:val="bottom"/>
          </w:tcPr>
          <w:p>
            <w:pPr>
              <w:ind w:left="60"/>
              <w:spacing w:after="0" w:line="158" w:lineRule="exact"/>
              <w:rPr>
                <w:sz w:val="20"/>
                <w:szCs w:val="20"/>
                <w:color w:val="auto"/>
              </w:rPr>
            </w:pPr>
            <w:r>
              <w:rPr>
                <w:rFonts w:ascii="Arial" w:cs="Arial" w:eastAsia="Arial" w:hAnsi="Arial"/>
                <w:sz w:val="16"/>
                <w:szCs w:val="16"/>
                <w:color w:val="auto"/>
                <w:w w:val="92"/>
              </w:rPr>
              <w:t>general and administrative expenses on our condensed consolidated</w:t>
            </w:r>
          </w:p>
        </w:tc>
        <w:tc>
          <w:tcPr>
            <w:tcW w:w="0" w:type="dxa"/>
            <w:vAlign w:val="bottom"/>
          </w:tcPr>
          <w:p>
            <w:pPr>
              <w:spacing w:after="0"/>
              <w:rPr>
                <w:sz w:val="1"/>
                <w:szCs w:val="1"/>
                <w:color w:val="auto"/>
              </w:rPr>
            </w:pPr>
          </w:p>
        </w:tc>
      </w:tr>
      <w:tr>
        <w:trPr>
          <w:trHeight w:val="166"/>
        </w:trPr>
        <w:tc>
          <w:tcPr>
            <w:tcW w:w="1940" w:type="dxa"/>
            <w:vAlign w:val="bottom"/>
          </w:tcPr>
          <w:p>
            <w:pPr>
              <w:spacing w:after="0"/>
              <w:rPr>
                <w:sz w:val="14"/>
                <w:szCs w:val="14"/>
                <w:color w:val="auto"/>
              </w:rPr>
            </w:pPr>
          </w:p>
        </w:tc>
        <w:tc>
          <w:tcPr>
            <w:tcW w:w="4660" w:type="dxa"/>
            <w:vAlign w:val="bottom"/>
          </w:tcPr>
          <w:p>
            <w:pPr>
              <w:ind w:left="60"/>
              <w:spacing w:after="0" w:line="166" w:lineRule="exact"/>
              <w:rPr>
                <w:sz w:val="20"/>
                <w:szCs w:val="20"/>
                <w:color w:val="auto"/>
              </w:rPr>
            </w:pPr>
            <w:r>
              <w:rPr>
                <w:rFonts w:ascii="Arial" w:cs="Arial" w:eastAsia="Arial" w:hAnsi="Arial"/>
                <w:sz w:val="16"/>
                <w:szCs w:val="16"/>
                <w:color w:val="auto"/>
                <w:w w:val="99"/>
              </w:rPr>
              <w:t>permitted beginning after December 15, 2018 and interim periods</w:t>
            </w:r>
          </w:p>
        </w:tc>
        <w:tc>
          <w:tcPr>
            <w:tcW w:w="4600" w:type="dxa"/>
            <w:vAlign w:val="bottom"/>
          </w:tcPr>
          <w:p>
            <w:pPr>
              <w:ind w:left="60"/>
              <w:spacing w:after="0" w:line="166" w:lineRule="exact"/>
              <w:rPr>
                <w:sz w:val="20"/>
                <w:szCs w:val="20"/>
                <w:color w:val="auto"/>
              </w:rPr>
            </w:pPr>
            <w:r>
              <w:rPr>
                <w:rFonts w:ascii="Arial" w:cs="Arial" w:eastAsia="Arial" w:hAnsi="Arial"/>
                <w:sz w:val="16"/>
                <w:szCs w:val="16"/>
                <w:color w:val="auto"/>
                <w:w w:val="97"/>
              </w:rPr>
              <w:t>statements  of  income.  The  cumulative  effect  adjustment  from</w:t>
            </w: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4660" w:type="dxa"/>
            <w:vAlign w:val="bottom"/>
          </w:tcPr>
          <w:p>
            <w:pPr>
              <w:ind w:left="60"/>
              <w:spacing w:after="0" w:line="172" w:lineRule="exact"/>
              <w:rPr>
                <w:sz w:val="20"/>
                <w:szCs w:val="20"/>
                <w:color w:val="auto"/>
              </w:rPr>
            </w:pPr>
            <w:r>
              <w:rPr>
                <w:rFonts w:ascii="Arial" w:cs="Arial" w:eastAsia="Arial" w:hAnsi="Arial"/>
                <w:sz w:val="16"/>
                <w:szCs w:val="16"/>
                <w:color w:val="auto"/>
              </w:rPr>
              <w:t>within those years.</w:t>
            </w:r>
          </w:p>
        </w:tc>
        <w:tc>
          <w:tcPr>
            <w:tcW w:w="4600" w:type="dxa"/>
            <w:vAlign w:val="bottom"/>
          </w:tcPr>
          <w:p>
            <w:pPr>
              <w:ind w:left="60"/>
              <w:spacing w:after="0" w:line="172" w:lineRule="exact"/>
              <w:rPr>
                <w:sz w:val="20"/>
                <w:szCs w:val="20"/>
                <w:color w:val="auto"/>
              </w:rPr>
            </w:pPr>
            <w:r>
              <w:rPr>
                <w:rFonts w:ascii="Arial" w:cs="Arial" w:eastAsia="Arial" w:hAnsi="Arial"/>
                <w:sz w:val="16"/>
                <w:szCs w:val="16"/>
                <w:color w:val="auto"/>
                <w:w w:val="98"/>
              </w:rPr>
              <w:t>adoption was immaterial to our condensed consolidated financial</w:t>
            </w:r>
          </w:p>
        </w:tc>
        <w:tc>
          <w:tcPr>
            <w:tcW w:w="0" w:type="dxa"/>
            <w:vAlign w:val="bottom"/>
          </w:tcPr>
          <w:p>
            <w:pPr>
              <w:spacing w:after="0"/>
              <w:rPr>
                <w:sz w:val="1"/>
                <w:szCs w:val="1"/>
                <w:color w:val="auto"/>
              </w:rPr>
            </w:pPr>
          </w:p>
        </w:tc>
      </w:tr>
      <w:tr>
        <w:trPr>
          <w:trHeight w:val="203"/>
        </w:trPr>
        <w:tc>
          <w:tcPr>
            <w:tcW w:w="194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statements.</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Arial" w:cs="Arial" w:eastAsia="Arial" w:hAnsi="Arial"/>
                <w:sz w:val="16"/>
                <w:szCs w:val="16"/>
                <w:color w:val="auto"/>
                <w:w w:val="94"/>
              </w:rPr>
              <w:t>Date of adoption: January 1,</w:t>
            </w:r>
          </w:p>
        </w:tc>
        <w:tc>
          <w:tcPr>
            <w:tcW w:w="46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40" w:type="dxa"/>
            <w:vAlign w:val="bottom"/>
          </w:tcPr>
          <w:p>
            <w:pPr>
              <w:ind w:left="20"/>
              <w:spacing w:after="0"/>
              <w:rPr>
                <w:sz w:val="20"/>
                <w:szCs w:val="20"/>
                <w:color w:val="auto"/>
              </w:rPr>
            </w:pPr>
            <w:r>
              <w:rPr>
                <w:rFonts w:ascii="Arial" w:cs="Arial" w:eastAsia="Arial" w:hAnsi="Arial"/>
                <w:sz w:val="16"/>
                <w:szCs w:val="16"/>
                <w:color w:val="auto"/>
              </w:rPr>
              <w:t>2020.</w:t>
            </w:r>
          </w:p>
        </w:tc>
        <w:tc>
          <w:tcPr>
            <w:tcW w:w="46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7115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940" w:type="dxa"/>
            <w:vAlign w:val="bottom"/>
          </w:tcPr>
          <w:p>
            <w:pPr>
              <w:ind w:left="20"/>
              <w:spacing w:after="0"/>
              <w:rPr>
                <w:sz w:val="20"/>
                <w:szCs w:val="20"/>
                <w:color w:val="auto"/>
              </w:rPr>
            </w:pPr>
            <w:r>
              <w:rPr>
                <w:rFonts w:ascii="Arial" w:cs="Arial" w:eastAsia="Arial" w:hAnsi="Arial"/>
                <w:sz w:val="16"/>
                <w:szCs w:val="16"/>
                <w:color w:val="auto"/>
              </w:rPr>
              <w:t>Standard</w:t>
            </w:r>
          </w:p>
        </w:tc>
        <w:tc>
          <w:tcPr>
            <w:tcW w:w="4660" w:type="dxa"/>
            <w:vAlign w:val="bottom"/>
          </w:tcPr>
          <w:p>
            <w:pPr>
              <w:ind w:left="80"/>
              <w:spacing w:after="0"/>
              <w:rPr>
                <w:sz w:val="20"/>
                <w:szCs w:val="20"/>
                <w:color w:val="auto"/>
              </w:rPr>
            </w:pPr>
            <w:r>
              <w:rPr>
                <w:rFonts w:ascii="Arial" w:cs="Arial" w:eastAsia="Arial" w:hAnsi="Arial"/>
                <w:sz w:val="16"/>
                <w:szCs w:val="16"/>
                <w:color w:val="auto"/>
              </w:rPr>
              <w:t>Description</w:t>
            </w:r>
          </w:p>
        </w:tc>
        <w:tc>
          <w:tcPr>
            <w:tcW w:w="4600" w:type="dxa"/>
            <w:vAlign w:val="bottom"/>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33"/>
        </w:trPr>
        <w:tc>
          <w:tcPr>
            <w:tcW w:w="19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169"/>
        </w:trPr>
        <w:tc>
          <w:tcPr>
            <w:tcW w:w="1940" w:type="dxa"/>
            <w:vAlign w:val="bottom"/>
          </w:tcPr>
          <w:p>
            <w:pPr>
              <w:ind w:left="20"/>
              <w:spacing w:after="0" w:line="169" w:lineRule="exact"/>
              <w:rPr>
                <w:sz w:val="20"/>
                <w:szCs w:val="20"/>
                <w:color w:val="auto"/>
              </w:rPr>
            </w:pPr>
            <w:r>
              <w:rPr>
                <w:rFonts w:ascii="Arial" w:cs="Arial" w:eastAsia="Arial" w:hAnsi="Arial"/>
                <w:sz w:val="16"/>
                <w:szCs w:val="16"/>
                <w:color w:val="auto"/>
              </w:rPr>
              <w:t>Update 2019-12 - Income</w:t>
            </w:r>
          </w:p>
        </w:tc>
        <w:tc>
          <w:tcPr>
            <w:tcW w:w="4660" w:type="dxa"/>
            <w:vAlign w:val="bottom"/>
          </w:tcPr>
          <w:p>
            <w:pPr>
              <w:ind w:left="80"/>
              <w:spacing w:after="0" w:line="169" w:lineRule="exact"/>
              <w:rPr>
                <w:sz w:val="20"/>
                <w:szCs w:val="20"/>
                <w:color w:val="auto"/>
              </w:rPr>
            </w:pPr>
            <w:r>
              <w:rPr>
                <w:rFonts w:ascii="Arial" w:cs="Arial" w:eastAsia="Arial" w:hAnsi="Arial"/>
                <w:sz w:val="16"/>
                <w:szCs w:val="16"/>
                <w:color w:val="auto"/>
                <w:w w:val="99"/>
              </w:rPr>
              <w:t>The ASU removes the exception to the general principles in ASC</w:t>
            </w:r>
          </w:p>
        </w:tc>
        <w:tc>
          <w:tcPr>
            <w:tcW w:w="4600" w:type="dxa"/>
            <w:vAlign w:val="bottom"/>
          </w:tcPr>
          <w:p>
            <w:pPr>
              <w:ind w:left="80"/>
              <w:spacing w:after="0" w:line="169" w:lineRule="exact"/>
              <w:rPr>
                <w:sz w:val="20"/>
                <w:szCs w:val="20"/>
                <w:color w:val="auto"/>
              </w:rPr>
            </w:pPr>
            <w:r>
              <w:rPr>
                <w:rFonts w:ascii="Arial" w:cs="Arial" w:eastAsia="Arial" w:hAnsi="Arial"/>
                <w:sz w:val="16"/>
                <w:szCs w:val="16"/>
                <w:color w:val="auto"/>
                <w:w w:val="96"/>
              </w:rPr>
              <w:t>The  Company  is  still  evaluating  these  changes  and  does  not</w:t>
            </w:r>
          </w:p>
        </w:tc>
      </w:tr>
      <w:tr>
        <w:trPr>
          <w:trHeight w:val="203"/>
        </w:trPr>
        <w:tc>
          <w:tcPr>
            <w:tcW w:w="1940" w:type="dxa"/>
            <w:vAlign w:val="bottom"/>
          </w:tcPr>
          <w:p>
            <w:pPr>
              <w:ind w:left="20"/>
              <w:spacing w:after="0"/>
              <w:rPr>
                <w:sz w:val="20"/>
                <w:szCs w:val="20"/>
                <w:color w:val="auto"/>
              </w:rPr>
            </w:pPr>
            <w:r>
              <w:rPr>
                <w:rFonts w:ascii="Arial" w:cs="Arial" w:eastAsia="Arial" w:hAnsi="Arial"/>
                <w:sz w:val="16"/>
                <w:szCs w:val="16"/>
                <w:color w:val="auto"/>
              </w:rPr>
              <w:t>Taxes (Topic 740)</w:t>
            </w:r>
          </w:p>
        </w:tc>
        <w:tc>
          <w:tcPr>
            <w:tcW w:w="4660" w:type="dxa"/>
            <w:vAlign w:val="bottom"/>
          </w:tcPr>
          <w:p>
            <w:pPr>
              <w:ind w:left="80"/>
              <w:spacing w:after="0"/>
              <w:rPr>
                <w:sz w:val="20"/>
                <w:szCs w:val="20"/>
                <w:color w:val="auto"/>
              </w:rPr>
            </w:pPr>
            <w:r>
              <w:rPr>
                <w:rFonts w:ascii="Arial" w:cs="Arial" w:eastAsia="Arial" w:hAnsi="Arial"/>
                <w:sz w:val="16"/>
                <w:szCs w:val="16"/>
                <w:color w:val="auto"/>
                <w:w w:val="98"/>
              </w:rPr>
              <w:t>740, Income Taxes, associated with the incremental approach for</w:t>
            </w:r>
          </w:p>
        </w:tc>
        <w:tc>
          <w:tcPr>
            <w:tcW w:w="4600" w:type="dxa"/>
            <w:vAlign w:val="bottom"/>
          </w:tcPr>
          <w:p>
            <w:pPr>
              <w:ind w:left="80"/>
              <w:spacing w:after="0"/>
              <w:rPr>
                <w:sz w:val="20"/>
                <w:szCs w:val="20"/>
                <w:color w:val="auto"/>
              </w:rPr>
            </w:pPr>
            <w:r>
              <w:rPr>
                <w:rFonts w:ascii="Arial" w:cs="Arial" w:eastAsia="Arial" w:hAnsi="Arial"/>
                <w:sz w:val="16"/>
                <w:szCs w:val="16"/>
                <w:color w:val="auto"/>
                <w:w w:val="95"/>
              </w:rPr>
              <w:t>anticipate  any  material  impact  on  the  Company’s  consolidated</w:t>
            </w:r>
          </w:p>
        </w:tc>
      </w:tr>
      <w:tr>
        <w:trPr>
          <w:trHeight w:val="247"/>
        </w:trPr>
        <w:tc>
          <w:tcPr>
            <w:tcW w:w="1940" w:type="dxa"/>
            <w:vAlign w:val="bottom"/>
          </w:tcPr>
          <w:p>
            <w:pPr>
              <w:ind w:left="20"/>
              <w:spacing w:after="0"/>
              <w:rPr>
                <w:sz w:val="20"/>
                <w:szCs w:val="20"/>
                <w:color w:val="auto"/>
              </w:rPr>
            </w:pPr>
            <w:r>
              <w:rPr>
                <w:rFonts w:ascii="Arial" w:cs="Arial" w:eastAsia="Arial" w:hAnsi="Arial"/>
                <w:sz w:val="16"/>
                <w:szCs w:val="16"/>
                <w:color w:val="auto"/>
              </w:rPr>
              <w:t>Simplifying the Accounting</w:t>
            </w:r>
          </w:p>
        </w:tc>
        <w:tc>
          <w:tcPr>
            <w:tcW w:w="4660" w:type="dxa"/>
            <w:vAlign w:val="bottom"/>
          </w:tcPr>
          <w:p>
            <w:pPr>
              <w:ind w:left="80"/>
              <w:spacing w:after="0"/>
              <w:rPr>
                <w:sz w:val="20"/>
                <w:szCs w:val="20"/>
                <w:color w:val="auto"/>
              </w:rPr>
            </w:pPr>
            <w:r>
              <w:rPr>
                <w:rFonts w:ascii="Arial" w:cs="Arial" w:eastAsia="Arial" w:hAnsi="Arial"/>
                <w:sz w:val="16"/>
                <w:szCs w:val="16"/>
                <w:color w:val="auto"/>
              </w:rPr>
              <w:t>intra-period tax allocation, accounting for basis differences when</w:t>
            </w:r>
          </w:p>
        </w:tc>
        <w:tc>
          <w:tcPr>
            <w:tcW w:w="4600" w:type="dxa"/>
            <w:vAlign w:val="bottom"/>
          </w:tcPr>
          <w:p>
            <w:pPr>
              <w:ind w:left="80"/>
              <w:spacing w:after="0"/>
              <w:rPr>
                <w:sz w:val="20"/>
                <w:szCs w:val="20"/>
                <w:color w:val="auto"/>
              </w:rPr>
            </w:pPr>
            <w:r>
              <w:rPr>
                <w:rFonts w:ascii="Arial" w:cs="Arial" w:eastAsia="Arial" w:hAnsi="Arial"/>
                <w:sz w:val="16"/>
                <w:szCs w:val="16"/>
                <w:color w:val="auto"/>
              </w:rPr>
              <w:t>financial position or results of operations upon adoption.</w:t>
            </w:r>
          </w:p>
        </w:tc>
      </w:tr>
      <w:tr>
        <w:trPr>
          <w:trHeight w:val="203"/>
        </w:trPr>
        <w:tc>
          <w:tcPr>
            <w:tcW w:w="1940" w:type="dxa"/>
            <w:vAlign w:val="bottom"/>
          </w:tcPr>
          <w:p>
            <w:pPr>
              <w:ind w:left="20"/>
              <w:spacing w:after="0"/>
              <w:rPr>
                <w:sz w:val="20"/>
                <w:szCs w:val="20"/>
                <w:color w:val="auto"/>
              </w:rPr>
            </w:pPr>
            <w:r>
              <w:rPr>
                <w:rFonts w:ascii="Arial" w:cs="Arial" w:eastAsia="Arial" w:hAnsi="Arial"/>
                <w:sz w:val="16"/>
                <w:szCs w:val="16"/>
                <w:color w:val="auto"/>
              </w:rPr>
              <w:t>for Income Taxes</w:t>
            </w:r>
          </w:p>
        </w:tc>
        <w:tc>
          <w:tcPr>
            <w:tcW w:w="4660" w:type="dxa"/>
            <w:vAlign w:val="bottom"/>
          </w:tcPr>
          <w:p>
            <w:pPr>
              <w:ind w:left="80"/>
              <w:spacing w:after="0"/>
              <w:rPr>
                <w:sz w:val="20"/>
                <w:szCs w:val="20"/>
                <w:color w:val="auto"/>
              </w:rPr>
            </w:pPr>
            <w:r>
              <w:rPr>
                <w:rFonts w:ascii="Arial" w:cs="Arial" w:eastAsia="Arial" w:hAnsi="Arial"/>
                <w:sz w:val="16"/>
                <w:szCs w:val="16"/>
                <w:color w:val="auto"/>
              </w:rPr>
              <w:t>there are ownership changes in foreign investments and interim-</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9"/>
              </w:rPr>
              <w:t>period income tax accounting for year-to-date losses that exceed</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6"/>
              </w:rPr>
              <w:t>anticipated losses. In addition, the ASU improves the application of</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8"/>
              </w:rPr>
              <w:t>income  tax  related  guidance  and  simplifies  U.S.  GAAP  when</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8"/>
              </w:rPr>
              <w:t>accounting for franchise taxes that are partially based on income,</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rPr>
              <w:t>transactions with government resulting in a step-up in tax basis</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3"/>
              </w:rPr>
              <w:t>goodwill, separate financial statements of legal entities not subject to</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9"/>
              </w:rPr>
              <w:t>tax, and enacted changes in tax laws in interim periods. Different</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8"/>
              </w:rPr>
              <w:t>transition  approaches,  retrospective,  modified  retrospective,  or</w:t>
            </w:r>
          </w:p>
        </w:tc>
        <w:tc>
          <w:tcPr>
            <w:tcW w:w="4600" w:type="dxa"/>
            <w:vAlign w:val="bottom"/>
          </w:tcPr>
          <w:p>
            <w:pPr>
              <w:spacing w:after="0"/>
              <w:rPr>
                <w:sz w:val="17"/>
                <w:szCs w:val="17"/>
                <w:color w:val="auto"/>
              </w:rPr>
            </w:pPr>
          </w:p>
        </w:tc>
      </w:tr>
      <w:tr>
        <w:trPr>
          <w:trHeight w:val="206"/>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8"/>
              </w:rPr>
              <w:t>prospective, will apply to each income tax simplification provision.</w:t>
            </w:r>
          </w:p>
        </w:tc>
        <w:tc>
          <w:tcPr>
            <w:tcW w:w="4600" w:type="dxa"/>
            <w:vAlign w:val="bottom"/>
          </w:tcPr>
          <w:p>
            <w:pPr>
              <w:spacing w:after="0"/>
              <w:rPr>
                <w:sz w:val="17"/>
                <w:szCs w:val="17"/>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13"/>
        </w:trPr>
        <w:tc>
          <w:tcPr>
            <w:tcW w:w="1940" w:type="dxa"/>
            <w:vAlign w:val="bottom"/>
          </w:tcPr>
          <w:p>
            <w:pPr>
              <w:ind w:left="20"/>
              <w:spacing w:after="0"/>
              <w:rPr>
                <w:sz w:val="20"/>
                <w:szCs w:val="20"/>
                <w:color w:val="auto"/>
              </w:rPr>
            </w:pPr>
            <w:r>
              <w:rPr>
                <w:rFonts w:ascii="Arial" w:cs="Arial" w:eastAsia="Arial" w:hAnsi="Arial"/>
                <w:sz w:val="16"/>
                <w:szCs w:val="16"/>
                <w:color w:val="auto"/>
                <w:w w:val="94"/>
              </w:rPr>
              <w:t>Date of adoption: January 1,</w:t>
            </w:r>
          </w:p>
        </w:tc>
        <w:tc>
          <w:tcPr>
            <w:tcW w:w="466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06"/>
        </w:trPr>
        <w:tc>
          <w:tcPr>
            <w:tcW w:w="1940" w:type="dxa"/>
            <w:vAlign w:val="bottom"/>
          </w:tcPr>
          <w:p>
            <w:pPr>
              <w:ind w:left="20"/>
              <w:spacing w:after="0"/>
              <w:rPr>
                <w:sz w:val="20"/>
                <w:szCs w:val="20"/>
                <w:color w:val="auto"/>
              </w:rPr>
            </w:pPr>
            <w:r>
              <w:rPr>
                <w:rFonts w:ascii="Arial" w:cs="Arial" w:eastAsia="Arial" w:hAnsi="Arial"/>
                <w:sz w:val="16"/>
                <w:szCs w:val="16"/>
                <w:color w:val="auto"/>
              </w:rPr>
              <w:t>2021.</w:t>
            </w:r>
          </w:p>
        </w:tc>
        <w:tc>
          <w:tcPr>
            <w:tcW w:w="466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(collectively, “TMT”)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5"/>
              </w:rPr>
              <w:t>Three Months Ended March 31,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w w:val="94"/>
              </w:rPr>
              <w:t>Three Months Ended March 31, 2019</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62"/>
        </w:trPr>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Cloud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4"/>
                <w:szCs w:val="14"/>
                <w:color w:val="auto"/>
              </w:rPr>
            </w:pPr>
          </w:p>
        </w:tc>
        <w:tc>
          <w:tcPr>
            <w:tcW w:w="880" w:type="dxa"/>
            <w:vAlign w:val="bottom"/>
            <w:gridSpan w:val="4"/>
          </w:tcPr>
          <w:p>
            <w:pPr>
              <w:ind w:left="1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Cloud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4"/>
                <w:szCs w:val="14"/>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Messaging</w:t>
            </w:r>
          </w:p>
        </w:tc>
        <w:tc>
          <w:tcPr>
            <w:tcW w:w="34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Total</w:t>
            </w:r>
          </w:p>
        </w:tc>
      </w:tr>
      <w:tr>
        <w:trPr>
          <w:trHeight w:val="21"/>
        </w:trPr>
        <w:tc>
          <w:tcPr>
            <w:tcW w:w="2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17"/>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r>
      <w:tr>
        <w:trPr>
          <w:trHeight w:val="223"/>
        </w:trPr>
        <w:tc>
          <w:tcPr>
            <w:tcW w:w="2380" w:type="dxa"/>
            <w:vAlign w:val="bottom"/>
          </w:tcPr>
          <w:p>
            <w:pPr>
              <w:ind w:left="200"/>
              <w:spacing w:after="0"/>
              <w:rPr>
                <w:sz w:val="20"/>
                <w:szCs w:val="20"/>
                <w:color w:val="auto"/>
              </w:rPr>
            </w:pPr>
            <w:r>
              <w:rPr>
                <w:rFonts w:ascii="Arial" w:cs="Arial" w:eastAsia="Arial" w:hAnsi="Arial"/>
                <w:sz w:val="16"/>
                <w:szCs w:val="16"/>
                <w:color w:val="auto"/>
              </w:rPr>
              <w:t>Americas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39,322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10,937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10,903</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61,162</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38,914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20,764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2,069</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61,747</w:t>
            </w:r>
          </w:p>
        </w:tc>
      </w:tr>
      <w:tr>
        <w:trPr>
          <w:trHeight w:val="33"/>
        </w:trPr>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6"/>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APAC</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9,175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9,733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18,155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19,153</w:t>
            </w:r>
          </w:p>
        </w:tc>
      </w:tr>
      <w:tr>
        <w:trPr>
          <w:trHeight w:val="224"/>
        </w:trPr>
        <w:tc>
          <w:tcPr>
            <w:tcW w:w="2380" w:type="dxa"/>
            <w:vAlign w:val="bottom"/>
          </w:tcPr>
          <w:p>
            <w:pPr>
              <w:ind w:left="200"/>
              <w:spacing w:after="0"/>
              <w:rPr>
                <w:sz w:val="20"/>
                <w:szCs w:val="20"/>
                <w:color w:val="auto"/>
              </w:rPr>
            </w:pPr>
            <w:r>
              <w:rPr>
                <w:rFonts w:ascii="Arial" w:cs="Arial" w:eastAsia="Arial" w:hAnsi="Arial"/>
                <w:sz w:val="16"/>
                <w:szCs w:val="16"/>
                <w:color w:val="auto"/>
              </w:rPr>
              <w:t>EMEA</w:t>
            </w:r>
          </w:p>
        </w:tc>
        <w:tc>
          <w:tcPr>
            <w:tcW w:w="20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1,722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6,227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4,320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7,205</w:t>
            </w:r>
          </w:p>
        </w:tc>
      </w:tr>
      <w:tr>
        <w:trPr>
          <w:trHeight w:val="33"/>
        </w:trPr>
        <w:tc>
          <w:tcPr>
            <w:tcW w:w="2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67"/>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41,044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12,752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23,326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77,122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40,710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22,851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24,544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88,105</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7"/>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r>
      <w:tr>
        <w:trPr>
          <w:trHeight w:val="224"/>
        </w:trPr>
        <w:tc>
          <w:tcPr>
            <w:tcW w:w="2380" w:type="dxa"/>
            <w:vAlign w:val="bottom"/>
          </w:tcPr>
          <w:p>
            <w:pPr>
              <w:ind w:left="200"/>
              <w:spacing w:after="0"/>
              <w:rPr>
                <w:sz w:val="20"/>
                <w:szCs w:val="20"/>
                <w:color w:val="auto"/>
              </w:rPr>
            </w:pPr>
            <w:r>
              <w:rPr>
                <w:rFonts w:ascii="Arial" w:cs="Arial" w:eastAsia="Arial" w:hAnsi="Arial"/>
                <w:sz w:val="16"/>
                <w:szCs w:val="16"/>
                <w:color w:val="auto"/>
              </w:rPr>
              <w:t>Professional Services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4,161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4,536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5,230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13,927</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3,718</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4,303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12,487</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20,508</w:t>
            </w:r>
          </w:p>
        </w:tc>
      </w:tr>
      <w:tr>
        <w:trPr>
          <w:trHeight w:val="33"/>
        </w:trPr>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Transaction Services</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2,381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3,378</w:t>
            </w:r>
          </w:p>
        </w:tc>
      </w:tr>
      <w:tr>
        <w:trPr>
          <w:trHeight w:val="223"/>
        </w:trPr>
        <w:tc>
          <w:tcPr>
            <w:tcW w:w="2380" w:type="dxa"/>
            <w:vAlign w:val="bottom"/>
          </w:tcPr>
          <w:p>
            <w:pPr>
              <w:ind w:left="200"/>
              <w:spacing w:after="0"/>
              <w:rPr>
                <w:sz w:val="20"/>
                <w:szCs w:val="20"/>
                <w:color w:val="auto"/>
              </w:rPr>
            </w:pPr>
            <w:r>
              <w:rPr>
                <w:rFonts w:ascii="Arial" w:cs="Arial" w:eastAsia="Arial" w:hAnsi="Arial"/>
                <w:sz w:val="16"/>
                <w:szCs w:val="16"/>
                <w:color w:val="auto"/>
              </w:rPr>
              <w:t>Subscription Services</w:t>
            </w:r>
          </w:p>
        </w:tc>
        <w:tc>
          <w:tcPr>
            <w:tcW w:w="20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35,576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7,002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10,617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53,195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35,594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16,402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9,165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61,161</w:t>
            </w:r>
          </w:p>
        </w:tc>
      </w:tr>
      <w:tr>
        <w:trPr>
          <w:trHeight w:val="33"/>
        </w:trPr>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6"/>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License</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7,479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7,619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2,892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3,058</w:t>
            </w:r>
          </w:p>
        </w:tc>
      </w:tr>
      <w:tr>
        <w:trPr>
          <w:trHeight w:val="247"/>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41,044</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12,752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23,326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77,122</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40,710</w:t>
            </w:r>
          </w:p>
        </w:tc>
        <w:tc>
          <w:tcPr>
            <w:tcW w:w="4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22,851</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24,544</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88,105</w:t>
            </w:r>
          </w:p>
        </w:tc>
      </w:tr>
      <w:tr>
        <w:trPr>
          <w:trHeight w:val="23"/>
        </w:trPr>
        <w:tc>
          <w:tcPr>
            <w:tcW w:w="23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economic indicators.</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the Company would record a contract asset if its records revenue on a professional services engagement but are not entitled to bill until the Company achieves specified milestones. Contract asset balance at March 31, 2020 is $4.9 million.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contract assets and liabilities are reported in a net position on a customer basis at the end of each reporting period.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changes in the contract liabilities balance (current and noncurrent) during the period are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Contract Liabilities*</w:t>
            </w:r>
          </w:p>
        </w:tc>
      </w:tr>
      <w:tr>
        <w:trPr>
          <w:trHeight w:val="27"/>
        </w:trPr>
        <w:tc>
          <w:tcPr>
            <w:tcW w:w="94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1, 2020</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7"/>
              </w:rPr>
              <w:t>87,799</w:t>
            </w:r>
          </w:p>
        </w:tc>
      </w:tr>
      <w:tr>
        <w:trPr>
          <w:trHeight w:val="243"/>
        </w:trPr>
        <w:tc>
          <w:tcPr>
            <w:tcW w:w="9480" w:type="dxa"/>
            <w:vAlign w:val="bottom"/>
          </w:tcPr>
          <w:p>
            <w:pPr>
              <w:ind w:left="120"/>
              <w:spacing w:after="0"/>
              <w:rPr>
                <w:sz w:val="20"/>
                <w:szCs w:val="20"/>
                <w:color w:val="auto"/>
              </w:rPr>
            </w:pPr>
            <w:r>
              <w:rPr>
                <w:rFonts w:ascii="Arial" w:cs="Arial" w:eastAsia="Arial" w:hAnsi="Arial"/>
                <w:sz w:val="18"/>
                <w:szCs w:val="18"/>
                <w:color w:val="auto"/>
              </w:rPr>
              <w:t>Revenue recognized in the period</w:t>
            </w:r>
          </w:p>
        </w:tc>
        <w:tc>
          <w:tcPr>
            <w:tcW w:w="560" w:type="dxa"/>
            <w:vAlign w:val="bottom"/>
          </w:tcPr>
          <w:p>
            <w:pPr>
              <w:spacing w:after="0"/>
              <w:rPr>
                <w:sz w:val="21"/>
                <w:szCs w:val="21"/>
                <w:color w:val="auto"/>
              </w:rPr>
            </w:pPr>
          </w:p>
        </w:tc>
        <w:tc>
          <w:tcPr>
            <w:tcW w:w="1200" w:type="dxa"/>
            <w:vAlign w:val="bottom"/>
          </w:tcPr>
          <w:p>
            <w:pPr>
              <w:jc w:val="center"/>
              <w:ind w:left="290"/>
              <w:spacing w:after="0"/>
              <w:rPr>
                <w:sz w:val="20"/>
                <w:szCs w:val="20"/>
                <w:color w:val="auto"/>
              </w:rPr>
            </w:pPr>
            <w:r>
              <w:rPr>
                <w:rFonts w:ascii="Arial" w:cs="Arial" w:eastAsia="Arial" w:hAnsi="Arial"/>
                <w:sz w:val="18"/>
                <w:szCs w:val="18"/>
                <w:color w:val="auto"/>
                <w:w w:val="92"/>
              </w:rPr>
              <w:t>(74,882)</w:t>
            </w:r>
          </w:p>
        </w:tc>
      </w:tr>
      <w:tr>
        <w:trPr>
          <w:trHeight w:val="27"/>
        </w:trPr>
        <w:tc>
          <w:tcPr>
            <w:tcW w:w="9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Amounts billed but not recognized as revenue</w:t>
            </w:r>
          </w:p>
        </w:tc>
        <w:tc>
          <w:tcPr>
            <w:tcW w:w="5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7"/>
              </w:rPr>
              <w:t>54,171</w:t>
            </w:r>
          </w:p>
        </w:tc>
      </w:tr>
      <w:tr>
        <w:trPr>
          <w:trHeight w:val="263"/>
        </w:trPr>
        <w:tc>
          <w:tcPr>
            <w:tcW w:w="9480" w:type="dxa"/>
            <w:vAlign w:val="bottom"/>
          </w:tcPr>
          <w:p>
            <w:pPr>
              <w:ind w:left="20"/>
              <w:spacing w:after="0"/>
              <w:rPr>
                <w:sz w:val="20"/>
                <w:szCs w:val="20"/>
                <w:color w:val="auto"/>
              </w:rPr>
            </w:pPr>
            <w:r>
              <w:rPr>
                <w:rFonts w:ascii="Arial" w:cs="Arial" w:eastAsia="Arial" w:hAnsi="Arial"/>
                <w:sz w:val="18"/>
                <w:szCs w:val="18"/>
                <w:color w:val="auto"/>
              </w:rPr>
              <w:t>Balance - March 31, 2020</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center"/>
              <w:ind w:left="310"/>
              <w:spacing w:after="0"/>
              <w:rPr>
                <w:sz w:val="20"/>
                <w:szCs w:val="20"/>
                <w:color w:val="auto"/>
              </w:rPr>
            </w:pPr>
            <w:r>
              <w:rPr>
                <w:rFonts w:ascii="Arial" w:cs="Arial" w:eastAsia="Arial" w:hAnsi="Arial"/>
                <w:sz w:val="18"/>
                <w:szCs w:val="18"/>
                <w:color w:val="auto"/>
                <w:w w:val="87"/>
              </w:rPr>
              <w:t>67,088</w:t>
            </w:r>
          </w:p>
        </w:tc>
      </w:tr>
      <w:tr>
        <w:trPr>
          <w:trHeight w:val="20"/>
        </w:trPr>
        <w:tc>
          <w:tcPr>
            <w:tcW w:w="9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Comprised of Deferred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52"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March 31, 2020. The Company has elected not to disclose transaction price allocated to remaining performance obligations for:</w:t>
      </w:r>
    </w:p>
    <w:p>
      <w:pPr>
        <w:spacing w:after="0" w:line="15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revenues based on the right to invoice for services performed;</w:t>
      </w:r>
    </w:p>
    <w:p>
      <w:pPr>
        <w:spacing w:after="0" w:line="9" w:lineRule="exact"/>
        <w:rPr>
          <w:rFonts w:ascii="Arial" w:cs="Arial" w:eastAsia="Arial" w:hAnsi="Arial"/>
          <w:sz w:val="18"/>
          <w:szCs w:val="18"/>
          <w:color w:val="auto"/>
        </w:rPr>
      </w:pPr>
    </w:p>
    <w:p>
      <w:pPr>
        <w:jc w:val="both"/>
        <w:ind w:left="660" w:right="2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20"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Many of the Company’s performance obligations meet one or more of these exemptions. Specifically, the Company has excluded the following from the Company’s remaining performance obligations, all of which will be resolved in the period in which amounts are known:</w:t>
      </w:r>
    </w:p>
    <w:p>
      <w:pPr>
        <w:spacing w:after="0" w:line="1"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for future transactions, above any contractual minimums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for success-based transactions contingent on third party data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credits for failure to meet future service level requirements</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2020, the aggregate amount of transaction price allocated to remaining performance obligations, other than those meeting the exclusion criteria above, was $173.4 million, of which approximately 86.7 percent is expected to be recognized as revenues within 2 years, and the remainder thereafter.</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21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8"/>
          </w:tcPr>
          <w:p>
            <w:pPr>
              <w:ind w:left="520"/>
              <w:spacing w:after="0"/>
              <w:rPr>
                <w:sz w:val="20"/>
                <w:szCs w:val="20"/>
                <w:color w:val="auto"/>
              </w:rPr>
            </w:pPr>
            <w:r>
              <w:rPr>
                <w:rFonts w:ascii="Arial" w:cs="Arial" w:eastAsia="Arial" w:hAnsi="Arial"/>
                <w:sz w:val="16"/>
                <w:szCs w:val="16"/>
                <w:b w:val="1"/>
                <w:bCs w:val="1"/>
                <w:color w:val="auto"/>
              </w:rPr>
              <w:t>March 31, 2020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ind w:left="14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(Level 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30,906</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30,906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30,906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30,906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Temporary equity</w:t>
            </w: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3"/>
                <w:szCs w:val="23"/>
                <w:color w:val="auto"/>
                <w:vertAlign w:val="superscript"/>
              </w:rPr>
              <w:t>(3)</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12,500</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3"/>
                <w:szCs w:val="23"/>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3"/>
                <w:szCs w:val="23"/>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12,500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5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8"/>
          </w:tcPr>
          <w:p>
            <w:pPr>
              <w:ind w:left="440"/>
              <w:spacing w:after="0"/>
              <w:rPr>
                <w:sz w:val="20"/>
                <w:szCs w:val="20"/>
                <w:color w:val="auto"/>
              </w:rPr>
            </w:pPr>
            <w:r>
              <w:rPr>
                <w:rFonts w:ascii="Arial" w:cs="Arial" w:eastAsia="Arial" w:hAnsi="Arial"/>
                <w:sz w:val="16"/>
                <w:szCs w:val="16"/>
                <w:b w:val="1"/>
                <w:bCs w:val="1"/>
                <w:color w:val="auto"/>
              </w:rPr>
              <w:t>December 31, 2019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92"/>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39,001</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39,001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3"/>
                <w:szCs w:val="23"/>
                <w:color w:val="auto"/>
                <w:vertAlign w:val="superscript"/>
              </w:rPr>
              <w:t>(2)</w:t>
            </w:r>
          </w:p>
        </w:tc>
        <w:tc>
          <w:tcPr>
            <w:tcW w:w="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39,012</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39,001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Temporary Equity</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w:t>
            </w: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12,500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ind w:left="320" w:hanging="312"/>
        <w:spacing w:after="0" w:line="217"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Cash equivalents primarily included money market funds.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Marketable securities are comprised of municipal bonds, certificates of deposit. corporate bonds, treasury bonds, and mutual funds.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Put arrangements held by the noncontrolling interests in certain of the Company’s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in fair value of the Company’s Level 3 redeemable noncontrolling interests during the three months ended March 31, 2020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12,500</w:t>
            </w:r>
          </w:p>
        </w:tc>
      </w:tr>
      <w:tr>
        <w:trPr>
          <w:trHeight w:val="243"/>
        </w:trPr>
        <w:tc>
          <w:tcPr>
            <w:tcW w:w="10020" w:type="dxa"/>
            <w:vAlign w:val="bottom"/>
          </w:tcPr>
          <w:p>
            <w:pPr>
              <w:ind w:left="220"/>
              <w:spacing w:after="0"/>
              <w:rPr>
                <w:sz w:val="20"/>
                <w:szCs w:val="20"/>
                <w:color w:val="auto"/>
              </w:rPr>
            </w:pPr>
            <w:r>
              <w:rPr>
                <w:rFonts w:ascii="Arial" w:cs="Arial" w:eastAsia="Arial" w:hAnsi="Arial"/>
                <w:sz w:val="18"/>
                <w:szCs w:val="18"/>
                <w:color w:val="auto"/>
              </w:rPr>
              <w:t>Fair value adjustment</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10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redeemable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63"/>
        </w:trPr>
        <w:tc>
          <w:tcPr>
            <w:tcW w:w="1002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12,500</w:t>
            </w:r>
          </w:p>
        </w:tc>
      </w:tr>
      <w:tr>
        <w:trPr>
          <w:trHeight w:val="21"/>
        </w:trPr>
        <w:tc>
          <w:tcPr>
            <w:tcW w:w="10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party to certain sublease arrangements, primarily related to the Company’s real estate leases, where it acts as the lessee and intermediate lessor.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the Company's Right of Use (ROU) assets and lease liabilities at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39370</wp:posOffset>
            </wp:positionV>
            <wp:extent cx="710628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ROU assets: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660" w:type="dxa"/>
            <w:vAlign w:val="bottom"/>
          </w:tcPr>
          <w:p>
            <w:pPr>
              <w:ind w:left="100"/>
              <w:spacing w:after="0"/>
              <w:rPr>
                <w:sz w:val="20"/>
                <w:szCs w:val="20"/>
                <w:color w:val="auto"/>
              </w:rPr>
            </w:pPr>
            <w:r>
              <w:rPr>
                <w:rFonts w:ascii="Arial" w:cs="Arial" w:eastAsia="Arial" w:hAnsi="Arial"/>
                <w:sz w:val="16"/>
                <w:szCs w:val="16"/>
                <w:color w:val="auto"/>
              </w:rPr>
              <w:t>Non-current operating lease ROU assets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52,576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96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6"/>
                <w:szCs w:val="16"/>
                <w:b w:val="1"/>
                <w:bCs w:val="1"/>
                <w:color w:val="auto"/>
              </w:rPr>
              <w:t>Operating lease liabilities:</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Current operating lease liabilities*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660" w:type="dxa"/>
            <w:vAlign w:val="bottom"/>
          </w:tcPr>
          <w:p>
            <w:pPr>
              <w:ind w:left="100"/>
              <w:spacing w:after="0"/>
              <w:rPr>
                <w:sz w:val="20"/>
                <w:szCs w:val="20"/>
                <w:color w:val="auto"/>
              </w:rPr>
            </w:pPr>
            <w:r>
              <w:rPr>
                <w:rFonts w:ascii="Arial" w:cs="Arial" w:eastAsia="Arial" w:hAnsi="Arial"/>
                <w:sz w:val="16"/>
                <w:szCs w:val="16"/>
                <w:color w:val="auto"/>
              </w:rPr>
              <w:t>Non-current operating lease liabilities</w:t>
            </w:r>
          </w:p>
        </w:tc>
        <w:tc>
          <w:tcPr>
            <w:tcW w:w="4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59,085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lease liabilities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67,724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9700" w:type="dxa"/>
            <w:vAlign w:val="bottom"/>
            <w:gridSpan w:val="2"/>
            <w:vMerge w:val="continue"/>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 Amounts are included in Accrued Expenses on Condensed Consolidated Balance Sheets.</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lease expense and sublease income for the three months ended March 31, 2020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Three Months Ended</w:t>
            </w:r>
          </w:p>
        </w:tc>
      </w:tr>
      <w:tr>
        <w:trPr>
          <w:trHeight w:val="27"/>
        </w:trPr>
        <w:tc>
          <w:tcPr>
            <w:tcW w:w="8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8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jc w:val="right"/>
              <w:ind w:right="470"/>
              <w:spacing w:after="0"/>
              <w:rPr>
                <w:sz w:val="20"/>
                <w:szCs w:val="20"/>
                <w:color w:val="auto"/>
              </w:rPr>
            </w:pPr>
            <w:r>
              <w:rPr>
                <w:rFonts w:ascii="Arial" w:cs="Arial" w:eastAsia="Arial" w:hAnsi="Arial"/>
                <w:sz w:val="18"/>
                <w:szCs w:val="18"/>
                <w:b w:val="1"/>
                <w:bCs w:val="1"/>
                <w:color w:val="auto"/>
              </w:rPr>
              <w:t>March 31, 2020</w:t>
            </w:r>
          </w:p>
        </w:tc>
      </w:tr>
      <w:tr>
        <w:trPr>
          <w:trHeight w:val="27"/>
        </w:trPr>
        <w:tc>
          <w:tcPr>
            <w:tcW w:w="8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3,050</w:t>
            </w: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Other lease costs and income:</w:t>
            </w:r>
          </w:p>
        </w:tc>
        <w:tc>
          <w:tcPr>
            <w:tcW w:w="22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8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325</w:t>
            </w:r>
          </w:p>
        </w:tc>
      </w:tr>
      <w:tr>
        <w:trPr>
          <w:trHeight w:val="243"/>
        </w:trPr>
        <w:tc>
          <w:tcPr>
            <w:tcW w:w="8940" w:type="dxa"/>
            <w:vAlign w:val="bottom"/>
          </w:tcPr>
          <w:p>
            <w:pPr>
              <w:ind w:left="12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(966)</w:t>
            </w:r>
          </w:p>
        </w:tc>
      </w:tr>
      <w:tr>
        <w:trPr>
          <w:trHeight w:val="27"/>
        </w:trPr>
        <w:tc>
          <w:tcPr>
            <w:tcW w:w="8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88"/>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lease cost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2,409</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340" w:hanging="332"/>
        <w:spacing w:after="0" w:line="260"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provides the undiscounted amount of future cash flows included in our lease liabilities at March 31, 2020 for each of the five years subsequent to December 31, 2019 and thereafter, as well as a reconciliation of such undiscounted cash flows to our lease liabilities at March 31, 2020 (in thousands):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Operating Leases</w:t>
            </w:r>
          </w:p>
        </w:tc>
      </w:tr>
      <w:tr>
        <w:trPr>
          <w:trHeight w:val="33"/>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10,242</w:t>
            </w:r>
          </w:p>
        </w:tc>
      </w:tr>
      <w:tr>
        <w:trPr>
          <w:trHeight w:val="243"/>
        </w:trPr>
        <w:tc>
          <w:tcPr>
            <w:tcW w:w="96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13,077</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12,470</w:t>
            </w:r>
          </w:p>
        </w:tc>
      </w:tr>
      <w:tr>
        <w:trPr>
          <w:trHeight w:val="243"/>
        </w:trPr>
        <w:tc>
          <w:tcPr>
            <w:tcW w:w="96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10,168</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10,269</w:t>
            </w:r>
          </w:p>
        </w:tc>
      </w:tr>
      <w:tr>
        <w:trPr>
          <w:trHeight w:val="243"/>
        </w:trPr>
        <w:tc>
          <w:tcPr>
            <w:tcW w:w="96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33,841</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future lease payments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90,067</w:t>
            </w:r>
          </w:p>
        </w:tc>
      </w:tr>
      <w:tr>
        <w:trPr>
          <w:trHeight w:val="243"/>
        </w:trPr>
        <w:tc>
          <w:tcPr>
            <w:tcW w:w="96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(22,343)</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9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future lease payments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67,724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the weighted-average remaining lease term and weighted-average discount rates for our leases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200660</wp:posOffset>
            </wp:positionV>
            <wp:extent cx="71062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20" w:type="dxa"/>
            <w:vAlign w:val="bottom"/>
          </w:tcPr>
          <w:p>
            <w:pPr>
              <w:ind w:left="100"/>
              <w:spacing w:after="0"/>
              <w:rPr>
                <w:sz w:val="20"/>
                <w:szCs w:val="20"/>
                <w:color w:val="auto"/>
              </w:rPr>
            </w:pPr>
            <w:r>
              <w:rPr>
                <w:rFonts w:ascii="Arial" w:cs="Arial" w:eastAsia="Arial" w:hAnsi="Arial"/>
                <w:sz w:val="18"/>
                <w:szCs w:val="18"/>
                <w:color w:val="auto"/>
              </w:rPr>
              <w:t>Weighted-average remaining lease term (years), weighted based on lease liability balances</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9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Weighted-average discount rate (percentages), weighted based on the remaining balance of lease payments</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8.0 %</w:t>
            </w:r>
          </w:p>
        </w:tc>
      </w:tr>
      <w:tr>
        <w:trPr>
          <w:trHeight w:val="27"/>
        </w:trPr>
        <w:tc>
          <w:tcPr>
            <w:tcW w:w="92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certain cash flow and supplemental noncash information related to our lease liabilities for the three months ended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151765</wp:posOffset>
            </wp:positionV>
            <wp:extent cx="71062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20" w:type="dxa"/>
            <w:vAlign w:val="bottom"/>
          </w:tcPr>
          <w:p>
            <w:pPr>
              <w:ind w:left="10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3,290</w:t>
            </w:r>
          </w:p>
        </w:tc>
      </w:tr>
      <w:tr>
        <w:trPr>
          <w:trHeight w:val="27"/>
        </w:trPr>
        <w:tc>
          <w:tcPr>
            <w:tcW w:w="7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arising from obtaining right-of-use assets</w:t>
            </w:r>
          </w:p>
        </w:tc>
        <w:tc>
          <w:tcPr>
            <w:tcW w:w="27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805</w:t>
            </w:r>
          </w:p>
        </w:tc>
      </w:tr>
      <w:tr>
        <w:trPr>
          <w:trHeight w:val="27"/>
        </w:trPr>
        <w:tc>
          <w:tcPr>
            <w:tcW w:w="742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Affiliates and Related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Subsequent to March 31,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The Company has secured a new commercial agreement with STIN.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Revolving Credit Facility</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October 4, 2019, the Company entered into a Credit Agreement with Citizens Bank, N.A., for a $10.0 million Revolving Credit Facility. Borrowings under the Revolving Credit Facility bear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0.50%, the prime commercial lending rate as determined by the Agent, and the daily LIBOR rate plus 1.00%, in each case plus an applicable margin and subject to a floor of 0%. In addition, on a quarterly basis, the Company is required to pay each lender under the Revolving Credit Facility a 0.2% commitment fee in respect of commitments under the Revolving Credit Facility, which may be subject to adjustment based on the Company’s total leverage ratio. The outstanding balance under the Revolving Credit Facility as of March 31, 2020 is $10.0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interest expense: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155</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on borrowings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191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2019 Revolving Credit Facility</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Commitment fee</w:t>
            </w:r>
          </w:p>
        </w:tc>
        <w:tc>
          <w:tcPr>
            <w:tcW w:w="104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on borrowings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239</w:t>
            </w:r>
          </w:p>
        </w:tc>
      </w:tr>
      <w:tr>
        <w:trPr>
          <w:trHeight w:val="27"/>
        </w:trPr>
        <w:tc>
          <w:tcPr>
            <w:tcW w:w="7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585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 /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accumulated other comprehensive (loss) income during the three months ended March 31, 2020 were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w:t>
      </w:r>
    </w:p>
    <w:p>
      <w:pPr>
        <w:spacing w:after="0" w:line="73" w:lineRule="exact"/>
        <w:rPr>
          <w:sz w:val="20"/>
          <w:szCs w:val="20"/>
          <w:color w:val="auto"/>
        </w:rPr>
      </w:pPr>
    </w:p>
    <w:p>
      <w:pPr>
        <w:ind w:left="20" w:right="360"/>
        <w:spacing w:after="0" w:line="412" w:lineRule="auto"/>
        <w:rPr>
          <w:sz w:val="20"/>
          <w:szCs w:val="20"/>
          <w:color w:val="auto"/>
        </w:rPr>
      </w:pPr>
      <w:r>
        <w:rPr>
          <w:rFonts w:ascii="Arial" w:cs="Arial" w:eastAsia="Arial" w:hAnsi="Arial"/>
          <w:sz w:val="14"/>
          <w:szCs w:val="14"/>
          <w:color w:val="auto"/>
        </w:rPr>
        <w:t>Unrealized loss on intra-entity foreign currency transactions Unrealized holding gains (losses) on marketable debt securities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Balance at</w:t>
            </w:r>
          </w:p>
        </w:tc>
        <w:tc>
          <w:tcPr>
            <w:tcW w:w="30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Balance at March</w:t>
            </w:r>
          </w:p>
        </w:tc>
      </w:tr>
      <w:tr>
        <w:trPr>
          <w:trHeight w:val="210"/>
        </w:trPr>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2019</w:t>
            </w: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comprehensive loss</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Tax effect</w:t>
            </w:r>
          </w:p>
        </w:tc>
        <w:tc>
          <w:tcPr>
            <w:tcW w:w="100" w:type="dxa"/>
            <w:vAlign w:val="bottom"/>
          </w:tcPr>
          <w:p>
            <w:pPr>
              <w:spacing w:after="0"/>
              <w:rPr>
                <w:sz w:val="18"/>
                <w:szCs w:val="18"/>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b w:val="1"/>
                <w:bCs w:val="1"/>
                <w:color w:val="auto"/>
              </w:rPr>
              <w:t>31, 2020</w:t>
            </w:r>
          </w:p>
        </w:tc>
      </w:tr>
      <w:tr>
        <w:trPr>
          <w:trHeight w:val="33"/>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(28,204)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(3,941)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(32,145)</w:t>
            </w:r>
          </w:p>
        </w:tc>
      </w:tr>
      <w:tr>
        <w:trPr>
          <w:trHeight w:val="257"/>
        </w:trPr>
        <w:tc>
          <w:tcPr>
            <w:tcW w:w="22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(4,678)</w:t>
            </w:r>
          </w:p>
        </w:tc>
      </w:tr>
      <w:tr>
        <w:trPr>
          <w:trHeight w:val="256"/>
        </w:trPr>
        <w:tc>
          <w:tcPr>
            <w:tcW w:w="22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(33,261)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(3,676)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(36,823)</w:t>
            </w:r>
          </w:p>
        </w:tc>
      </w:tr>
      <w:tr>
        <w:trPr>
          <w:trHeight w:val="33"/>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-702310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-367665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5" w:right="339" w:bottom="1440" w:gutter="0" w:footer="0" w:header="0"/>
          <w:type w:val="continuous"/>
        </w:sect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significant changes to Company’s authorized capital stock and preferred stock during the three months ended March 31, 2020.</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2020, there were 225,059 shares of Series A Preferred Stock outstanding, including the initial issuance of 185,000 shares of Series A Preferred Stock and the issuance of 40,059 shares of Series A Preferred Stock as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March 31, 2020, the Liquidation Value and Redemption Value of the Preferred Shares was $243.1 million.</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the Company’s annual meetings of stockholders or at any special meeting called for the purpose of electing directors (or by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consent signed 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2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0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22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Concurrently with the closing of the Preferred Transaction, Synchronoss and Silver entered into an Investor Rights Agreement. Under the terms of the Investor Rights Agreement, Silver and Synchronoss have agreed that, effective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to maintain its ownership percentage.</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214"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8"/>
          <w:szCs w:val="18"/>
          <w:color w:val="auto"/>
        </w:rPr>
        <w:t>A summary of the Company’s Series A Convertible Participating Perpetual Preferred Stock balance at March 31, 2020 and changes during the three months ended March 31, 2020, are presented below:</w:t>
      </w:r>
    </w:p>
    <w:p>
      <w:pPr>
        <w:spacing w:after="0" w:line="2"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23495</wp:posOffset>
            </wp:positionV>
            <wp:extent cx="18770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8"/>
              </w:rPr>
              <w:t>Shares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Amount</w:t>
            </w:r>
          </w:p>
        </w:tc>
      </w:tr>
      <w:tr>
        <w:trPr>
          <w:trHeight w:val="236"/>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200,865</w:t>
            </w:r>
          </w:p>
        </w:tc>
      </w:tr>
      <w:tr>
        <w:trPr>
          <w:trHeight w:val="224"/>
        </w:trPr>
        <w:tc>
          <w:tcPr>
            <w:tcW w:w="9260" w:type="dxa"/>
            <w:vAlign w:val="bottom"/>
            <w:gridSpan w:val="2"/>
          </w:tcPr>
          <w:p>
            <w:pPr>
              <w:ind w:left="120"/>
              <w:spacing w:after="0"/>
              <w:rPr>
                <w:sz w:val="20"/>
                <w:szCs w:val="20"/>
                <w:color w:val="auto"/>
              </w:rPr>
            </w:pPr>
            <w:r>
              <w:rPr>
                <w:rFonts w:ascii="Arial" w:cs="Arial" w:eastAsia="Arial" w:hAnsi="Arial"/>
                <w:sz w:val="16"/>
                <w:szCs w:val="16"/>
                <w:color w:val="auto"/>
              </w:rPr>
              <w:t>Issuance of preferred stock</w:t>
            </w: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33"/>
        </w:trPr>
        <w:tc>
          <w:tcPr>
            <w:tcW w:w="8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Initial discount and issuance costs related to preferred stock</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3"/>
        </w:trPr>
        <w:tc>
          <w:tcPr>
            <w:tcW w:w="9260" w:type="dxa"/>
            <w:vAlign w:val="bottom"/>
            <w:gridSpan w:val="2"/>
          </w:tcPr>
          <w:p>
            <w:pPr>
              <w:ind w:left="120"/>
              <w:spacing w:after="0"/>
              <w:rPr>
                <w:sz w:val="20"/>
                <w:szCs w:val="20"/>
                <w:color w:val="auto"/>
              </w:rPr>
            </w:pPr>
            <w:r>
              <w:rPr>
                <w:rFonts w:ascii="Arial" w:cs="Arial" w:eastAsia="Arial" w:hAnsi="Arial"/>
                <w:sz w:val="16"/>
                <w:szCs w:val="16"/>
                <w:color w:val="auto"/>
              </w:rPr>
              <w:t>Amortization of preferred stock issuance costs</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750</w:t>
            </w:r>
          </w:p>
        </w:tc>
      </w:tr>
      <w:tr>
        <w:trPr>
          <w:trHeight w:val="33"/>
        </w:trPr>
        <w:tc>
          <w:tcPr>
            <w:tcW w:w="8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Issuance of preferred PIK dividend</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7,873</w:t>
            </w:r>
          </w:p>
        </w:tc>
      </w:tr>
      <w:tr>
        <w:trPr>
          <w:trHeight w:val="247"/>
        </w:trPr>
        <w:tc>
          <w:tcPr>
            <w:tcW w:w="8280" w:type="dxa"/>
            <w:vAlign w:val="bottom"/>
          </w:tcPr>
          <w:p>
            <w:pPr>
              <w:ind w:left="20"/>
              <w:spacing w:after="0"/>
              <w:rPr>
                <w:sz w:val="20"/>
                <w:szCs w:val="20"/>
                <w:color w:val="auto"/>
              </w:rPr>
            </w:pPr>
            <w:r>
              <w:rPr>
                <w:rFonts w:ascii="Arial" w:cs="Arial" w:eastAsia="Arial" w:hAnsi="Arial"/>
                <w:sz w:val="16"/>
                <w:szCs w:val="16"/>
                <w:color w:val="auto"/>
              </w:rPr>
              <w:t>Balance at March 31, 2020</w:t>
            </w:r>
          </w:p>
        </w:tc>
        <w:tc>
          <w:tcPr>
            <w:tcW w:w="9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209,488</w:t>
            </w:r>
          </w:p>
        </w:tc>
      </w:tr>
      <w:tr>
        <w:trPr>
          <w:trHeight w:val="23"/>
        </w:trPr>
        <w:tc>
          <w:tcPr>
            <w:tcW w:w="8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registration rights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significant changes to the Company’s Stock Plans during the three months ended March 31, 2020. As of March 31, 2020, there were 0.3 million shares available for the grant or award under the Company’s 2015 Plan and 0.3 million shares available for the grant or award under the Company’s 2017 New Hire Equity Incentive Plan.</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Company’s performance cash awards granted to executives under the Long Term Incentive (“LTI”) Plans have been accounted for as liability awards, due to the Company’s intent and the ability to settle such awards in cash upon vesting and has reflected such awards in accrued expenses. As of March 31, 2020, the liability for such awards is approximately $0.5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by operating expense categories,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260" w:type="dxa"/>
            <w:vAlign w:val="bottom"/>
            <w:gridSpan w:val="5"/>
          </w:tcPr>
          <w:p>
            <w:pPr>
              <w:jc w:val="right"/>
              <w:ind w:right="43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Cost of revenues</w:t>
            </w:r>
          </w:p>
        </w:tc>
        <w:tc>
          <w:tcPr>
            <w:tcW w:w="98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686</w:t>
            </w:r>
          </w:p>
        </w:tc>
      </w:tr>
      <w:tr>
        <w:trPr>
          <w:trHeight w:val="243"/>
        </w:trPr>
        <w:tc>
          <w:tcPr>
            <w:tcW w:w="798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1,225</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2,986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3,644</w:t>
            </w:r>
          </w:p>
        </w:tc>
      </w:tr>
      <w:tr>
        <w:trPr>
          <w:trHeight w:val="261"/>
        </w:trPr>
        <w:tc>
          <w:tcPr>
            <w:tcW w:w="7980" w:type="dxa"/>
            <w:vAlign w:val="bottom"/>
          </w:tcPr>
          <w:p>
            <w:pPr>
              <w:ind w:left="20"/>
              <w:spacing w:after="0"/>
              <w:rPr>
                <w:sz w:val="20"/>
                <w:szCs w:val="20"/>
                <w:color w:val="auto"/>
              </w:rPr>
            </w:pPr>
            <w:r>
              <w:rPr>
                <w:rFonts w:ascii="Arial" w:cs="Arial" w:eastAsia="Arial" w:hAnsi="Arial"/>
                <w:sz w:val="16"/>
                <w:szCs w:val="16"/>
                <w:color w:val="auto"/>
              </w:rPr>
              <w:t>Total stock-based compensation expense</w:t>
            </w:r>
          </w:p>
        </w:tc>
        <w:tc>
          <w:tcPr>
            <w:tcW w:w="9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5,169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5,555</w:t>
            </w:r>
          </w:p>
        </w:tc>
      </w:tr>
      <w:tr>
        <w:trPr>
          <w:trHeight w:val="23"/>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220" w:type="dxa"/>
            <w:vAlign w:val="bottom"/>
            <w:gridSpan w:val="5"/>
          </w:tcPr>
          <w:p>
            <w:pPr>
              <w:jc w:val="right"/>
              <w:ind w:right="41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33"/>
        </w:trPr>
        <w:tc>
          <w:tcPr>
            <w:tcW w:w="80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options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1,697</w:t>
            </w:r>
          </w:p>
        </w:tc>
      </w:tr>
      <w:tr>
        <w:trPr>
          <w:trHeight w:val="243"/>
        </w:trPr>
        <w:tc>
          <w:tcPr>
            <w:tcW w:w="8020" w:type="dxa"/>
            <w:vAlign w:val="bottom"/>
          </w:tcPr>
          <w:p>
            <w:pPr>
              <w:ind w:left="120"/>
              <w:spacing w:after="0"/>
              <w:rPr>
                <w:sz w:val="20"/>
                <w:szCs w:val="20"/>
                <w:color w:val="auto"/>
              </w:rPr>
            </w:pPr>
            <w:r>
              <w:rPr>
                <w:rFonts w:ascii="Arial" w:cs="Arial" w:eastAsia="Arial" w:hAnsi="Arial"/>
                <w:sz w:val="16"/>
                <w:szCs w:val="16"/>
                <w:color w:val="auto"/>
              </w:rPr>
              <w:t>Restricted stock awards</w:t>
            </w:r>
          </w:p>
        </w:tc>
        <w:tc>
          <w:tcPr>
            <w:tcW w:w="9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3,798</w:t>
            </w:r>
          </w:p>
        </w:tc>
      </w:tr>
      <w:tr>
        <w:trPr>
          <w:trHeight w:val="27"/>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Performance Based Cash Units</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color w:val="auto"/>
              </w:rPr>
              <w:t>Total stock-based compensation before taxes</w:t>
            </w: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8"/>
              </w:rPr>
              <w:t>5,169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5,555</w:t>
            </w:r>
          </w:p>
        </w:tc>
      </w:tr>
      <w:tr>
        <w:trPr>
          <w:trHeight w:val="27"/>
        </w:trPr>
        <w:tc>
          <w:tcPr>
            <w:tcW w:w="80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1,058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equity awards as of March 31, 2020 was approximately $30.5 million. The expense is expected to be recognized over a weighted-average period of approximately 1.53 years.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performance based cash units as of March 31, 2020 was approximately $1.2 million. The expense is expected to be recognized over a weighted-average period of approximately 2.15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Stock Option Plans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10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92"/>
              </w:rPr>
              <w:t>Three Months Ended March 31,</w:t>
            </w:r>
          </w:p>
        </w:tc>
        <w:tc>
          <w:tcPr>
            <w:tcW w:w="40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6"/>
        </w:trPr>
        <w:tc>
          <w:tcPr>
            <w:tcW w:w="7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7"/>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of options (in years)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4.23</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7"/>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(grant date) of the options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3.09</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00" w:type="dxa"/>
            <w:vAlign w:val="bottom"/>
            <w:shd w:val="clear" w:color="auto" w:fill="CCEEFF"/>
          </w:tcPr>
          <w:p>
            <w:pPr>
              <w:spacing w:after="0"/>
              <w:rPr>
                <w:sz w:val="21"/>
                <w:szCs w:val="21"/>
                <w:color w:val="auto"/>
              </w:rPr>
            </w:pPr>
          </w:p>
        </w:tc>
      </w:tr>
      <w:tr>
        <w:trPr>
          <w:trHeight w:val="27"/>
        </w:trPr>
        <w:tc>
          <w:tcPr>
            <w:tcW w:w="7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as of March 31,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7"/>
                <w:szCs w:val="17"/>
                <w:color w:val="auto"/>
              </w:rPr>
            </w:pPr>
          </w:p>
        </w:tc>
        <w:tc>
          <w:tcPr>
            <w:tcW w:w="132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452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7"/>
                <w:szCs w:val="17"/>
                <w:color w:val="auto"/>
              </w:rPr>
            </w:pPr>
          </w:p>
        </w:tc>
        <w:tc>
          <w:tcPr>
            <w:tcW w:w="1320" w:type="dxa"/>
            <w:vAlign w:val="bottom"/>
          </w:tcPr>
          <w:p>
            <w:pPr>
              <w:jc w:val="center"/>
              <w:ind w:right="175"/>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Options</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Term (Years)</w:t>
            </w:r>
          </w:p>
        </w:tc>
        <w:tc>
          <w:tcPr>
            <w:tcW w:w="260" w:type="dxa"/>
            <w:vAlign w:val="bottom"/>
          </w:tcPr>
          <w:p>
            <w:pPr>
              <w:spacing w:after="0"/>
              <w:rPr>
                <w:sz w:val="18"/>
                <w:szCs w:val="18"/>
                <w:color w:val="auto"/>
              </w:rPr>
            </w:pPr>
          </w:p>
        </w:tc>
        <w:tc>
          <w:tcPr>
            <w:tcW w:w="132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5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tcPr>
          <w:p>
            <w:pPr>
              <w:ind w:left="120"/>
              <w:spacing w:after="0"/>
              <w:rPr>
                <w:sz w:val="20"/>
                <w:szCs w:val="20"/>
                <w:color w:val="auto"/>
              </w:rPr>
            </w:pPr>
            <w:r>
              <w:rPr>
                <w:rFonts w:ascii="Arial" w:cs="Arial" w:eastAsia="Arial" w:hAnsi="Arial"/>
                <w:sz w:val="18"/>
                <w:szCs w:val="18"/>
                <w:color w:val="auto"/>
              </w:rPr>
              <w:t>Options Cancelled</w:t>
            </w: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4520" w:type="dxa"/>
            <w:vAlign w:val="bottom"/>
          </w:tcPr>
          <w:p>
            <w:pPr>
              <w:ind w:left="20"/>
              <w:spacing w:after="0"/>
              <w:rPr>
                <w:sz w:val="20"/>
                <w:szCs w:val="20"/>
                <w:color w:val="auto"/>
              </w:rPr>
            </w:pPr>
            <w:r>
              <w:rPr>
                <w:rFonts w:ascii="Arial" w:cs="Arial" w:eastAsia="Arial" w:hAnsi="Arial"/>
                <w:sz w:val="18"/>
                <w:szCs w:val="18"/>
                <w:color w:val="auto"/>
              </w:rPr>
              <w:t>Vested at March 31, 2020</w:t>
            </w: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2020</w:t>
            </w: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intrinsic value of stock options exercisable at March 31, 2020 and 2019 was nil and nil, respectively. The total intrinsic value of stock options exercised during the three months ended March 31, 2020 and 2019 was nil and nil,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the Company’s restricted stock award (“Restricted Stock”) and performance stock plan during the three months ended March 31, 2020.</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Company’s unvested restricted stock at March 31, 2020, and changes during the three months ended March 31, 2020, is presented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Weighted- Average</w:t>
            </w:r>
          </w:p>
        </w:tc>
      </w:tr>
      <w:tr>
        <w:trPr>
          <w:trHeight w:val="203"/>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7940" w:type="dxa"/>
            <w:vAlign w:val="bottom"/>
            <w:gridSpan w:val="2"/>
          </w:tcPr>
          <w:p>
            <w:pPr>
              <w:ind w:left="20"/>
              <w:spacing w:after="0"/>
              <w:rPr>
                <w:sz w:val="20"/>
                <w:szCs w:val="20"/>
                <w:color w:val="auto"/>
              </w:rPr>
            </w:pPr>
            <w:r>
              <w:rPr>
                <w:rFonts w:ascii="Arial" w:cs="Arial" w:eastAsia="Arial" w:hAnsi="Arial"/>
                <w:sz w:val="16"/>
                <w:szCs w:val="16"/>
                <w:b w:val="1"/>
                <w:bCs w:val="1"/>
                <w:color w:val="auto"/>
              </w:rPr>
              <w:t>Unvested Restricted Stock</w:t>
            </w:r>
          </w:p>
        </w:tc>
        <w:tc>
          <w:tcPr>
            <w:tcW w:w="1580" w:type="dxa"/>
            <w:vAlign w:val="bottom"/>
          </w:tcPr>
          <w:p>
            <w:pPr>
              <w:jc w:val="right"/>
              <w:ind w:right="45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7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3,375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8.68</w:t>
            </w:r>
          </w:p>
        </w:tc>
      </w:tr>
      <w:tr>
        <w:trPr>
          <w:trHeight w:val="243"/>
        </w:trPr>
        <w:tc>
          <w:tcPr>
            <w:tcW w:w="794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5.24</w:t>
            </w: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14.40</w:t>
            </w:r>
          </w:p>
        </w:tc>
      </w:tr>
      <w:tr>
        <w:trPr>
          <w:trHeight w:val="243"/>
        </w:trPr>
        <w:tc>
          <w:tcPr>
            <w:tcW w:w="794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7.83</w:t>
            </w:r>
          </w:p>
        </w:tc>
      </w:tr>
      <w:tr>
        <w:trPr>
          <w:trHeight w:val="27"/>
        </w:trPr>
        <w:tc>
          <w:tcPr>
            <w:tcW w:w="7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9"/>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March 31, 2020</w:t>
            </w:r>
          </w:p>
        </w:tc>
        <w:tc>
          <w:tcPr>
            <w:tcW w:w="1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3,222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Cash Units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Performance based cash units granted under the Company’s 2015 Plan vest at the end of a three-year period based on service and achievement of certain performance objectives determined by the Company’s Board of Directors.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Company’s unvested performance-based cash units at March 31, 2020 and changes during the three months ended March 31, 2020, is presented below:</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52"/>
              <w:spacing w:after="0"/>
              <w:rPr>
                <w:sz w:val="20"/>
                <w:szCs w:val="20"/>
                <w:color w:val="auto"/>
              </w:rPr>
            </w:pPr>
            <w:r>
              <w:rPr>
                <w:rFonts w:ascii="Arial" w:cs="Arial" w:eastAsia="Arial" w:hAnsi="Arial"/>
                <w:sz w:val="16"/>
                <w:szCs w:val="16"/>
                <w:b w:val="1"/>
                <w:bCs w:val="1"/>
                <w:color w:val="auto"/>
                <w:w w:val="91"/>
              </w:rPr>
              <w:t>Weighted- Average</w:t>
            </w:r>
          </w:p>
        </w:tc>
      </w:tr>
      <w:tr>
        <w:trPr>
          <w:trHeight w:val="210"/>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Unvested Cash Units</w:t>
            </w:r>
          </w:p>
        </w:tc>
        <w:tc>
          <w:tcPr>
            <w:tcW w:w="1580" w:type="dxa"/>
            <w:vAlign w:val="bottom"/>
          </w:tcPr>
          <w:p>
            <w:pPr>
              <w:jc w:val="right"/>
              <w:ind w:right="533"/>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Period End Fair Value</w:t>
            </w:r>
          </w:p>
        </w:tc>
      </w:tr>
      <w:tr>
        <w:trPr>
          <w:trHeight w:val="33"/>
        </w:trPr>
        <w:tc>
          <w:tcPr>
            <w:tcW w:w="7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1,046</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4.75</w:t>
            </w:r>
          </w:p>
        </w:tc>
      </w:tr>
      <w:tr>
        <w:trPr>
          <w:trHeight w:val="243"/>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March 31, 2020</w:t>
            </w:r>
          </w:p>
        </w:tc>
        <w:tc>
          <w:tcPr>
            <w:tcW w:w="1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2,437</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at each reporting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(“NOL”) provisions of the Tax Cuts and Jobs Act, allowing for the carryback of losses arising in tax years 2018, 2019 and 2020, to each of the five taxable years preceding the taxable year of loss. The Company filed a carryback claim in the second quarter of 2020 for the NOL generated in tax year 2018, which will result in a refund of previously paid taxes. The carryback of the 2018 NOL will result in an increase in the Company’s 2019 tax liability, so the Company has also recorded an estimate of the additional 2019 current tax expense in the first quarter income tax provision. The estimated net income tax benefit associated with the 2018 NOL carryback is approximately $9 million, and this was recorded discretely in the first quarter income tax provision.</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recognized approximately $12.4 million and $1.4 million in related income tax benefit during the three months ended March 31, 2020 and 2019, respectively. The effective tax rate was approximately 78.8% for the three months ended March 31, 2020. The effective tax rate was primarily driven by the impact of the new NOL carryback provisions discussed above and valuation allowances recorded in domestic and foreign jurisdictions, partially offset by the impact of permanent book-tax differences.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three months ended March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continues to execute certain restructurings to identify workforce optimization opportunities to better align the Company’s resources with its key strategic priorities. A summary of the Company’s restructuring accrual at March 31, 2020 and changes during the three months ended March 31, 2020, are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 December</w:t>
            </w:r>
          </w:p>
        </w:tc>
        <w:tc>
          <w:tcPr>
            <w:tcW w:w="28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Charges</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Payments</w:t>
            </w: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Adjustments1</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Balance at March 31,</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42"/>
              <w:spacing w:after="0"/>
              <w:rPr>
                <w:sz w:val="20"/>
                <w:szCs w:val="20"/>
                <w:color w:val="auto"/>
              </w:rPr>
            </w:pPr>
            <w:r>
              <w:rPr>
                <w:rFonts w:ascii="Arial" w:cs="Arial" w:eastAsia="Arial" w:hAnsi="Arial"/>
                <w:sz w:val="14"/>
                <w:szCs w:val="14"/>
                <w:b w:val="1"/>
                <w:bCs w:val="1"/>
                <w:color w:val="auto"/>
              </w:rPr>
              <w:t>31, 2019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Employment termination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1,450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Common Share (“EPS”)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33"/>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Numerator - Basic:</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Net loss from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(3,350)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(19,737)</w:t>
            </w:r>
          </w:p>
        </w:tc>
      </w:tr>
      <w:tr>
        <w:trPr>
          <w:trHeight w:val="33"/>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 attributable to redeemable noncontrolling interests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Preferred stock dividend</w:t>
            </w:r>
          </w:p>
        </w:tc>
        <w:tc>
          <w:tcPr>
            <w:tcW w:w="24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(7,537)</w:t>
            </w:r>
          </w:p>
        </w:tc>
      </w:tr>
      <w:tr>
        <w:trPr>
          <w:trHeight w:val="33"/>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Synchronoss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8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Numerator - Diluted:</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Net loss from continuing operations attributable to Synchronoss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(12,276)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(27,587)</w:t>
            </w:r>
          </w:p>
        </w:tc>
      </w:tr>
      <w:tr>
        <w:trPr>
          <w:trHeight w:val="33"/>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effect for interest on convertible debt,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8260" w:type="dxa"/>
            <w:vAlign w:val="bottom"/>
          </w:tcPr>
          <w:p>
            <w:pPr>
              <w:ind w:left="20"/>
              <w:spacing w:after="0"/>
              <w:rPr>
                <w:sz w:val="20"/>
                <w:szCs w:val="20"/>
                <w:color w:val="auto"/>
              </w:rPr>
            </w:pPr>
            <w:r>
              <w:rPr>
                <w:rFonts w:ascii="Arial" w:cs="Arial" w:eastAsia="Arial" w:hAnsi="Arial"/>
                <w:sz w:val="16"/>
                <w:szCs w:val="16"/>
                <w:color w:val="auto"/>
              </w:rPr>
              <w:t>Net loss attributable to Synchronoss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(12,276)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(27,587)</w:t>
            </w:r>
          </w:p>
        </w:tc>
      </w:tr>
      <w:tr>
        <w:trPr>
          <w:trHeight w:val="33"/>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5"/>
        </w:trPr>
        <w:tc>
          <w:tcPr>
            <w:tcW w:w="82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40,320</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Shares from assumed conversion of convertible debt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56"/>
        </w:trPr>
        <w:tc>
          <w:tcPr>
            <w:tcW w:w="8260" w:type="dxa"/>
            <w:vAlign w:val="bottom"/>
          </w:tcPr>
          <w:p>
            <w:pPr>
              <w:ind w:left="220"/>
              <w:spacing w:after="0"/>
              <w:rPr>
                <w:sz w:val="20"/>
                <w:szCs w:val="20"/>
                <w:color w:val="auto"/>
              </w:rPr>
            </w:pPr>
            <w:r>
              <w:rPr>
                <w:rFonts w:ascii="Arial" w:cs="Arial" w:eastAsia="Arial" w:hAnsi="Arial"/>
                <w:sz w:val="16"/>
                <w:szCs w:val="16"/>
                <w:color w:val="auto"/>
              </w:rPr>
              <w:t xml:space="preserve">Shares from assumed conversion of preferred stock </w:t>
            </w:r>
            <w:r>
              <w:rPr>
                <w:rFonts w:ascii="Arial" w:cs="Arial" w:eastAsia="Arial" w:hAnsi="Arial"/>
                <w:sz w:val="21"/>
                <w:szCs w:val="21"/>
                <w:color w:val="auto"/>
                <w:vertAlign w:val="superscript"/>
              </w:rPr>
              <w:t>2</w:t>
            </w:r>
          </w:p>
        </w:tc>
        <w:tc>
          <w:tcPr>
            <w:tcW w:w="24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Options and unvested restricted shares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82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41,483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40,320</w:t>
            </w:r>
          </w:p>
        </w:tc>
      </w:tr>
      <w:tr>
        <w:trPr>
          <w:trHeight w:val="33"/>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5"/>
        </w:trPr>
        <w:tc>
          <w:tcPr>
            <w:tcW w:w="82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(0.68)</w:t>
            </w: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(0.68)</w:t>
            </w:r>
          </w:p>
        </w:tc>
      </w:tr>
      <w:tr>
        <w:trPr>
          <w:trHeight w:val="33"/>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08"/>
        </w:trPr>
        <w:tc>
          <w:tcPr>
            <w:tcW w:w="8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Anti-dilutive stock options excluded</w:t>
            </w: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shares of restricted stock awards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2,365</w:t>
            </w:r>
          </w:p>
        </w:tc>
      </w:tr>
      <w:tr>
        <w:trPr>
          <w:trHeight w:val="33"/>
        </w:trPr>
        <w:tc>
          <w:tcPr>
            <w:tcW w:w="8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340" w:hanging="332"/>
        <w:spacing w:after="0" w:line="243" w:lineRule="auto"/>
        <w:tabs>
          <w:tab w:leader="none" w:pos="181"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calculation does not include the effect of assumed conversion of convertible debt of 1,957,105 shares for the three months ended March 31, 2019, which is based on 18.8072 shares per $1,000 principal amount of the Senior Convertible Notes.</w:t>
      </w:r>
    </w:p>
    <w:p>
      <w:pPr>
        <w:spacing w:after="0" w:line="1" w:lineRule="exact"/>
        <w:rPr>
          <w:rFonts w:ascii="Arial" w:cs="Arial" w:eastAsia="Arial" w:hAnsi="Arial"/>
          <w:sz w:val="21"/>
          <w:szCs w:val="21"/>
          <w:color w:val="auto"/>
          <w:vertAlign w:val="superscript"/>
        </w:rPr>
      </w:pPr>
    </w:p>
    <w:p>
      <w:pPr>
        <w:ind w:left="340" w:hanging="332"/>
        <w:spacing w:after="0" w:line="261" w:lineRule="auto"/>
        <w:tabs>
          <w:tab w:leader="none" w:pos="181"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calculation does not include the effect of assumed conversion of preferred stock of 12,503,264 and 10,843,394 shares, for the three months ended March 31, 2020 and 2019, respectively, which is based on 55.5556 shares per $1,000 principal amount of the preferred stock, because the effect would have been anti–dilutive.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tcPr>
          <w:p>
            <w:pPr>
              <w:spacing w:after="0"/>
              <w:rPr>
                <w:sz w:val="20"/>
                <w:szCs w:val="20"/>
                <w:color w:val="auto"/>
              </w:rPr>
            </w:pPr>
            <w:r>
              <w:rPr>
                <w:rFonts w:ascii="Arial" w:cs="Arial" w:eastAsia="Arial" w:hAnsi="Arial"/>
                <w:sz w:val="18"/>
                <w:szCs w:val="18"/>
                <w:b w:val="1"/>
                <w:bCs w:val="1"/>
                <w:color w:val="auto"/>
              </w:rPr>
              <w:t>13. Commitments, Contingencies and Other</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59"/>
        </w:trPr>
        <w:tc>
          <w:tcPr>
            <w:tcW w:w="88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Purchase Obligations</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9"/>
        </w:trPr>
        <w:tc>
          <w:tcPr>
            <w:tcW w:w="8880" w:type="dxa"/>
            <w:vAlign w:val="bottom"/>
          </w:tcPr>
          <w:p>
            <w:pPr>
              <w:ind w:left="340"/>
              <w:spacing w:after="0"/>
              <w:rPr>
                <w:sz w:val="20"/>
                <w:szCs w:val="20"/>
                <w:color w:val="auto"/>
              </w:rPr>
            </w:pPr>
            <w:r>
              <w:rPr>
                <w:rFonts w:ascii="Arial" w:cs="Arial" w:eastAsia="Arial" w:hAnsi="Arial"/>
                <w:sz w:val="18"/>
                <w:szCs w:val="18"/>
                <w:color w:val="auto"/>
              </w:rPr>
              <w:t>Aggregate annual future minimum payments under non-cancelable agreements are as follows:</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70"/>
        </w:trPr>
        <w:tc>
          <w:tcPr>
            <w:tcW w:w="8880" w:type="dxa"/>
            <w:vAlign w:val="bottom"/>
          </w:tcPr>
          <w:p>
            <w:pPr>
              <w:ind w:left="20"/>
              <w:spacing w:after="0"/>
              <w:rPr>
                <w:sz w:val="20"/>
                <w:szCs w:val="20"/>
                <w:color w:val="auto"/>
              </w:rPr>
            </w:pPr>
            <w:r>
              <w:rPr>
                <w:rFonts w:ascii="Arial" w:cs="Arial" w:eastAsia="Arial" w:hAnsi="Arial"/>
                <w:sz w:val="18"/>
                <w:szCs w:val="18"/>
                <w:b w:val="1"/>
                <w:bCs w:val="1"/>
                <w:color w:val="auto"/>
              </w:rPr>
              <w:t>As of March 31, 2020</w:t>
            </w:r>
          </w:p>
        </w:tc>
        <w:tc>
          <w:tcPr>
            <w:tcW w:w="120" w:type="dxa"/>
            <w:vAlign w:val="bottom"/>
          </w:tcPr>
          <w:p>
            <w:pPr>
              <w:spacing w:after="0"/>
              <w:rPr>
                <w:sz w:val="23"/>
                <w:szCs w:val="23"/>
                <w:color w:val="auto"/>
              </w:rPr>
            </w:pPr>
          </w:p>
        </w:tc>
        <w:tc>
          <w:tcPr>
            <w:tcW w:w="224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Non-cancelable agreements</w:t>
            </w:r>
          </w:p>
        </w:tc>
      </w:tr>
      <w:tr>
        <w:trPr>
          <w:trHeight w:val="27"/>
        </w:trPr>
        <w:tc>
          <w:tcPr>
            <w:tcW w:w="8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19,628</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2,562</w:t>
            </w:r>
          </w:p>
        </w:tc>
      </w:tr>
      <w:tr>
        <w:trPr>
          <w:trHeight w:val="27"/>
        </w:trPr>
        <w:tc>
          <w:tcPr>
            <w:tcW w:w="8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2,207</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120" w:type="dxa"/>
            <w:vAlign w:val="bottom"/>
          </w:tcPr>
          <w:p>
            <w:pPr>
              <w:spacing w:after="0"/>
              <w:rPr>
                <w:sz w:val="21"/>
                <w:szCs w:val="21"/>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920</w:t>
            </w:r>
          </w:p>
        </w:tc>
      </w:tr>
      <w:tr>
        <w:trPr>
          <w:trHeight w:val="27"/>
        </w:trPr>
        <w:tc>
          <w:tcPr>
            <w:tcW w:w="8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88"/>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25,317</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complaint purportedly on behalf of purchasers of the Company’s common stock between February 3, 2016 and June 13, 2017. On February 2, 2018, the defendants moved to dismiss the consolidated complaint in its entirety, with prejudice. Before that motion was decided, on August 24, 2018, lead plaintiff filed a consolidated amended complaint purportedly on behalf of purchasers of the Company’s common stock between October 28, 2014 and June 13, 2017. On June 28, 2019, the Court granted defendants’ motion to dismiss the consolidated amended complaint in its entirety, without prejudice,</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allowing lead plaintiff to leave to amend its complaint. On August 14, 2019, lead plaintiff filed a second amended complaint. The second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On October 4, 2019, the defendants moved to dismiss the second amended complaint in its entirety, with prejudice. Defendants’ motion to dismiss is pending before the Court. The Company believes that the asserted claims lack merit and intends to defend against all of the claims vigorously. The plaintiff seeks unspecified damages, fees, interest, and costs. Due to the inherent uncertainties of litigation, the Company cannot predict the outcome of the actions at this time and can give no assurance that the asserted claims will not have a material adverse effect on its financial position or results of operations.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15, 2017, October 24, 2017, October 27, 2017 and October 30, 2017, the Company’s shareholders filed derivative lawsuits against certain of its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which alleges claims related to breaches of fiduciary duties and unjust enrichment.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Operative Complaint’s allegations relate to substantially the same facts as those underlying the Securities Law Action described above. Plaintiff seeks unspecified damages and for the Company to take steps to improve its corporate governance and internal procedures. On March 11, 2019, the defendants filed a motion to dismiss the Operative Complaint, which the Court granted in substantial part on November 26, 2019. On December 10, 2019, the defendants filed a motion for reconsideration respecting the only claim to survive the motion to dismiss, which motion is pending before the Court.</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March 7, 2019, Synchronoss shareholders, Beth Daniel and Juan Solis, filed a separate derivative lawsuit against certain of the Company’s current and former officers and directors and the Company (as nominal defendant) in the Court of Chancery of the State of Delaware, asserting substantially the same allegations as those underlying the Derivative Suits and the Securities Law Action described above. Plaintiffs seek unspecified damages and for the Company to take steps to improve its corporate governance and internal procedures. On May 20, 2019, the parties stipulated to a stay of the action pending a ruling on the pending motion to dismiss in the Derivative Suits. The Company believes that the asserted claims lack merit and intends to defend against all of the claims vigorously. Due to the inherent uncertainties of litigation, the Company cannot predict the outcome of the Derivative Suits at this time and can give no assurance that the asserted claims will not have a material adverse effect on our financial position or results of operations.</w:t>
      </w:r>
    </w:p>
    <w:p>
      <w:pPr>
        <w:spacing w:after="0" w:line="19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against all of such counterclaims.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Additional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included in the Other Income, net included in the Condensed Consolidated Statements of Operations: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60" w:type="dxa"/>
            <w:vAlign w:val="bottom"/>
          </w:tcPr>
          <w:p>
            <w:pPr>
              <w:spacing w:after="0"/>
              <w:rPr>
                <w:sz w:val="18"/>
                <w:szCs w:val="18"/>
                <w:color w:val="auto"/>
              </w:rPr>
            </w:pPr>
          </w:p>
        </w:tc>
      </w:tr>
      <w:tr>
        <w:trPr>
          <w:trHeight w:val="33"/>
        </w:trPr>
        <w:tc>
          <w:tcPr>
            <w:tcW w:w="8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17"/>
        </w:trPr>
        <w:tc>
          <w:tcPr>
            <w:tcW w:w="80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r>
      <w:tr>
        <w:trPr>
          <w:trHeight w:val="33"/>
        </w:trPr>
        <w:tc>
          <w:tcPr>
            <w:tcW w:w="8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3"/>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FX gains (losses)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157</w:t>
            </w:r>
          </w:p>
        </w:tc>
      </w:tr>
      <w:tr>
        <w:trPr>
          <w:trHeight w:val="270"/>
        </w:trPr>
        <w:tc>
          <w:tcPr>
            <w:tcW w:w="8060" w:type="dxa"/>
            <w:vAlign w:val="bottom"/>
          </w:tcPr>
          <w:p>
            <w:pPr>
              <w:ind w:left="120"/>
              <w:spacing w:after="0"/>
              <w:rPr>
                <w:sz w:val="20"/>
                <w:szCs w:val="20"/>
                <w:color w:val="auto"/>
              </w:rPr>
            </w:pPr>
            <w:r>
              <w:rPr>
                <w:rFonts w:ascii="Arial" w:cs="Arial" w:eastAsia="Arial" w:hAnsi="Arial"/>
                <w:sz w:val="18"/>
                <w:szCs w:val="18"/>
                <w:color w:val="auto"/>
              </w:rPr>
              <w:t xml:space="preserve">Income from sale of intangible assets </w:t>
            </w:r>
            <w:r>
              <w:rPr>
                <w:rFonts w:ascii="Arial" w:cs="Arial" w:eastAsia="Arial" w:hAnsi="Arial"/>
                <w:sz w:val="23"/>
                <w:szCs w:val="23"/>
                <w:color w:val="auto"/>
                <w:vertAlign w:val="superscript"/>
              </w:rPr>
              <w:t>(2)</w:t>
            </w:r>
          </w:p>
        </w:tc>
        <w:tc>
          <w:tcPr>
            <w:tcW w:w="94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1,843</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306</w:t>
            </w:r>
          </w:p>
        </w:tc>
      </w:tr>
      <w:tr>
        <w:trPr>
          <w:trHeight w:val="263"/>
        </w:trPr>
        <w:tc>
          <w:tcPr>
            <w:tcW w:w="806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1,692</w:t>
            </w:r>
          </w:p>
        </w:tc>
        <w:tc>
          <w:tcPr>
            <w:tcW w:w="140" w:type="dxa"/>
            <w:vAlign w:val="bottom"/>
          </w:tcPr>
          <w:p>
            <w:pPr>
              <w:spacing w:after="0"/>
              <w:rPr>
                <w:sz w:val="22"/>
                <w:szCs w:val="22"/>
                <w:color w:val="auto"/>
              </w:rPr>
            </w:pPr>
          </w:p>
        </w:tc>
        <w:tc>
          <w:tcPr>
            <w:tcW w:w="10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463</w:t>
            </w:r>
          </w:p>
        </w:tc>
      </w:tr>
      <w:tr>
        <w:trPr>
          <w:trHeight w:val="21"/>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ind w:left="320" w:hanging="312"/>
        <w:spacing w:after="0" w:line="217"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Fair value of foreign exchange gains and losses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gain on sale on the Company’s IP addresses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an aggregate of individually immaterial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25"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 xml:space="preserve">Subsequent to March 31, 2020, the Company agreed to divest its equity interest in STIN. Please refer to </w:t>
      </w:r>
      <w:r>
        <w:rPr>
          <w:rFonts w:ascii="Arial" w:cs="Arial" w:eastAsia="Arial" w:hAnsi="Arial"/>
          <w:sz w:val="18"/>
          <w:szCs w:val="18"/>
          <w:b w:val="1"/>
          <w:bCs w:val="1"/>
          <w:i w:val="1"/>
          <w:iCs w:val="1"/>
          <w:color w:val="auto"/>
        </w:rPr>
        <w:t>Note 6. Investments in Affiliates and 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of this Quarterly Report on Form 10-Q for further detail.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Dividends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to March 31, 2020, the Company paid in-kind the accrued Preferred Dividends of $8.2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200"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and scalable messaging platforms, products and solutions. These essential technologies create a better way of delivering the transformative mobile experiences that the Company’s customers need to help them stay ahead of the curve in competition, innovation, productivity, growth and operational efficiency.</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currently operates in and markets its solutions and services directly through its sales organizations in North America, Europe and Asia-Pacific.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the Recent Novel Coronavirus (COVID-19)</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disclosure discusses the actions the Company has taken in response to the COVID-19 crisis and the impacts that the situation has had on our business, as well as related known or expected trends.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COVID-19 was identified in China in late 2019 and has since spread throughout the world, including throughout the United States (U.S.). COVID-19 has resulted in authorities implementing numerous preventative measures to contain or mitigate the outbreak of the virus, such as travel bans and restrictions, limitations on business activity, quarantines, and shelter-in-place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restrictions and our responses to them are impacting our customers and their use of our products and services. In addition, governments have imposed a wide variety of consumer protection measures that limit how certain businesses, including TMT companies, can operate their businesses and interact with their customers. The crisis and governmental responses to the crisis have also resulted in a slowdown of global economic activity, which has impacted our customers. As a result, prior trends in our business may not be applicable to our operations during the pendency of the crisis.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impact of COVID-19 for the remainder of the year and beyond will depend significantly on the duration and potential cyclicality of the health crisis and the related public policy actions, additional initiatives we undertake in response to employee, market or regulatory needs or demands, the length and severity of the global economic slowdown, and whether and how our customers change their behaviors over the longer term. As a result, the demand for our products and services, as well as our overall results of operations, may be materially and adversely impacted by the pandemic for the duration of 2020 or longer, and we are unable to predict the duration or degree of such impact with any certainty.</w:t>
      </w:r>
    </w:p>
    <w:p>
      <w:pPr>
        <w:spacing w:after="0" w:line="2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response to COVID-19, we have been executing our business continuity plans and evolving our operations to protect the safety of our employees while continuing to provide critical products and services to our customers. Some of the initiatives the Company has undertaken include:</w:t>
      </w:r>
    </w:p>
    <w:p>
      <w:pPr>
        <w:spacing w:after="0" w:line="17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with our customers to continue to provide our products and services through the pandemic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Enhancing our safety protocols moving the majority of our employees to remote work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Adjusting business operations to address circumstances created by COVID-19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effective governance and internal controls in a remote work environment</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crisis continues, we may revise our approach to these initiatives or take additional actions to meet the needs of our employees, customers and the Company and to continue to provide our products and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majority of our revenues on a per transaction or subscription basis, which is derived from contracts that extend up to 60 months from execution.</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future success of our business depends on the continued growth of Business-to-Business and Business-to-Business-to-Consumer driving customer transactions, and continued expansion of our platforms into the TMT Market globally through Cloud, Messaging, Digital Transformation and Internet of Things (“IoT”) markets. As such, the volume of transactions and our ability to expand our footprint in TMT and globally may result in revenue fluctuations on a quarterly basis.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top five customers accounted for 74.7% and 66.0% of net revenues for the three months ended March 31, 2020 and March 31, 2019, respectively. Contracts with these customers typically run for three to five years. Of these customers, Verizon accounted for more than 10% of our revenues in 2020 and 2019. The loss of Verizon as a customer would have a material negative impact on our company. However, we believe that the costs incurred and subscriber disruption by Verizon to replace Synchronoss’ solutions would be substantial.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the full impact of the COVID-19 pandemic on our business continues to develop, we are actively monitoring the global situation. The extent of the impact of the COVID-19 pandemic on our operational and financial performance will depend on certain developments, including the duration and spread of the outbreak, impact on our customers and our sales cycles, impact on our business operations, impact on our customer, employee or industry events, and effect on our vendors, all of which are uncertain and cannot be predicted. The extent to which the COVID-19 pandemic may impact our business, financial condition or results of operations is uncertain, but may include, without limitation, impacts to our paying user growth as well as disruptions to our business operations as a result of travel restrictions, shutdown of workplaces and potential impacts to our vendors. Additionally, our results of operations and cash flows are subject to fluctuations due to changes in foreign currency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exchange rates relative to U.S. dollars, our reporting currency, as well as changes in interest rates. Volatile market conditions arising from the COVID-19 pandemic have and may continue to negatively impact our results of operations and cash flows, due to a weakening of foreign currencies relative to the U.S. dollar, which may cause our revenues to decline relative to our costs.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Business from our traditional Synchronoss Messaging business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sets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gives TMT Companies the ability to operate new experiences and businesses without heavily investing in development resources.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Synchronoss Advanced Messaging, Cloud and Digital Platforms are poised to bring IoT initiatives to life across MNO and TMT companies creating new use cases that will help stimulate the commercial growth of the robust potential of the IoT market. As new devices and sensors come online in connected cities, Synchronoss, partnering with carriers like AT&amp;T, has technology to unify and harness data from legacy systems; provide analytic insights that fuel automated communications, via our Advanced Messaging Platform between sensors, devices and people; and create a common storage reservoir with our secure Cloud. There is opportunity in many areas of the IoT ecosystem for Synchronoss to support utilizing our Activation, Cloud and Analytics tools.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support our growth, which will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expand our platforms into the converging TMT, MNO, Digital and IoT spaces to enable connected devices to do more things across multiple networks, brands and communities. Our initiatives with AT&amp;T, Verizon, Sprint, British Telecom, Softbank and other CSPs continue to grow both with regard to our current business as well as our new product offerings. We are also exploring additional opportunities through merger and acquisition activities to support our customer, product and geographic diversification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the three months ended March 31,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March 31, 2020 and 2019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36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 vs 2019</w:t>
            </w:r>
          </w:p>
        </w:tc>
      </w:tr>
      <w:tr>
        <w:trPr>
          <w:trHeight w:val="33"/>
        </w:trPr>
        <w:tc>
          <w:tcPr>
            <w:tcW w:w="6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6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4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77,122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(10,983)</w:t>
            </w: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35,471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38,953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(3,482)</w:t>
            </w:r>
          </w:p>
        </w:tc>
      </w:tr>
      <w:tr>
        <w:trPr>
          <w:trHeight w:val="27"/>
        </w:trPr>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19,788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w:t>
            </w: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26,344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29,246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(2,902)</w:t>
            </w:r>
          </w:p>
        </w:tc>
      </w:tr>
      <w:tr>
        <w:trPr>
          <w:trHeight w:val="27"/>
        </w:trPr>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1,029</w:t>
            </w: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11,356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20,143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(8,787)</w:t>
            </w:r>
          </w:p>
        </w:tc>
      </w:tr>
      <w:tr>
        <w:trPr>
          <w:trHeight w:val="27"/>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94,409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108,444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(14,035)</w:t>
            </w:r>
          </w:p>
        </w:tc>
      </w:tr>
      <w:tr>
        <w:trPr>
          <w:trHeight w:val="263"/>
        </w:trPr>
        <w:tc>
          <w:tcPr>
            <w:tcW w:w="624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(17,287)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(20,339)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3,052</w:t>
            </w:r>
          </w:p>
        </w:tc>
      </w:tr>
      <w:tr>
        <w:trPr>
          <w:trHeight w:val="21"/>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Cost of revenues excludes depreciation and amortization which are shown separately.</w:t>
      </w:r>
    </w:p>
    <w:p>
      <w:pPr>
        <w:spacing w:after="0" w:line="234"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decreased $11.0 million to $77.1 million for the three months ended March 31, 2020, compared to the same period in 2019. The decrease</w:t>
      </w:r>
      <w:r>
        <w:rPr>
          <w:rFonts w:ascii="Arial" w:cs="Arial" w:eastAsia="Arial" w:hAnsi="Arial"/>
          <w:sz w:val="16"/>
          <w:szCs w:val="16"/>
          <w:b w:val="1"/>
          <w:bCs w:val="1"/>
          <w:color w:val="auto"/>
        </w:rPr>
        <w:t xml:space="preserve"> </w:t>
      </w:r>
      <w:r>
        <w:rPr>
          <w:rFonts w:ascii="Arial" w:cs="Arial" w:eastAsia="Arial" w:hAnsi="Arial"/>
          <w:sz w:val="16"/>
          <w:szCs w:val="16"/>
          <w:color w:val="auto"/>
        </w:rPr>
        <w:t>in revenue is primarily driven by the expiration of the STIN Cloud Telephony and Support services agreement and the sunset of certain legacy products.</w:t>
      </w:r>
    </w:p>
    <w:p>
      <w:pPr>
        <w:spacing w:after="0" w:line="14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$3.5 million to $35.5 million for the three months ended March 31, 2020, compared to the same period in 2019. The 2020</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cost savings initiatives implemented by the Company. These initiatives resulted in a significant decrease in cost of revenues driven mainly by data center consolidation and operating expense savings.</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increased $0.1 million to $19.8 million for the three months ended March 31, 2020, compared to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2019. Research and development remained relatively flat against the comparable period.</w:t>
      </w:r>
    </w:p>
    <w:p>
      <w:pPr>
        <w:spacing w:after="0" w:line="189"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Selling, general and administrative </w:t>
      </w:r>
      <w:r>
        <w:rPr>
          <w:rFonts w:ascii="Arial" w:cs="Arial" w:eastAsia="Arial" w:hAnsi="Arial"/>
          <w:sz w:val="16"/>
          <w:szCs w:val="16"/>
          <w:color w:val="auto"/>
        </w:rPr>
        <w:t>expense decreased $2.9 million to $26.3 million for the three months ended March 31, 2020, compared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in 2019. The 2020 decrease was primarily driven by a continued effort to streamline external costs related to outside consultants and legal fees.</w:t>
      </w:r>
    </w:p>
    <w:p>
      <w:pPr>
        <w:spacing w:after="0" w:line="14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were $1.5 million and $0.4 million for the three months ended March 31, 2020 and 2019, respectively, which primarily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employment termination costs as a result of the work-force reductions initiated in the current year to reduce operating costs and align our resources with our key strategic priorities.</w:t>
      </w:r>
    </w:p>
    <w:p>
      <w:pPr>
        <w:spacing w:after="0" w:line="2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$8.8 million to $11.4 million for the three months ended March 31, 2020,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2019. The 2020 decrease was primarily attributable to the expiration of amortizable acquired assets in combination with reduced capital expenditures mainly as a result of the data center consolidation efforts, partially offset by the increased amortization of capitalized software.</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The Company recognized approximately $12.4 million and $1.4 million in related income tax benefit during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2020 and 2019, respectively. The effective tax rate was approximately 78.8% for the three months ended March 31, 2020. The effective tax rate was primarily driven by the Company’s ability to recognize certain loss carrybacks as a result of the enactment of the Coronavirus Aid, Relief and Economic Security Act (“CARES Act”) in the first quarter. The Company’s effective tax rate was approximately 6.6% for the three months ended March 31, 2019, which was lower than the U.S. federal statutory rate primarily due to the full valuation allowance recorded in the fourth quarter of 2018 and the tax benefits recorded discretely in the third quarter of 2018 from the expiration of the statute of limitations for uncertain tax positions and the reversal of a deferred tax liability related to a change in foreign tax residency.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March 31, 2020, our principal sources of liquidity have been cash provided by operations and capital from our revolving credit facility. Our cash, cash equivalents, marketable securities and restricted cash balance was $30.9 million at March 31, 2020. We anticipate that our principal uses of cash, cash equivalents, and marketable securities will be to fund the expansion of our business through both organic growth and the expansion of our customer base. Uses of cash will also include technology expansion, capital expenditures, and working capital.</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2020, our non-U.S. subsidiaries held approximately $5.8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1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believe that our existing cash, cash equivalents, marketable securities, credit facility, and our ability to manage working capital and expected positive cash flows generated from operations in combination with continued expense reductions will be sufficient to fund our operations for the next twelve months from the date of filing based on our current business plans. However, as the impact of the COVID-19 pandemic on the economy and our operations evolves, we will continue to assess our liquidity needs. Given the economic uncertainty as a result of the pandemic, we have taken actions to improve our current liquidity position, including, reducing working capital, reducing operating by and substantially reducing discretionary spending. Even with these actions however, an extended period of economic disruption as a result of COVID-19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some of which are outside of our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During the quarter, the Company drew the $10.0 million from our Revolving Credit Facility. For further details, see </w:t>
      </w:r>
      <w:r>
        <w:rPr>
          <w:rFonts w:ascii="Arial" w:cs="Arial" w:eastAsia="Arial" w:hAnsi="Arial"/>
          <w:sz w:val="18"/>
          <w:szCs w:val="18"/>
          <w:b w:val="1"/>
          <w:bCs w:val="1"/>
          <w:i w:val="1"/>
          <w:iCs w:val="1"/>
          <w:color w:val="auto"/>
        </w:rPr>
        <w:t>Note 7. Debt</w:t>
      </w:r>
      <w:r>
        <w:rPr>
          <w:rFonts w:ascii="Arial" w:cs="Arial" w:eastAsia="Arial" w:hAnsi="Arial"/>
          <w:sz w:val="18"/>
          <w:szCs w:val="18"/>
          <w:color w:val="auto"/>
        </w:rPr>
        <w:t xml:space="preserve"> of the Notes to Condensed Consolidated Financial Statements in Item 1 of this Form 10-Q.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in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Preferred Stock</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accordance with the terms of the Share Purchase Agreement dated as of October 17, 2017 (the “PIPE Purchase Agreement”), with Silver Private Holdings I, LLC, an affiliate of Siris (“Silver”), on February 15, 2018, we issued to Silver 185,000 shares of our newly issued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 (i) 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reasonable costs and expenses incurred in connection with the Preferred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March 31, 2020, the Liquidation Value and Redemption Value of the Preferred Shares was $243.1 million.</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2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0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20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distributions thereon. Silver will also have preemptive rights with respect to issuances of securities of Synchronoss in order to maintain its ownership percentage.</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Discussion of Cash Flows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6440" w:type="dxa"/>
            <w:vAlign w:val="bottom"/>
          </w:tcPr>
          <w:p>
            <w:pPr>
              <w:ind w:left="340"/>
              <w:spacing w:after="0"/>
              <w:rPr>
                <w:sz w:val="20"/>
                <w:szCs w:val="20"/>
                <w:color w:val="auto"/>
              </w:rPr>
            </w:pPr>
            <w:r>
              <w:rPr>
                <w:rFonts w:ascii="Arial" w:cs="Arial" w:eastAsia="Arial" w:hAnsi="Arial"/>
                <w:sz w:val="18"/>
                <w:szCs w:val="18"/>
                <w:color w:val="auto"/>
              </w:rPr>
              <w:t>A summary of net cash flows follows (in thousands):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Pr>
          <w:p>
            <w:pPr>
              <w:spacing w:after="0"/>
              <w:rPr>
                <w:sz w:val="23"/>
                <w:szCs w:val="23"/>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7"/>
        </w:trPr>
        <w:tc>
          <w:tcPr>
            <w:tcW w:w="6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2020 vs 2019</w:t>
            </w:r>
          </w:p>
        </w:tc>
      </w:tr>
      <w:tr>
        <w:trPr>
          <w:trHeight w:val="27"/>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4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(15,016)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(9,332)</w:t>
            </w: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(12,421)</w:t>
            </w:r>
          </w:p>
        </w:tc>
      </w:tr>
      <w:tr>
        <w:trPr>
          <w:trHeight w:val="243"/>
        </w:trPr>
        <w:tc>
          <w:tcPr>
            <w:tcW w:w="64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(23,461)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33,457</w:t>
            </w:r>
          </w:p>
        </w:tc>
      </w:tr>
    </w:tbl>
    <w:p>
      <w:pPr>
        <w:spacing w:after="0" w:line="3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207"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Cash flows from operating activities </w:t>
      </w:r>
      <w:r>
        <w:rPr>
          <w:rFonts w:ascii="Arial" w:cs="Arial" w:eastAsia="Arial" w:hAnsi="Arial"/>
          <w:sz w:val="16"/>
          <w:szCs w:val="16"/>
          <w:color w:val="auto"/>
        </w:rPr>
        <w:t>for the three months ended March 31, 2020 was $15.0 million cash used in operating activities,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$5.7 million of cash used in operating activities for the same period in 2019. The increase of cash used by operating activities of $9.3 million was primarily due to favorable changes in cash earnings of $4.9 million in 2020 vs 2019 and an unfavorable change in working capital of $14.3 million.</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Cash flows from investing </w:t>
      </w:r>
      <w:r>
        <w:rPr>
          <w:rFonts w:ascii="Arial" w:cs="Arial" w:eastAsia="Arial" w:hAnsi="Arial"/>
          <w:sz w:val="18"/>
          <w:szCs w:val="18"/>
          <w:color w:val="auto"/>
        </w:rPr>
        <w:t>for the three months ended March 31, 2020 was $2.8 million cash used for investing, as compared to $9.6 million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investing activities during the same period in 2019. The cash used for investing in the current year was primarily related to the purchase of fixed assets and investment in capitalized software offset by the sale of certain IP address assets. The net decrease in cash from investing activities from the prior year mainly related to the net proceeds from the purchases and sales of marketable securities in the prior year that were not present in the current period.</w:t>
      </w:r>
    </w:p>
    <w:p>
      <w:pPr>
        <w:spacing w:after="0" w:line="210"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Cash flows from financing </w:t>
      </w:r>
      <w:r>
        <w:rPr>
          <w:rFonts w:ascii="Arial" w:cs="Arial" w:eastAsia="Arial" w:hAnsi="Arial"/>
          <w:sz w:val="16"/>
          <w:szCs w:val="16"/>
          <w:color w:val="auto"/>
        </w:rPr>
        <w:t>for three months ended March 31, 2020 was $10.0 million of cash provided, as compared to $23.5 million of cash used by</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activities for the same period in 2019. The cash provided from investing activities was attributable to the $10.0 million drawdown from our Revolving Credit Facility in the current quarter. The net change in cash provided from financing activities from the prior year is primarily attributable to the cash provided from the Revolving Credit Facility in the current quarter offset by first quarter repayments for our Convertible Senior Notes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56"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during 2020 and 2019. We do not expect the current rate of inflation to have a material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March 31, 2020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gridSpan w:val="6"/>
          </w:tcPr>
          <w:p>
            <w:pPr>
              <w:jc w:val="right"/>
              <w:ind w:right="50"/>
              <w:spacing w:after="0"/>
              <w:rPr>
                <w:sz w:val="20"/>
                <w:szCs w:val="20"/>
                <w:color w:val="auto"/>
              </w:rPr>
            </w:pPr>
            <w:r>
              <w:rPr>
                <w:rFonts w:ascii="Arial" w:cs="Arial" w:eastAsia="Arial" w:hAnsi="Arial"/>
                <w:sz w:val="16"/>
                <w:szCs w:val="16"/>
                <w:b w:val="1"/>
                <w:bCs w:val="1"/>
                <w:color w:val="auto"/>
                <w:w w:val="92"/>
              </w:rPr>
              <w:t>Payments Due by Period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2021-2023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2024-2025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90,067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35,715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20,163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23,947</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Purchase obligations *</w:t>
            </w:r>
          </w:p>
        </w:tc>
        <w:tc>
          <w:tcPr>
            <w:tcW w:w="3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25,317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5,689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3"/>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125,402</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39,888</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41,404</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20,163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23,947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Amount represents obligations associated with colocation agreements and other customer delivery related purchase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Unrecognized tax positions of $3.5 million at March 31, 2020 are excluded from the table above as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These estimates and assumptions take into account historical and forward looking factors that the Company believes are reasonable, including but not limited to the potential impacts arising from COVID-19 and public and private sector 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20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During the three months ended March 31, 2020, the Company made changes in its accounting policies over Accounting Standards Update No. 2016-13, Financial Instruments-Credit Losses (Topic 326): Measurement of Credit Losses on Financial Instruments. These updates are described in detail in </w:t>
      </w:r>
      <w:r>
        <w:rPr>
          <w:rFonts w:ascii="Arial" w:cs="Arial" w:eastAsia="Arial" w:hAnsi="Arial"/>
          <w:sz w:val="16"/>
          <w:szCs w:val="16"/>
          <w:b w:val="1"/>
          <w:bCs w:val="1"/>
          <w:i w:val="1"/>
          <w:iCs w:val="1"/>
          <w:color w:val="auto"/>
        </w:rPr>
        <w:t>Note</w:t>
      </w:r>
    </w:p>
    <w:p>
      <w:pPr>
        <w:jc w:val="both"/>
        <w:ind w:firstLine="8"/>
        <w:spacing w:after="0" w:line="273" w:lineRule="auto"/>
        <w:tabs>
          <w:tab w:leader="none" w:pos="18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Basis of Presentation and Consolidation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Aside from the adoption of Topic 326, there were no significant changes in our critical accounting policies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estimates discussed in our Form 10-K for the year ended December 31, 2019 during the three months ended March 31, 2020. Please refer to Management’s Discussion and Analysis of Financial Condition and Results of Operations contained in Part II, Item 7 of our Annual Report on Form 10-K for the year ended December 31, 2019 for a more complete discussion of our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b w:val="1"/>
          <w:bCs w:val="1"/>
          <w:i w:val="1"/>
          <w:iCs w:val="1"/>
          <w:color w:val="auto"/>
        </w:rPr>
        <w:t>Note 2. Basis of Presentation and Consolidation</w:t>
      </w:r>
      <w:r>
        <w:rPr>
          <w:rFonts w:ascii="Arial" w:cs="Arial" w:eastAsia="Arial" w:hAnsi="Arial"/>
          <w:sz w:val="18"/>
          <w:szCs w:val="18"/>
          <w:color w:val="auto"/>
        </w:rPr>
        <w:t xml:space="preserve"> included in Part I, Item 1. “Notes to Condensed Consolidated Financial Statements (unaudited)” of this Quarterly Report on Form 10-Q.</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had no off-balance sheet arrangements as of March 31, 2020 and December 31, 2019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March 31, 2020 and December 31, 2019 were invested in liquid money market accounts, certificates of deposit and government securities. All market-risk sensitive instruments were entered into for non-trading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March 31, 2020 would increase interest income by approximately $0.3 million on an annual basis.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March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We completed an implementation of a new enterprise resource planning, or ERP, system during the first quarter of 2020. The ERP system replaced or enhanced certain internal financial, operating and other systems that are critical to our business operations. The ERP implementation affected the processes that constitute our internal control over financial reporting. Management has taken steps to ensure that appropriate controls were designed and implemented as the new ERP system was implemented.</w:t>
      </w:r>
    </w:p>
    <w:p>
      <w:pPr>
        <w:spacing w:after="0" w:line="21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With the exception of the ERP implementation described above, there were no changes in the Company's internal control over financial reporting that occurred during the quarterly period ended March 31, 2020 that have materially affected, or are reasonably likely to materially effect,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discussion of our material pending legal proceedings that could impact our results of operations, financial condition or cash flows see </w:t>
      </w:r>
      <w:r>
        <w:rPr>
          <w:rFonts w:ascii="Arial" w:cs="Arial" w:eastAsia="Arial" w:hAnsi="Arial"/>
          <w:sz w:val="18"/>
          <w:szCs w:val="18"/>
          <w:b w:val="1"/>
          <w:bCs w:val="1"/>
          <w:i w:val="1"/>
          <w:iCs w:val="1"/>
          <w:color w:val="auto"/>
        </w:rPr>
        <w:t>Note 13.</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Commitments, Contingencies and Other </w:t>
      </w:r>
      <w:r>
        <w:rPr>
          <w:rFonts w:ascii="Arial" w:cs="Arial" w:eastAsia="Arial" w:hAnsi="Arial"/>
          <w:sz w:val="18"/>
          <w:szCs w:val="18"/>
          <w:color w:val="auto"/>
        </w:rPr>
        <w:t>included in Part I, Item 1. “Notes to Condensed Consolidated Financial Statements (unaudited)” of this Quarterly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Except as stated below, there have been no material changes to our risk factors as previously disclosed in Part I, Item 1A. included in our Annual Report on Form 10-K for the year ended December 31, 2019. In addition, the impacts of COVID-19 and any worsening of the economic environment may exacerbate the risks described below and in our Annual Report on Form 10-K for the year ended December 31, 2019, any of which could have a material impact on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Public health crises, including the recent novel coronavirus (COVID-19) outbreak, could materially adversely affect our business, financial condition and results of operations. Our business is based on our ability to provide products and services to customers throughout the United States and around the world and the ability of those customers to utilize and pay for those products and services for their businesses. As a result, our business could be materially adversely affected by a crisis, like the COVID-19 outbreak, that significantly impacts our current and potential customers and vendors. In addition, such a crisis could significantly increase the probability or consequences of the risks our business faces in ordinary circumstances, such as risks associated with our supplier and vendor relationships, risks of an economic slowdown, regulatory risks, and the costs and availability of financing. Because the severity, magnitude and duration of the COVID-19 outbreak and its economic consequences are uncertain and rapidly changing, the impact on our business, financial condition and results of operations remains uncertain and difficult to predict. In addition, the ultimate impact of the COVID-19 outbreak on our business, financial condition and results of operations depends on many factors, including those discussed above, that are not within our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ectPr>
          <w:pgSz w:w="11900" w:h="16838" w:orient="portrait"/>
          <w:cols w:equalWidth="0" w:num="1">
            <w:col w:w="11200"/>
          </w:cols>
          <w:pgMar w:left="320" w:top="125" w:right="379" w:bottom="1440" w:gutter="0" w:footer="0" w:header="0"/>
        </w:sect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40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3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3.1</w:t>
      </w:r>
    </w:p>
    <w:p>
      <w:pPr>
        <w:spacing w:after="0" w:line="42" w:lineRule="exact"/>
        <w:rPr>
          <w:sz w:val="20"/>
          <w:szCs w:val="20"/>
          <w:color w:val="auto"/>
        </w:rPr>
      </w:pPr>
    </w:p>
    <w:p>
      <w:pPr>
        <w:ind w:left="780"/>
        <w:spacing w:after="0"/>
        <w:rPr>
          <w:sz w:val="20"/>
          <w:szCs w:val="20"/>
          <w:color w:val="auto"/>
        </w:rPr>
      </w:pPr>
      <w:r>
        <w:rPr>
          <w:rFonts w:ascii="Arial" w:cs="Arial" w:eastAsia="Arial" w:hAnsi="Arial"/>
          <w:sz w:val="14"/>
          <w:szCs w:val="14"/>
          <w:color w:val="auto"/>
        </w:rPr>
        <w:t>3.2</w:t>
      </w:r>
    </w:p>
    <w:p>
      <w:pPr>
        <w:spacing w:after="0" w:line="4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3.3</w:t>
      </w:r>
    </w:p>
    <w:p>
      <w:pPr>
        <w:spacing w:after="0" w:line="16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10.1</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31.1</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31.2</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32.1</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32.2</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101.INS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101.SCH</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101.CAL</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101.DEF</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101.LAB</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101.PRE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351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51905" cy="8890"/>
                    </a:xfrm>
                    <a:prstGeom prst="rect">
                      <a:avLst/>
                    </a:prstGeom>
                    <a:noFill/>
                  </pic:spPr>
                </pic:pic>
              </a:graphicData>
            </a:graphic>
          </wp:anchor>
        </w:drawing>
      </w:r>
    </w:p>
    <w:p>
      <w:pPr>
        <w:spacing w:after="0" w:line="26" w:lineRule="exact"/>
        <w:rPr>
          <w:sz w:val="20"/>
          <w:szCs w:val="20"/>
          <w:color w:val="auto"/>
        </w:rPr>
      </w:pPr>
    </w:p>
    <w:p>
      <w:pPr>
        <w:spacing w:after="0" w:line="150" w:lineRule="exact"/>
        <w:rPr>
          <w:rFonts w:ascii="Arial" w:cs="Arial" w:eastAsia="Arial" w:hAnsi="Arial"/>
          <w:sz w:val="13"/>
          <w:szCs w:val="13"/>
          <w:color w:val="0000FF"/>
        </w:rPr>
      </w:pPr>
      <w:hyperlink r:id="rId63">
        <w:r>
          <w:rPr>
            <w:rFonts w:ascii="Arial" w:cs="Arial" w:eastAsia="Arial" w:hAnsi="Arial"/>
            <w:sz w:val="13"/>
            <w:szCs w:val="13"/>
            <w:u w:val="single" w:color="auto"/>
            <w:color w:val="0000FF"/>
          </w:rPr>
          <w:t>Restated Certificate of Incorporation of the Registrant,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132080)</w:t>
        </w:r>
        <w:r>
          <w:rPr>
            <w:rFonts w:ascii="Arial" w:cs="Arial" w:eastAsia="Arial" w:hAnsi="Arial"/>
            <w:sz w:val="13"/>
            <w:szCs w:val="13"/>
            <w:color w:val="0000FF"/>
          </w:rPr>
          <w:t>.</w:t>
        </w:r>
      </w:hyperlink>
    </w:p>
    <w:p>
      <w:pPr>
        <w:spacing w:after="0" w:line="53" w:lineRule="exact"/>
        <w:rPr>
          <w:sz w:val="20"/>
          <w:szCs w:val="20"/>
          <w:color w:val="auto"/>
        </w:rPr>
      </w:pPr>
    </w:p>
    <w:p>
      <w:pPr>
        <w:spacing w:after="0" w:line="150" w:lineRule="exact"/>
        <w:rPr>
          <w:rFonts w:ascii="Arial" w:cs="Arial" w:eastAsia="Arial" w:hAnsi="Arial"/>
          <w:sz w:val="13"/>
          <w:szCs w:val="13"/>
          <w:color w:val="0000FF"/>
        </w:rPr>
      </w:pPr>
      <w:hyperlink r:id="rId64">
        <w:r>
          <w:rPr>
            <w:rFonts w:ascii="Arial" w:cs="Arial" w:eastAsia="Arial" w:hAnsi="Arial"/>
            <w:sz w:val="13"/>
            <w:szCs w:val="13"/>
            <w:u w:val="single" w:color="auto"/>
            <w:color w:val="0000FF"/>
          </w:rPr>
          <w:t>Amended and Restated Bylaws of the Registrant,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132080)</w:t>
        </w:r>
        <w:r>
          <w:rPr>
            <w:rFonts w:ascii="Arial" w:cs="Arial" w:eastAsia="Arial" w:hAnsi="Arial"/>
            <w:sz w:val="13"/>
            <w:szCs w:val="13"/>
            <w:color w:val="0000FF"/>
          </w:rPr>
          <w:t>.</w:t>
        </w:r>
      </w:hyperlink>
    </w:p>
    <w:p>
      <w:pPr>
        <w:spacing w:after="0" w:line="53" w:lineRule="exact"/>
        <w:rPr>
          <w:sz w:val="20"/>
          <w:szCs w:val="20"/>
          <w:color w:val="auto"/>
        </w:rPr>
      </w:pPr>
    </w:p>
    <w:p>
      <w:pPr>
        <w:spacing w:after="0" w:line="236" w:lineRule="auto"/>
        <w:rPr>
          <w:rFonts w:ascii="Arial" w:cs="Arial" w:eastAsia="Arial" w:hAnsi="Arial"/>
          <w:sz w:val="14"/>
          <w:szCs w:val="14"/>
          <w:u w:val="single" w:color="auto"/>
          <w:color w:val="0000FF"/>
        </w:rPr>
      </w:pPr>
      <w:hyperlink r:id="rId65">
        <w:r>
          <w:rPr>
            <w:rFonts w:ascii="Arial" w:cs="Arial" w:eastAsia="Arial" w:hAnsi="Arial"/>
            <w:sz w:val="14"/>
            <w:szCs w:val="14"/>
            <w:u w:val="single" w:color="auto"/>
            <w:color w:val="0000FF"/>
          </w:rPr>
          <w:t>Amendment No. 1 to Amended and Restated Bylaws of Registration, incorporated by reference to Exhibit 3.2 to the Registrant’s Current Report on Form 8-K filed on</w:t>
        </w:r>
      </w:hyperlink>
      <w:r>
        <w:rPr>
          <w:rFonts w:ascii="Arial" w:cs="Arial" w:eastAsia="Arial" w:hAnsi="Arial"/>
          <w:sz w:val="14"/>
          <w:szCs w:val="14"/>
          <w:u w:val="single" w:color="auto"/>
          <w:color w:val="0000FF"/>
        </w:rPr>
        <w:t xml:space="preserve"> </w:t>
      </w:r>
      <w:hyperlink r:id="rId65">
        <w:r>
          <w:rPr>
            <w:rFonts w:ascii="Arial" w:cs="Arial" w:eastAsia="Arial" w:hAnsi="Arial"/>
            <w:sz w:val="14"/>
            <w:szCs w:val="14"/>
            <w:u w:val="single" w:color="auto"/>
            <w:color w:val="0000FF"/>
          </w:rPr>
          <w:t>February 20, 2018.</w:t>
        </w:r>
      </w:hyperlink>
    </w:p>
    <w:p>
      <w:pPr>
        <w:spacing w:after="0" w:line="7" w:lineRule="exact"/>
        <w:rPr>
          <w:sz w:val="20"/>
          <w:szCs w:val="20"/>
          <w:color w:val="auto"/>
        </w:rPr>
      </w:pPr>
    </w:p>
    <w:p>
      <w:pPr>
        <w:spacing w:after="0"/>
        <w:rPr>
          <w:rFonts w:ascii="Arial" w:cs="Arial" w:eastAsia="Arial" w:hAnsi="Arial"/>
          <w:sz w:val="14"/>
          <w:szCs w:val="14"/>
          <w:u w:val="single" w:color="auto"/>
          <w:color w:val="0000FF"/>
        </w:rPr>
      </w:pPr>
      <w:hyperlink w:anchor="page40">
        <w:r>
          <w:rPr>
            <w:rFonts w:ascii="Arial" w:cs="Arial" w:eastAsia="Arial" w:hAnsi="Arial"/>
            <w:sz w:val="14"/>
            <w:szCs w:val="14"/>
            <w:u w:val="single" w:color="auto"/>
            <w:color w:val="0000FF"/>
          </w:rPr>
          <w:t>Release Agreement dated as of April 22, 2020 between the Registrant and Mary Clark.</w:t>
        </w:r>
      </w:hyperlink>
    </w:p>
    <w:p>
      <w:pPr>
        <w:spacing w:after="0" w:line="42" w:lineRule="exact"/>
        <w:rPr>
          <w:sz w:val="20"/>
          <w:szCs w:val="20"/>
          <w:color w:val="auto"/>
        </w:rPr>
      </w:pPr>
    </w:p>
    <w:p>
      <w:pPr>
        <w:ind w:right="20"/>
        <w:spacing w:after="0" w:line="159" w:lineRule="exact"/>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Certification of Principal Executive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14(a) of the Exchange Act, as adopted pursuant to section 302 of the 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 (filed</w:t>
        </w:r>
      </w:hyperlink>
      <w:r>
        <w:rPr>
          <w:rFonts w:ascii="Arial" w:cs="Arial" w:eastAsia="Arial" w:hAnsi="Arial"/>
          <w:sz w:val="14"/>
          <w:szCs w:val="14"/>
          <w:u w:val="single" w:color="auto"/>
          <w:color w:val="0000FF"/>
        </w:rPr>
        <w:t xml:space="preserve"> </w:t>
      </w:r>
      <w:hyperlink w:anchor="page45">
        <w:r>
          <w:rPr>
            <w:rFonts w:ascii="Arial" w:cs="Arial" w:eastAsia="Arial" w:hAnsi="Arial"/>
            <w:sz w:val="14"/>
            <w:szCs w:val="14"/>
            <w:u w:val="single" w:color="auto"/>
            <w:color w:val="0000FF"/>
          </w:rPr>
          <w:t>herewith)</w:t>
        </w:r>
      </w:hyperlink>
    </w:p>
    <w:p>
      <w:pPr>
        <w:spacing w:after="0" w:line="7" w:lineRule="exact"/>
        <w:rPr>
          <w:sz w:val="20"/>
          <w:szCs w:val="20"/>
          <w:color w:val="auto"/>
        </w:rPr>
      </w:pPr>
    </w:p>
    <w:p>
      <w:pPr>
        <w:ind w:right="20"/>
        <w:spacing w:after="0" w:line="159" w:lineRule="exact"/>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Certification of Principal Financial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14(a) of the Exchange Act, as adopted pursuant to section 302 of the 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 (filed</w:t>
        </w:r>
      </w:hyperlink>
      <w:r>
        <w:rPr>
          <w:rFonts w:ascii="Arial" w:cs="Arial" w:eastAsia="Arial" w:hAnsi="Arial"/>
          <w:sz w:val="14"/>
          <w:szCs w:val="14"/>
          <w:u w:val="single" w:color="auto"/>
          <w:color w:val="0000FF"/>
        </w:rPr>
        <w:t xml:space="preserve"> </w:t>
      </w:r>
      <w:hyperlink w:anchor="page46">
        <w:r>
          <w:rPr>
            <w:rFonts w:ascii="Arial" w:cs="Arial" w:eastAsia="Arial" w:hAnsi="Arial"/>
            <w:sz w:val="14"/>
            <w:szCs w:val="14"/>
            <w:u w:val="single" w:color="auto"/>
            <w:color w:val="0000FF"/>
          </w:rPr>
          <w:t>herewith)</w:t>
        </w:r>
      </w:hyperlink>
    </w:p>
    <w:p>
      <w:pPr>
        <w:spacing w:after="0" w:line="7" w:lineRule="exact"/>
        <w:rPr>
          <w:sz w:val="20"/>
          <w:szCs w:val="20"/>
          <w:color w:val="auto"/>
        </w:rPr>
      </w:pPr>
    </w:p>
    <w:p>
      <w:pPr>
        <w:ind w:right="20"/>
        <w:spacing w:after="0" w:line="159" w:lineRule="exact"/>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Certification of Principal Executive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14(b) of the Exchange Act and section 18 U.S.C. Section 1350, as adopted pursuant to section 906 of the</w:t>
        </w:r>
      </w:hyperlink>
      <w:r>
        <w:rPr>
          <w:rFonts w:ascii="Arial" w:cs="Arial" w:eastAsia="Arial" w:hAnsi="Arial"/>
          <w:sz w:val="14"/>
          <w:szCs w:val="14"/>
          <w:u w:val="single" w:color="auto"/>
          <w:color w:val="0000FF"/>
        </w:rPr>
        <w:t xml:space="preserve"> </w:t>
      </w:r>
      <w:hyperlink w:anchor="page47">
        <w:r>
          <w:rPr>
            <w:rFonts w:ascii="Arial" w:cs="Arial" w:eastAsia="Arial" w:hAnsi="Arial"/>
            <w:sz w:val="14"/>
            <w:szCs w:val="14"/>
            <w:u w:val="single" w:color="auto"/>
            <w:color w:val="0000FF"/>
          </w:rPr>
          <w:t>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 (filed herewith)</w:t>
        </w:r>
      </w:hyperlink>
    </w:p>
    <w:p>
      <w:pPr>
        <w:spacing w:after="0" w:line="7" w:lineRule="exact"/>
        <w:rPr>
          <w:sz w:val="20"/>
          <w:szCs w:val="20"/>
          <w:color w:val="auto"/>
        </w:rPr>
      </w:pPr>
    </w:p>
    <w:p>
      <w:pPr>
        <w:ind w:right="20"/>
        <w:spacing w:after="0" w:line="159" w:lineRule="exact"/>
        <w:rPr>
          <w:rFonts w:ascii="Arial" w:cs="Arial" w:eastAsia="Arial" w:hAnsi="Arial"/>
          <w:sz w:val="14"/>
          <w:szCs w:val="14"/>
          <w:u w:val="single" w:color="auto"/>
          <w:color w:val="0000FF"/>
        </w:rPr>
      </w:pPr>
      <w:hyperlink w:anchor="page48">
        <w:r>
          <w:rPr>
            <w:rFonts w:ascii="Arial" w:cs="Arial" w:eastAsia="Arial" w:hAnsi="Arial"/>
            <w:sz w:val="14"/>
            <w:szCs w:val="14"/>
            <w:u w:val="single" w:color="auto"/>
            <w:color w:val="0000FF"/>
          </w:rPr>
          <w:t>Certification of Principal Financial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14(b) of the Exchange Act and section 18 U.S.C. Section 1350, as adopted pursuant to section 906 of the</w:t>
        </w:r>
      </w:hyperlink>
      <w:r>
        <w:rPr>
          <w:rFonts w:ascii="Arial" w:cs="Arial" w:eastAsia="Arial" w:hAnsi="Arial"/>
          <w:sz w:val="14"/>
          <w:szCs w:val="14"/>
          <w:u w:val="single" w:color="auto"/>
          <w:color w:val="0000FF"/>
        </w:rPr>
        <w:t xml:space="preserve"> </w:t>
      </w:r>
      <w:hyperlink w:anchor="page48">
        <w:r>
          <w:rPr>
            <w:rFonts w:ascii="Arial" w:cs="Arial" w:eastAsia="Arial" w:hAnsi="Arial"/>
            <w:sz w:val="14"/>
            <w:szCs w:val="14"/>
            <w:u w:val="single" w:color="auto"/>
            <w:color w:val="0000FF"/>
          </w:rPr>
          <w:t>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 (filed herewith)</w:t>
        </w:r>
      </w:hyperlink>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XBRL Schema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XBRL Calculation Linkbase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XBRL Labels Linkbase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XBRL Presentation Linkbase Document</w:t>
      </w:r>
    </w:p>
    <w:p>
      <w:pPr>
        <w:spacing w:after="0" w:line="200" w:lineRule="exact"/>
        <w:rPr>
          <w:sz w:val="20"/>
          <w:szCs w:val="20"/>
          <w:color w:val="auto"/>
        </w:rPr>
      </w:pPr>
    </w:p>
    <w:p>
      <w:pPr>
        <w:sectPr>
          <w:pgSz w:w="11900" w:h="16838" w:orient="portrait"/>
          <w:cols w:equalWidth="0" w:num="2">
            <w:col w:w="1080" w:space="140"/>
            <w:col w:w="998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caused this Report to be signed on its behalf by the undersigned, thereunto duly authorized.</w:t>
      </w:r>
    </w:p>
    <w:p>
      <w:pPr>
        <w:spacing w:after="0" w:line="25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31750</wp:posOffset>
            </wp:positionV>
            <wp:extent cx="23571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5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Chief Executive Officer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31750</wp:posOffset>
            </wp:positionV>
            <wp:extent cx="23571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David Clark</w:t>
      </w:r>
    </w:p>
    <w:p>
      <w:pPr>
        <w:spacing w:after="0" w:line="5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Chief Financial Officer</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May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w:t>
      </w: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Release Agreement (the “Agreement”) is dated as of April 22, 2020 by and between Synchronoss Technologies, Inc. (the “Company”) and Mary Clark.</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you are a Tier 1 Executive of the Company and subject to the Tier 1 Executive Plan (the “Executive Plan”),</w:t>
      </w:r>
      <w:r>
        <w:rPr>
          <w:rFonts w:ascii="Arial" w:cs="Arial" w:eastAsia="Arial" w:hAnsi="Arial"/>
          <w:sz w:val="22"/>
          <w:szCs w:val="22"/>
          <w:b w:val="1"/>
          <w:bCs w:val="1"/>
          <w:color w:val="auto"/>
        </w:rPr>
        <w:t xml:space="preserve"> </w:t>
      </w:r>
      <w:r>
        <w:rPr>
          <w:rFonts w:ascii="Arial" w:cs="Arial" w:eastAsia="Arial" w:hAnsi="Arial"/>
          <w:sz w:val="22"/>
          <w:szCs w:val="22"/>
          <w:color w:val="auto"/>
        </w:rPr>
        <w:t>which was communicated to you in writing on or about April 6, 2018; and</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you and the Company have agreed that your employment will be terminated without “Cause” (as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Plan) from your position as Chief Product Officer and CMO, effective as of the Separation Date (as defined below).</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promises and mutual covenants contained herein, the Parties hereby agree</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89" w:lineRule="exact"/>
        <w:rPr>
          <w:sz w:val="20"/>
          <w:szCs w:val="20"/>
          <w:color w:val="auto"/>
        </w:rPr>
      </w:pPr>
    </w:p>
    <w:p>
      <w:pPr>
        <w:jc w:val="both"/>
        <w:ind w:firstLine="8"/>
        <w:spacing w:after="0" w:line="248" w:lineRule="auto"/>
        <w:tabs>
          <w:tab w:leader="none" w:pos="648"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to continue to serve as Chief Product Officer and CMO of the Company until May 1, 2020 (the</w:t>
      </w:r>
      <w:r>
        <w:rPr>
          <w:rFonts w:ascii="Arial" w:cs="Arial" w:eastAsia="Arial" w:hAnsi="Arial"/>
          <w:sz w:val="22"/>
          <w:szCs w:val="22"/>
          <w:b w:val="1"/>
          <w:bCs w:val="1"/>
          <w:color w:val="auto"/>
        </w:rPr>
        <w:t xml:space="preserve"> </w:t>
      </w:r>
      <w:r>
        <w:rPr>
          <w:rFonts w:ascii="Arial" w:cs="Arial" w:eastAsia="Arial" w:hAnsi="Arial"/>
          <w:sz w:val="22"/>
          <w:szCs w:val="22"/>
          <w:color w:val="auto"/>
        </w:rPr>
        <w:t>“Separation Date”). As of the Separation Date, you hereby resign as an officer of the Company and from any position you hold at any of its subsidiaries, affiliates and joint ventures (collectively, the “Affiliates”), to the extent applicable. You confirm and agree that your employment with the Company will be terminated effective as of the Separation Date. To the extent that the Company has not already done so, the Company shall pay to you within seven (7) business days of the Separation Date a lump-sum amount equal to any accrued and unpaid salary.</w:t>
      </w:r>
    </w:p>
    <w:p>
      <w:pPr>
        <w:spacing w:after="0" w:line="186" w:lineRule="exact"/>
        <w:rPr>
          <w:rFonts w:ascii="Arial" w:cs="Arial" w:eastAsia="Arial" w:hAnsi="Arial"/>
          <w:sz w:val="22"/>
          <w:szCs w:val="22"/>
          <w:b w:val="1"/>
          <w:bCs w:val="1"/>
          <w:color w:val="auto"/>
        </w:rPr>
      </w:pPr>
    </w:p>
    <w:p>
      <w:pPr>
        <w:jc w:val="both"/>
        <w:ind w:firstLine="8"/>
        <w:spacing w:after="0" w:line="256" w:lineRule="auto"/>
        <w:tabs>
          <w:tab w:leader="none" w:pos="648"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the execution of this Agreement, the Company agrees to pay you severance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amount of </w:t>
      </w:r>
      <w:r>
        <w:rPr>
          <w:rFonts w:ascii="Arial" w:cs="Arial" w:eastAsia="Arial" w:hAnsi="Arial"/>
          <w:sz w:val="22"/>
          <w:szCs w:val="22"/>
          <w:b w:val="1"/>
          <w:bCs w:val="1"/>
          <w:color w:val="auto"/>
        </w:rPr>
        <w:t>$849,188.00</w:t>
      </w:r>
      <w:r>
        <w:rPr>
          <w:rFonts w:ascii="Arial" w:cs="Arial" w:eastAsia="Arial" w:hAnsi="Arial"/>
          <w:sz w:val="22"/>
          <w:szCs w:val="22"/>
          <w:color w:val="auto"/>
        </w:rPr>
        <w:t>, less all applicable federal and state tax withholdings. Provided you sign and do not revoke this Agreement as set forth in Section 12 below, this severance will be paid to you as follows:</w:t>
      </w:r>
    </w:p>
    <w:p>
      <w:pPr>
        <w:spacing w:after="0" w:line="176" w:lineRule="exact"/>
        <w:rPr>
          <w:rFonts w:ascii="Arial" w:cs="Arial" w:eastAsia="Arial" w:hAnsi="Arial"/>
          <w:sz w:val="22"/>
          <w:szCs w:val="22"/>
          <w:b w:val="1"/>
          <w:bCs w:val="1"/>
          <w:color w:val="auto"/>
        </w:rPr>
      </w:pPr>
    </w:p>
    <w:p>
      <w:pPr>
        <w:jc w:val="both"/>
        <w:ind w:firstLine="1304"/>
        <w:spacing w:after="0" w:line="252" w:lineRule="auto"/>
        <w:tabs>
          <w:tab w:leader="none" w:pos="1941"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Semi-Monthly Payments</w:t>
      </w:r>
      <w:r>
        <w:rPr>
          <w:rFonts w:ascii="Arial" w:cs="Arial" w:eastAsia="Arial" w:hAnsi="Arial"/>
          <w:sz w:val="22"/>
          <w:szCs w:val="22"/>
          <w:color w:val="auto"/>
        </w:rPr>
        <w:t>. The Company agrees to pay you</w:t>
      </w:r>
      <w:r>
        <w:rPr>
          <w:rFonts w:ascii="Arial" w:cs="Arial" w:eastAsia="Arial" w:hAnsi="Arial"/>
          <w:sz w:val="22"/>
          <w:szCs w:val="22"/>
          <w:b w:val="1"/>
          <w:bCs w:val="1"/>
          <w:color w:val="auto"/>
        </w:rPr>
        <w:t xml:space="preserve"> $540,750.00</w:t>
      </w:r>
      <w:r>
        <w:rPr>
          <w:rFonts w:ascii="Arial" w:cs="Arial" w:eastAsia="Arial" w:hAnsi="Arial"/>
          <w:sz w:val="22"/>
          <w:szCs w:val="22"/>
          <w:color w:val="auto"/>
        </w:rPr>
        <w:t>, less all applicable federal and</w:t>
      </w:r>
      <w:r>
        <w:rPr>
          <w:rFonts w:ascii="Arial" w:cs="Arial" w:eastAsia="Arial" w:hAnsi="Arial"/>
          <w:sz w:val="22"/>
          <w:szCs w:val="22"/>
          <w:b w:val="1"/>
          <w:bCs w:val="1"/>
          <w:color w:val="auto"/>
        </w:rPr>
        <w:t xml:space="preserve"> </w:t>
      </w:r>
      <w:r>
        <w:rPr>
          <w:rFonts w:ascii="Arial" w:cs="Arial" w:eastAsia="Arial" w:hAnsi="Arial"/>
          <w:sz w:val="22"/>
          <w:szCs w:val="22"/>
          <w:color w:val="auto"/>
        </w:rPr>
        <w:t>state withholdings, in equal semi-monthly payments, commencing on the May 15, 2020 pay date or the first pay date immediately following the Effective Date of this Agreement, whichever occurs later in time, and continuing for thirty-five (35) successive pay dates thereafter.</w:t>
      </w:r>
    </w:p>
    <w:p>
      <w:pPr>
        <w:spacing w:after="0" w:line="179" w:lineRule="exact"/>
        <w:rPr>
          <w:rFonts w:ascii="Arial" w:cs="Arial" w:eastAsia="Arial" w:hAnsi="Arial"/>
          <w:sz w:val="22"/>
          <w:szCs w:val="22"/>
          <w:color w:val="auto"/>
        </w:rPr>
      </w:pPr>
    </w:p>
    <w:p>
      <w:pPr>
        <w:ind w:right="20" w:firstLine="1304"/>
        <w:spacing w:after="0" w:line="269" w:lineRule="auto"/>
        <w:tabs>
          <w:tab w:leader="none" w:pos="1939"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Lump Sum Payment</w:t>
      </w:r>
      <w:r>
        <w:rPr>
          <w:rFonts w:ascii="Arial" w:cs="Arial" w:eastAsia="Arial" w:hAnsi="Arial"/>
          <w:sz w:val="22"/>
          <w:szCs w:val="22"/>
          <w:color w:val="auto"/>
        </w:rPr>
        <w:t>. In addition to the foregoing, the Company agrees to pay you</w:t>
      </w:r>
      <w:r>
        <w:rPr>
          <w:rFonts w:ascii="Arial" w:cs="Arial" w:eastAsia="Arial" w:hAnsi="Arial"/>
          <w:sz w:val="22"/>
          <w:szCs w:val="22"/>
          <w:b w:val="1"/>
          <w:bCs w:val="1"/>
          <w:color w:val="auto"/>
        </w:rPr>
        <w:t xml:space="preserve"> $308,438.00</w:t>
      </w:r>
      <w:r>
        <w:rPr>
          <w:rFonts w:ascii="Arial" w:cs="Arial" w:eastAsia="Arial" w:hAnsi="Arial"/>
          <w:sz w:val="22"/>
          <w:szCs w:val="22"/>
          <w:color w:val="auto"/>
        </w:rPr>
        <w:t>, less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federal and state withholdings, in a lump sum payment on March 15, 2021.</w:t>
      </w:r>
    </w:p>
    <w:p>
      <w:pPr>
        <w:spacing w:after="0" w:line="160" w:lineRule="exact"/>
        <w:rPr>
          <w:rFonts w:ascii="Arial" w:cs="Arial" w:eastAsia="Arial" w:hAnsi="Arial"/>
          <w:sz w:val="22"/>
          <w:szCs w:val="22"/>
          <w:color w:val="auto"/>
        </w:rPr>
      </w:pPr>
    </w:p>
    <w:p>
      <w:pPr>
        <w:jc w:val="both"/>
        <w:ind w:firstLine="8"/>
        <w:spacing w:after="0" w:line="233" w:lineRule="auto"/>
        <w:tabs>
          <w:tab w:leader="none" w:pos="648"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Your current group health insurance coverage will continue through May 31, 2020. No later than the 7</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day following the Effective Date of this Agreement, the Company will pay you a lump sum payment equal to </w:t>
      </w:r>
      <w:r>
        <w:rPr>
          <w:rFonts w:ascii="Arial" w:cs="Arial" w:eastAsia="Arial" w:hAnsi="Arial"/>
          <w:sz w:val="22"/>
          <w:szCs w:val="22"/>
          <w:b w:val="1"/>
          <w:bCs w:val="1"/>
          <w:color w:val="auto"/>
        </w:rPr>
        <w:t>$11,937.00</w:t>
      </w:r>
      <w:r>
        <w:rPr>
          <w:rFonts w:ascii="Arial" w:cs="Arial" w:eastAsia="Arial" w:hAnsi="Arial"/>
          <w:sz w:val="22"/>
          <w:szCs w:val="22"/>
          <w:color w:val="auto"/>
        </w:rPr>
        <w:t>, representing the employer portion of your health insurance premiums for a period of 12 months, which shall be reported as wages for purposes of Federal income tax.</w:t>
      </w:r>
    </w:p>
    <w:p>
      <w:pPr>
        <w:sectPr>
          <w:pgSz w:w="11900" w:h="16838" w:orient="portrait"/>
          <w:cols w:equalWidth="0" w:num="1">
            <w:col w:w="11240"/>
          </w:cols>
          <w:pgMar w:left="320" w:top="126" w:right="339" w:bottom="1440" w:gutter="0" w:footer="0" w:header="0"/>
        </w:sectPr>
      </w:pPr>
    </w:p>
    <w:bookmarkStart w:id="40" w:name="page41"/>
    <w:bookmarkEnd w:id="40"/>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 of Claims.</w:t>
      </w:r>
    </w:p>
    <w:p>
      <w:pPr>
        <w:spacing w:after="0" w:line="225" w:lineRule="exact"/>
        <w:rPr>
          <w:rFonts w:ascii="Arial" w:cs="Arial" w:eastAsia="Arial" w:hAnsi="Arial"/>
          <w:sz w:val="22"/>
          <w:szCs w:val="22"/>
          <w:b w:val="1"/>
          <w:bCs w:val="1"/>
          <w:color w:val="auto"/>
        </w:rPr>
      </w:pPr>
    </w:p>
    <w:p>
      <w:pPr>
        <w:jc w:val="both"/>
        <w:ind w:firstLine="1304"/>
        <w:spacing w:after="0" w:line="286" w:lineRule="auto"/>
        <w:tabs>
          <w:tab w:leader="none" w:pos="1941" w:val="left"/>
        </w:tabs>
        <w:numPr>
          <w:ilvl w:val="1"/>
          <w:numId w:val="14"/>
        </w:numPr>
        <w:rPr>
          <w:rFonts w:ascii="Arial" w:cs="Arial" w:eastAsia="Arial" w:hAnsi="Arial"/>
          <w:sz w:val="19"/>
          <w:szCs w:val="19"/>
          <w:color w:val="auto"/>
        </w:rPr>
      </w:pPr>
      <w:r>
        <w:rPr>
          <w:rFonts w:ascii="Arial" w:cs="Arial" w:eastAsia="Arial" w:hAnsi="Arial"/>
          <w:sz w:val="19"/>
          <w:szCs w:val="19"/>
          <w:color w:val="auto"/>
        </w:rPr>
        <w:t>You voluntarily and irrevocably release and discharge the Company, each related or affiliated entity, employee benefit plans, and the predecessors, successors, and assigns of each of them, and each of their respective current and former officers, directors, shareholders, employees, and agents (any and all of which are referred to as “Releasees”) generally from all charges, complaints, claims, promises, agreements, causes of action, damages, and debts that relate in any manner to your employment with or services for the Company, known or unknown (“Claims”), which you have, claim to have, ever had, or ever claimed to have had against any of the Releasees through the date on which you execute this Agreement. This general release of Claims includes, without implication of limitation, all Claims related to the compensation provided to you by the Company, your decision to resign from your employment, your termination of employment with the Company, your resignation from directorships, offices and other positions with the Company, or your activities on behalf of the Company, including, without implication of limitation, any Claims of wrongful discharge, breach of contract, breach of an implied covenant of good faith and fair dealing, tortious interference with advantageous relations, any intentional or negligent misrepresentation, and unlawful discrimination or deprivation of rights under the common law or any statute or constitutional provision (including, without implication of limitation, the Employee Retirement Income Security Act, Title VII of the Civil Rights Act of 1964, the Age Discrimination in Employment Act and the Americans with Disabilities Act. You also waive any Claim for reinstatement, damages of any nature, severance pay, attorney’s fees, or costs.</w:t>
      </w:r>
    </w:p>
    <w:p>
      <w:pPr>
        <w:spacing w:after="0" w:line="158" w:lineRule="exact"/>
        <w:rPr>
          <w:rFonts w:ascii="Arial" w:cs="Arial" w:eastAsia="Arial" w:hAnsi="Arial"/>
          <w:sz w:val="19"/>
          <w:szCs w:val="19"/>
          <w:color w:val="auto"/>
        </w:rPr>
      </w:pPr>
    </w:p>
    <w:p>
      <w:pPr>
        <w:jc w:val="both"/>
        <w:ind w:firstLine="1304"/>
        <w:spacing w:after="0" w:line="288" w:lineRule="auto"/>
        <w:tabs>
          <w:tab w:leader="none" w:pos="1939" w:val="left"/>
        </w:tabs>
        <w:numPr>
          <w:ilvl w:val="1"/>
          <w:numId w:val="14"/>
        </w:numPr>
        <w:rPr>
          <w:rFonts w:ascii="Arial" w:cs="Arial" w:eastAsia="Arial" w:hAnsi="Arial"/>
          <w:sz w:val="19"/>
          <w:szCs w:val="19"/>
          <w:color w:val="auto"/>
        </w:rPr>
      </w:pPr>
      <w:r>
        <w:rPr>
          <w:rFonts w:ascii="Arial" w:cs="Arial" w:eastAsia="Arial" w:hAnsi="Arial"/>
          <w:sz w:val="19"/>
          <w:szCs w:val="19"/>
          <w:color w:val="auto"/>
        </w:rPr>
        <w:t>You agree that you will not hereafter pursue any Claim against any Releasee, by filing a lawsuit in any local, state or federal court for or on account of anything which has occurred up to the present time as a result of your previous employment and you shall not seek reinstatement, damages of any nature, severance pay, attorney’s fees, or costs, provided, however, that nothing in this general release shall be construed to include a release of Claims that (i) arise from the Company’s obligations under this Agreement, the Executive Plan, any equity award/grant agreements (of whatever name or kind), and any shareholder agreements between you and the Company, (ii) relate to your status as a shareholder in the Company, (iii) relate to Section 1(d) of the Executive Plan, (iv) relate to the Company’s obligation to defend and indemnify you under the Company’s certificate of incorporation and by-laws, Delaware law and any applicable directors and officers liability insurance policy, and (v) cannot be released as a matter of law. You represent you have not assigned to any third party and you have not filed with any agency or court any Claim released by this Agreement.</w:t>
      </w:r>
    </w:p>
    <w:p>
      <w:pPr>
        <w:spacing w:after="0" w:line="153" w:lineRule="exact"/>
        <w:rPr>
          <w:rFonts w:ascii="Arial" w:cs="Arial" w:eastAsia="Arial" w:hAnsi="Arial"/>
          <w:sz w:val="19"/>
          <w:szCs w:val="19"/>
          <w:color w:val="auto"/>
        </w:rPr>
      </w:pPr>
    </w:p>
    <w:p>
      <w:pPr>
        <w:jc w:val="both"/>
        <w:ind w:firstLine="8"/>
        <w:spacing w:after="0" w:line="262" w:lineRule="auto"/>
        <w:tabs>
          <w:tab w:leader="none" w:pos="648"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Exceptions.</w:t>
      </w:r>
      <w:r>
        <w:rPr>
          <w:rFonts w:ascii="Arial" w:cs="Arial" w:eastAsia="Arial" w:hAnsi="Arial"/>
          <w:sz w:val="21"/>
          <w:szCs w:val="21"/>
          <w:b w:val="1"/>
          <w:bCs w:val="1"/>
          <w:color w:val="auto"/>
        </w:rPr>
        <w:t xml:space="preserve"> </w:t>
      </w:r>
      <w:r>
        <w:rPr>
          <w:rFonts w:ascii="Arial" w:cs="Arial" w:eastAsia="Arial" w:hAnsi="Arial"/>
          <w:sz w:val="21"/>
          <w:szCs w:val="21"/>
          <w:color w:val="auto"/>
        </w:rPr>
        <w:t>You are not releasing any claim that cannot be waived under applicable state or federal law, and you are not</w:t>
      </w:r>
      <w:r>
        <w:rPr>
          <w:rFonts w:ascii="Arial" w:cs="Arial" w:eastAsia="Arial" w:hAnsi="Arial"/>
          <w:sz w:val="21"/>
          <w:szCs w:val="21"/>
          <w:b w:val="1"/>
          <w:bCs w:val="1"/>
          <w:color w:val="auto"/>
        </w:rPr>
        <w:t xml:space="preserve"> </w:t>
      </w:r>
      <w:r>
        <w:rPr>
          <w:rFonts w:ascii="Arial" w:cs="Arial" w:eastAsia="Arial" w:hAnsi="Arial"/>
          <w:sz w:val="21"/>
          <w:szCs w:val="21"/>
          <w:color w:val="auto"/>
        </w:rPr>
        <w:t>releasing any rights that you have to be indemnified (including any right to reimbursement of expenses) arising under applicable law, the certificate of incorporation or by-laws (or similar constituent documents of the Company), any indemnification agreement between you and the Company, or any directors’ and officers’ liability insurance policy of the Company. You understand that nothing contained in this Agreement limits your ability to file a charge or complaint with the Equal Employment Opportunity Commission, the Department of Labor, the National Labor Relations Board,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21"/>
          <w:szCs w:val="21"/>
          <w:color w:val="auto"/>
        </w:rPr>
        <w:t>Occupational Safety and Health Administration, the Securities and Exchange Commission or any other federal, state or local governmental agency or commission (“Government Agencies”). Notwithstanding any provision in this Agreement or any other agreement between you and the Company, you may communicate with any Government Agencies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Agencies. However, you understand and agree that you shall not be entitled to, and shall not seek nor permit anyone to seek on your behalf, any personal, equitable or monetary relief for any claims or causes of action released by you in this Agreement, to the fullest extent permitted by law.</w:t>
      </w:r>
    </w:p>
    <w:p>
      <w:pPr>
        <w:spacing w:after="0" w:line="177" w:lineRule="exact"/>
        <w:rPr>
          <w:sz w:val="20"/>
          <w:szCs w:val="20"/>
          <w:color w:val="auto"/>
        </w:rPr>
      </w:pPr>
    </w:p>
    <w:p>
      <w:pPr>
        <w:jc w:val="both"/>
        <w:ind w:firstLine="8"/>
        <w:spacing w:after="0" w:line="287" w:lineRule="auto"/>
        <w:tabs>
          <w:tab w:leader="none" w:pos="648"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Proprietary Information/Confidentiality.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and acknowledge your ongoing covenants under the Proprietary</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and Inventions Agreement you executed in connection with your employment. You agree that you will not discuss your employment by the Company or circumstances of your departure with any non-governmental entity or person (other than information that is publicly available in connection with the Company’s filings with the Securities and Exchange Commission) unless (i) required to do so by a court of law, by any governmental agency having supervisory authority over the business of the Company or by any administrative or legislative body (including a committee thereof) with jurisdiction to order you to divulge, disclose or make accessible such Confidential Information; provided that you shall give prompt written notice to the Company of such requirement, disclose no more information than is so required, and reasonably cooperate with any attempts by the Company to obtain a protective order or similar treatment and (ii) to your spouse, attorney and/or personal tax and financial advisors as reasonably necessary or appropriate to assist in your tax, financial and other personal planning (each an “Exempt Person”), provided, however, that any disclosure or use of Confidential Information by an Exempt Person shall be deemed to be a breach of this Section 6 by you. In the event this Section 6 is breached by you at any time, then the Company shall have the right to terminate this Agreement and the parties agree that in such event no payments shall be paid to you under this Agreement including but not limited to Section 2 or 3.</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jc w:val="both"/>
        <w:ind w:firstLine="8"/>
        <w:spacing w:after="0" w:line="295" w:lineRule="auto"/>
        <w:tabs>
          <w:tab w:leader="none" w:pos="648"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Return of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All documents, records, material and all copies of any of the foregoing pertaining to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and all software, equipment, and other supplies, whether or not pertaining to confidential information, that have come into your possession or been produced by you in connection with your employment or performance of the (“Property”) have been and remain the sole property of the Company and you confirm that you have returned to the Company all Property. In no event should this provision be construed to require you to return to the Company any document or other materials concerning your remuneration and benefits during your employment with the Company.</w:t>
      </w:r>
    </w:p>
    <w:p>
      <w:pPr>
        <w:spacing w:after="0" w:line="143" w:lineRule="exact"/>
        <w:rPr>
          <w:rFonts w:ascii="Arial" w:cs="Arial" w:eastAsia="Arial" w:hAnsi="Arial"/>
          <w:sz w:val="19"/>
          <w:szCs w:val="19"/>
          <w:b w:val="1"/>
          <w:bCs w:val="1"/>
          <w:color w:val="auto"/>
        </w:rPr>
      </w:pPr>
    </w:p>
    <w:p>
      <w:pPr>
        <w:jc w:val="both"/>
        <w:ind w:firstLine="8"/>
        <w:spacing w:after="0" w:line="249" w:lineRule="auto"/>
        <w:tabs>
          <w:tab w:leader="none" w:pos="648"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Litigation Cooperation.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to fully cooperate with the Company in the defense or prosecution of any claims or</w:t>
      </w:r>
      <w:r>
        <w:rPr>
          <w:rFonts w:ascii="Arial" w:cs="Arial" w:eastAsia="Arial" w:hAnsi="Arial"/>
          <w:sz w:val="22"/>
          <w:szCs w:val="22"/>
          <w:b w:val="1"/>
          <w:bCs w:val="1"/>
          <w:color w:val="auto"/>
        </w:rPr>
        <w:t xml:space="preserve"> </w:t>
      </w:r>
      <w:r>
        <w:rPr>
          <w:rFonts w:ascii="Arial" w:cs="Arial" w:eastAsia="Arial" w:hAnsi="Arial"/>
          <w:sz w:val="22"/>
          <w:szCs w:val="22"/>
          <w:color w:val="auto"/>
        </w:rPr>
        <w:t>actions which already have been brought or which may be brought in the future against or on behalf of the Company which relate to events or occurrences that you were involved in or which you gained knowledge of during your employment with the Company. Your cooperation in connection with such claims or actions shall include, without implication of limitation, being available to meet with counsel to prepare for discovery or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42" w:name="page43"/>
    <w:bookmarkEnd w:id="42"/>
    <w:p>
      <w:pPr>
        <w:jc w:val="both"/>
        <w:spacing w:after="0" w:line="253" w:lineRule="auto"/>
        <w:rPr>
          <w:sz w:val="20"/>
          <w:szCs w:val="20"/>
          <w:color w:val="auto"/>
        </w:rPr>
      </w:pPr>
      <w:r>
        <w:rPr>
          <w:rFonts w:ascii="Arial" w:cs="Arial" w:eastAsia="Arial" w:hAnsi="Arial"/>
          <w:sz w:val="22"/>
          <w:szCs w:val="22"/>
          <w:color w:val="auto"/>
        </w:rPr>
        <w:t>and to testify truthfully as a witness when reasonably requested by the Company, at reasonable times. You agree that you will not voluntarily disclose any information to any non-governmental person or party that is adverse to the Company and that you will maintain the confidences and privileges of the Company.</w:t>
      </w:r>
    </w:p>
    <w:p>
      <w:pPr>
        <w:spacing w:after="0" w:line="179" w:lineRule="exact"/>
        <w:rPr>
          <w:sz w:val="20"/>
          <w:szCs w:val="20"/>
          <w:color w:val="auto"/>
        </w:rPr>
      </w:pPr>
    </w:p>
    <w:p>
      <w:pPr>
        <w:jc w:val="both"/>
        <w:ind w:firstLine="8"/>
        <w:spacing w:after="0" w:line="252" w:lineRule="auto"/>
        <w:tabs>
          <w:tab w:leader="none" w:pos="648"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Protective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You acknowledge and affirm the ongoing validity of the protective covenants set forth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6 of the Executive Plan which covenants are incorporated herein by this reference. You acknowledge and affirm the Company’s right to seek injunctive relief as provided in Section 6 of the Executive Plan to restrain any violations under Section 6 of the Executive Plan.</w:t>
      </w:r>
    </w:p>
    <w:p>
      <w:pPr>
        <w:spacing w:after="0" w:line="179" w:lineRule="exact"/>
        <w:rPr>
          <w:rFonts w:ascii="Arial" w:cs="Arial" w:eastAsia="Arial" w:hAnsi="Arial"/>
          <w:sz w:val="22"/>
          <w:szCs w:val="22"/>
          <w:b w:val="1"/>
          <w:bCs w:val="1"/>
          <w:color w:val="auto"/>
        </w:rPr>
      </w:pPr>
    </w:p>
    <w:p>
      <w:pPr>
        <w:jc w:val="both"/>
        <w:ind w:firstLine="8"/>
        <w:spacing w:after="0" w:line="249" w:lineRule="auto"/>
        <w:tabs>
          <w:tab w:leader="none" w:pos="648"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not to make any disparaging statements concerning the Company or any of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or current or former officers, directors, shareholders, employees or agents. The Company shall not, and shall cause its officers, directors, and Investor Relations personnel not to, (a) make any disparaging statements concerning you or your performance as an executive officer of the Company, and/or (b) take any action or make any statement, orally or in writing, which disparages or criticizes you or that would harm your reputation.</w:t>
      </w:r>
    </w:p>
    <w:p>
      <w:pPr>
        <w:spacing w:after="0" w:line="186" w:lineRule="exact"/>
        <w:rPr>
          <w:rFonts w:ascii="Arial" w:cs="Arial" w:eastAsia="Arial" w:hAnsi="Arial"/>
          <w:sz w:val="22"/>
          <w:szCs w:val="22"/>
          <w:b w:val="1"/>
          <w:bCs w:val="1"/>
          <w:color w:val="auto"/>
        </w:rPr>
      </w:pPr>
    </w:p>
    <w:p>
      <w:pPr>
        <w:jc w:val="both"/>
        <w:ind w:firstLine="8"/>
        <w:spacing w:after="0" w:line="293" w:lineRule="auto"/>
        <w:tabs>
          <w:tab w:leader="none" w:pos="636"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 Acknowledgments and Other Terms</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advised to consult with an attorney before signing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This Agreement and the Executive Plan set forth the entire agreement between you and the Company, and all previous agreements, or promises between you and the Company relating to the subject matter of this Agreement and the Executive Plan are superseded, null, and void, with the exception of any equity grant/award agreements (of whatever name or kind), shareholder agreements, and indemnification agreements between you and the Company, the terms of which remain in full force and effect; provided that nothing in this Agreement shall supersede Section 5(c) of the Executive Plan in the event that a Change in Control (as defined in the Executive Plan) of the Company occurs within 120 days following the Separation Date.</w:t>
      </w:r>
    </w:p>
    <w:p>
      <w:pPr>
        <w:spacing w:after="0" w:line="144" w:lineRule="exact"/>
        <w:rPr>
          <w:rFonts w:ascii="Arial" w:cs="Arial" w:eastAsia="Arial" w:hAnsi="Arial"/>
          <w:sz w:val="19"/>
          <w:szCs w:val="19"/>
          <w:b w:val="1"/>
          <w:bCs w:val="1"/>
          <w:color w:val="auto"/>
        </w:rPr>
      </w:pPr>
    </w:p>
    <w:p>
      <w:pPr>
        <w:jc w:val="both"/>
        <w:ind w:firstLine="8"/>
        <w:spacing w:after="0" w:line="289" w:lineRule="auto"/>
        <w:tabs>
          <w:tab w:leader="none" w:pos="648"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Consideration/Revocation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acknowledge that you have been given the opportunity, if you so desired, to consider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for 21 days before executing it. If not signed by you and returned to me so that the Company’s general counsel receives it by close of business on the day next following the foregoing period, this Agreement will be invalid. In addition, if you breach any of the conditions of the Agreement within the 21-day period, the offer of this Agreement will be withdrawn and your execution of the Agreement will not be valid. In the event that you execute and return this Agreement in less than the 21-day period you have been provided, you acknowledge that such decision was entirely voluntary and that you had the opportunity to consider this letter agreement for the entire period. The Company acknowledges that for a period of seven days from the date of the execution of this Agreement, you shall retain the right to revoke this Agreement by written notice that the Company’s General Counsel actually receive before the end of such period, and that this Agreement shall not become effective or enforceable until the later of the expiration of such revocation period or the Separation Date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3" w:name="page44"/>
    <w:bookmarkEnd w:id="43"/>
    <w:p>
      <w:pPr>
        <w:ind w:firstLine="8"/>
        <w:spacing w:after="0" w:line="293" w:lineRule="auto"/>
        <w:tabs>
          <w:tab w:leader="none" w:pos="648"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counterparts, and each counterpart will have the same force and effect</w:t>
      </w:r>
      <w:r>
        <w:rPr>
          <w:rFonts w:ascii="Arial" w:cs="Arial" w:eastAsia="Arial" w:hAnsi="Arial"/>
          <w:sz w:val="21"/>
          <w:szCs w:val="21"/>
          <w:b w:val="1"/>
          <w:bCs w:val="1"/>
          <w:color w:val="auto"/>
        </w:rPr>
        <w:t xml:space="preserve"> </w:t>
      </w:r>
      <w:r>
        <w:rPr>
          <w:rFonts w:ascii="Arial" w:cs="Arial" w:eastAsia="Arial" w:hAnsi="Arial"/>
          <w:sz w:val="21"/>
          <w:szCs w:val="21"/>
          <w:color w:val="auto"/>
        </w:rPr>
        <w:t>as an original and will constitute an effective, binding agreement on the part of each of the undersigned.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each of the parties has executed this Agreement, in the case of the Company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officers, as of the day and year first above written.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SYNCHRONOSS TECHNOLOGIES, INC.</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 /s/ Glenn Lurie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CEO</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Mary Clark</w:t>
      </w:r>
      <w:r>
        <w:rPr>
          <w:rFonts w:ascii="Arial" w:cs="Arial" w:eastAsia="Arial" w:hAnsi="Arial"/>
          <w:sz w:val="22"/>
          <w:szCs w:val="22"/>
          <w:color w:val="auto"/>
        </w:rPr>
        <w:t xml:space="preserve">  April 22,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Mary Clark  </w:t>
      </w: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Glenn Lurie</w:t>
      </w:r>
      <w:r>
        <w:rPr>
          <w:rFonts w:ascii="Arial" w:cs="Arial" w:eastAsia="Arial" w:hAnsi="Arial"/>
          <w:sz w:val="18"/>
          <w:szCs w:val="18"/>
          <w:color w:val="auto"/>
        </w:rPr>
        <w:t>, certify that:</w:t>
      </w:r>
    </w:p>
    <w:p>
      <w:pPr>
        <w:spacing w:after="0" w:line="22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2020;</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2020</w:t>
      </w:r>
    </w:p>
    <w:p>
      <w:pPr>
        <w:spacing w:after="0" w:line="36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31750</wp:posOffset>
            </wp:positionV>
            <wp:extent cx="36690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Clark,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2020;</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2020</w:t>
      </w:r>
    </w:p>
    <w:p>
      <w:pPr>
        <w:spacing w:after="0" w:line="36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32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53"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March 31, 2020, as filed with the Securities and Exchange Commission on the date hereof (the “Report”), I, </w:t>
      </w:r>
      <w:r>
        <w:rPr>
          <w:rFonts w:ascii="Arial" w:cs="Arial" w:eastAsia="Arial" w:hAnsi="Arial"/>
          <w:sz w:val="16"/>
          <w:szCs w:val="16"/>
          <w:b w:val="1"/>
          <w:bCs w:val="1"/>
          <w:color w:val="auto"/>
        </w:rPr>
        <w:t>Glenn Lurie</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08"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2020</w:t>
      </w:r>
    </w:p>
    <w:p>
      <w:pPr>
        <w:spacing w:after="0" w:line="200" w:lineRule="exact"/>
        <w:rPr>
          <w:sz w:val="20"/>
          <w:szCs w:val="20"/>
          <w:color w:val="auto"/>
        </w:rPr>
      </w:pPr>
    </w:p>
    <w:p>
      <w:pPr>
        <w:spacing w:after="0" w:line="26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686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Chief Executive Officer</w:t>
      </w:r>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March 31, 2020,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108"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2020</w:t>
      </w:r>
    </w:p>
    <w:p>
      <w:pPr>
        <w:spacing w:after="0" w:line="200" w:lineRule="exact"/>
        <w:rPr>
          <w:sz w:val="20"/>
          <w:szCs w:val="20"/>
          <w:color w:val="auto"/>
        </w:rPr>
      </w:pPr>
    </w:p>
    <w:p>
      <w:pPr>
        <w:spacing w:after="0" w:line="26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1286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1"/>
    </w:lvl>
    <w:lvl w:ilvl="1">
      <w:lvlJc w:val="left"/>
      <w:lvlText w:val="(%2)"/>
      <w:numFmt w:val="lowerLetter"/>
      <w:start w:val="1"/>
    </w:lvl>
  </w:abstractNum>
  <w:abstractNum w:abstractNumId="13">
    <w:nsid w:val="519B500D"/>
    <w:multiLevelType w:val="hybridMultilevel"/>
    <w:lvl w:ilvl="0">
      <w:lvlJc w:val="left"/>
      <w:lvlText w:val="%1."/>
      <w:numFmt w:val="decimal"/>
      <w:start w:val="4"/>
    </w:lvl>
    <w:lvl w:ilvl="1">
      <w:lvlJc w:val="left"/>
      <w:lvlText w:val="(%2)"/>
      <w:numFmt w:val="lowerLetter"/>
      <w:start w:val="1"/>
    </w:lvl>
  </w:abstractNum>
  <w:abstractNum w:abstractNumId="14">
    <w:nsid w:val="431BD7B7"/>
    <w:multiLevelType w:val="hybridMultilevel"/>
    <w:lvl w:ilvl="0">
      <w:lvlJc w:val="left"/>
      <w:lvlText w:val="%1."/>
      <w:numFmt w:val="decimal"/>
      <w:start w:val="6"/>
    </w:lvl>
  </w:abstractNum>
  <w:abstractNum w:abstractNumId="15">
    <w:nsid w:val="3F2DBA31"/>
    <w:multiLevelType w:val="hybridMultilevel"/>
    <w:lvl w:ilvl="0">
      <w:lvlJc w:val="left"/>
      <w:lvlText w:val="%1."/>
      <w:numFmt w:val="decimal"/>
      <w:start w:val="9"/>
    </w:lvl>
  </w:abstractNum>
  <w:abstractNum w:abstractNumId="16">
    <w:nsid w:val="7C83E458"/>
    <w:multiLevelType w:val="hybridMultilevel"/>
    <w:lvl w:ilvl="0">
      <w:lvlJc w:val="left"/>
      <w:lvlText w:val="%1."/>
      <w:numFmt w:val="decimal"/>
      <w:start w:val="13"/>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63" Type="http://schemas.openxmlformats.org/officeDocument/2006/relationships/hyperlink" Target="http://www.sec.gov/Archives/edgar/data/1131554/000095012306005985/y15440a2exv3w2.txt" TargetMode="External"/><Relationship Id="rId64" Type="http://schemas.openxmlformats.org/officeDocument/2006/relationships/hyperlink" Target="http://www.sec.gov/Archives/edgar/data/1131554/000095012306005985/y15440a2exv3w4.txt" TargetMode="External"/><Relationship Id="rId65" Type="http://schemas.openxmlformats.org/officeDocument/2006/relationships/hyperlink" Target="http://www.sec.gov/Archives/edgar/data/1131554/000110465918010721/a18-6289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2020-05-21T15:43:07Z</dcterms:created>
  <dcterms:modified xsi:type="dcterms:W3CDTF">2020-05-21T15:43:07Z</dcterms:modified>
</cp:coreProperties>
</file>