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343535</wp:posOffset>
            </wp:positionV>
            <wp:extent cx="712152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color w:val="auto"/>
        </w:rPr>
        <w:t>Washington, D.C. 20549</w:t>
      </w:r>
    </w:p>
    <w:p>
      <w:pPr>
        <w:ind w:left="5200"/>
        <w:spacing w:after="0"/>
        <w:rPr>
          <w:sz w:val="20"/>
          <w:szCs w:val="20"/>
          <w:color w:val="auto"/>
        </w:rPr>
      </w:pPr>
      <w:r>
        <w:rPr>
          <w:rFonts w:ascii="Arial" w:cs="Arial" w:eastAsia="Arial" w:hAnsi="Arial"/>
          <w:sz w:val="16"/>
          <w:szCs w:val="16"/>
          <w:b w:val="1"/>
          <w:bCs w:val="1"/>
          <w:color w:val="auto"/>
        </w:rPr>
        <w:t>FORM 10-Q</w:t>
      </w:r>
    </w:p>
    <w:p>
      <w:pPr>
        <w:spacing w:after="0" w:line="7" w:lineRule="exact"/>
        <w:rPr>
          <w:sz w:val="24"/>
          <w:szCs w:val="24"/>
          <w:color w:val="auto"/>
        </w:rPr>
      </w:pPr>
    </w:p>
    <w:p>
      <w:pPr>
        <w:ind w:left="5260"/>
        <w:spacing w:after="0"/>
        <w:rPr>
          <w:sz w:val="20"/>
          <w:szCs w:val="20"/>
          <w:color w:val="auto"/>
        </w:rPr>
      </w:pPr>
      <w:r>
        <w:rPr>
          <w:rFonts w:ascii="Arial" w:cs="Arial" w:eastAsia="Arial" w:hAnsi="Arial"/>
          <w:sz w:val="16"/>
          <w:szCs w:val="16"/>
          <w:color w:val="auto"/>
        </w:rPr>
        <w:t>(Mark One)</w:t>
      </w:r>
    </w:p>
    <w:p>
      <w:pPr>
        <w:spacing w:after="0" w:line="31" w:lineRule="exact"/>
        <w:rPr>
          <w:sz w:val="24"/>
          <w:szCs w:val="24"/>
          <w:color w:val="auto"/>
        </w:rPr>
      </w:pPr>
    </w:p>
    <w:p>
      <w:pPr>
        <w:ind w:left="1000" w:hanging="576"/>
        <w:spacing w:after="0"/>
        <w:tabs>
          <w:tab w:leader="none" w:pos="10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9" w:lineRule="exact"/>
        <w:rPr>
          <w:sz w:val="24"/>
          <w:szCs w:val="24"/>
          <w:color w:val="auto"/>
        </w:rPr>
      </w:pPr>
    </w:p>
    <w:p>
      <w:pPr>
        <w:ind w:left="1000" w:hanging="576"/>
        <w:spacing w:after="0"/>
        <w:tabs>
          <w:tab w:leader="none" w:pos="10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231" w:right="339" w:bottom="1440" w:gutter="0" w:footer="0" w:header="0"/>
        </w:sectPr>
      </w:pPr>
    </w:p>
    <w:p>
      <w:pPr>
        <w:spacing w:after="0" w:line="305"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60" w:space="400"/>
            <w:col w:w="4480"/>
          </w:cols>
          <w:pgMar w:left="320" w:top="231" w:right="339" w:bottom="1440" w:gutter="0" w:footer="0" w:header="0"/>
          <w:type w:val="continuous"/>
        </w:sectPr>
      </w:pP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001-40574</w:t>
      </w:r>
    </w:p>
    <w:p>
      <w:pPr>
        <w:sectPr>
          <w:pgSz w:w="11900" w:h="16838" w:orient="portrait"/>
          <w:cols w:equalWidth="0" w:num="1">
            <w:col w:w="11240"/>
          </w:cols>
          <w:pgMar w:left="320" w:top="231"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SYNCHRONOSS TECHNOLOGIES, INC.</w:t>
      </w:r>
    </w:p>
    <w:p>
      <w:pPr>
        <w:spacing w:after="0" w:line="38" w:lineRule="exact"/>
        <w:rPr>
          <w:sz w:val="24"/>
          <w:szCs w:val="24"/>
          <w:color w:val="auto"/>
        </w:rPr>
      </w:pPr>
    </w:p>
    <w:tbl>
      <w:tblPr>
        <w:tblLayout w:type="fixed"/>
        <w:tblInd w:w="1600" w:type="dxa"/>
        <w:tblCellMar>
          <w:top w:w="0" w:type="dxa"/>
          <w:left w:w="0" w:type="dxa"/>
          <w:bottom w:w="0" w:type="dxa"/>
          <w:right w:w="0" w:type="dxa"/>
        </w:tblCellMar>
      </w:tblPr>
      <w:tr>
        <w:trPr>
          <w:trHeight w:val="196"/>
        </w:trPr>
        <w:tc>
          <w:tcPr>
            <w:tcW w:w="5940" w:type="dxa"/>
            <w:vAlign w:val="bottom"/>
          </w:tcPr>
          <w:p>
            <w:pPr>
              <w:jc w:val="center"/>
              <w:ind w:left="2022"/>
              <w:spacing w:after="0"/>
              <w:rPr>
                <w:sz w:val="20"/>
                <w:szCs w:val="20"/>
                <w:color w:val="auto"/>
              </w:rPr>
            </w:pPr>
            <w:r>
              <w:rPr>
                <w:rFonts w:ascii="Arial" w:cs="Arial" w:eastAsia="Arial" w:hAnsi="Arial"/>
                <w:sz w:val="16"/>
                <w:szCs w:val="16"/>
                <w:color w:val="auto"/>
                <w:w w:val="87"/>
              </w:rPr>
              <w:t>(Exact name of registrant as specified in its charter)</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40" w:type="dxa"/>
            <w:vAlign w:val="bottom"/>
          </w:tcPr>
          <w:p>
            <w:pPr>
              <w:jc w:val="center"/>
              <w:ind w:right="3402"/>
              <w:spacing w:after="0"/>
              <w:rPr>
                <w:sz w:val="20"/>
                <w:szCs w:val="20"/>
                <w:color w:val="auto"/>
              </w:rPr>
            </w:pPr>
            <w:r>
              <w:rPr>
                <w:rFonts w:ascii="Arial" w:cs="Arial" w:eastAsia="Arial" w:hAnsi="Arial"/>
                <w:sz w:val="16"/>
                <w:szCs w:val="16"/>
                <w:b w:val="1"/>
                <w:bCs w:val="1"/>
                <w:color w:val="auto"/>
                <w:w w:val="88"/>
              </w:rPr>
              <w:t>Delaware</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66"/>
        </w:trPr>
        <w:tc>
          <w:tcPr>
            <w:tcW w:w="5940" w:type="dxa"/>
            <w:vAlign w:val="bottom"/>
          </w:tcPr>
          <w:p>
            <w:pPr>
              <w:jc w:val="center"/>
              <w:ind w:right="3422"/>
              <w:spacing w:after="0" w:line="166" w:lineRule="exact"/>
              <w:rPr>
                <w:sz w:val="20"/>
                <w:szCs w:val="20"/>
                <w:color w:val="auto"/>
              </w:rPr>
            </w:pPr>
            <w:r>
              <w:rPr>
                <w:rFonts w:ascii="Arial" w:cs="Arial" w:eastAsia="Arial" w:hAnsi="Arial"/>
                <w:sz w:val="16"/>
                <w:szCs w:val="16"/>
                <w:color w:val="auto"/>
                <w:w w:val="89"/>
              </w:rPr>
              <w:t>(State or other jurisdiction of</w:t>
            </w:r>
          </w:p>
        </w:tc>
        <w:tc>
          <w:tcPr>
            <w:tcW w:w="1460" w:type="dxa"/>
            <w:vAlign w:val="bottom"/>
          </w:tcPr>
          <w:p>
            <w:pPr>
              <w:jc w:val="center"/>
              <w:ind w:left="242"/>
              <w:spacing w:after="0" w:line="166" w:lineRule="exact"/>
              <w:rPr>
                <w:sz w:val="20"/>
                <w:szCs w:val="20"/>
                <w:color w:val="auto"/>
              </w:rPr>
            </w:pPr>
            <w:r>
              <w:rPr>
                <w:rFonts w:ascii="Arial" w:cs="Arial" w:eastAsia="Arial" w:hAnsi="Arial"/>
                <w:sz w:val="16"/>
                <w:szCs w:val="16"/>
                <w:color w:val="auto"/>
                <w:w w:val="90"/>
              </w:rPr>
              <w:t>(I.R.S. Employer</w:t>
            </w:r>
          </w:p>
        </w:tc>
        <w:tc>
          <w:tcPr>
            <w:tcW w:w="0" w:type="dxa"/>
            <w:vAlign w:val="bottom"/>
          </w:tcPr>
          <w:p>
            <w:pPr>
              <w:spacing w:after="0"/>
              <w:rPr>
                <w:sz w:val="1"/>
                <w:szCs w:val="1"/>
                <w:color w:val="auto"/>
              </w:rPr>
            </w:pPr>
          </w:p>
        </w:tc>
      </w:tr>
      <w:tr>
        <w:trPr>
          <w:trHeight w:val="196"/>
        </w:trPr>
        <w:tc>
          <w:tcPr>
            <w:tcW w:w="5940" w:type="dxa"/>
            <w:vAlign w:val="bottom"/>
          </w:tcPr>
          <w:p>
            <w:pPr>
              <w:jc w:val="center"/>
              <w:ind w:right="3422"/>
              <w:spacing w:after="0"/>
              <w:rPr>
                <w:sz w:val="20"/>
                <w:szCs w:val="20"/>
                <w:color w:val="auto"/>
              </w:rPr>
            </w:pPr>
            <w:r>
              <w:rPr>
                <w:rFonts w:ascii="Arial" w:cs="Arial" w:eastAsia="Arial" w:hAnsi="Arial"/>
                <w:sz w:val="16"/>
                <w:szCs w:val="16"/>
                <w:color w:val="auto"/>
                <w:w w:val="90"/>
              </w:rPr>
              <w:t>incorporation or organization)</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93"/>
              </w:rPr>
              <w:t>Identification No.)</w:t>
            </w:r>
          </w:p>
        </w:tc>
        <w:tc>
          <w:tcPr>
            <w:tcW w:w="0" w:type="dxa"/>
            <w:vAlign w:val="bottom"/>
          </w:tcPr>
          <w:p>
            <w:pPr>
              <w:spacing w:after="0"/>
              <w:rPr>
                <w:sz w:val="1"/>
                <w:szCs w:val="1"/>
                <w:color w:val="auto"/>
              </w:rPr>
            </w:pPr>
          </w:p>
        </w:tc>
      </w:tr>
      <w:tr>
        <w:trPr>
          <w:trHeight w:val="368"/>
        </w:trPr>
        <w:tc>
          <w:tcPr>
            <w:tcW w:w="5940" w:type="dxa"/>
            <w:vAlign w:val="bottom"/>
          </w:tcPr>
          <w:p>
            <w:pPr>
              <w:jc w:val="center"/>
              <w:ind w:right="3402"/>
              <w:spacing w:after="0"/>
              <w:rPr>
                <w:sz w:val="20"/>
                <w:szCs w:val="20"/>
                <w:color w:val="auto"/>
              </w:rPr>
            </w:pPr>
            <w:r>
              <w:rPr>
                <w:rFonts w:ascii="Arial" w:cs="Arial" w:eastAsia="Arial" w:hAnsi="Arial"/>
                <w:sz w:val="16"/>
                <w:szCs w:val="16"/>
                <w:b w:val="1"/>
                <w:bCs w:val="1"/>
                <w:color w:val="auto"/>
                <w:w w:val="87"/>
              </w:rPr>
              <w:t>200 Crossing Boulevard, 3rd Floor</w:t>
            </w:r>
          </w:p>
        </w:tc>
        <w:tc>
          <w:tcPr>
            <w:tcW w:w="14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02"/>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6"/>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jc w:val="center"/>
              <w:ind w:right="3402"/>
              <w:spacing w:after="0"/>
              <w:rPr>
                <w:sz w:val="20"/>
                <w:szCs w:val="20"/>
                <w:color w:val="auto"/>
              </w:rPr>
            </w:pPr>
            <w:r>
              <w:rPr>
                <w:rFonts w:ascii="Arial" w:cs="Arial" w:eastAsia="Arial" w:hAnsi="Arial"/>
                <w:sz w:val="16"/>
                <w:szCs w:val="16"/>
                <w:color w:val="auto"/>
                <w:w w:val="89"/>
              </w:rPr>
              <w:t>(Address of principal executive offices)</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89"/>
              </w:rPr>
              <w:t>(Zip Code)</w:t>
            </w:r>
          </w:p>
        </w:tc>
        <w:tc>
          <w:tcPr>
            <w:tcW w:w="0" w:type="dxa"/>
            <w:vAlign w:val="bottom"/>
          </w:tcPr>
          <w:p>
            <w:pPr>
              <w:spacing w:after="0"/>
              <w:rPr>
                <w:sz w:val="1"/>
                <w:szCs w:val="1"/>
                <w:color w:val="auto"/>
              </w:rPr>
            </w:pPr>
          </w:p>
        </w:tc>
      </w:tr>
      <w:tr>
        <w:trPr>
          <w:trHeight w:val="450"/>
        </w:trPr>
        <w:tc>
          <w:tcPr>
            <w:tcW w:w="5940" w:type="dxa"/>
            <w:vAlign w:val="bottom"/>
          </w:tcPr>
          <w:p>
            <w:pPr>
              <w:jc w:val="right"/>
              <w:ind w:right="1362"/>
              <w:spacing w:after="0"/>
              <w:rPr>
                <w:sz w:val="20"/>
                <w:szCs w:val="20"/>
                <w:color w:val="auto"/>
              </w:rPr>
            </w:pPr>
            <w:r>
              <w:rPr>
                <w:rFonts w:ascii="Arial" w:cs="Arial" w:eastAsia="Arial" w:hAnsi="Arial"/>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ind w:left="2360"/>
              <w:spacing w:after="0"/>
              <w:rPr>
                <w:sz w:val="20"/>
                <w:szCs w:val="20"/>
                <w:color w:val="auto"/>
              </w:rPr>
            </w:pPr>
            <w:r>
              <w:rPr>
                <w:rFonts w:ascii="Arial" w:cs="Arial" w:eastAsia="Arial" w:hAnsi="Arial"/>
                <w:sz w:val="16"/>
                <w:szCs w:val="16"/>
                <w:color w:val="auto"/>
                <w:w w:val="94"/>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30"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92"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69"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700" w:type="dxa"/>
        <w:tblCellMar>
          <w:top w:w="0" w:type="dxa"/>
          <w:left w:w="0" w:type="dxa"/>
          <w:bottom w:w="0" w:type="dxa"/>
          <w:right w:w="0" w:type="dxa"/>
        </w:tblCellMar>
      </w:tblPr>
      <w:tr>
        <w:trPr>
          <w:trHeight w:val="201"/>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8"/>
              </w:rPr>
              <w:t>Large 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102"/>
              <w:spacing w:after="0"/>
              <w:rPr>
                <w:sz w:val="20"/>
                <w:szCs w:val="20"/>
                <w:color w:val="auto"/>
              </w:rPr>
            </w:pPr>
            <w:r>
              <w:rPr>
                <w:rFonts w:ascii="Arial" w:cs="Arial" w:eastAsia="Arial" w:hAnsi="Arial"/>
                <w:sz w:val="16"/>
                <w:szCs w:val="16"/>
                <w:color w:val="auto"/>
                <w:w w:val="90"/>
              </w:rPr>
              <w:t>Accelerated filer</w:t>
            </w:r>
          </w:p>
        </w:tc>
        <w:tc>
          <w:tcPr>
            <w:tcW w:w="520" w:type="dxa"/>
            <w:vAlign w:val="bottom"/>
          </w:tcPr>
          <w:p>
            <w:pPr>
              <w:jc w:val="center"/>
              <w:ind w:left="307"/>
              <w:spacing w:after="0"/>
              <w:rPr>
                <w:sz w:val="20"/>
                <w:szCs w:val="20"/>
                <w:color w:val="auto"/>
              </w:rPr>
            </w:pPr>
            <w:r>
              <w:rPr>
                <w:rFonts w:ascii="Arial" w:cs="Arial" w:eastAsia="Arial" w:hAnsi="Arial"/>
                <w:sz w:val="14"/>
                <w:szCs w:val="14"/>
                <w:color w:val="auto"/>
                <w:w w:val="85"/>
              </w:rPr>
              <w:t>x</w:t>
            </w:r>
          </w:p>
        </w:tc>
      </w:tr>
      <w:tr>
        <w:trPr>
          <w:trHeight w:val="207"/>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9"/>
              </w:rPr>
              <w:t>Non-accelerated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082"/>
              <w:spacing w:after="0"/>
              <w:rPr>
                <w:sz w:val="20"/>
                <w:szCs w:val="20"/>
                <w:color w:val="auto"/>
              </w:rPr>
            </w:pPr>
            <w:r>
              <w:rPr>
                <w:rFonts w:ascii="Arial" w:cs="Arial" w:eastAsia="Arial" w:hAnsi="Arial"/>
                <w:sz w:val="16"/>
                <w:szCs w:val="16"/>
                <w:color w:val="auto"/>
                <w:w w:val="88"/>
              </w:rPr>
              <w:t>Smaller Reporting Company</w:t>
            </w:r>
          </w:p>
        </w:tc>
        <w:tc>
          <w:tcPr>
            <w:tcW w:w="520" w:type="dxa"/>
            <w:vAlign w:val="bottom"/>
          </w:tcPr>
          <w:p>
            <w:pPr>
              <w:jc w:val="center"/>
              <w:ind w:left="307"/>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4"/>
        </w:trPr>
        <w:tc>
          <w:tcPr>
            <w:tcW w:w="2080" w:type="dxa"/>
            <w:vAlign w:val="bottom"/>
          </w:tcPr>
          <w:p>
            <w:pPr>
              <w:jc w:val="center"/>
              <w:ind w:right="302"/>
              <w:spacing w:after="0"/>
              <w:rPr>
                <w:sz w:val="20"/>
                <w:szCs w:val="20"/>
                <w:color w:val="auto"/>
              </w:rPr>
            </w:pPr>
            <w:r>
              <w:rPr>
                <w:rFonts w:ascii="Arial" w:cs="Arial" w:eastAsia="Arial" w:hAnsi="Arial"/>
                <w:sz w:val="16"/>
                <w:szCs w:val="16"/>
                <w:color w:val="auto"/>
                <w:w w:val="89"/>
              </w:rPr>
              <w:t>Emerging growth company</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122" w:lineRule="exact"/>
        <w:rPr>
          <w:sz w:val="24"/>
          <w:szCs w:val="24"/>
          <w:color w:val="auto"/>
        </w:rPr>
      </w:pPr>
    </w:p>
    <w:p>
      <w:pPr>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3"/>
          <w:szCs w:val="13"/>
          <w:color w:val="auto"/>
        </w:rPr>
        <w:t>x</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8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36"/>
        </w:trPr>
        <w:tc>
          <w:tcPr>
            <w:tcW w:w="430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87"/>
              </w:rPr>
              <w:t>Title of each class</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Trading Symbol(s)</w:t>
            </w:r>
          </w:p>
        </w:tc>
        <w:tc>
          <w:tcPr>
            <w:tcW w:w="434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color w:val="auto"/>
                <w:w w:val="86"/>
              </w:rPr>
              <w:t>Name of each exchange on which registered</w:t>
            </w:r>
          </w:p>
        </w:tc>
      </w:tr>
      <w:tr>
        <w:trPr>
          <w:trHeight w:val="197"/>
        </w:trPr>
        <w:tc>
          <w:tcPr>
            <w:tcW w:w="4300" w:type="dxa"/>
            <w:vAlign w:val="bottom"/>
          </w:tcPr>
          <w:p>
            <w:pPr>
              <w:jc w:val="center"/>
              <w:ind w:left="222"/>
              <w:spacing w:after="0"/>
              <w:rPr>
                <w:sz w:val="20"/>
                <w:szCs w:val="20"/>
                <w:color w:val="auto"/>
              </w:rPr>
            </w:pPr>
            <w:r>
              <w:rPr>
                <w:rFonts w:ascii="Arial" w:cs="Arial" w:eastAsia="Arial" w:hAnsi="Arial"/>
                <w:sz w:val="16"/>
                <w:szCs w:val="16"/>
                <w:color w:val="auto"/>
                <w:w w:val="87"/>
              </w:rPr>
              <w:t>Common Stock, $.0001 par value</w:t>
            </w:r>
          </w:p>
        </w:tc>
        <w:tc>
          <w:tcPr>
            <w:tcW w:w="2580" w:type="dxa"/>
            <w:vAlign w:val="bottom"/>
          </w:tcPr>
          <w:p>
            <w:pPr>
              <w:jc w:val="center"/>
              <w:spacing w:after="0"/>
              <w:rPr>
                <w:sz w:val="20"/>
                <w:szCs w:val="20"/>
                <w:color w:val="auto"/>
              </w:rPr>
            </w:pPr>
            <w:r>
              <w:rPr>
                <w:rFonts w:ascii="Arial" w:cs="Arial" w:eastAsia="Arial" w:hAnsi="Arial"/>
                <w:sz w:val="16"/>
                <w:szCs w:val="16"/>
                <w:color w:val="auto"/>
                <w:w w:val="88"/>
              </w:rPr>
              <w:t>SNCR</w:t>
            </w:r>
          </w:p>
        </w:tc>
        <w:tc>
          <w:tcPr>
            <w:tcW w:w="4340" w:type="dxa"/>
            <w:vAlign w:val="bottom"/>
          </w:tcPr>
          <w:p>
            <w:pPr>
              <w:jc w:val="center"/>
              <w:ind w:right="202"/>
              <w:spacing w:after="0"/>
              <w:rPr>
                <w:sz w:val="20"/>
                <w:szCs w:val="20"/>
                <w:color w:val="auto"/>
              </w:rPr>
            </w:pPr>
            <w:r>
              <w:rPr>
                <w:rFonts w:ascii="Arial" w:cs="Arial" w:eastAsia="Arial" w:hAnsi="Arial"/>
                <w:sz w:val="16"/>
                <w:szCs w:val="16"/>
                <w:color w:val="auto"/>
                <w:w w:val="88"/>
              </w:rPr>
              <w:t>The Nasdaq Stock Market, LLC</w:t>
            </w:r>
          </w:p>
        </w:tc>
      </w:tr>
      <w:tr>
        <w:trPr>
          <w:trHeight w:val="207"/>
        </w:trPr>
        <w:tc>
          <w:tcPr>
            <w:tcW w:w="4300" w:type="dxa"/>
            <w:vAlign w:val="bottom"/>
          </w:tcPr>
          <w:p>
            <w:pPr>
              <w:jc w:val="center"/>
              <w:ind w:left="242"/>
              <w:spacing w:after="0"/>
              <w:rPr>
                <w:sz w:val="20"/>
                <w:szCs w:val="20"/>
                <w:color w:val="auto"/>
              </w:rPr>
            </w:pPr>
            <w:r>
              <w:rPr>
                <w:rFonts w:ascii="Arial" w:cs="Arial" w:eastAsia="Arial" w:hAnsi="Arial"/>
                <w:sz w:val="16"/>
                <w:szCs w:val="16"/>
                <w:color w:val="auto"/>
                <w:w w:val="87"/>
              </w:rPr>
              <w:t>8.375% Senior Notes due 2026</w:t>
            </w:r>
          </w:p>
        </w:tc>
        <w:tc>
          <w:tcPr>
            <w:tcW w:w="2580" w:type="dxa"/>
            <w:vAlign w:val="bottom"/>
          </w:tcPr>
          <w:p>
            <w:pPr>
              <w:jc w:val="center"/>
              <w:spacing w:after="0"/>
              <w:rPr>
                <w:sz w:val="20"/>
                <w:szCs w:val="20"/>
                <w:color w:val="auto"/>
              </w:rPr>
            </w:pPr>
            <w:r>
              <w:rPr>
                <w:rFonts w:ascii="Arial" w:cs="Arial" w:eastAsia="Arial" w:hAnsi="Arial"/>
                <w:sz w:val="16"/>
                <w:szCs w:val="16"/>
                <w:color w:val="auto"/>
                <w:w w:val="92"/>
              </w:rPr>
              <w:t>SNCRL</w:t>
            </w:r>
          </w:p>
        </w:tc>
        <w:tc>
          <w:tcPr>
            <w:tcW w:w="4340" w:type="dxa"/>
            <w:vAlign w:val="bottom"/>
          </w:tcPr>
          <w:p>
            <w:pPr>
              <w:jc w:val="center"/>
              <w:ind w:right="202"/>
              <w:spacing w:after="0"/>
              <w:rPr>
                <w:sz w:val="20"/>
                <w:szCs w:val="20"/>
                <w:color w:val="auto"/>
              </w:rPr>
            </w:pPr>
            <w:r>
              <w:rPr>
                <w:rFonts w:ascii="Arial" w:cs="Arial" w:eastAsia="Arial" w:hAnsi="Arial"/>
                <w:sz w:val="16"/>
                <w:szCs w:val="16"/>
                <w:color w:val="auto"/>
                <w:w w:val="88"/>
              </w:rPr>
              <w:t>The Nasdaq Stock Market, LLC</w:t>
            </w:r>
          </w:p>
        </w:tc>
      </w:tr>
    </w:tbl>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07, 2022, there were 90,866,207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508000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640" w:type="dxa"/>
            <w:vAlign w:val="bottom"/>
            <w:gridSpan w:val="5"/>
          </w:tcPr>
          <w:p>
            <w:pPr>
              <w:spacing w:after="0"/>
              <w:rPr>
                <w:sz w:val="20"/>
                <w:szCs w:val="20"/>
                <w:color w:val="auto"/>
              </w:rPr>
            </w:pPr>
            <w:r>
              <w:rPr>
                <w:rFonts w:ascii="Arial" w:cs="Arial" w:eastAsia="Arial" w:hAnsi="Arial"/>
                <w:sz w:val="17"/>
                <w:szCs w:val="17"/>
                <w:color w:val="0000FF"/>
              </w:rPr>
              <w:t>Table of Contents</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738"/>
        </w:trPr>
        <w:tc>
          <w:tcPr>
            <w:tcW w:w="6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60" w:type="dxa"/>
            <w:vAlign w:val="bottom"/>
            <w:gridSpan w:val="10"/>
          </w:tcPr>
          <w:p>
            <w:pPr>
              <w:jc w:val="center"/>
              <w:ind w:right="2700"/>
              <w:spacing w:after="0"/>
              <w:rPr>
                <w:sz w:val="20"/>
                <w:szCs w:val="20"/>
                <w:color w:val="auto"/>
              </w:rPr>
            </w:pPr>
            <w:r>
              <w:rPr>
                <w:rFonts w:ascii="Arial" w:cs="Arial" w:eastAsia="Arial" w:hAnsi="Arial"/>
                <w:sz w:val="17"/>
                <w:szCs w:val="17"/>
                <w:b w:val="1"/>
                <w:bCs w:val="1"/>
                <w:color w:val="auto"/>
              </w:rPr>
              <w:t>SYNCHRONOSS TECHNOLOGIES, INC.</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6"/>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60" w:type="dxa"/>
            <w:vAlign w:val="bottom"/>
            <w:gridSpan w:val="10"/>
          </w:tcPr>
          <w:p>
            <w:pPr>
              <w:jc w:val="center"/>
              <w:ind w:right="2700"/>
              <w:spacing w:after="0"/>
              <w:rPr>
                <w:sz w:val="20"/>
                <w:szCs w:val="20"/>
                <w:color w:val="auto"/>
              </w:rPr>
            </w:pPr>
            <w:r>
              <w:rPr>
                <w:rFonts w:ascii="Arial" w:cs="Arial" w:eastAsia="Arial" w:hAnsi="Arial"/>
                <w:sz w:val="17"/>
                <w:szCs w:val="17"/>
                <w:b w:val="1"/>
                <w:bCs w:val="1"/>
                <w:color w:val="auto"/>
              </w:rPr>
              <w:t>FORM 10-Q INDEX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6"/>
        </w:trPr>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Page</w:t>
            </w:r>
          </w:p>
        </w:tc>
      </w:tr>
      <w:tr>
        <w:trPr>
          <w:trHeight w:val="161"/>
        </w:trPr>
        <w:tc>
          <w:tcPr>
            <w:tcW w:w="640" w:type="dxa"/>
            <w:vAlign w:val="bottom"/>
          </w:tcPr>
          <w:p>
            <w:pPr>
              <w:spacing w:after="0"/>
              <w:rPr>
                <w:sz w:val="14"/>
                <w:szCs w:val="14"/>
                <w:color w:val="auto"/>
              </w:rPr>
            </w:pPr>
          </w:p>
        </w:tc>
        <w:tc>
          <w:tcPr>
            <w:tcW w:w="500" w:type="dxa"/>
            <w:vAlign w:val="bottom"/>
          </w:tcPr>
          <w:p>
            <w:pPr>
              <w:spacing w:after="0" w:line="142" w:lineRule="exact"/>
              <w:rPr>
                <w:sz w:val="20"/>
                <w:szCs w:val="20"/>
                <w:color w:val="auto"/>
              </w:rPr>
            </w:pPr>
            <w:r>
              <w:rPr>
                <w:rFonts w:ascii="Arial" w:cs="Arial" w:eastAsia="Arial" w:hAnsi="Arial"/>
                <w:sz w:val="16"/>
                <w:szCs w:val="16"/>
                <w:color w:val="0000FF"/>
                <w:w w:val="82"/>
              </w:rPr>
              <w:t>PART I.</w:t>
            </w:r>
          </w:p>
        </w:tc>
        <w:tc>
          <w:tcPr>
            <w:tcW w:w="500" w:type="dxa"/>
            <w:vAlign w:val="bottom"/>
            <w:gridSpan w:val="3"/>
          </w:tcPr>
          <w:p>
            <w:pPr>
              <w:spacing w:after="0"/>
              <w:rPr>
                <w:sz w:val="14"/>
                <w:szCs w:val="14"/>
                <w:color w:val="auto"/>
              </w:rPr>
            </w:pPr>
          </w:p>
        </w:tc>
        <w:tc>
          <w:tcPr>
            <w:tcW w:w="9120" w:type="dxa"/>
            <w:vAlign w:val="bottom"/>
            <w:gridSpan w:val="17"/>
          </w:tcPr>
          <w:p>
            <w:pPr>
              <w:spacing w:after="0" w:line="142" w:lineRule="exact"/>
              <w:rPr>
                <w:sz w:val="20"/>
                <w:szCs w:val="20"/>
                <w:color w:val="auto"/>
              </w:rPr>
            </w:pPr>
            <w:r>
              <w:rPr>
                <w:rFonts w:ascii="Arial" w:cs="Arial" w:eastAsia="Arial" w:hAnsi="Arial"/>
                <w:sz w:val="16"/>
                <w:szCs w:val="16"/>
                <w:color w:val="0000FF"/>
              </w:rPr>
              <w:t>FINANCIAL INFORMATION</w:t>
            </w:r>
          </w:p>
        </w:tc>
        <w:tc>
          <w:tcPr>
            <w:tcW w:w="580" w:type="dxa"/>
            <w:vAlign w:val="bottom"/>
            <w:gridSpan w:val="2"/>
          </w:tcPr>
          <w:p>
            <w:pPr>
              <w:jc w:val="right"/>
              <w:spacing w:after="0" w:line="148" w:lineRule="exact"/>
              <w:rPr>
                <w:sz w:val="20"/>
                <w:szCs w:val="20"/>
                <w:color w:val="auto"/>
              </w:rPr>
            </w:pPr>
            <w:r>
              <w:rPr>
                <w:rFonts w:ascii="Arial" w:cs="Arial" w:eastAsia="Arial" w:hAnsi="Arial"/>
                <w:sz w:val="17"/>
                <w:szCs w:val="17"/>
                <w:color w:val="0000FF"/>
              </w:rPr>
              <w:t>3</w:t>
            </w:r>
          </w:p>
        </w:tc>
      </w:tr>
      <w:tr>
        <w:trPr>
          <w:trHeight w:val="26"/>
        </w:trPr>
        <w:tc>
          <w:tcPr>
            <w:tcW w:w="6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left w:val="single" w:sz="8" w:color="0000FF"/>
            </w:tcBorders>
            <w:gridSpan w:val="2"/>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r>
      <w:tr>
        <w:trPr>
          <w:trHeight w:val="427"/>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1.</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Condensed Consolidated Financial Statements and Notes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Condensed Consolidated Balance Sheets (unaudited)</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Condensed Consolidated Statements of Operations (unaudited)</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46"/>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16"/>
          </w:tcPr>
          <w:p>
            <w:pPr>
              <w:spacing w:after="0"/>
              <w:rPr>
                <w:sz w:val="20"/>
                <w:szCs w:val="20"/>
                <w:color w:val="auto"/>
              </w:rPr>
            </w:pPr>
            <w:r>
              <w:rPr>
                <w:rFonts w:ascii="Arial" w:cs="Arial" w:eastAsia="Arial" w:hAnsi="Arial"/>
                <w:sz w:val="17"/>
                <w:szCs w:val="17"/>
                <w:color w:val="0000FF"/>
                <w:w w:val="98"/>
              </w:rPr>
              <w:t>Condensed Consolidated Statements of Comprehensive (Loss) Income (unaudited)</w:t>
            </w: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5</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16"/>
          </w:tcPr>
          <w:p>
            <w:pPr>
              <w:spacing w:after="0"/>
              <w:rPr>
                <w:sz w:val="20"/>
                <w:szCs w:val="20"/>
                <w:color w:val="auto"/>
              </w:rPr>
            </w:pPr>
            <w:r>
              <w:rPr>
                <w:rFonts w:ascii="Arial" w:cs="Arial" w:eastAsia="Arial" w:hAnsi="Arial"/>
                <w:sz w:val="17"/>
                <w:szCs w:val="17"/>
                <w:color w:val="0000FF"/>
              </w:rPr>
              <w:t>Condensed Consolidated Statements of Stockholders’ Equity (unaudited)</w:t>
            </w: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6</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59"/>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12"/>
          </w:tcPr>
          <w:p>
            <w:pPr>
              <w:spacing w:after="0"/>
              <w:rPr>
                <w:sz w:val="20"/>
                <w:szCs w:val="20"/>
                <w:color w:val="auto"/>
              </w:rPr>
            </w:pPr>
            <w:r>
              <w:rPr>
                <w:rFonts w:ascii="Arial" w:cs="Arial" w:eastAsia="Arial" w:hAnsi="Arial"/>
                <w:sz w:val="17"/>
                <w:szCs w:val="17"/>
                <w:color w:val="0000FF"/>
                <w:w w:val="90"/>
              </w:rPr>
              <w:t>Condensed Consolidated Statements of Cash Flows (unaudited)</w:t>
            </w:r>
          </w:p>
        </w:tc>
        <w:tc>
          <w:tcPr>
            <w:tcW w:w="1780" w:type="dxa"/>
            <w:vAlign w:val="bottom"/>
            <w:gridSpan w:val="4"/>
          </w:tcPr>
          <w:p>
            <w:pPr>
              <w:spacing w:after="0"/>
              <w:rPr>
                <w:sz w:val="24"/>
                <w:szCs w:val="24"/>
                <w:color w:val="auto"/>
              </w:rPr>
            </w:pP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8</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Notes to Condensed Consolidated Financial Statements (unaudited)</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9</w:t>
            </w: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64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2.</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31</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3.</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38</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4.</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Controls and Procedures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39</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640"/>
        </w:trPr>
        <w:tc>
          <w:tcPr>
            <w:tcW w:w="64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w w:val="90"/>
              </w:rPr>
              <w:t>PART II.</w:t>
            </w: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OTHER INFORMATION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40</w:t>
            </w:r>
          </w:p>
        </w:tc>
      </w:tr>
      <w:tr>
        <w:trPr>
          <w:trHeight w:val="20"/>
        </w:trPr>
        <w:tc>
          <w:tcPr>
            <w:tcW w:w="6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1.</w:t>
            </w:r>
          </w:p>
        </w:tc>
        <w:tc>
          <w:tcPr>
            <w:tcW w:w="1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Legal Proceedings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40</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7"/>
                <w:szCs w:val="17"/>
                <w:color w:val="0000FF"/>
                <w:w w:val="91"/>
              </w:rPr>
              <w:t>Item 1A.</w:t>
            </w: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Risk Factors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40</w:t>
            </w:r>
          </w:p>
        </w:tc>
      </w:tr>
      <w:tr>
        <w:trPr>
          <w:trHeight w:val="20"/>
        </w:trPr>
        <w:tc>
          <w:tcPr>
            <w:tcW w:w="6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2.</w:t>
            </w:r>
          </w:p>
        </w:tc>
        <w:tc>
          <w:tcPr>
            <w:tcW w:w="1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44</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3.</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Defaults Upon Senior Securities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44</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4.</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Mine Safety Disclosures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45</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5.</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Other Information</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45</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7"/>
                <w:szCs w:val="17"/>
                <w:color w:val="0000FF"/>
                <w:w w:val="88"/>
              </w:rPr>
              <w:t>Item 6.</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Arial" w:cs="Arial" w:eastAsia="Arial" w:hAnsi="Arial"/>
                <w:sz w:val="17"/>
                <w:szCs w:val="17"/>
                <w:color w:val="0000FF"/>
              </w:rPr>
              <w:t>Exhibits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46</w:t>
            </w: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54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10120" w:type="dxa"/>
            <w:vAlign w:val="bottom"/>
            <w:gridSpan w:val="21"/>
          </w:tcPr>
          <w:p>
            <w:pPr>
              <w:spacing w:after="0"/>
              <w:rPr>
                <w:sz w:val="20"/>
                <w:szCs w:val="20"/>
                <w:color w:val="auto"/>
              </w:rPr>
            </w:pPr>
            <w:r>
              <w:rPr>
                <w:rFonts w:ascii="Arial" w:cs="Arial" w:eastAsia="Arial" w:hAnsi="Arial"/>
                <w:sz w:val="17"/>
                <w:szCs w:val="17"/>
                <w:color w:val="0000FF"/>
              </w:rPr>
              <w:t>SIGNATURES</w:t>
            </w: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47</w:t>
            </w:r>
          </w:p>
        </w:tc>
      </w:tr>
      <w:tr>
        <w:trPr>
          <w:trHeight w:val="1706"/>
        </w:trPr>
        <w:tc>
          <w:tcPr>
            <w:tcW w:w="64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AND NOTES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(Unaudited)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03"/>
              <w:spacing w:after="0"/>
              <w:rPr>
                <w:sz w:val="20"/>
                <w:szCs w:val="20"/>
                <w:color w:val="auto"/>
              </w:rPr>
            </w:pPr>
            <w:r>
              <w:rPr>
                <w:rFonts w:ascii="Arial" w:cs="Arial" w:eastAsia="Arial" w:hAnsi="Arial"/>
                <w:sz w:val="15"/>
                <w:szCs w:val="15"/>
                <w:b w:val="1"/>
                <w:bCs w:val="1"/>
                <w:color w:val="auto"/>
                <w:w w:val="93"/>
              </w:rPr>
              <w:t>December 31, 2021</w:t>
            </w:r>
          </w:p>
        </w:tc>
        <w:tc>
          <w:tcPr>
            <w:tcW w:w="0" w:type="dxa"/>
            <w:vAlign w:val="bottom"/>
          </w:tcPr>
          <w:p>
            <w:pPr>
              <w:spacing w:after="0"/>
              <w:rPr>
                <w:sz w:val="1"/>
                <w:szCs w:val="1"/>
                <w:color w:val="auto"/>
              </w:rPr>
            </w:pPr>
          </w:p>
        </w:tc>
      </w:tr>
      <w:tr>
        <w:trPr>
          <w:trHeight w:val="191"/>
        </w:trPr>
        <w:tc>
          <w:tcPr>
            <w:tcW w:w="7640" w:type="dxa"/>
            <w:vAlign w:val="bottom"/>
            <w:tcBorders>
              <w:top w:val="single" w:sz="8" w:color="CCEEFF"/>
            </w:tcBorders>
            <w:shd w:val="clear" w:color="auto" w:fill="CCEEFF"/>
          </w:tcPr>
          <w:p>
            <w:pPr>
              <w:ind w:left="350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31,504</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45,903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47,586</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&amp;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43,890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42,901</w:t>
            </w:r>
          </w:p>
        </w:tc>
        <w:tc>
          <w:tcPr>
            <w:tcW w:w="0" w:type="dxa"/>
            <w:vAlign w:val="bottom"/>
          </w:tcPr>
          <w:p>
            <w:pPr>
              <w:spacing w:after="0"/>
              <w:rPr>
                <w:sz w:val="1"/>
                <w:szCs w:val="1"/>
                <w:color w:val="auto"/>
              </w:rPr>
            </w:pPr>
          </w:p>
        </w:tc>
      </w:tr>
      <w:tr>
        <w:trPr>
          <w:trHeight w:val="197"/>
        </w:trPr>
        <w:tc>
          <w:tcPr>
            <w:tcW w:w="7640" w:type="dxa"/>
            <w:vAlign w:val="bottom"/>
          </w:tcPr>
          <w:p>
            <w:pPr>
              <w:ind w:left="20"/>
              <w:spacing w:after="0" w:line="181" w:lineRule="exact"/>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112,377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121,991</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4,556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6,979</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26,399</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203,261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224,577</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60,335</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Loan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 non-current</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5,619</w:t>
            </w:r>
          </w:p>
        </w:tc>
        <w:tc>
          <w:tcPr>
            <w:tcW w:w="0" w:type="dxa"/>
            <w:vAlign w:val="bottom"/>
          </w:tcPr>
          <w:p>
            <w:pPr>
              <w:spacing w:after="0"/>
              <w:rPr>
                <w:sz w:val="1"/>
                <w:szCs w:val="1"/>
                <w:color w:val="auto"/>
              </w:rPr>
            </w:pPr>
          </w:p>
        </w:tc>
      </w:tr>
      <w:tr>
        <w:trPr>
          <w:trHeight w:val="197"/>
        </w:trPr>
        <w:tc>
          <w:tcPr>
            <w:tcW w:w="76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286,512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328,743</w:t>
            </w:r>
          </w:p>
        </w:tc>
        <w:tc>
          <w:tcPr>
            <w:tcW w:w="0" w:type="dxa"/>
            <w:vAlign w:val="bottom"/>
          </w:tcPr>
          <w:p>
            <w:pPr>
              <w:spacing w:after="0"/>
              <w:rPr>
                <w:sz w:val="1"/>
                <w:szCs w:val="1"/>
                <w:color w:val="auto"/>
              </w:rPr>
            </w:pPr>
          </w:p>
        </w:tc>
      </w:tr>
      <w:tr>
        <w:trPr>
          <w:trHeight w:val="22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398,889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450,734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18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8,902</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11,097</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61,916</w:t>
            </w:r>
          </w:p>
        </w:tc>
        <w:tc>
          <w:tcPr>
            <w:tcW w:w="0" w:type="dxa"/>
            <w:vAlign w:val="bottom"/>
          </w:tcPr>
          <w:p>
            <w:pPr>
              <w:spacing w:after="0"/>
              <w:rPr>
                <w:sz w:val="1"/>
                <w:szCs w:val="1"/>
                <w:color w:val="auto"/>
              </w:rPr>
            </w:pPr>
          </w:p>
        </w:tc>
      </w:tr>
      <w:tr>
        <w:trPr>
          <w:trHeight w:val="204"/>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Deferred revenues, current</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22,368</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95,381</w:t>
            </w:r>
          </w:p>
        </w:tc>
        <w:tc>
          <w:tcPr>
            <w:tcW w:w="0" w:type="dxa"/>
            <w:vAlign w:val="bottom"/>
          </w:tcPr>
          <w:p>
            <w:pPr>
              <w:spacing w:after="0"/>
              <w:rPr>
                <w:sz w:val="1"/>
                <w:szCs w:val="1"/>
                <w:color w:val="auto"/>
              </w:rPr>
            </w:pPr>
          </w:p>
        </w:tc>
      </w:tr>
      <w:tr>
        <w:trPr>
          <w:trHeight w:val="246"/>
        </w:trPr>
        <w:tc>
          <w:tcPr>
            <w:tcW w:w="7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 of debt issuance costs</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133,104</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revenues, non-current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Leases, non-current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30,725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36,095</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9,218</w:t>
            </w:r>
          </w:p>
        </w:tc>
        <w:tc>
          <w:tcPr>
            <w:tcW w:w="0" w:type="dxa"/>
            <w:vAlign w:val="bottom"/>
          </w:tcPr>
          <w:p>
            <w:pPr>
              <w:spacing w:after="0"/>
              <w:rPr>
                <w:sz w:val="1"/>
                <w:szCs w:val="1"/>
                <w:color w:val="auto"/>
              </w:rPr>
            </w:pPr>
          </w:p>
        </w:tc>
      </w:tr>
      <w:tr>
        <w:trPr>
          <w:trHeight w:val="197"/>
        </w:trPr>
        <w:tc>
          <w:tcPr>
            <w:tcW w:w="76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252,476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274,906</w:t>
            </w:r>
          </w:p>
        </w:tc>
        <w:tc>
          <w:tcPr>
            <w:tcW w:w="0" w:type="dxa"/>
            <w:vAlign w:val="bottom"/>
          </w:tcPr>
          <w:p>
            <w:pPr>
              <w:spacing w:after="0"/>
              <w:rPr>
                <w:sz w:val="1"/>
                <w:szCs w:val="1"/>
                <w:color w:val="auto"/>
              </w:rPr>
            </w:pPr>
          </w:p>
        </w:tc>
      </w:tr>
      <w:tr>
        <w:trPr>
          <w:trHeight w:val="19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40" w:type="dxa"/>
            <w:vAlign w:val="bottom"/>
          </w:tcPr>
          <w:p>
            <w:pPr>
              <w:ind w:left="220"/>
              <w:spacing w:after="0" w:line="160" w:lineRule="exact"/>
              <w:rPr>
                <w:sz w:val="20"/>
                <w:szCs w:val="20"/>
                <w:color w:val="auto"/>
              </w:rPr>
            </w:pPr>
            <w:r>
              <w:rPr>
                <w:rFonts w:ascii="Arial" w:cs="Arial" w:eastAsia="Arial" w:hAnsi="Arial"/>
                <w:sz w:val="16"/>
                <w:szCs w:val="16"/>
                <w:color w:val="auto"/>
                <w:w w:val="91"/>
              </w:rPr>
              <w:t>Series B Non-Convertible Perpetual Preferred Stock, $0.0001 par value; 150 shares authorized, 71 and 75 shares</w:t>
            </w: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68,348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72,505</w:t>
            </w:r>
          </w:p>
        </w:tc>
        <w:tc>
          <w:tcPr>
            <w:tcW w:w="0" w:type="dxa"/>
            <w:vAlign w:val="bottom"/>
          </w:tcPr>
          <w:p>
            <w:pPr>
              <w:spacing w:after="0"/>
              <w:rPr>
                <w:sz w:val="1"/>
                <w:szCs w:val="1"/>
                <w:color w:val="auto"/>
              </w:rPr>
            </w:pPr>
          </w:p>
        </w:tc>
      </w:tr>
      <w:tr>
        <w:trPr>
          <w:trHeight w:val="199"/>
        </w:trPr>
        <w:tc>
          <w:tcPr>
            <w:tcW w:w="7640" w:type="dxa"/>
            <w:vAlign w:val="bottom"/>
          </w:tcPr>
          <w:p>
            <w:pPr>
              <w:ind w:left="220"/>
              <w:spacing w:after="0"/>
              <w:rPr>
                <w:sz w:val="20"/>
                <w:szCs w:val="20"/>
                <w:color w:val="auto"/>
              </w:rPr>
            </w:pPr>
            <w:r>
              <w:rPr>
                <w:rFonts w:ascii="Arial" w:cs="Arial" w:eastAsia="Arial" w:hAnsi="Arial"/>
                <w:sz w:val="16"/>
                <w:szCs w:val="16"/>
                <w:color w:val="auto"/>
              </w:rPr>
              <w:t>issued and outstanding at September 30, 2022 and December 31, 2021, respectively</w:t>
            </w:r>
          </w:p>
        </w:tc>
        <w:tc>
          <w:tcPr>
            <w:tcW w:w="1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04"/>
        </w:trPr>
        <w:tc>
          <w:tcPr>
            <w:tcW w:w="76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5"/>
              </w:rPr>
              <w:t>Common stock, $0.0001 par value; 150,000 shares authorized, 91,192 and 88,305 issued and outstanding at</w:t>
            </w:r>
          </w:p>
        </w:tc>
        <w:tc>
          <w:tcPr>
            <w:tcW w:w="1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2"/>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September 30, 2022 and December 31, 2021, respectively</w:t>
            </w:r>
          </w:p>
        </w:tc>
        <w:tc>
          <w:tcPr>
            <w:tcW w:w="18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6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490,072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492,512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(32,985)</w:t>
            </w:r>
          </w:p>
        </w:tc>
        <w:tc>
          <w:tcPr>
            <w:tcW w:w="0" w:type="dxa"/>
            <w:vAlign w:val="bottom"/>
          </w:tcPr>
          <w:p>
            <w:pPr>
              <w:spacing w:after="0"/>
              <w:rPr>
                <w:sz w:val="1"/>
                <w:szCs w:val="1"/>
                <w:color w:val="auto"/>
              </w:rPr>
            </w:pPr>
          </w:p>
        </w:tc>
      </w:tr>
      <w:tr>
        <w:trPr>
          <w:trHeight w:val="204"/>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(362,999)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(368,713)</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65,565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90,823</w:t>
            </w:r>
          </w:p>
        </w:tc>
        <w:tc>
          <w:tcPr>
            <w:tcW w:w="0" w:type="dxa"/>
            <w:vAlign w:val="bottom"/>
          </w:tcPr>
          <w:p>
            <w:pPr>
              <w:spacing w:after="0"/>
              <w:rPr>
                <w:sz w:val="1"/>
                <w:szCs w:val="1"/>
                <w:color w:val="auto"/>
              </w:rPr>
            </w:pPr>
          </w:p>
        </w:tc>
      </w:tr>
      <w:tr>
        <w:trPr>
          <w:trHeight w:val="197"/>
        </w:trPr>
        <w:tc>
          <w:tcPr>
            <w:tcW w:w="7640" w:type="dxa"/>
            <w:vAlign w:val="bottom"/>
          </w:tcPr>
          <w:p>
            <w:pPr>
              <w:ind w:left="20"/>
              <w:spacing w:after="0" w:line="181" w:lineRule="exact"/>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398,889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450,734</w:t>
            </w:r>
          </w:p>
        </w:tc>
        <w:tc>
          <w:tcPr>
            <w:tcW w:w="0" w:type="dxa"/>
            <w:vAlign w:val="bottom"/>
          </w:tcPr>
          <w:p>
            <w:pPr>
              <w:spacing w:after="0"/>
              <w:rPr>
                <w:sz w:val="1"/>
                <w:szCs w:val="1"/>
                <w:color w:val="auto"/>
              </w:rPr>
            </w:pPr>
          </w:p>
        </w:tc>
      </w:tr>
      <w:tr>
        <w:trPr>
          <w:trHeight w:val="22"/>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Net revenues</w:t>
      </w:r>
    </w:p>
    <w:p>
      <w:pPr>
        <w:spacing w:after="0" w:line="3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Costs and expenses:</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p>
      <w:pPr>
        <w:ind w:left="460"/>
        <w:spacing w:after="0"/>
        <w:rPr>
          <w:sz w:val="20"/>
          <w:szCs w:val="20"/>
          <w:color w:val="auto"/>
        </w:rPr>
      </w:pPr>
      <w:r>
        <w:rPr>
          <w:rFonts w:ascii="Arial" w:cs="Arial" w:eastAsia="Arial" w:hAnsi="Arial"/>
          <w:sz w:val="17"/>
          <w:szCs w:val="17"/>
          <w:color w:val="auto"/>
        </w:rPr>
        <w:t>Research and development</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Selling, general and administrative</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Restructuring charges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and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5160" w:type="dxa"/>
            <w:vAlign w:val="bottom"/>
            <w:gridSpan w:val="7"/>
          </w:tcPr>
          <w:p>
            <w:pPr>
              <w:jc w:val="center"/>
              <w:spacing w:after="0"/>
              <w:rPr>
                <w:sz w:val="20"/>
                <w:szCs w:val="20"/>
                <w:color w:val="auto"/>
              </w:rPr>
            </w:pPr>
            <w:r>
              <w:rPr>
                <w:rFonts w:ascii="Arial" w:cs="Arial" w:eastAsia="Arial" w:hAnsi="Arial"/>
                <w:sz w:val="17"/>
                <w:szCs w:val="17"/>
                <w:b w:val="1"/>
                <w:bCs w:val="1"/>
                <w:color w:val="auto"/>
              </w:rPr>
              <w:t>SYNCHRONOSS TECHNOLOGIES, INC.</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6"/>
        </w:trPr>
        <w:tc>
          <w:tcPr>
            <w:tcW w:w="5160" w:type="dxa"/>
            <w:vAlign w:val="bottom"/>
            <w:gridSpan w:val="7"/>
          </w:tcPr>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4"/>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7"/>
                <w:szCs w:val="17"/>
                <w:b w:val="1"/>
                <w:bCs w:val="1"/>
                <w:color w:val="auto"/>
              </w:rPr>
              <w:t>(Unaudited)</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6"/>
        </w:trPr>
        <w:tc>
          <w:tcPr>
            <w:tcW w:w="4060" w:type="dxa"/>
            <w:vAlign w:val="bottom"/>
            <w:gridSpan w:val="5"/>
          </w:tcPr>
          <w:p>
            <w:pPr>
              <w:jc w:val="center"/>
              <w:ind w:left="1014"/>
              <w:spacing w:after="0"/>
              <w:rPr>
                <w:sz w:val="20"/>
                <w:szCs w:val="20"/>
                <w:color w:val="auto"/>
              </w:rPr>
            </w:pPr>
            <w:r>
              <w:rPr>
                <w:rFonts w:ascii="Arial" w:cs="Arial" w:eastAsia="Arial" w:hAnsi="Arial"/>
                <w:sz w:val="17"/>
                <w:szCs w:val="17"/>
                <w:b w:val="1"/>
                <w:bCs w:val="1"/>
                <w:color w:val="auto"/>
                <w:w w:val="90"/>
              </w:rPr>
              <w:t>(In thousands, except per share data)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6"/>
        </w:trPr>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5"/>
          </w:tcPr>
          <w:p>
            <w:pPr>
              <w:ind w:left="20"/>
              <w:spacing w:after="0"/>
              <w:rPr>
                <w:sz w:val="20"/>
                <w:szCs w:val="20"/>
                <w:color w:val="auto"/>
              </w:rPr>
            </w:pPr>
            <w:r>
              <w:rPr>
                <w:rFonts w:ascii="Arial" w:cs="Arial" w:eastAsia="Arial" w:hAnsi="Arial"/>
                <w:sz w:val="17"/>
                <w:szCs w:val="17"/>
                <w:b w:val="1"/>
                <w:bCs w:val="1"/>
                <w:color w:val="auto"/>
              </w:rPr>
              <w:t>Three Months Ended September 30,</w:t>
            </w:r>
          </w:p>
        </w:tc>
        <w:tc>
          <w:tcPr>
            <w:tcW w:w="140" w:type="dxa"/>
            <w:vAlign w:val="bottom"/>
          </w:tcPr>
          <w:p>
            <w:pPr>
              <w:spacing w:after="0"/>
              <w:rPr>
                <w:sz w:val="21"/>
                <w:szCs w:val="21"/>
                <w:color w:val="auto"/>
              </w:rPr>
            </w:pPr>
          </w:p>
        </w:tc>
        <w:tc>
          <w:tcPr>
            <w:tcW w:w="2860" w:type="dxa"/>
            <w:vAlign w:val="bottom"/>
            <w:gridSpan w:val="4"/>
          </w:tcPr>
          <w:p>
            <w:pPr>
              <w:jc w:val="right"/>
              <w:ind w:right="134"/>
              <w:spacing w:after="0"/>
              <w:rPr>
                <w:sz w:val="20"/>
                <w:szCs w:val="20"/>
                <w:color w:val="auto"/>
              </w:rPr>
            </w:pPr>
            <w:r>
              <w:rPr>
                <w:rFonts w:ascii="Arial" w:cs="Arial" w:eastAsia="Arial" w:hAnsi="Arial"/>
                <w:sz w:val="17"/>
                <w:szCs w:val="17"/>
                <w:b w:val="1"/>
                <w:bCs w:val="1"/>
                <w:color w:val="auto"/>
                <w:w w:val="93"/>
              </w:rPr>
              <w:t>Nine Months Ended September 30,</w:t>
            </w:r>
          </w:p>
        </w:tc>
      </w:tr>
      <w:tr>
        <w:trPr>
          <w:trHeight w:val="213"/>
        </w:trPr>
        <w:tc>
          <w:tcPr>
            <w:tcW w:w="20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r>
      <w:tr>
        <w:trPr>
          <w:trHeight w:val="213"/>
        </w:trPr>
        <w:tc>
          <w:tcPr>
            <w:tcW w:w="2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59,896</w:t>
            </w:r>
          </w:p>
        </w:tc>
        <w:tc>
          <w:tcPr>
            <w:tcW w:w="10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69,753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190,998</w:t>
            </w:r>
          </w:p>
        </w:tc>
        <w:tc>
          <w:tcPr>
            <w:tcW w:w="8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206,784</w:t>
            </w:r>
          </w:p>
        </w:tc>
      </w:tr>
      <w:tr>
        <w:trPr>
          <w:trHeight w:val="440"/>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22,440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27,245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69,595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83,024</w:t>
            </w:r>
          </w:p>
        </w:tc>
      </w:tr>
      <w:tr>
        <w:trPr>
          <w:trHeight w:val="220"/>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12,911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42,162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49,962</w:t>
            </w:r>
          </w:p>
        </w:tc>
      </w:tr>
      <w:tr>
        <w:trPr>
          <w:trHeight w:val="220"/>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15,338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48,523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67,790</w:t>
            </w:r>
          </w:p>
        </w:tc>
      </w:tr>
      <w:tr>
        <w:trPr>
          <w:trHeight w:val="220"/>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3,075</w:t>
            </w:r>
          </w:p>
        </w:tc>
      </w:tr>
      <w:tr>
        <w:trPr>
          <w:trHeight w:val="220"/>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8,215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24,019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-984885</wp:posOffset>
            </wp:positionV>
            <wp:extent cx="7080250" cy="147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0250" cy="147955"/>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-697865</wp:posOffset>
            </wp:positionV>
            <wp:extent cx="7080250" cy="139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0250" cy="139700"/>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-418465</wp:posOffset>
            </wp:positionV>
            <wp:extent cx="7080250" cy="139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0250" cy="139700"/>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-139065</wp:posOffset>
            </wp:positionV>
            <wp:extent cx="7080250" cy="139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250" cy="1397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80" w:space="160"/>
            <w:col w:w="8160"/>
          </w:cols>
          <w:pgMar w:left="320" w:top="127" w:right="379" w:bottom="1440" w:gutter="0" w:footer="0" w:header="0"/>
          <w:type w:val="continuous"/>
        </w:sectPr>
      </w:pPr>
    </w:p>
    <w:tbl>
      <w:tblPr>
        <w:tblLayout w:type="fixed"/>
        <w:tblInd w:w="60" w:type="dxa"/>
        <w:tblCellMar>
          <w:top w:w="0" w:type="dxa"/>
          <w:left w:w="0" w:type="dxa"/>
          <w:bottom w:w="0" w:type="dxa"/>
          <w:right w:w="0" w:type="dxa"/>
        </w:tblCellMar>
      </w:tblPr>
      <w:tr>
        <w:trPr>
          <w:trHeight w:val="213"/>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costs and expenses</w:t>
            </w: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58,616</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80,266</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186,204</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230,418</w:t>
            </w:r>
          </w:p>
        </w:tc>
        <w:tc>
          <w:tcPr>
            <w:tcW w:w="0" w:type="dxa"/>
            <w:vAlign w:val="bottom"/>
          </w:tcPr>
          <w:p>
            <w:pPr>
              <w:spacing w:after="0"/>
              <w:rPr>
                <w:sz w:val="1"/>
                <w:szCs w:val="1"/>
                <w:color w:val="auto"/>
              </w:rPr>
            </w:pP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(23,634)</w:t>
            </w:r>
          </w:p>
        </w:tc>
        <w:tc>
          <w:tcPr>
            <w:tcW w:w="0" w:type="dxa"/>
            <w:vAlign w:val="bottom"/>
          </w:tcPr>
          <w:p>
            <w:pPr>
              <w:spacing w:after="0"/>
              <w:rPr>
                <w:sz w:val="1"/>
                <w:szCs w:val="1"/>
                <w:color w:val="auto"/>
              </w:rPr>
            </w:pPr>
          </w:p>
        </w:tc>
      </w:tr>
      <w:tr>
        <w:trPr>
          <w:trHeight w:val="220"/>
        </w:trPr>
        <w:tc>
          <w:tcPr>
            <w:tcW w:w="5060" w:type="dxa"/>
            <w:vAlign w:val="bottom"/>
          </w:tcPr>
          <w:p>
            <w:pPr>
              <w:ind w:left="200"/>
              <w:spacing w:after="0"/>
              <w:rPr>
                <w:sz w:val="20"/>
                <w:szCs w:val="20"/>
                <w:color w:val="auto"/>
              </w:rPr>
            </w:pPr>
            <w:r>
              <w:rPr>
                <w:rFonts w:ascii="Arial" w:cs="Arial" w:eastAsia="Arial" w:hAnsi="Arial"/>
                <w:sz w:val="17"/>
                <w:szCs w:val="17"/>
                <w:color w:val="auto"/>
              </w:rPr>
              <w:t>Interest income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(3,172)</w:t>
            </w:r>
          </w:p>
        </w:tc>
        <w:tc>
          <w:tcPr>
            <w:tcW w:w="0" w:type="dxa"/>
            <w:vAlign w:val="bottom"/>
          </w:tcPr>
          <w:p>
            <w:pPr>
              <w:spacing w:after="0"/>
              <w:rPr>
                <w:sz w:val="1"/>
                <w:szCs w:val="1"/>
                <w:color w:val="auto"/>
              </w:rPr>
            </w:pPr>
          </w:p>
        </w:tc>
      </w:tr>
      <w:tr>
        <w:trPr>
          <w:trHeight w:val="220"/>
        </w:trPr>
        <w:tc>
          <w:tcPr>
            <w:tcW w:w="5060" w:type="dxa"/>
            <w:vAlign w:val="bottom"/>
          </w:tcPr>
          <w:p>
            <w:pPr>
              <w:ind w:left="200"/>
              <w:spacing w:after="0"/>
              <w:rPr>
                <w:sz w:val="20"/>
                <w:szCs w:val="20"/>
                <w:color w:val="auto"/>
              </w:rPr>
            </w:pPr>
            <w:r>
              <w:rPr>
                <w:rFonts w:ascii="Arial" w:cs="Arial" w:eastAsia="Arial" w:hAnsi="Arial"/>
                <w:sz w:val="17"/>
                <w:szCs w:val="17"/>
                <w:color w:val="auto"/>
              </w:rPr>
              <w:t>(Loss) gain on divestiture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 (expense), net</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(3,489)</w:t>
            </w:r>
          </w:p>
        </w:tc>
        <w:tc>
          <w:tcPr>
            <w:tcW w:w="0" w:type="dxa"/>
            <w:vAlign w:val="bottom"/>
          </w:tcPr>
          <w:p>
            <w:pPr>
              <w:spacing w:after="0"/>
              <w:rPr>
                <w:sz w:val="1"/>
                <w:szCs w:val="1"/>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7"/>
                <w:szCs w:val="17"/>
                <w:color w:val="auto"/>
              </w:rPr>
              <w:t>Income (loss) from operations, before taxes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(15,091)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7,648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(30,241)</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(Provision) benefit for income taxes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7,346</w:t>
            </w:r>
          </w:p>
        </w:tc>
        <w:tc>
          <w:tcPr>
            <w:tcW w:w="0" w:type="dxa"/>
            <w:vAlign w:val="bottom"/>
          </w:tcPr>
          <w:p>
            <w:pPr>
              <w:spacing w:after="0"/>
              <w:rPr>
                <w:sz w:val="1"/>
                <w:szCs w:val="1"/>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7"/>
                <w:szCs w:val="17"/>
                <w:color w:val="auto"/>
              </w:rPr>
              <w:t>Net income (loss)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5,970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(22,895)</w:t>
            </w: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ind w:left="200"/>
              <w:spacing w:after="0" w:line="181" w:lineRule="exact"/>
              <w:rPr>
                <w:sz w:val="20"/>
                <w:szCs w:val="20"/>
                <w:color w:val="auto"/>
              </w:rPr>
            </w:pPr>
            <w:r>
              <w:rPr>
                <w:rFonts w:ascii="Arial" w:cs="Arial" w:eastAsia="Arial" w:hAnsi="Arial"/>
                <w:sz w:val="17"/>
                <w:szCs w:val="17"/>
                <w:color w:val="auto"/>
              </w:rPr>
              <w:t>Net (loss) income attributable to redeemable noncontrolling</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20"/>
        </w:trPr>
        <w:tc>
          <w:tcPr>
            <w:tcW w:w="50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Preferred stock dividend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(33,728)</w:t>
            </w:r>
          </w:p>
        </w:tc>
        <w:tc>
          <w:tcPr>
            <w:tcW w:w="0" w:type="dxa"/>
            <w:vAlign w:val="bottom"/>
          </w:tcPr>
          <w:p>
            <w:pPr>
              <w:spacing w:after="0"/>
              <w:rPr>
                <w:sz w:val="1"/>
                <w:szCs w:val="1"/>
                <w:color w:val="auto"/>
              </w:rPr>
            </w:pPr>
          </w:p>
        </w:tc>
      </w:tr>
      <w:tr>
        <w:trPr>
          <w:trHeight w:val="238"/>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attributable to Synchronoss</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 share: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line="194" w:lineRule="exact"/>
              <w:rPr>
                <w:sz w:val="20"/>
                <w:szCs w:val="20"/>
                <w:color w:val="auto"/>
              </w:rPr>
            </w:pPr>
            <w:r>
              <w:rPr>
                <w:rFonts w:ascii="Arial" w:cs="Arial" w:eastAsia="Arial" w:hAnsi="Arial"/>
                <w:sz w:val="17"/>
                <w:szCs w:val="17"/>
                <w:color w:val="auto"/>
              </w:rPr>
              <w:t>Basic</w:t>
            </w:r>
          </w:p>
        </w:tc>
        <w:tc>
          <w:tcPr>
            <w:tcW w:w="500" w:type="dxa"/>
            <w:vAlign w:val="bottom"/>
            <w:tcBorders>
              <w:bottom w:val="single" w:sz="8" w:color="auto"/>
            </w:tcBorders>
          </w:tcPr>
          <w:p>
            <w:pPr>
              <w:jc w:val="right"/>
              <w:ind w:right="314"/>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(0.02)</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74"/>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Weighted-average common shares outstanding:</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86,400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85,646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86,156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57,662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color w:val="auto"/>
              </w:rPr>
              <w:t>Diluted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86,400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85,646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86,156</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57,662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1" w:lineRule="auto"/>
        <w:tabs>
          <w:tab w:leader="none" w:pos="2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476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756"/>
        </w:trPr>
        <w:tc>
          <w:tcPr>
            <w:tcW w:w="6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6980" w:type="dxa"/>
            <w:vAlign w:val="bottom"/>
            <w:gridSpan w:val="8"/>
          </w:tcPr>
          <w:p>
            <w:pPr>
              <w:jc w:val="center"/>
              <w:ind w:left="1734"/>
              <w:spacing w:after="0"/>
              <w:rPr>
                <w:sz w:val="20"/>
                <w:szCs w:val="20"/>
                <w:color w:val="auto"/>
              </w:rPr>
            </w:pPr>
            <w:r>
              <w:rPr>
                <w:rFonts w:ascii="Arial" w:cs="Arial" w:eastAsia="Arial" w:hAnsi="Arial"/>
                <w:sz w:val="17"/>
                <w:szCs w:val="17"/>
                <w:b w:val="1"/>
                <w:bCs w:val="1"/>
                <w:color w:val="auto"/>
              </w:rPr>
              <w:t>SYNCHRONOSS TECHNOLOGIES, INC.</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6"/>
        </w:trPr>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520" w:type="dxa"/>
            <w:vAlign w:val="bottom"/>
            <w:gridSpan w:val="11"/>
          </w:tcPr>
          <w:p>
            <w:pPr>
              <w:jc w:val="center"/>
              <w:ind w:left="214"/>
              <w:spacing w:after="0"/>
              <w:rPr>
                <w:sz w:val="20"/>
                <w:szCs w:val="20"/>
                <w:color w:val="auto"/>
              </w:rPr>
            </w:pPr>
            <w:r>
              <w:rPr>
                <w:rFonts w:ascii="Arial" w:cs="Arial" w:eastAsia="Arial" w:hAnsi="Arial"/>
                <w:sz w:val="17"/>
                <w:szCs w:val="17"/>
                <w:b w:val="1"/>
                <w:bCs w:val="1"/>
                <w:color w:val="auto"/>
              </w:rPr>
              <w:t>CONDENSED CONSOLIDATED STATEMENTS OF COMPREHENSIVE (LOSS) INCOME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3"/>
        </w:trPr>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300" w:type="dxa"/>
            <w:vAlign w:val="bottom"/>
            <w:gridSpan w:val="5"/>
          </w:tcPr>
          <w:p>
            <w:pPr>
              <w:jc w:val="right"/>
              <w:ind w:right="45"/>
              <w:spacing w:after="0"/>
              <w:rPr>
                <w:sz w:val="20"/>
                <w:szCs w:val="20"/>
                <w:color w:val="auto"/>
              </w:rPr>
            </w:pPr>
            <w:r>
              <w:rPr>
                <w:rFonts w:ascii="Arial" w:cs="Arial" w:eastAsia="Arial" w:hAnsi="Arial"/>
                <w:sz w:val="17"/>
                <w:szCs w:val="17"/>
                <w:b w:val="1"/>
                <w:bCs w:val="1"/>
                <w:color w:val="auto"/>
                <w:w w:val="99"/>
              </w:rPr>
              <w:t>(Unaudited) (In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8"/>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ind w:left="20"/>
              <w:spacing w:after="0"/>
              <w:rPr>
                <w:sz w:val="20"/>
                <w:szCs w:val="20"/>
                <w:color w:val="auto"/>
              </w:rPr>
            </w:pPr>
            <w:r>
              <w:rPr>
                <w:rFonts w:ascii="Arial" w:cs="Arial" w:eastAsia="Arial" w:hAnsi="Arial"/>
                <w:sz w:val="17"/>
                <w:szCs w:val="17"/>
                <w:b w:val="1"/>
                <w:bCs w:val="1"/>
                <w:color w:val="auto"/>
              </w:rPr>
              <w:t>Three Months Ended September 30,</w:t>
            </w:r>
          </w:p>
        </w:tc>
        <w:tc>
          <w:tcPr>
            <w:tcW w:w="140" w:type="dxa"/>
            <w:vAlign w:val="bottom"/>
          </w:tcPr>
          <w:p>
            <w:pPr>
              <w:spacing w:after="0"/>
              <w:rPr>
                <w:sz w:val="24"/>
                <w:szCs w:val="24"/>
                <w:color w:val="auto"/>
              </w:rPr>
            </w:pPr>
          </w:p>
        </w:tc>
        <w:tc>
          <w:tcPr>
            <w:tcW w:w="2860" w:type="dxa"/>
            <w:vAlign w:val="bottom"/>
            <w:gridSpan w:val="4"/>
          </w:tcPr>
          <w:p>
            <w:pPr>
              <w:jc w:val="right"/>
              <w:ind w:right="134"/>
              <w:spacing w:after="0"/>
              <w:rPr>
                <w:sz w:val="20"/>
                <w:szCs w:val="20"/>
                <w:color w:val="auto"/>
              </w:rPr>
            </w:pPr>
            <w:r>
              <w:rPr>
                <w:rFonts w:ascii="Arial" w:cs="Arial" w:eastAsia="Arial" w:hAnsi="Arial"/>
                <w:sz w:val="17"/>
                <w:szCs w:val="17"/>
                <w:b w:val="1"/>
                <w:bCs w:val="1"/>
                <w:color w:val="auto"/>
                <w:w w:val="93"/>
              </w:rPr>
              <w:t>Nine Months Ended September 30,</w:t>
            </w:r>
          </w:p>
        </w:tc>
      </w:tr>
      <w:tr>
        <w:trPr>
          <w:trHeight w:val="213"/>
        </w:trPr>
        <w:tc>
          <w:tcPr>
            <w:tcW w:w="60" w:type="dxa"/>
            <w:vAlign w:val="bottom"/>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r>
      <w:tr>
        <w:trPr>
          <w:trHeight w:val="213"/>
        </w:trPr>
        <w:tc>
          <w:tcPr>
            <w:tcW w:w="6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(22,895)</w:t>
            </w:r>
          </w:p>
        </w:tc>
      </w:tr>
      <w:tr>
        <w:trPr>
          <w:trHeight w:val="220"/>
        </w:trPr>
        <w:tc>
          <w:tcPr>
            <w:tcW w:w="60" w:type="dxa"/>
            <w:vAlign w:val="bottom"/>
          </w:tcPr>
          <w:p>
            <w:pPr>
              <w:spacing w:after="0"/>
              <w:rPr>
                <w:sz w:val="19"/>
                <w:szCs w:val="19"/>
                <w:color w:val="auto"/>
              </w:rPr>
            </w:pPr>
          </w:p>
        </w:tc>
        <w:tc>
          <w:tcPr>
            <w:tcW w:w="4700" w:type="dxa"/>
            <w:vAlign w:val="bottom"/>
            <w:gridSpan w:val="2"/>
          </w:tcPr>
          <w:p>
            <w:pPr>
              <w:ind w:left="220"/>
              <w:spacing w:after="0"/>
              <w:rPr>
                <w:sz w:val="20"/>
                <w:szCs w:val="20"/>
                <w:color w:val="auto"/>
              </w:rPr>
            </w:pPr>
            <w:r>
              <w:rPr>
                <w:rFonts w:ascii="Arial" w:cs="Arial" w:eastAsia="Arial" w:hAnsi="Arial"/>
                <w:sz w:val="17"/>
                <w:szCs w:val="17"/>
                <w:color w:val="auto"/>
              </w:rPr>
              <w:t>Other comprehensive loss, net of tax:</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Foreign currency translation adjustments</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(3,595)</w:t>
            </w:r>
          </w:p>
        </w:tc>
      </w:tr>
      <w:tr>
        <w:trPr>
          <w:trHeight w:val="220"/>
        </w:trPr>
        <w:tc>
          <w:tcPr>
            <w:tcW w:w="60" w:type="dxa"/>
            <w:vAlign w:val="bottom"/>
          </w:tcPr>
          <w:p>
            <w:pPr>
              <w:spacing w:after="0"/>
              <w:rPr>
                <w:sz w:val="19"/>
                <w:szCs w:val="19"/>
                <w:color w:val="auto"/>
              </w:rPr>
            </w:pPr>
          </w:p>
        </w:tc>
        <w:tc>
          <w:tcPr>
            <w:tcW w:w="470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w w:val="96"/>
              </w:rPr>
              <w:t>Net income on inter-company foreign currency transactions</w:t>
            </w: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w:t>
            </w:r>
          </w:p>
        </w:tc>
      </w:tr>
      <w:tr>
        <w:trPr>
          <w:trHeight w:val="213"/>
        </w:trPr>
        <w:tc>
          <w:tcPr>
            <w:tcW w:w="60" w:type="dxa"/>
            <w:vAlign w:val="bottom"/>
          </w:tcPr>
          <w:p>
            <w:pPr>
              <w:spacing w:after="0"/>
              <w:rPr>
                <w:sz w:val="18"/>
                <w:szCs w:val="18"/>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other comprehensive loss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(2,698)</w:t>
            </w:r>
          </w:p>
        </w:tc>
      </w:tr>
      <w:tr>
        <w:trPr>
          <w:trHeight w:val="213"/>
        </w:trPr>
        <w:tc>
          <w:tcPr>
            <w:tcW w:w="6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7"/>
                <w:szCs w:val="17"/>
                <w:color w:val="auto"/>
              </w:rPr>
              <w:t>Comprehensive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(12,210)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(22,562)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(25,593)</w:t>
            </w:r>
          </w:p>
        </w:tc>
      </w:tr>
      <w:tr>
        <w:trPr>
          <w:trHeight w:val="182"/>
        </w:trPr>
        <w:tc>
          <w:tcPr>
            <w:tcW w:w="60" w:type="dxa"/>
            <w:vAlign w:val="bottom"/>
          </w:tcPr>
          <w:p>
            <w:pPr>
              <w:spacing w:after="0"/>
              <w:rPr>
                <w:sz w:val="15"/>
                <w:szCs w:val="15"/>
                <w:color w:val="auto"/>
              </w:rPr>
            </w:pPr>
          </w:p>
        </w:tc>
        <w:tc>
          <w:tcPr>
            <w:tcW w:w="470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color w:val="auto"/>
              </w:rPr>
              <w:t>Comprehensive (loss) income attributable to redeemable</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9"/>
        </w:trPr>
        <w:tc>
          <w:tcPr>
            <w:tcW w:w="60" w:type="dxa"/>
            <w:vAlign w:val="bottom"/>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3"/>
        </w:trPr>
        <w:tc>
          <w:tcPr>
            <w:tcW w:w="6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7"/>
                <w:szCs w:val="17"/>
                <w:color w:val="auto"/>
              </w:rPr>
              <w:t>Comprehensive loss attributable to Synchronoss</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(12,276)</w:t>
            </w:r>
          </w:p>
        </w:tc>
        <w:tc>
          <w:tcPr>
            <w:tcW w:w="10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(9,578)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(22,818)</w:t>
            </w:r>
          </w:p>
        </w:tc>
        <w:tc>
          <w:tcPr>
            <w:tcW w:w="8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(25,307)</w:t>
            </w:r>
          </w:p>
        </w:tc>
      </w:tr>
      <w:tr>
        <w:trPr>
          <w:trHeight w:val="20"/>
        </w:trPr>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left="340" w:right="2480"/>
        <w:spacing w:after="0" w:line="283" w:lineRule="auto"/>
        <w:rPr>
          <w:sz w:val="20"/>
          <w:szCs w:val="20"/>
          <w:color w:val="auto"/>
        </w:rPr>
      </w:pPr>
      <w:r>
        <w:rPr>
          <w:rFonts w:ascii="Arial" w:cs="Arial" w:eastAsia="Arial" w:hAnsi="Arial"/>
          <w:sz w:val="17"/>
          <w:szCs w:val="17"/>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20"/>
              <w:spacing w:after="0"/>
              <w:rPr>
                <w:sz w:val="20"/>
                <w:szCs w:val="20"/>
                <w:color w:val="auto"/>
              </w:rPr>
            </w:pPr>
            <w:r>
              <w:rPr>
                <w:rFonts w:ascii="Arial" w:cs="Arial" w:eastAsia="Arial" w:hAnsi="Arial"/>
                <w:sz w:val="12"/>
                <w:szCs w:val="12"/>
                <w:b w:val="1"/>
                <w:bCs w:val="1"/>
                <w:color w:val="auto"/>
              </w:rPr>
              <w:t>Three Months Ended September 30, 2022</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3"/>
          </w:tcPr>
          <w:p>
            <w:pPr>
              <w:ind w:left="40"/>
              <w:spacing w:after="0"/>
              <w:rPr>
                <w:sz w:val="20"/>
                <w:szCs w:val="20"/>
                <w:color w:val="auto"/>
              </w:rPr>
            </w:pPr>
            <w:r>
              <w:rPr>
                <w:rFonts w:ascii="Arial" w:cs="Arial" w:eastAsia="Arial" w:hAnsi="Arial"/>
                <w:sz w:val="9"/>
                <w:szCs w:val="9"/>
                <w:b w:val="1"/>
                <w:bCs w:val="1"/>
                <w:color w:val="auto"/>
              </w:rPr>
              <w:t>Treasury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0"/>
        </w:trPr>
        <w:tc>
          <w:tcPr>
            <w:tcW w:w="3640" w:type="dxa"/>
            <w:vAlign w:val="bottom"/>
          </w:tcPr>
          <w:p>
            <w:pPr>
              <w:spacing w:after="0"/>
              <w:rPr>
                <w:sz w:val="10"/>
                <w:szCs w:val="10"/>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ind w:left="260"/>
              <w:spacing w:after="0"/>
              <w:rPr>
                <w:sz w:val="20"/>
                <w:szCs w:val="20"/>
                <w:color w:val="auto"/>
              </w:rPr>
            </w:pPr>
            <w:r>
              <w:rPr>
                <w:rFonts w:ascii="Arial" w:cs="Arial" w:eastAsia="Arial" w:hAnsi="Arial"/>
                <w:sz w:val="9"/>
                <w:szCs w:val="9"/>
                <w:b w:val="1"/>
                <w:bCs w:val="1"/>
                <w:color w:val="auto"/>
                <w:w w:val="93"/>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280"/>
              <w:spacing w:after="0"/>
              <w:rPr>
                <w:sz w:val="20"/>
                <w:szCs w:val="20"/>
                <w:color w:val="auto"/>
              </w:rPr>
            </w:pPr>
            <w:r>
              <w:rPr>
                <w:rFonts w:ascii="Arial" w:cs="Arial" w:eastAsia="Arial" w:hAnsi="Arial"/>
                <w:sz w:val="9"/>
                <w:szCs w:val="9"/>
                <w:b w:val="1"/>
                <w:bCs w:val="1"/>
                <w:color w:val="auto"/>
                <w:w w:val="99"/>
              </w:rPr>
              <w:t>Amount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2"/>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2022</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89,045</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490,594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w w:val="93"/>
              </w:rPr>
              <w:t>(48,221)</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(364,019)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78,363</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880" w:type="dxa"/>
            <w:vAlign w:val="bottom"/>
            <w:gridSpan w:val="3"/>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1,710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1,710</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2,147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880" w:type="dxa"/>
            <w:vAlign w:val="bottom"/>
            <w:gridSpan w:val="3"/>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(2,298)</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1,086</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880" w:type="dxa"/>
            <w:vAlign w:val="bottom"/>
            <w:gridSpan w:val="3"/>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3"/>
              </w:rPr>
              <w:t>(13,296)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(13,296)</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2022</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91,192</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490,072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w w:val="93"/>
              </w:rPr>
              <w:t>(61,517)</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(362,999)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65,565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20"/>
              <w:spacing w:after="0"/>
              <w:rPr>
                <w:sz w:val="20"/>
                <w:szCs w:val="20"/>
                <w:color w:val="auto"/>
              </w:rPr>
            </w:pPr>
            <w:r>
              <w:rPr>
                <w:rFonts w:ascii="Arial" w:cs="Arial" w:eastAsia="Arial" w:hAnsi="Arial"/>
                <w:sz w:val="12"/>
                <w:szCs w:val="12"/>
                <w:b w:val="1"/>
                <w:bCs w:val="1"/>
                <w:color w:val="auto"/>
              </w:rPr>
              <w:t>Three Months Ended September 30, 2021</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3"/>
          </w:tcPr>
          <w:p>
            <w:pPr>
              <w:ind w:left="40"/>
              <w:spacing w:after="0"/>
              <w:rPr>
                <w:sz w:val="20"/>
                <w:szCs w:val="20"/>
                <w:color w:val="auto"/>
              </w:rPr>
            </w:pPr>
            <w:r>
              <w:rPr>
                <w:rFonts w:ascii="Arial" w:cs="Arial" w:eastAsia="Arial" w:hAnsi="Arial"/>
                <w:sz w:val="9"/>
                <w:szCs w:val="9"/>
                <w:b w:val="1"/>
                <w:bCs w:val="1"/>
                <w:color w:val="auto"/>
              </w:rPr>
              <w:t>Treasury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10"/>
                <w:szCs w:val="10"/>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ind w:left="260"/>
              <w:spacing w:after="0"/>
              <w:rPr>
                <w:sz w:val="20"/>
                <w:szCs w:val="20"/>
                <w:color w:val="auto"/>
              </w:rPr>
            </w:pPr>
            <w:r>
              <w:rPr>
                <w:rFonts w:ascii="Arial" w:cs="Arial" w:eastAsia="Arial" w:hAnsi="Arial"/>
                <w:sz w:val="9"/>
                <w:szCs w:val="9"/>
                <w:b w:val="1"/>
                <w:bCs w:val="1"/>
                <w:color w:val="auto"/>
                <w:w w:val="93"/>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280"/>
              <w:spacing w:after="0"/>
              <w:rPr>
                <w:sz w:val="20"/>
                <w:szCs w:val="20"/>
                <w:color w:val="auto"/>
              </w:rPr>
            </w:pPr>
            <w:r>
              <w:rPr>
                <w:rFonts w:ascii="Arial" w:cs="Arial" w:eastAsia="Arial" w:hAnsi="Arial"/>
                <w:sz w:val="9"/>
                <w:szCs w:val="9"/>
                <w:b w:val="1"/>
                <w:bCs w:val="1"/>
                <w:color w:val="auto"/>
                <w:w w:val="99"/>
              </w:rPr>
              <w:t>Amount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2"/>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22"/>
        </w:trPr>
        <w:tc>
          <w:tcPr>
            <w:tcW w:w="3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88,121</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491,660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(29,442)</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(360,271)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101,956</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880" w:type="dxa"/>
            <w:vAlign w:val="bottom"/>
            <w:gridSpan w:val="3"/>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2,438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2,438</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880" w:type="dxa"/>
            <w:vAlign w:val="bottom"/>
            <w:gridSpan w:val="3"/>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(1,722)</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(8,109)</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880" w:type="dxa"/>
            <w:vAlign w:val="bottom"/>
            <w:gridSpan w:val="3"/>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677"/>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(1,469)</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2021</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87,999</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492,376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(30,911)</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(368,380)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93,094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40"/>
              <w:spacing w:after="0"/>
              <w:rPr>
                <w:sz w:val="20"/>
                <w:szCs w:val="20"/>
                <w:color w:val="auto"/>
              </w:rPr>
            </w:pPr>
            <w:r>
              <w:rPr>
                <w:rFonts w:ascii="Arial" w:cs="Arial" w:eastAsia="Arial" w:hAnsi="Arial"/>
                <w:sz w:val="12"/>
                <w:szCs w:val="12"/>
                <w:b w:val="1"/>
                <w:bCs w:val="1"/>
                <w:color w:val="auto"/>
              </w:rPr>
              <w:t>Nine Months Ended September 30, 2022</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ind w:left="600"/>
              <w:spacing w:after="0"/>
              <w:rPr>
                <w:sz w:val="20"/>
                <w:szCs w:val="20"/>
                <w:color w:val="auto"/>
              </w:rPr>
            </w:pPr>
            <w:r>
              <w:rPr>
                <w:rFonts w:ascii="Arial" w:cs="Arial" w:eastAsia="Arial" w:hAnsi="Arial"/>
                <w:sz w:val="9"/>
                <w:szCs w:val="9"/>
                <w:b w:val="1"/>
                <w:bCs w:val="1"/>
                <w:color w:val="auto"/>
              </w:rPr>
              <w:t>Treasury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10"/>
                <w:szCs w:val="10"/>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30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40" w:type="dxa"/>
            <w:vAlign w:val="bottom"/>
            <w:vMerge w:val="restart"/>
          </w:tcPr>
          <w:p>
            <w:pPr>
              <w:jc w:val="right"/>
              <w:ind w:right="4"/>
              <w:spacing w:after="0"/>
              <w:rPr>
                <w:sz w:val="20"/>
                <w:szCs w:val="20"/>
                <w:color w:val="auto"/>
              </w:rPr>
            </w:pPr>
            <w:r>
              <w:rPr>
                <w:rFonts w:ascii="Arial" w:cs="Arial" w:eastAsia="Arial" w:hAnsi="Arial"/>
                <w:sz w:val="9"/>
                <w:szCs w:val="9"/>
                <w:b w:val="1"/>
                <w:bCs w:val="1"/>
                <w:color w:val="auto"/>
              </w:rPr>
              <w:t>Amount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22"/>
        </w:trPr>
        <w:tc>
          <w:tcPr>
            <w:tcW w:w="3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88,305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0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492,512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w w:val="93"/>
              </w:rPr>
              <w:t>(32,985)</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(368,713)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90,823</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4,639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4,639</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(7,112)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(7,112)</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16"/>
        </w:trPr>
        <w:tc>
          <w:tcPr>
            <w:tcW w:w="3640" w:type="dxa"/>
            <w:vAlign w:val="bottom"/>
          </w:tcPr>
          <w:p>
            <w:pPr>
              <w:ind w:left="140"/>
              <w:spacing w:after="0" w:line="117" w:lineRule="exact"/>
              <w:rPr>
                <w:sz w:val="20"/>
                <w:szCs w:val="20"/>
                <w:color w:val="auto"/>
              </w:rPr>
            </w:pPr>
            <w:r>
              <w:rPr>
                <w:rFonts w:ascii="Arial" w:cs="Arial" w:eastAsia="Arial" w:hAnsi="Arial"/>
                <w:sz w:val="12"/>
                <w:szCs w:val="12"/>
                <w:color w:val="auto"/>
                <w:w w:val="99"/>
              </w:rPr>
              <w:t>Shares withheld for taxes in connection with issuance of restricted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40" w:type="dxa"/>
            <w:vAlign w:val="bottom"/>
          </w:tcPr>
          <w:p>
            <w:pPr>
              <w:ind w:left="140"/>
              <w:spacing w:after="0"/>
              <w:rPr>
                <w:sz w:val="20"/>
                <w:szCs w:val="20"/>
                <w:color w:val="auto"/>
              </w:rPr>
            </w:pPr>
            <w:r>
              <w:rPr>
                <w:rFonts w:ascii="Arial" w:cs="Arial" w:eastAsia="Arial" w:hAnsi="Arial"/>
                <w:sz w:val="12"/>
                <w:szCs w:val="12"/>
                <w:color w:val="auto"/>
              </w:rPr>
              <w:t>stock</w:t>
            </w:r>
          </w:p>
        </w:tc>
        <w:tc>
          <w:tcPr>
            <w:tcW w:w="760" w:type="dxa"/>
            <w:vAlign w:val="bottom"/>
          </w:tcPr>
          <w:p>
            <w:pPr>
              <w:jc w:val="right"/>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5,970</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256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3"/>
              </w:rPr>
              <w:t>(28,532)</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(28,532)</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2022</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91,192</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490,072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w w:val="93"/>
              </w:rPr>
              <w:t>(61,517)</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(362,999)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65,565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40"/>
              <w:spacing w:after="0"/>
              <w:rPr>
                <w:sz w:val="20"/>
                <w:szCs w:val="20"/>
                <w:color w:val="auto"/>
              </w:rPr>
            </w:pPr>
            <w:r>
              <w:rPr>
                <w:rFonts w:ascii="Arial" w:cs="Arial" w:eastAsia="Arial" w:hAnsi="Arial"/>
                <w:sz w:val="12"/>
                <w:szCs w:val="12"/>
                <w:b w:val="1"/>
                <w:bCs w:val="1"/>
                <w:color w:val="auto"/>
              </w:rPr>
              <w:t>Nine Months Ended September 30, 2021</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0"/>
        </w:trPr>
        <w:tc>
          <w:tcPr>
            <w:tcW w:w="3640" w:type="dxa"/>
            <w:vAlign w:val="bottom"/>
          </w:tcPr>
          <w:p>
            <w:pPr>
              <w:spacing w:after="0"/>
              <w:rPr>
                <w:sz w:val="10"/>
                <w:szCs w:val="10"/>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51,177</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499,348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(28,213)</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(345,771)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43,282</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7,472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7,472</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1,676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(20,937)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(20,937)</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(12,791)</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Issuance of common stock related to acquisition</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42,308</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109,996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110,000</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Common Stock -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(8,340)</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Retirement of treasury stock</w:t>
            </w:r>
          </w:p>
        </w:tc>
        <w:tc>
          <w:tcPr>
            <w:tcW w:w="760" w:type="dxa"/>
            <w:vAlign w:val="bottom"/>
          </w:tcPr>
          <w:p>
            <w:pPr>
              <w:jc w:val="right"/>
              <w:spacing w:after="0"/>
              <w:rPr>
                <w:sz w:val="20"/>
                <w:szCs w:val="20"/>
                <w:color w:val="auto"/>
              </w:rPr>
            </w:pPr>
            <w:r>
              <w:rPr>
                <w:rFonts w:ascii="Arial" w:cs="Arial" w:eastAsia="Arial" w:hAnsi="Arial"/>
                <w:sz w:val="12"/>
                <w:szCs w:val="12"/>
                <w:color w:val="auto"/>
              </w:rPr>
              <w:t>(7,162)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7,162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82,087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(82,087)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(22,895)</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(2,698)</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(2,698)</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2021</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87,999</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492,376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(30,911)</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(368,380)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93,094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640" w:type="dxa"/>
            <w:vAlign w:val="bottom"/>
            <w:tcBorders>
              <w:bottom w:val="single" w:sz="8" w:color="auto"/>
            </w:tcBorders>
          </w:tcPr>
          <w:p>
            <w:pPr>
              <w:spacing w:after="0"/>
              <w:rPr>
                <w:sz w:val="17"/>
                <w:szCs w:val="17"/>
                <w:color w:val="auto"/>
              </w:rPr>
            </w:pPr>
          </w:p>
        </w:tc>
      </w:tr>
      <w:tr>
        <w:trPr>
          <w:trHeight w:val="200"/>
        </w:trPr>
        <w:tc>
          <w:tcPr>
            <w:tcW w:w="76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18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5,970</w:t>
            </w:r>
          </w:p>
        </w:tc>
        <w:tc>
          <w:tcPr>
            <w:tcW w:w="80" w:type="dxa"/>
            <w:vAlign w:val="bottom"/>
          </w:tcPr>
          <w:p>
            <w:pPr>
              <w:spacing w:after="0"/>
              <w:rPr>
                <w:sz w:val="17"/>
                <w:szCs w:val="17"/>
                <w:color w:val="auto"/>
              </w:rPr>
            </w:pP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(22,895)</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24,019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26,567</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debt issuance costs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305</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Loss on disposals of fixed assets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58</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sale of DXP &amp; Activations Solutions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Gain on disposals of intangible assets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bond discount (premium)</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(1,574)</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7,230</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Operating lease impairment, net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1,794</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8,905</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(7,275)</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(6,441)</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8,237</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(6,839)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(13,338)</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(17,033)</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4,528</w:t>
            </w:r>
          </w:p>
        </w:tc>
      </w:tr>
      <w:tr>
        <w:trPr>
          <w:trHeight w:val="197"/>
        </w:trPr>
        <w:tc>
          <w:tcPr>
            <w:tcW w:w="76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provided by operating activities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11,078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5,551</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Purchases of fixed assets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(1,386)</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Additions to capitalized software</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(15,250)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(17,004)</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Proceeds from the sale of intangibles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550</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the sale of DXP &amp; Activations Solutions</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197"/>
        </w:trPr>
        <w:tc>
          <w:tcPr>
            <w:tcW w:w="76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used in investing activities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(8,271)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(17,840)</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Share-based compensation-related proceeds, net of taxes paid on withholding shares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Taxes paid on withholding shares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Debt issuance costs related to long term debt</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(7,811)</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long term debt</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125,000</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Repayment of revolving line of credit</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(10,000)</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110,000</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Common stock issuance costs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(8,340)</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Series B preferred stock</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75,000</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Series B preferred stock issuance costs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(2,495)</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Series B preferred dividend paid in the form of cash</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Redemption of Series B Preferred stock</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(6,738)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Redemption of Series A Preferred stock</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(278,665)</w:t>
            </w:r>
          </w:p>
        </w:tc>
      </w:tr>
      <w:tr>
        <w:trPr>
          <w:trHeight w:val="197"/>
        </w:trPr>
        <w:tc>
          <w:tcPr>
            <w:tcW w:w="76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(used in) provided by financing activities</w:t>
            </w:r>
          </w:p>
        </w:tc>
        <w:tc>
          <w:tcPr>
            <w:tcW w:w="1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(10,975)</w:t>
            </w:r>
          </w:p>
        </w:tc>
        <w:tc>
          <w:tcPr>
            <w:tcW w:w="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2,687</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exchange rate changes on cash</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w:t>
            </w:r>
          </w:p>
        </w:tc>
      </w:tr>
      <w:tr>
        <w:trPr>
          <w:trHeight w:val="197"/>
        </w:trPr>
        <w:tc>
          <w:tcPr>
            <w:tcW w:w="7620" w:type="dxa"/>
            <w:vAlign w:val="bottom"/>
            <w:tcBorders>
              <w:bottom w:val="single" w:sz="8" w:color="CCEEFF"/>
            </w:tcBorders>
          </w:tcPr>
          <w:p>
            <w:pPr>
              <w:ind w:left="20"/>
              <w:spacing w:after="0" w:line="182" w:lineRule="exact"/>
              <w:rPr>
                <w:sz w:val="20"/>
                <w:szCs w:val="20"/>
                <w:color w:val="auto"/>
              </w:rPr>
            </w:pPr>
            <w:r>
              <w:rPr>
                <w:rFonts w:ascii="Arial" w:cs="Arial" w:eastAsia="Arial" w:hAnsi="Arial"/>
                <w:sz w:val="16"/>
                <w:szCs w:val="16"/>
                <w:b w:val="1"/>
                <w:bCs w:val="1"/>
                <w:color w:val="auto"/>
              </w:rPr>
              <w:t>Net decrease in cash and cash equivalents</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(8,920)</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(9,530)</w:t>
            </w:r>
          </w:p>
        </w:tc>
      </w:tr>
      <w:tr>
        <w:trPr>
          <w:trHeight w:val="203"/>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 beginning of period</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31,504</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33,671</w:t>
            </w:r>
          </w:p>
        </w:tc>
      </w:tr>
      <w:tr>
        <w:trPr>
          <w:trHeight w:val="174"/>
        </w:trPr>
        <w:tc>
          <w:tcPr>
            <w:tcW w:w="7620" w:type="dxa"/>
            <w:vAlign w:val="bottom"/>
          </w:tcPr>
          <w:p>
            <w:pPr>
              <w:ind w:left="220"/>
              <w:spacing w:after="0" w:line="175" w:lineRule="exact"/>
              <w:rPr>
                <w:sz w:val="20"/>
                <w:szCs w:val="20"/>
                <w:color w:val="auto"/>
              </w:rPr>
            </w:pPr>
            <w:r>
              <w:rPr>
                <w:rFonts w:ascii="Arial" w:cs="Arial" w:eastAsia="Arial" w:hAnsi="Arial"/>
                <w:sz w:val="16"/>
                <w:szCs w:val="16"/>
                <w:color w:val="auto"/>
              </w:rPr>
              <w:t>Cash and cash equivalents, end of period</w:t>
            </w:r>
          </w:p>
        </w:tc>
        <w:tc>
          <w:tcPr>
            <w:tcW w:w="1120" w:type="dxa"/>
            <w:vAlign w:val="bottom"/>
            <w:tcBorders>
              <w:bottom w:val="single" w:sz="8" w:color="auto"/>
            </w:tcBorders>
          </w:tcPr>
          <w:p>
            <w:pPr>
              <w:jc w:val="right"/>
              <w:ind w:right="942"/>
              <w:spacing w:after="0" w:line="175"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22,584</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942"/>
              <w:spacing w:after="0" w:line="175"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2"/>
              <w:spacing w:after="0" w:line="175" w:lineRule="exact"/>
              <w:rPr>
                <w:sz w:val="20"/>
                <w:szCs w:val="20"/>
                <w:color w:val="auto"/>
              </w:rPr>
            </w:pPr>
            <w:r>
              <w:rPr>
                <w:rFonts w:ascii="Arial" w:cs="Arial" w:eastAsia="Arial" w:hAnsi="Arial"/>
                <w:sz w:val="16"/>
                <w:szCs w:val="16"/>
                <w:color w:val="auto"/>
              </w:rPr>
              <w:t>24,141</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3"/>
        </w:trPr>
        <w:tc>
          <w:tcPr>
            <w:tcW w:w="762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4"/>
        </w:trPr>
        <w:tc>
          <w:tcPr>
            <w:tcW w:w="7620" w:type="dxa"/>
            <w:vAlign w:val="bottom"/>
          </w:tcPr>
          <w:p>
            <w:pPr>
              <w:ind w:left="200"/>
              <w:spacing w:after="0"/>
              <w:rPr>
                <w:sz w:val="20"/>
                <w:szCs w:val="20"/>
                <w:color w:val="auto"/>
              </w:rPr>
            </w:pPr>
            <w:r>
              <w:rPr>
                <w:rFonts w:ascii="Arial" w:cs="Arial" w:eastAsia="Arial" w:hAnsi="Arial"/>
                <w:sz w:val="16"/>
                <w:szCs w:val="16"/>
                <w:color w:val="auto"/>
              </w:rPr>
              <w:t>Paid in kind dividends on Series A Preferred Stock</w:t>
            </w: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31,277</w:t>
            </w: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Paid in kind dividends on Series B Preferred Stock</w:t>
            </w: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bl>
    <w:p>
      <w:pPr>
        <w:spacing w:after="0" w:line="8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Synchronoss Technologies, Inc. (“Synchronoss” or the “Company”) is a leading provider of white label cloud, messaging, and digital solutions that enable our customers to keep subscribers, systems, networks and content in sync.</w:t>
      </w:r>
    </w:p>
    <w:p>
      <w:pPr>
        <w:spacing w:after="0" w:line="95"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w:t>
      </w:r>
    </w:p>
    <w:p>
      <w:pPr>
        <w:spacing w:after="0" w:line="20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Synchronoss Personal Cloud™ platform is specifically designed to support smartphones, tablets and wirelessly enabled consumer electronics such as wearables for health and wellness, cameras, tablets, e-readers, personal navigation devices, and GPS enabled devices, as well as connected automobiles and homes.</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Synchronoss Messaging Platform powers mobile messaging and mailboxes for hundreds of millions of telecommunication subscribers. The Advanced Messaging platform is a powerful, secure, intelligent, white-label messaging platform that expands capabilities for communications service provider and multi-service providers to offer P2P messaging via Rich Communications Services (“RCS”). The Mobile Messaging Platform (“MMP”) provides a single standard ecosystem for onboarding and management to brands, advertisers and message wholesalers.</w:t>
      </w:r>
    </w:p>
    <w:p>
      <w:pPr>
        <w:spacing w:after="0" w:line="20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Synchronoss Digital Portfolio includes the Total Network Management application which provides operators with the tools and software to design their physical network, streamline their infrastructure purchases, and manage and optimize comprehensive network expense for leading top tier carriers around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Basis of Presentation and Consolidation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4" w:lineRule="exact"/>
        <w:rPr>
          <w:sz w:val="20"/>
          <w:szCs w:val="20"/>
          <w:color w:val="auto"/>
        </w:rPr>
      </w:pPr>
    </w:p>
    <w:p>
      <w:pPr>
        <w:jc w:val="both"/>
        <w:ind w:right="100" w:firstLine="311"/>
        <w:spacing w:after="0" w:line="260"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2021. The results of operations for the three and nine months ended September 30, 2022 are not necessarily indicative of the results to be expected for the year ending December 31, 2022.</w:t>
      </w:r>
    </w:p>
    <w:p>
      <w:pPr>
        <w:spacing w:after="0" w:line="204" w:lineRule="exact"/>
        <w:rPr>
          <w:sz w:val="20"/>
          <w:szCs w:val="20"/>
          <w:color w:val="auto"/>
        </w:rPr>
      </w:pPr>
    </w:p>
    <w:p>
      <w:pPr>
        <w:jc w:val="both"/>
        <w:ind w:right="100" w:firstLine="311"/>
        <w:spacing w:after="0" w:line="281" w:lineRule="auto"/>
        <w:rPr>
          <w:sz w:val="20"/>
          <w:szCs w:val="20"/>
          <w:color w:val="auto"/>
        </w:rPr>
      </w:pPr>
      <w:r>
        <w:rPr>
          <w:rFonts w:ascii="Arial" w:cs="Arial" w:eastAsia="Arial" w:hAnsi="Arial"/>
          <w:sz w:val="16"/>
          <w:szCs w:val="16"/>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91" w:lineRule="exact"/>
        <w:rPr>
          <w:sz w:val="20"/>
          <w:szCs w:val="20"/>
          <w:color w:val="auto"/>
        </w:rPr>
      </w:pPr>
    </w:p>
    <w:p>
      <w:pPr>
        <w:jc w:val="both"/>
        <w:ind w:right="100" w:firstLine="311"/>
        <w:spacing w:after="0" w:line="316"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31" w:lineRule="exact"/>
        <w:rPr>
          <w:sz w:val="20"/>
          <w:szCs w:val="20"/>
          <w:color w:val="auto"/>
        </w:rPr>
      </w:pPr>
    </w:p>
    <w:p>
      <w:pPr>
        <w:jc w:val="both"/>
        <w:ind w:right="100" w:firstLine="311"/>
        <w:spacing w:after="0" w:line="250" w:lineRule="auto"/>
        <w:rPr>
          <w:sz w:val="20"/>
          <w:szCs w:val="20"/>
          <w:color w:val="auto"/>
        </w:rPr>
      </w:pPr>
      <w:r>
        <w:rPr>
          <w:rFonts w:ascii="Arial" w:cs="Arial" w:eastAsia="Arial" w:hAnsi="Arial"/>
          <w:sz w:val="17"/>
          <w:szCs w:val="17"/>
          <w:color w:val="auto"/>
        </w:rPr>
        <w:t>There continue to be uncertainties regarding the coronavirus ("COVID-19") pandemic and current geopolitical environment. The Company is closely monitoring the impact of the pandemic and geopolitical environment on all aspects of its business, including how it will impact its customers, employees, suppliers, vendors, business partners and distribution channels. While the pandemic or geopolitical environment did not materially affect the Company’s financial results and business operations for the three and nine months ended September 30, 2022, the Company is unable to predict the impact these factors will have on its financial position and operating results due to numerous uncertainties. The Company will continue to assess the evolving impact of the COVID-19 pandemic and geopolitical environment and will make adjustments to its operations as necessary.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Recent accounting pronouncements adopted</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1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Standard</w:t>
            </w:r>
          </w:p>
        </w:tc>
        <w:tc>
          <w:tcPr>
            <w:tcW w:w="6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Description</w:t>
            </w:r>
          </w:p>
        </w:tc>
        <w:tc>
          <w:tcPr>
            <w:tcW w:w="256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7"/>
                <w:szCs w:val="17"/>
                <w:color w:val="auto"/>
                <w:w w:val="99"/>
              </w:rPr>
              <w:t>Effect on the financial statements</w:t>
            </w:r>
          </w:p>
        </w:tc>
        <w:tc>
          <w:tcPr>
            <w:tcW w:w="2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line="188" w:lineRule="exact"/>
              <w:rPr>
                <w:sz w:val="20"/>
                <w:szCs w:val="20"/>
                <w:color w:val="auto"/>
              </w:rPr>
            </w:pPr>
            <w:r>
              <w:rPr>
                <w:rFonts w:ascii="Arial" w:cs="Arial" w:eastAsia="Arial" w:hAnsi="Arial"/>
                <w:sz w:val="17"/>
                <w:szCs w:val="17"/>
                <w:color w:val="auto"/>
                <w:w w:val="94"/>
              </w:rPr>
              <w:t>ASU 2021-04 Earnings Per</w:t>
            </w:r>
          </w:p>
        </w:tc>
        <w:tc>
          <w:tcPr>
            <w:tcW w:w="6260" w:type="dxa"/>
            <w:vAlign w:val="bottom"/>
          </w:tcPr>
          <w:p>
            <w:pPr>
              <w:ind w:left="60"/>
              <w:spacing w:after="0" w:line="188" w:lineRule="exact"/>
              <w:rPr>
                <w:sz w:val="20"/>
                <w:szCs w:val="20"/>
                <w:color w:val="auto"/>
              </w:rPr>
            </w:pPr>
            <w:r>
              <w:rPr>
                <w:rFonts w:ascii="Arial" w:cs="Arial" w:eastAsia="Arial" w:hAnsi="Arial"/>
                <w:sz w:val="17"/>
                <w:szCs w:val="17"/>
                <w:color w:val="auto"/>
                <w:w w:val="93"/>
              </w:rPr>
              <w:t>The amendments in this Update provide guidance for a modification or an exchange of a</w:t>
            </w:r>
          </w:p>
        </w:tc>
        <w:tc>
          <w:tcPr>
            <w:tcW w:w="2780" w:type="dxa"/>
            <w:vAlign w:val="bottom"/>
            <w:gridSpan w:val="5"/>
          </w:tcPr>
          <w:p>
            <w:pPr>
              <w:ind w:left="60"/>
              <w:spacing w:after="0" w:line="188" w:lineRule="exact"/>
              <w:rPr>
                <w:sz w:val="20"/>
                <w:szCs w:val="20"/>
                <w:color w:val="auto"/>
              </w:rPr>
            </w:pPr>
            <w:r>
              <w:rPr>
                <w:rFonts w:ascii="Arial" w:cs="Arial" w:eastAsia="Arial" w:hAnsi="Arial"/>
                <w:sz w:val="17"/>
                <w:szCs w:val="17"/>
                <w:color w:val="auto"/>
                <w:w w:val="95"/>
              </w:rPr>
              <w:t>We adopted this standard on January</w:t>
            </w:r>
          </w:p>
        </w:tc>
        <w:tc>
          <w:tcPr>
            <w:tcW w:w="0" w:type="dxa"/>
            <w:vAlign w:val="bottom"/>
          </w:tcPr>
          <w:p>
            <w:pPr>
              <w:spacing w:after="0"/>
              <w:rPr>
                <w:sz w:val="1"/>
                <w:szCs w:val="1"/>
                <w:color w:val="auto"/>
              </w:rPr>
            </w:pPr>
          </w:p>
        </w:tc>
      </w:tr>
      <w:tr>
        <w:trPr>
          <w:trHeight w:val="194"/>
        </w:trPr>
        <w:tc>
          <w:tcPr>
            <w:tcW w:w="1980" w:type="dxa"/>
            <w:vAlign w:val="bottom"/>
          </w:tcPr>
          <w:p>
            <w:pPr>
              <w:ind w:left="20"/>
              <w:spacing w:after="0" w:line="194" w:lineRule="exact"/>
              <w:rPr>
                <w:sz w:val="20"/>
                <w:szCs w:val="20"/>
                <w:color w:val="auto"/>
              </w:rPr>
            </w:pPr>
            <w:r>
              <w:rPr>
                <w:rFonts w:ascii="Arial" w:cs="Arial" w:eastAsia="Arial" w:hAnsi="Arial"/>
                <w:sz w:val="17"/>
                <w:szCs w:val="17"/>
                <w:color w:val="auto"/>
                <w:w w:val="97"/>
              </w:rPr>
              <w:t>Share (Topic 260), Debt—</w:t>
            </w:r>
          </w:p>
        </w:tc>
        <w:tc>
          <w:tcPr>
            <w:tcW w:w="6260" w:type="dxa"/>
            <w:vAlign w:val="bottom"/>
          </w:tcPr>
          <w:p>
            <w:pPr>
              <w:ind w:left="60"/>
              <w:spacing w:after="0" w:line="194" w:lineRule="exact"/>
              <w:rPr>
                <w:sz w:val="20"/>
                <w:szCs w:val="20"/>
                <w:color w:val="auto"/>
              </w:rPr>
            </w:pPr>
            <w:r>
              <w:rPr>
                <w:rFonts w:ascii="Arial" w:cs="Arial" w:eastAsia="Arial" w:hAnsi="Arial"/>
                <w:sz w:val="17"/>
                <w:szCs w:val="17"/>
                <w:color w:val="auto"/>
                <w:w w:val="96"/>
              </w:rPr>
              <w:t>freestanding equity-classified written call option that is not within the scope of another</w:t>
            </w:r>
          </w:p>
        </w:tc>
        <w:tc>
          <w:tcPr>
            <w:tcW w:w="2780" w:type="dxa"/>
            <w:vAlign w:val="bottom"/>
            <w:gridSpan w:val="5"/>
          </w:tcPr>
          <w:p>
            <w:pPr>
              <w:ind w:left="60"/>
              <w:spacing w:after="0" w:line="194" w:lineRule="exact"/>
              <w:rPr>
                <w:sz w:val="20"/>
                <w:szCs w:val="20"/>
                <w:color w:val="auto"/>
              </w:rPr>
            </w:pPr>
            <w:r>
              <w:rPr>
                <w:rFonts w:ascii="Arial" w:cs="Arial" w:eastAsia="Arial" w:hAnsi="Arial"/>
                <w:sz w:val="17"/>
                <w:szCs w:val="17"/>
                <w:color w:val="auto"/>
                <w:w w:val="96"/>
              </w:rPr>
              <w:t>2022.  The  Company  evaluated  the</w:t>
            </w:r>
          </w:p>
        </w:tc>
        <w:tc>
          <w:tcPr>
            <w:tcW w:w="0" w:type="dxa"/>
            <w:vAlign w:val="bottom"/>
          </w:tcPr>
          <w:p>
            <w:pPr>
              <w:spacing w:after="0"/>
              <w:rPr>
                <w:sz w:val="1"/>
                <w:szCs w:val="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7"/>
                <w:szCs w:val="17"/>
                <w:color w:val="auto"/>
              </w:rPr>
              <w:t>Modifications and</w:t>
            </w:r>
          </w:p>
        </w:tc>
        <w:tc>
          <w:tcPr>
            <w:tcW w:w="6260" w:type="dxa"/>
            <w:vAlign w:val="bottom"/>
          </w:tcPr>
          <w:p>
            <w:pPr>
              <w:ind w:left="60"/>
              <w:spacing w:after="0"/>
              <w:rPr>
                <w:sz w:val="20"/>
                <w:szCs w:val="20"/>
                <w:color w:val="auto"/>
              </w:rPr>
            </w:pPr>
            <w:r>
              <w:rPr>
                <w:rFonts w:ascii="Arial" w:cs="Arial" w:eastAsia="Arial" w:hAnsi="Arial"/>
                <w:sz w:val="17"/>
                <w:szCs w:val="17"/>
                <w:color w:val="auto"/>
              </w:rPr>
              <w:t>Topic.</w:t>
            </w:r>
          </w:p>
        </w:tc>
        <w:tc>
          <w:tcPr>
            <w:tcW w:w="2780" w:type="dxa"/>
            <w:vAlign w:val="bottom"/>
            <w:gridSpan w:val="5"/>
          </w:tcPr>
          <w:p>
            <w:pPr>
              <w:ind w:left="60"/>
              <w:spacing w:after="0"/>
              <w:rPr>
                <w:sz w:val="20"/>
                <w:szCs w:val="20"/>
                <w:color w:val="auto"/>
              </w:rPr>
            </w:pPr>
            <w:r>
              <w:rPr>
                <w:rFonts w:ascii="Arial" w:cs="Arial" w:eastAsia="Arial" w:hAnsi="Arial"/>
                <w:sz w:val="17"/>
                <w:szCs w:val="17"/>
                <w:color w:val="auto"/>
                <w:w w:val="92"/>
              </w:rPr>
              <w:t>changes and concluded that they did n</w:t>
            </w: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Arial" w:cs="Arial" w:eastAsia="Arial" w:hAnsi="Arial"/>
                <w:sz w:val="17"/>
                <w:szCs w:val="17"/>
                <w:color w:val="auto"/>
                <w:w w:val="96"/>
              </w:rPr>
              <w:t>Extinguishments (Subtopic</w:t>
            </w:r>
          </w:p>
        </w:tc>
        <w:tc>
          <w:tcPr>
            <w:tcW w:w="6260" w:type="dxa"/>
            <w:vAlign w:val="bottom"/>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7"/>
                <w:szCs w:val="17"/>
                <w:color w:val="auto"/>
              </w:rPr>
              <w:t>have  any</w:t>
            </w:r>
          </w:p>
        </w:tc>
        <w:tc>
          <w:tcPr>
            <w:tcW w:w="780" w:type="dxa"/>
            <w:vAlign w:val="bottom"/>
          </w:tcPr>
          <w:p>
            <w:pPr>
              <w:ind w:left="60"/>
              <w:spacing w:after="0"/>
              <w:rPr>
                <w:sz w:val="20"/>
                <w:szCs w:val="20"/>
                <w:color w:val="auto"/>
              </w:rPr>
            </w:pPr>
            <w:r>
              <w:rPr>
                <w:rFonts w:ascii="Arial" w:cs="Arial" w:eastAsia="Arial" w:hAnsi="Arial"/>
                <w:sz w:val="17"/>
                <w:szCs w:val="17"/>
                <w:color w:val="auto"/>
              </w:rPr>
              <w:t>material</w:t>
            </w:r>
          </w:p>
        </w:tc>
        <w:tc>
          <w:tcPr>
            <w:tcW w:w="560" w:type="dxa"/>
            <w:vAlign w:val="bottom"/>
          </w:tcPr>
          <w:p>
            <w:pPr>
              <w:ind w:left="20"/>
              <w:spacing w:after="0"/>
              <w:rPr>
                <w:sz w:val="20"/>
                <w:szCs w:val="20"/>
                <w:color w:val="auto"/>
              </w:rPr>
            </w:pPr>
            <w:r>
              <w:rPr>
                <w:rFonts w:ascii="Arial" w:cs="Arial" w:eastAsia="Arial" w:hAnsi="Arial"/>
                <w:sz w:val="17"/>
                <w:szCs w:val="17"/>
                <w:color w:val="auto"/>
              </w:rPr>
              <w:t>impact</w:t>
            </w:r>
          </w:p>
        </w:tc>
        <w:tc>
          <w:tcPr>
            <w:tcW w:w="300" w:type="dxa"/>
            <w:vAlign w:val="bottom"/>
          </w:tcPr>
          <w:p>
            <w:pPr>
              <w:ind w:left="120"/>
              <w:spacing w:after="0"/>
              <w:rPr>
                <w:sz w:val="20"/>
                <w:szCs w:val="20"/>
                <w:color w:val="auto"/>
              </w:rPr>
            </w:pPr>
            <w:r>
              <w:rPr>
                <w:rFonts w:ascii="Arial" w:cs="Arial" w:eastAsia="Arial" w:hAnsi="Arial"/>
                <w:sz w:val="17"/>
                <w:szCs w:val="17"/>
                <w:color w:val="auto"/>
                <w:w w:val="84"/>
              </w:rPr>
              <w:t>on</w:t>
            </w:r>
          </w:p>
        </w:tc>
        <w:tc>
          <w:tcPr>
            <w:tcW w:w="220" w:type="dxa"/>
            <w:vAlign w:val="bottom"/>
          </w:tcPr>
          <w:p>
            <w:pPr>
              <w:ind w:left="160"/>
              <w:spacing w:after="0"/>
              <w:rPr>
                <w:sz w:val="20"/>
                <w:szCs w:val="20"/>
                <w:color w:val="auto"/>
              </w:rPr>
            </w:pPr>
            <w:r>
              <w:rPr>
                <w:rFonts w:ascii="Arial" w:cs="Arial" w:eastAsia="Arial" w:hAnsi="Arial"/>
                <w:sz w:val="17"/>
                <w:szCs w:val="17"/>
                <w:color w:val="auto"/>
                <w:w w:val="83"/>
              </w:rPr>
              <w:t>t</w:t>
            </w:r>
          </w:p>
        </w:tc>
        <w:tc>
          <w:tcPr>
            <w:tcW w:w="0" w:type="dxa"/>
            <w:vAlign w:val="bottom"/>
          </w:tcPr>
          <w:p>
            <w:pPr>
              <w:spacing w:after="0"/>
              <w:rPr>
                <w:sz w:val="1"/>
                <w:szCs w:val="1"/>
                <w:color w:val="auto"/>
              </w:rPr>
            </w:pPr>
          </w:p>
        </w:tc>
      </w:tr>
      <w:tr>
        <w:trPr>
          <w:trHeight w:val="169"/>
        </w:trPr>
        <w:tc>
          <w:tcPr>
            <w:tcW w:w="1980" w:type="dxa"/>
            <w:vAlign w:val="bottom"/>
          </w:tcPr>
          <w:p>
            <w:pPr>
              <w:ind w:left="20"/>
              <w:spacing w:after="0" w:line="169" w:lineRule="exact"/>
              <w:rPr>
                <w:sz w:val="20"/>
                <w:szCs w:val="20"/>
                <w:color w:val="auto"/>
              </w:rPr>
            </w:pPr>
            <w:r>
              <w:rPr>
                <w:rFonts w:ascii="Arial" w:cs="Arial" w:eastAsia="Arial" w:hAnsi="Arial"/>
                <w:sz w:val="17"/>
                <w:szCs w:val="17"/>
                <w:color w:val="auto"/>
                <w:w w:val="99"/>
              </w:rPr>
              <w:t>470-50), Compensation—</w:t>
            </w:r>
          </w:p>
        </w:tc>
        <w:tc>
          <w:tcPr>
            <w:tcW w:w="626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w w:val="98"/>
              </w:rPr>
              <w:t>Company’s</w:t>
            </w:r>
          </w:p>
        </w:tc>
        <w:tc>
          <w:tcPr>
            <w:tcW w:w="1340" w:type="dxa"/>
            <w:vAlign w:val="bottom"/>
            <w:gridSpan w:val="2"/>
            <w:vMerge w:val="restart"/>
          </w:tcPr>
          <w:p>
            <w:pPr>
              <w:ind w:left="240"/>
              <w:spacing w:after="0"/>
              <w:rPr>
                <w:sz w:val="20"/>
                <w:szCs w:val="20"/>
                <w:color w:val="auto"/>
              </w:rPr>
            </w:pPr>
            <w:r>
              <w:rPr>
                <w:rFonts w:ascii="Arial" w:cs="Arial" w:eastAsia="Arial" w:hAnsi="Arial"/>
                <w:sz w:val="17"/>
                <w:szCs w:val="17"/>
                <w:color w:val="auto"/>
              </w:rPr>
              <w:t>consolidated</w:t>
            </w:r>
          </w:p>
        </w:tc>
        <w:tc>
          <w:tcPr>
            <w:tcW w:w="520" w:type="dxa"/>
            <w:vAlign w:val="bottom"/>
            <w:gridSpan w:val="2"/>
            <w:vMerge w:val="restart"/>
          </w:tcPr>
          <w:p>
            <w:pPr>
              <w:ind w:left="60"/>
              <w:spacing w:after="0"/>
              <w:rPr>
                <w:sz w:val="20"/>
                <w:szCs w:val="20"/>
                <w:color w:val="auto"/>
              </w:rPr>
            </w:pPr>
            <w:r>
              <w:rPr>
                <w:rFonts w:ascii="Arial" w:cs="Arial" w:eastAsia="Arial" w:hAnsi="Arial"/>
                <w:sz w:val="17"/>
                <w:szCs w:val="17"/>
                <w:color w:val="auto"/>
                <w:w w:val="89"/>
              </w:rPr>
              <w:t>financi</w:t>
            </w:r>
          </w:p>
        </w:tc>
        <w:tc>
          <w:tcPr>
            <w:tcW w:w="0" w:type="dxa"/>
            <w:vAlign w:val="bottom"/>
          </w:tcPr>
          <w:p>
            <w:pPr>
              <w:spacing w:after="0"/>
              <w:rPr>
                <w:sz w:val="1"/>
                <w:szCs w:val="1"/>
                <w:color w:val="auto"/>
              </w:rPr>
            </w:pPr>
          </w:p>
        </w:tc>
      </w:tr>
      <w:tr>
        <w:trPr>
          <w:trHeight w:val="78"/>
        </w:trPr>
        <w:tc>
          <w:tcPr>
            <w:tcW w:w="1980" w:type="dxa"/>
            <w:vAlign w:val="bottom"/>
            <w:vMerge w:val="restart"/>
          </w:tcPr>
          <w:p>
            <w:pPr>
              <w:ind w:left="20"/>
              <w:spacing w:after="0" w:line="194" w:lineRule="exact"/>
              <w:rPr>
                <w:sz w:val="20"/>
                <w:szCs w:val="20"/>
                <w:color w:val="auto"/>
              </w:rPr>
            </w:pPr>
            <w:r>
              <w:rPr>
                <w:rFonts w:ascii="Arial" w:cs="Arial" w:eastAsia="Arial" w:hAnsi="Arial"/>
                <w:sz w:val="17"/>
                <w:szCs w:val="17"/>
                <w:color w:val="auto"/>
              </w:rPr>
              <w:t>Stock Compensation</w:t>
            </w:r>
          </w:p>
        </w:tc>
        <w:tc>
          <w:tcPr>
            <w:tcW w:w="6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980" w:type="dxa"/>
            <w:vAlign w:val="bottom"/>
            <w:vMerge w:val="continue"/>
          </w:tcPr>
          <w:p>
            <w:pPr>
              <w:spacing w:after="0"/>
              <w:rPr>
                <w:sz w:val="10"/>
                <w:szCs w:val="10"/>
                <w:color w:val="auto"/>
              </w:rPr>
            </w:pPr>
          </w:p>
        </w:tc>
        <w:tc>
          <w:tcPr>
            <w:tcW w:w="6260" w:type="dxa"/>
            <w:vAlign w:val="bottom"/>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rPr>
              <w:t>position or</w:t>
            </w:r>
          </w:p>
        </w:tc>
        <w:tc>
          <w:tcPr>
            <w:tcW w:w="780" w:type="dxa"/>
            <w:vAlign w:val="bottom"/>
            <w:vMerge w:val="restart"/>
          </w:tcPr>
          <w:p>
            <w:pPr>
              <w:ind w:left="40"/>
              <w:spacing w:after="0"/>
              <w:rPr>
                <w:sz w:val="20"/>
                <w:szCs w:val="20"/>
                <w:color w:val="auto"/>
              </w:rPr>
            </w:pPr>
            <w:r>
              <w:rPr>
                <w:rFonts w:ascii="Arial" w:cs="Arial" w:eastAsia="Arial" w:hAnsi="Arial"/>
                <w:sz w:val="17"/>
                <w:szCs w:val="17"/>
                <w:color w:val="auto"/>
              </w:rPr>
              <w:t>results of</w:t>
            </w: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auto"/>
                <w:w w:val="98"/>
              </w:rPr>
              <w:t>operations</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auto"/>
                <w:w w:val="94"/>
              </w:rPr>
              <w:t>up</w:t>
            </w:r>
          </w:p>
        </w:tc>
        <w:tc>
          <w:tcPr>
            <w:tcW w:w="0" w:type="dxa"/>
            <w:vAlign w:val="bottom"/>
          </w:tcPr>
          <w:p>
            <w:pPr>
              <w:spacing w:after="0"/>
              <w:rPr>
                <w:sz w:val="1"/>
                <w:szCs w:val="1"/>
                <w:color w:val="auto"/>
              </w:rPr>
            </w:pPr>
          </w:p>
        </w:tc>
      </w:tr>
      <w:tr>
        <w:trPr>
          <w:trHeight w:val="91"/>
        </w:trPr>
        <w:tc>
          <w:tcPr>
            <w:tcW w:w="1980" w:type="dxa"/>
            <w:vAlign w:val="bottom"/>
            <w:vMerge w:val="restart"/>
          </w:tcPr>
          <w:p>
            <w:pPr>
              <w:ind w:left="20"/>
              <w:spacing w:after="0" w:line="194" w:lineRule="exact"/>
              <w:rPr>
                <w:sz w:val="20"/>
                <w:szCs w:val="20"/>
                <w:color w:val="auto"/>
              </w:rPr>
            </w:pPr>
            <w:r>
              <w:rPr>
                <w:rFonts w:ascii="Arial" w:cs="Arial" w:eastAsia="Arial" w:hAnsi="Arial"/>
                <w:sz w:val="17"/>
                <w:szCs w:val="17"/>
                <w:color w:val="auto"/>
              </w:rPr>
              <w:t>(Topic 718), and</w:t>
            </w:r>
          </w:p>
        </w:tc>
        <w:tc>
          <w:tcPr>
            <w:tcW w:w="62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980" w:type="dxa"/>
            <w:vAlign w:val="bottom"/>
            <w:vMerge w:val="continue"/>
          </w:tcPr>
          <w:p>
            <w:pPr>
              <w:spacing w:after="0"/>
              <w:rPr>
                <w:sz w:val="8"/>
                <w:szCs w:val="8"/>
                <w:color w:val="auto"/>
              </w:rPr>
            </w:pPr>
          </w:p>
        </w:tc>
        <w:tc>
          <w:tcPr>
            <w:tcW w:w="6260" w:type="dxa"/>
            <w:vAlign w:val="bottom"/>
          </w:tcPr>
          <w:p>
            <w:pPr>
              <w:spacing w:after="0"/>
              <w:rPr>
                <w:sz w:val="8"/>
                <w:szCs w:val="8"/>
                <w:color w:val="auto"/>
              </w:rPr>
            </w:pP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rPr>
              <w:t>adoption.</w:t>
            </w: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980" w:type="dxa"/>
            <w:vAlign w:val="bottom"/>
            <w:vMerge w:val="restart"/>
          </w:tcPr>
          <w:p>
            <w:pPr>
              <w:ind w:left="20"/>
              <w:spacing w:after="0"/>
              <w:rPr>
                <w:sz w:val="20"/>
                <w:szCs w:val="20"/>
                <w:color w:val="auto"/>
              </w:rPr>
            </w:pPr>
            <w:r>
              <w:rPr>
                <w:rFonts w:ascii="Arial" w:cs="Arial" w:eastAsia="Arial" w:hAnsi="Arial"/>
                <w:sz w:val="17"/>
                <w:szCs w:val="17"/>
                <w:color w:val="auto"/>
              </w:rPr>
              <w:t>Derivatives and Hedging</w:t>
            </w:r>
          </w:p>
        </w:tc>
        <w:tc>
          <w:tcPr>
            <w:tcW w:w="62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980" w:type="dxa"/>
            <w:vAlign w:val="bottom"/>
            <w:vMerge w:val="continue"/>
          </w:tcPr>
          <w:p>
            <w:pPr>
              <w:spacing w:after="0"/>
              <w:rPr>
                <w:sz w:val="7"/>
                <w:szCs w:val="7"/>
                <w:color w:val="auto"/>
              </w:rPr>
            </w:pPr>
          </w:p>
        </w:tc>
        <w:tc>
          <w:tcPr>
            <w:tcW w:w="6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spacing w:after="0" w:line="238" w:lineRule="auto"/>
        <w:rPr>
          <w:sz w:val="20"/>
          <w:szCs w:val="20"/>
          <w:color w:val="auto"/>
        </w:rPr>
      </w:pPr>
      <w:r>
        <w:rPr>
          <w:rFonts w:ascii="Arial" w:cs="Arial" w:eastAsia="Arial" w:hAnsi="Arial"/>
          <w:sz w:val="17"/>
          <w:szCs w:val="17"/>
          <w:color w:val="auto"/>
        </w:rPr>
        <w:t>— Contracts in Entity’s</w:t>
      </w:r>
    </w:p>
    <w:p>
      <w:pPr>
        <w:ind w:left="340"/>
        <w:spacing w:after="0" w:line="238" w:lineRule="auto"/>
        <w:rPr>
          <w:sz w:val="20"/>
          <w:szCs w:val="20"/>
          <w:color w:val="auto"/>
        </w:rPr>
      </w:pPr>
      <w:r>
        <w:rPr>
          <w:rFonts w:ascii="Arial" w:cs="Arial" w:eastAsia="Arial" w:hAnsi="Arial"/>
          <w:sz w:val="17"/>
          <w:szCs w:val="17"/>
          <w:color w:val="auto"/>
        </w:rPr>
        <w:t>Own Equity (Subtopic</w:t>
      </w:r>
    </w:p>
    <w:p>
      <w:pPr>
        <w:ind w:left="340"/>
        <w:spacing w:after="0"/>
        <w:rPr>
          <w:sz w:val="20"/>
          <w:szCs w:val="20"/>
          <w:color w:val="auto"/>
        </w:rPr>
      </w:pPr>
      <w:r>
        <w:rPr>
          <w:rFonts w:ascii="Arial" w:cs="Arial" w:eastAsia="Arial" w:hAnsi="Arial"/>
          <w:sz w:val="17"/>
          <w:szCs w:val="17"/>
          <w:color w:val="auto"/>
        </w:rPr>
        <w:t>815-40)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14605</wp:posOffset>
            </wp:positionV>
            <wp:extent cx="1223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Date of adoption: January</w:t>
      </w:r>
    </w:p>
    <w:p>
      <w:pPr>
        <w:ind w:left="340"/>
        <w:spacing w:after="0"/>
        <w:rPr>
          <w:sz w:val="20"/>
          <w:szCs w:val="20"/>
          <w:color w:val="auto"/>
        </w:rPr>
      </w:pPr>
      <w:r>
        <w:rPr>
          <w:rFonts w:ascii="Arial" w:cs="Arial" w:eastAsia="Arial" w:hAnsi="Arial"/>
          <w:sz w:val="17"/>
          <w:szCs w:val="17"/>
          <w:color w:val="auto"/>
        </w:rPr>
        <w:t>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6350</wp:posOffset>
            </wp:positionV>
            <wp:extent cx="1223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tables in thousands, except for per share data or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7105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0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20" w:right="120"/>
        <w:spacing w:after="0" w:line="291" w:lineRule="auto"/>
        <w:rPr>
          <w:sz w:val="20"/>
          <w:szCs w:val="20"/>
          <w:color w:val="auto"/>
        </w:rPr>
      </w:pPr>
      <w:r>
        <w:rPr>
          <w:rFonts w:ascii="Arial" w:cs="Arial" w:eastAsia="Arial" w:hAnsi="Arial"/>
          <w:sz w:val="15"/>
          <w:szCs w:val="15"/>
          <w:color w:val="auto"/>
        </w:rPr>
        <w:t>ASU 2021-05 Leases (Topic 842). Lessors— Certain Leases with Variable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355600</wp:posOffset>
            </wp:positionV>
            <wp:extent cx="12153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20" w:right="80"/>
        <w:spacing w:after="0" w:line="267" w:lineRule="auto"/>
        <w:rPr>
          <w:sz w:val="20"/>
          <w:szCs w:val="20"/>
          <w:color w:val="auto"/>
        </w:rPr>
      </w:pPr>
      <w:r>
        <w:rPr>
          <w:rFonts w:ascii="Arial" w:cs="Arial" w:eastAsia="Arial" w:hAnsi="Arial"/>
          <w:sz w:val="17"/>
          <w:szCs w:val="17"/>
          <w:color w:val="auto"/>
        </w:rPr>
        <w:t>Date of adoption: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215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5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85090</wp:posOffset>
            </wp:positionV>
            <wp:extent cx="1215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127" w:lineRule="exact"/>
        <w:rPr>
          <w:sz w:val="20"/>
          <w:szCs w:val="20"/>
          <w:color w:val="auto"/>
        </w:rPr>
      </w:pPr>
    </w:p>
    <w:p>
      <w:pPr>
        <w:ind w:left="20"/>
        <w:spacing w:after="0" w:line="238" w:lineRule="auto"/>
        <w:rPr>
          <w:sz w:val="20"/>
          <w:szCs w:val="20"/>
          <w:color w:val="auto"/>
        </w:rPr>
      </w:pPr>
      <w:r>
        <w:rPr>
          <w:rFonts w:ascii="Arial" w:cs="Arial" w:eastAsia="Arial" w:hAnsi="Arial"/>
          <w:sz w:val="17"/>
          <w:szCs w:val="17"/>
          <w:color w:val="auto"/>
        </w:rPr>
        <w:t>ASU 2021-08 Business Combinations (Topic 805). Accounting for Contract Assets and Contract Liabilities</w:t>
      </w:r>
    </w:p>
    <w:p>
      <w:pPr>
        <w:spacing w:after="0" w:line="2" w:lineRule="exact"/>
        <w:rPr>
          <w:sz w:val="20"/>
          <w:szCs w:val="20"/>
          <w:color w:val="auto"/>
        </w:rPr>
      </w:pPr>
    </w:p>
    <w:p>
      <w:pPr>
        <w:ind w:left="20" w:right="480"/>
        <w:spacing w:after="0" w:line="250" w:lineRule="auto"/>
        <w:rPr>
          <w:sz w:val="20"/>
          <w:szCs w:val="20"/>
          <w:color w:val="auto"/>
        </w:rPr>
      </w:pPr>
      <w:r>
        <w:rPr>
          <w:rFonts w:ascii="Arial" w:cs="Arial" w:eastAsia="Arial" w:hAnsi="Arial"/>
          <w:sz w:val="17"/>
          <w:szCs w:val="17"/>
          <w:color w:val="auto"/>
        </w:rPr>
        <w:t>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12153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12" w:lineRule="exact"/>
        <w:rPr>
          <w:sz w:val="20"/>
          <w:szCs w:val="20"/>
          <w:color w:val="auto"/>
        </w:rPr>
      </w:pPr>
    </w:p>
    <w:p>
      <w:pPr>
        <w:ind w:left="20" w:right="80"/>
        <w:spacing w:after="0" w:line="267" w:lineRule="auto"/>
        <w:rPr>
          <w:sz w:val="20"/>
          <w:szCs w:val="20"/>
          <w:color w:val="auto"/>
        </w:rPr>
      </w:pPr>
      <w:r>
        <w:rPr>
          <w:rFonts w:ascii="Arial" w:cs="Arial" w:eastAsia="Arial" w:hAnsi="Arial"/>
          <w:sz w:val="17"/>
          <w:szCs w:val="17"/>
          <w:color w:val="auto"/>
        </w:rPr>
        <w:t>Date of adoption: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2153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amendments in this Update affect lessors with lease contracts that (1) have variable lease payments that do not depend on a reference index or a rate and (2) would have resulted in the recognition of a selling loss at lease commencement if classified as sales-type or direct financing. FASB amends lessor classification guidance to prevent selling losses on leases with variable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614045</wp:posOffset>
            </wp:positionV>
            <wp:extent cx="3909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amendments in this Update primarily address the accounting for contract assets and contract liabilities from revenue contracts with customers in a business combination. However, the amendments also apply to contract assets and contract liabilities from other contracts to which the provisions of Topic 606 apply, such as contract liabilities from the sale of nonfinancial assets within the scope of Subtopic 610-20, Other Income —Gains and Losses from the Derecognition of Nonfinancial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ind w:right="60"/>
        <w:spacing w:after="0" w:line="243" w:lineRule="auto"/>
        <w:rPr>
          <w:sz w:val="20"/>
          <w:szCs w:val="20"/>
          <w:color w:val="auto"/>
        </w:rPr>
      </w:pPr>
      <w:r>
        <w:rPr>
          <w:rFonts w:ascii="Arial" w:cs="Arial" w:eastAsia="Arial" w:hAnsi="Arial"/>
          <w:sz w:val="17"/>
          <w:szCs w:val="17"/>
          <w:color w:val="auto"/>
        </w:rPr>
        <w:t>We adopted this standard on January 1, 2022. The Company evaluated these changes and concluded that they did not have any material impact on the Company’s consolidated financial position or results of operations upon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376555</wp:posOffset>
            </wp:positionV>
            <wp:extent cx="18484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4848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right="60"/>
        <w:spacing w:after="0"/>
        <w:rPr>
          <w:sz w:val="20"/>
          <w:szCs w:val="20"/>
          <w:color w:val="auto"/>
        </w:rPr>
      </w:pPr>
      <w:r>
        <w:rPr>
          <w:rFonts w:ascii="Arial" w:cs="Arial" w:eastAsia="Arial" w:hAnsi="Arial"/>
          <w:sz w:val="17"/>
          <w:szCs w:val="17"/>
          <w:color w:val="auto"/>
        </w:rPr>
        <w:t>We adopted this standard on January 1, 2022. The Company evaluated these changes and concluded that they did not have any material impact on the Company’s consolidated financial position or results of operations upon adoption.</w:t>
      </w:r>
    </w:p>
    <w:p>
      <w:pPr>
        <w:spacing w:after="0" w:line="676" w:lineRule="exact"/>
        <w:rPr>
          <w:sz w:val="20"/>
          <w:szCs w:val="20"/>
          <w:color w:val="auto"/>
        </w:rPr>
      </w:pPr>
    </w:p>
    <w:p>
      <w:pPr>
        <w:sectPr>
          <w:pgSz w:w="11900" w:h="16838" w:orient="portrait"/>
          <w:cols w:equalWidth="0" w:num="3">
            <w:col w:w="1880" w:space="160"/>
            <w:col w:w="6120" w:space="140"/>
            <w:col w:w="2940"/>
          </w:cols>
          <w:pgMar w:left="320" w:top="127" w:right="339" w:bottom="1440" w:gutter="0" w:footer="0" w:header="0"/>
          <w:type w:val="continuous"/>
        </w:sectPr>
      </w:pPr>
    </w:p>
    <w:p>
      <w:pPr>
        <w:spacing w:after="0" w:line="115"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105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0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p>
      <w:pPr>
        <w:spacing w:after="0" w:line="86" w:lineRule="exact"/>
        <w:rPr>
          <w:sz w:val="20"/>
          <w:szCs w:val="20"/>
          <w:color w:val="auto"/>
        </w:rPr>
      </w:pPr>
    </w:p>
    <w:p>
      <w:pPr>
        <w:jc w:val="both"/>
        <w:ind w:left="20"/>
        <w:spacing w:after="0" w:line="276" w:lineRule="auto"/>
        <w:rPr>
          <w:sz w:val="20"/>
          <w:szCs w:val="20"/>
          <w:color w:val="auto"/>
        </w:rPr>
      </w:pPr>
      <w:r>
        <w:rPr>
          <w:rFonts w:ascii="Arial" w:cs="Arial" w:eastAsia="Arial" w:hAnsi="Arial"/>
          <w:sz w:val="15"/>
          <w:szCs w:val="15"/>
          <w:color w:val="auto"/>
        </w:rPr>
        <w:t>ASU 2022-04 Liabilities - Supplier Finance Programs (Subtopic 405-50).</w:t>
      </w:r>
    </w:p>
    <w:p>
      <w:pPr>
        <w:spacing w:after="0" w:line="1" w:lineRule="exact"/>
        <w:rPr>
          <w:sz w:val="20"/>
          <w:szCs w:val="20"/>
          <w:color w:val="auto"/>
        </w:rPr>
      </w:pPr>
    </w:p>
    <w:p>
      <w:pPr>
        <w:ind w:left="20" w:right="320"/>
        <w:spacing w:after="0" w:line="244" w:lineRule="auto"/>
        <w:rPr>
          <w:sz w:val="20"/>
          <w:szCs w:val="20"/>
          <w:color w:val="auto"/>
        </w:rPr>
      </w:pPr>
      <w:r>
        <w:rPr>
          <w:rFonts w:ascii="Arial" w:cs="Arial" w:eastAsia="Arial" w:hAnsi="Arial"/>
          <w:sz w:val="17"/>
          <w:szCs w:val="17"/>
          <w:color w:val="auto"/>
        </w:rPr>
        <w:t>Disclosure of Supplier Finance Program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745490</wp:posOffset>
            </wp:positionV>
            <wp:extent cx="12153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Planned date of adoption: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12153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amendments in this Update apply to all entities that use supplier finance programs in connection with the purchase of goods and services (herein described as buyer parties). Supplier finance programs, which also may be referred to as reverse factoring, payables finance, or structured payables arrangements, allow a buyer to offer its suppliers the option for access to payment in advance of an invoice due date, which is paid by a third-party finance provider or intermediary on the basis of invoices that the buyer has confirmed as valid.</w:t>
      </w:r>
    </w:p>
    <w:p>
      <w:pPr>
        <w:spacing w:after="0" w:line="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amendments in this Update require that a buyer in a supplier finance program disclose sufficient information about the program to allow a user of financial statements to understand the program’s nature, activity during the period, changes from period to period, and potential magnitude. To achieve that objective, the buyer should disclose qualitative and quantitative information about its supplier finance programs.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The Company continues to evaluate these changes and does not anticipate any material impact on the Company’s consolidated financial position or results of operations upon adoption.</w:t>
      </w:r>
    </w:p>
    <w:p>
      <w:pPr>
        <w:spacing w:after="0" w:line="1971" w:lineRule="exact"/>
        <w:rPr>
          <w:sz w:val="20"/>
          <w:szCs w:val="20"/>
          <w:color w:val="auto"/>
        </w:rPr>
      </w:pPr>
    </w:p>
    <w:p>
      <w:pPr>
        <w:sectPr>
          <w:pgSz w:w="11900" w:h="16838" w:orient="portrait"/>
          <w:cols w:equalWidth="0" w:num="3">
            <w:col w:w="1900" w:space="140"/>
            <w:col w:w="6120" w:space="140"/>
            <w:col w:w="2940"/>
          </w:cols>
          <w:pgMar w:left="320" w:top="127" w:right="3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Digital Experience Platform and Activation Solutions Sale</w:t>
      </w:r>
    </w:p>
    <w:p>
      <w:pPr>
        <w:spacing w:after="0" w:line="231"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purchase price is payable as follows: (i) $7.5 million on the closing date of the Transaction, (ii) $0.5 million deposited into an escrow account on the Closing Date, (iii) $1 million paid twelve (12) months from the Closing Date, and (iv) $5 million that may be payable as an earn-out.</w:t>
      </w:r>
    </w:p>
    <w:p>
      <w:pPr>
        <w:spacing w:after="0" w:line="195"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This transaction closed on May 11, 2022. The Company received the $7.5 million cash payment on the transaction close date. The Company received the $0.5 million payment in escrow during the third quarter in accordance with the terms of the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Asset Purchase Agreement. The remaining $1 million escrow payment was recorded into other current assets. This consideration is not contingent on any further actions.</w:t>
      </w:r>
    </w:p>
    <w:p>
      <w:pPr>
        <w:spacing w:after="0" w:line="199"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The Company determined the fair value of the earn-out provision was $3.6 million of which $3.0 million was recorded as an other current asset and the remaining portion was recorded as non-current other asset.</w:t>
      </w:r>
    </w:p>
    <w:p>
      <w:pPr>
        <w:spacing w:after="0" w:line="186"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The book value of the divested intangible assets associated with the DXP Business was $2.3 million. For the goodwill allocation, the fair value of the core reporting unit was estimated using a combination of the income approach, which incorporates the use of the discounted cash flow method, and the market approach, which incorporates the use of earnings and revenue multiples based on market data. Based on the fair value of the core reporting unit and the aggregate consideration received in the transaction, the Company determined the attributable fair value of goodwill to the DXP Business was $7.6 million. The transaction resulted in a $2.5 million gain for the nine months ended September 30, 2022.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Securitization Facility</w:t>
      </w:r>
    </w:p>
    <w:p>
      <w:pPr>
        <w:spacing w:after="0" w:line="231"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On June 23, 2022 (the “Closing Date”), the Company and certain of its subsidiaries (together with the Company, the “Company Group”) entered into a $15 million accounts receivable securitization facility (the “A/R Facility”) with Norddeutsche Landesbank Girozentrale.</w:t>
      </w:r>
    </w:p>
    <w:p>
      <w:pPr>
        <w:spacing w:after="0" w:line="186"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6"/>
          <w:szCs w:val="16"/>
          <w:color w:val="auto"/>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spacing w:after="0" w:line="195"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 pays a commitment fee shall equal 0.85% per annum on the average daily unused outstanding capital. Pursuant to the Performance Guaranty, the Company guarantees the performance of the Originators of their obligations under the Purchase and Sale Agreements.</w:t>
      </w:r>
    </w:p>
    <w:p>
      <w:pPr>
        <w:spacing w:after="0" w:line="20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Unless earlier terminated or subsequently extended pursuant to the terms of the Receivables Purchase Agreement, the A/R Facility will expire on June 23, 2025.</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has not drawn on the A/R Facility as of September 30, 2022.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3. Revenue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TMT sector.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13"/>
          </w:tcPr>
          <w:p>
            <w:pPr>
              <w:jc w:val="right"/>
              <w:ind w:right="62"/>
              <w:spacing w:after="0"/>
              <w:rPr>
                <w:sz w:val="20"/>
                <w:szCs w:val="20"/>
                <w:color w:val="auto"/>
              </w:rPr>
            </w:pPr>
            <w:r>
              <w:rPr>
                <w:rFonts w:ascii="Arial" w:cs="Arial" w:eastAsia="Arial" w:hAnsi="Arial"/>
                <w:sz w:val="14"/>
                <w:szCs w:val="14"/>
                <w:b w:val="1"/>
                <w:bCs w:val="1"/>
                <w:color w:val="auto"/>
                <w:w w:val="97"/>
              </w:rPr>
              <w:t>Three Months Ended September 30, 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12"/>
          </w:tcPr>
          <w:p>
            <w:pPr>
              <w:jc w:val="right"/>
              <w:ind w:right="62"/>
              <w:spacing w:after="0"/>
              <w:rPr>
                <w:sz w:val="20"/>
                <w:szCs w:val="20"/>
                <w:color w:val="auto"/>
              </w:rPr>
            </w:pPr>
            <w:r>
              <w:rPr>
                <w:rFonts w:ascii="Arial" w:cs="Arial" w:eastAsia="Arial" w:hAnsi="Arial"/>
                <w:sz w:val="14"/>
                <w:szCs w:val="14"/>
                <w:b w:val="1"/>
                <w:bCs w:val="1"/>
                <w:color w:val="auto"/>
                <w:w w:val="89"/>
              </w:rPr>
              <w:t>Three Months Ended September 30, 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5"/>
        </w:trPr>
        <w:tc>
          <w:tcPr>
            <w:tcW w:w="2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35"/>
        </w:trPr>
        <w:tc>
          <w:tcPr>
            <w:tcW w:w="25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85"/>
              <w:spacing w:after="0" w:line="135" w:lineRule="exact"/>
              <w:rPr>
                <w:sz w:val="20"/>
                <w:szCs w:val="20"/>
                <w:color w:val="auto"/>
              </w:rPr>
            </w:pPr>
            <w:r>
              <w:rPr>
                <w:rFonts w:ascii="Arial" w:cs="Arial" w:eastAsia="Arial" w:hAnsi="Arial"/>
                <w:sz w:val="14"/>
                <w:szCs w:val="14"/>
                <w:b w:val="1"/>
                <w:bCs w:val="1"/>
                <w:color w:val="auto"/>
                <w:w w:val="85"/>
              </w:rPr>
              <w:t>Cloud</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Digital</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4"/>
          </w:tcPr>
          <w:p>
            <w:pPr>
              <w:ind w:left="40"/>
              <w:spacing w:after="0" w:line="135" w:lineRule="exact"/>
              <w:rPr>
                <w:sz w:val="20"/>
                <w:szCs w:val="20"/>
                <w:color w:val="auto"/>
              </w:rPr>
            </w:pPr>
            <w:r>
              <w:rPr>
                <w:rFonts w:ascii="Arial" w:cs="Arial" w:eastAsia="Arial" w:hAnsi="Arial"/>
                <w:sz w:val="14"/>
                <w:szCs w:val="14"/>
                <w:b w:val="1"/>
                <w:bCs w:val="1"/>
                <w:color w:val="auto"/>
              </w:rPr>
              <w:t>Messaging</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360"/>
              <w:spacing w:after="0" w:line="13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right"/>
              <w:ind w:right="162"/>
              <w:spacing w:after="0" w:line="135" w:lineRule="exact"/>
              <w:rPr>
                <w:sz w:val="20"/>
                <w:szCs w:val="20"/>
                <w:color w:val="auto"/>
              </w:rPr>
            </w:pPr>
            <w:r>
              <w:rPr>
                <w:rFonts w:ascii="Arial" w:cs="Arial" w:eastAsia="Arial" w:hAnsi="Arial"/>
                <w:sz w:val="14"/>
                <w:szCs w:val="14"/>
                <w:b w:val="1"/>
                <w:bCs w:val="1"/>
                <w:color w:val="auto"/>
              </w:rPr>
              <w:t>Cloud</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ind w:left="100"/>
              <w:spacing w:after="0" w:line="135" w:lineRule="exact"/>
              <w:rPr>
                <w:sz w:val="20"/>
                <w:szCs w:val="20"/>
                <w:color w:val="auto"/>
              </w:rPr>
            </w:pPr>
            <w:r>
              <w:rPr>
                <w:rFonts w:ascii="Arial" w:cs="Arial" w:eastAsia="Arial" w:hAnsi="Arial"/>
                <w:sz w:val="14"/>
                <w:szCs w:val="14"/>
                <w:b w:val="1"/>
                <w:bCs w:val="1"/>
                <w:color w:val="auto"/>
              </w:rPr>
              <w:t>Digital</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Messaging</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340"/>
              <w:spacing w:after="0" w:line="135" w:lineRule="exact"/>
              <w:rPr>
                <w:sz w:val="20"/>
                <w:szCs w:val="20"/>
                <w:color w:val="auto"/>
              </w:rPr>
            </w:pPr>
            <w:r>
              <w:rPr>
                <w:rFonts w:ascii="Arial" w:cs="Arial" w:eastAsia="Arial" w:hAnsi="Arial"/>
                <w:sz w:val="14"/>
                <w:szCs w:val="14"/>
                <w:b w:val="1"/>
                <w:bCs w:val="1"/>
                <w:color w:val="auto"/>
              </w:rPr>
              <w:t>Total</w:t>
            </w:r>
          </w:p>
        </w:tc>
      </w:tr>
      <w:tr>
        <w:trPr>
          <w:trHeight w:val="32"/>
        </w:trPr>
        <w:tc>
          <w:tcPr>
            <w:tcW w:w="2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7"/>
        </w:trPr>
        <w:tc>
          <w:tcPr>
            <w:tcW w:w="25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Geography:</w:t>
            </w: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4"/>
        </w:trPr>
        <w:tc>
          <w:tcPr>
            <w:tcW w:w="2560" w:type="dxa"/>
            <w:vAlign w:val="bottom"/>
          </w:tcPr>
          <w:p>
            <w:pPr>
              <w:ind w:left="220"/>
              <w:spacing w:after="0"/>
              <w:rPr>
                <w:sz w:val="20"/>
                <w:szCs w:val="20"/>
                <w:color w:val="auto"/>
              </w:rPr>
            </w:pPr>
            <w:r>
              <w:rPr>
                <w:rFonts w:ascii="Arial" w:cs="Arial" w:eastAsia="Arial" w:hAnsi="Arial"/>
                <w:sz w:val="16"/>
                <w:szCs w:val="16"/>
                <w:color w:val="auto"/>
              </w:rPr>
              <w:t>Americas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36,811</w:t>
            </w:r>
          </w:p>
        </w:tc>
        <w:tc>
          <w:tcPr>
            <w:tcW w:w="440" w:type="dxa"/>
            <w:vAlign w:val="bottom"/>
            <w:gridSpan w:val="3"/>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6"/>
                <w:szCs w:val="16"/>
                <w:color w:val="auto"/>
              </w:rPr>
              <w:t>8,868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47,586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41,090</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12,486</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56,002</w:t>
            </w:r>
          </w:p>
        </w:tc>
      </w:tr>
      <w:tr>
        <w:trPr>
          <w:trHeight w:val="210"/>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7,479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8,360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8,297</w:t>
            </w:r>
          </w:p>
        </w:tc>
      </w:tr>
      <w:tr>
        <w:trPr>
          <w:trHeight w:val="204"/>
        </w:trPr>
        <w:tc>
          <w:tcPr>
            <w:tcW w:w="2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EMEA</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1,633</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2,317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3,950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1,789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2,909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5,454</w:t>
            </w: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38,558</w:t>
            </w:r>
          </w:p>
        </w:tc>
        <w:tc>
          <w:tcPr>
            <w:tcW w:w="44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9,635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11,703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59,896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43,124</w:t>
            </w:r>
          </w:p>
        </w:tc>
        <w:tc>
          <w:tcPr>
            <w:tcW w:w="38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69,753</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7"/>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4"/>
        </w:trPr>
        <w:tc>
          <w:tcPr>
            <w:tcW w:w="256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3,192</w:t>
            </w:r>
          </w:p>
        </w:tc>
        <w:tc>
          <w:tcPr>
            <w:tcW w:w="440" w:type="dxa"/>
            <w:vAlign w:val="bottom"/>
            <w:gridSpan w:val="3"/>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2,334</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6,152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3,542</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3,709</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9,234</w:t>
            </w:r>
          </w:p>
        </w:tc>
      </w:tr>
      <w:tr>
        <w:trPr>
          <w:trHeight w:val="210"/>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1,655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2,352</w:t>
            </w:r>
          </w:p>
        </w:tc>
      </w:tr>
      <w:tr>
        <w:trPr>
          <w:trHeight w:val="204"/>
        </w:trPr>
        <w:tc>
          <w:tcPr>
            <w:tcW w:w="2560" w:type="dxa"/>
            <w:vAlign w:val="bottom"/>
          </w:tcPr>
          <w:p>
            <w:pPr>
              <w:ind w:left="220"/>
              <w:spacing w:after="0"/>
              <w:rPr>
                <w:sz w:val="20"/>
                <w:szCs w:val="20"/>
                <w:color w:val="auto"/>
              </w:rPr>
            </w:pPr>
            <w:r>
              <w:rPr>
                <w:rFonts w:ascii="Arial" w:cs="Arial" w:eastAsia="Arial" w:hAnsi="Arial"/>
                <w:sz w:val="16"/>
                <w:szCs w:val="16"/>
                <w:color w:val="auto"/>
              </w:rPr>
              <w:t>Subscription Services</w:t>
            </w:r>
          </w:p>
        </w:tc>
        <w:tc>
          <w:tcPr>
            <w:tcW w:w="3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35,205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2"/>
              <w:spacing w:after="0"/>
              <w:rPr>
                <w:sz w:val="20"/>
                <w:szCs w:val="20"/>
                <w:color w:val="auto"/>
              </w:rPr>
            </w:pPr>
            <w:r>
              <w:rPr>
                <w:rFonts w:ascii="Arial" w:cs="Arial" w:eastAsia="Arial" w:hAnsi="Arial"/>
                <w:sz w:val="16"/>
                <w:szCs w:val="16"/>
                <w:color w:val="auto"/>
              </w:rPr>
              <w:t>5,456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7,684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48,345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38,345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9,456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7,830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55,631</w:t>
            </w:r>
          </w:p>
        </w:tc>
      </w:tr>
      <w:tr>
        <w:trPr>
          <w:trHeight w:val="207"/>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3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1,898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2,536</w:t>
            </w:r>
          </w:p>
        </w:tc>
      </w:tr>
      <w:tr>
        <w:trPr>
          <w:trHeight w:val="203"/>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38,558</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9,635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11,703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59,896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43,124</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14,365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12,264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69,753</w:t>
            </w:r>
          </w:p>
        </w:tc>
      </w:tr>
      <w:tr>
        <w:trPr>
          <w:trHeight w:val="20"/>
        </w:trPr>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510"/>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12"/>
          </w:tcPr>
          <w:p>
            <w:pPr>
              <w:jc w:val="right"/>
              <w:ind w:right="102"/>
              <w:spacing w:after="0"/>
              <w:rPr>
                <w:sz w:val="20"/>
                <w:szCs w:val="20"/>
                <w:color w:val="auto"/>
              </w:rPr>
            </w:pPr>
            <w:r>
              <w:rPr>
                <w:rFonts w:ascii="Arial" w:cs="Arial" w:eastAsia="Arial" w:hAnsi="Arial"/>
                <w:sz w:val="14"/>
                <w:szCs w:val="14"/>
                <w:b w:val="1"/>
                <w:bCs w:val="1"/>
                <w:color w:val="auto"/>
                <w:w w:val="88"/>
              </w:rPr>
              <w:t>Nine Months Ended September 30, 2022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12"/>
          </w:tcPr>
          <w:p>
            <w:pPr>
              <w:jc w:val="right"/>
              <w:ind w:right="102"/>
              <w:spacing w:after="0"/>
              <w:rPr>
                <w:sz w:val="20"/>
                <w:szCs w:val="20"/>
                <w:color w:val="auto"/>
              </w:rPr>
            </w:pPr>
            <w:r>
              <w:rPr>
                <w:rFonts w:ascii="Arial" w:cs="Arial" w:eastAsia="Arial" w:hAnsi="Arial"/>
                <w:sz w:val="14"/>
                <w:szCs w:val="14"/>
                <w:b w:val="1"/>
                <w:bCs w:val="1"/>
                <w:color w:val="auto"/>
                <w:w w:val="90"/>
              </w:rPr>
              <w:t>Nine Months Ended September 30, 2021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
        </w:trPr>
        <w:tc>
          <w:tcPr>
            <w:tcW w:w="2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r>
      <w:tr>
        <w:trPr>
          <w:trHeight w:val="135"/>
        </w:trPr>
        <w:tc>
          <w:tcPr>
            <w:tcW w:w="25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85"/>
              <w:spacing w:after="0" w:line="135" w:lineRule="exact"/>
              <w:rPr>
                <w:sz w:val="20"/>
                <w:szCs w:val="20"/>
                <w:color w:val="auto"/>
              </w:rPr>
            </w:pPr>
            <w:r>
              <w:rPr>
                <w:rFonts w:ascii="Arial" w:cs="Arial" w:eastAsia="Arial" w:hAnsi="Arial"/>
                <w:sz w:val="14"/>
                <w:szCs w:val="14"/>
                <w:b w:val="1"/>
                <w:bCs w:val="1"/>
                <w:color w:val="auto"/>
                <w:w w:val="85"/>
              </w:rPr>
              <w:t>Cloud</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Digital</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4"/>
          </w:tcPr>
          <w:p>
            <w:pPr>
              <w:ind w:left="40"/>
              <w:spacing w:after="0" w:line="135" w:lineRule="exact"/>
              <w:rPr>
                <w:sz w:val="20"/>
                <w:szCs w:val="20"/>
                <w:color w:val="auto"/>
              </w:rPr>
            </w:pPr>
            <w:r>
              <w:rPr>
                <w:rFonts w:ascii="Arial" w:cs="Arial" w:eastAsia="Arial" w:hAnsi="Arial"/>
                <w:sz w:val="14"/>
                <w:szCs w:val="14"/>
                <w:b w:val="1"/>
                <w:bCs w:val="1"/>
                <w:color w:val="auto"/>
              </w:rPr>
              <w:t>Messaging</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360"/>
              <w:spacing w:after="0" w:line="13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right"/>
              <w:ind w:right="162"/>
              <w:spacing w:after="0" w:line="135" w:lineRule="exact"/>
              <w:rPr>
                <w:sz w:val="20"/>
                <w:szCs w:val="20"/>
                <w:color w:val="auto"/>
              </w:rPr>
            </w:pPr>
            <w:r>
              <w:rPr>
                <w:rFonts w:ascii="Arial" w:cs="Arial" w:eastAsia="Arial" w:hAnsi="Arial"/>
                <w:sz w:val="14"/>
                <w:szCs w:val="14"/>
                <w:b w:val="1"/>
                <w:bCs w:val="1"/>
                <w:color w:val="auto"/>
              </w:rPr>
              <w:t>Cloud</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ind w:left="100"/>
              <w:spacing w:after="0" w:line="135" w:lineRule="exact"/>
              <w:rPr>
                <w:sz w:val="20"/>
                <w:szCs w:val="20"/>
                <w:color w:val="auto"/>
              </w:rPr>
            </w:pPr>
            <w:r>
              <w:rPr>
                <w:rFonts w:ascii="Arial" w:cs="Arial" w:eastAsia="Arial" w:hAnsi="Arial"/>
                <w:sz w:val="14"/>
                <w:szCs w:val="14"/>
                <w:b w:val="1"/>
                <w:bCs w:val="1"/>
                <w:color w:val="auto"/>
              </w:rPr>
              <w:t>Digital</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Messaging</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340"/>
              <w:spacing w:after="0" w:line="135" w:lineRule="exact"/>
              <w:rPr>
                <w:sz w:val="20"/>
                <w:szCs w:val="20"/>
                <w:color w:val="auto"/>
              </w:rPr>
            </w:pPr>
            <w:r>
              <w:rPr>
                <w:rFonts w:ascii="Arial" w:cs="Arial" w:eastAsia="Arial" w:hAnsi="Arial"/>
                <w:sz w:val="14"/>
                <w:szCs w:val="14"/>
                <w:b w:val="1"/>
                <w:bCs w:val="1"/>
                <w:color w:val="auto"/>
              </w:rPr>
              <w:t>Total</w:t>
            </w:r>
          </w:p>
        </w:tc>
      </w:tr>
      <w:tr>
        <w:trPr>
          <w:trHeight w:val="32"/>
        </w:trPr>
        <w:tc>
          <w:tcPr>
            <w:tcW w:w="2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7"/>
        </w:trPr>
        <w:tc>
          <w:tcPr>
            <w:tcW w:w="25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Geography:</w:t>
            </w: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4"/>
        </w:trPr>
        <w:tc>
          <w:tcPr>
            <w:tcW w:w="2560" w:type="dxa"/>
            <w:vAlign w:val="bottom"/>
          </w:tcPr>
          <w:p>
            <w:pPr>
              <w:ind w:left="220"/>
              <w:spacing w:after="0"/>
              <w:rPr>
                <w:sz w:val="20"/>
                <w:szCs w:val="20"/>
                <w:color w:val="auto"/>
              </w:rPr>
            </w:pPr>
            <w:r>
              <w:rPr>
                <w:rFonts w:ascii="Arial" w:cs="Arial" w:eastAsia="Arial" w:hAnsi="Arial"/>
                <w:sz w:val="16"/>
                <w:szCs w:val="16"/>
                <w:color w:val="auto"/>
              </w:rPr>
              <w:t>Americas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118,369</w:t>
            </w:r>
          </w:p>
        </w:tc>
        <w:tc>
          <w:tcPr>
            <w:tcW w:w="440" w:type="dxa"/>
            <w:vAlign w:val="bottom"/>
            <w:gridSpan w:val="3"/>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6"/>
                <w:szCs w:val="16"/>
                <w:color w:val="auto"/>
              </w:rPr>
              <w:t>28,308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6,908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153,585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115,192</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34,329</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17,207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166,728</w:t>
            </w:r>
          </w:p>
        </w:tc>
      </w:tr>
      <w:tr>
        <w:trPr>
          <w:trHeight w:val="210"/>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2,433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20,640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23,250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19,878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23,289</w:t>
            </w:r>
          </w:p>
        </w:tc>
      </w:tr>
      <w:tr>
        <w:trPr>
          <w:trHeight w:val="204"/>
        </w:trPr>
        <w:tc>
          <w:tcPr>
            <w:tcW w:w="2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EMEA</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4,990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7,678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14,163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5,474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1,978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9,315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16,767</w:t>
            </w: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123,536</w:t>
            </w:r>
          </w:p>
        </w:tc>
        <w:tc>
          <w:tcPr>
            <w:tcW w:w="44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32,236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190,998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120,911</w:t>
            </w:r>
          </w:p>
        </w:tc>
        <w:tc>
          <w:tcPr>
            <w:tcW w:w="380" w:type="dxa"/>
            <w:vAlign w:val="bottom"/>
            <w:gridSpan w:val="3"/>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39,473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206,784</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7"/>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4"/>
        </w:trPr>
        <w:tc>
          <w:tcPr>
            <w:tcW w:w="256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9,780</w:t>
            </w:r>
          </w:p>
        </w:tc>
        <w:tc>
          <w:tcPr>
            <w:tcW w:w="440" w:type="dxa"/>
            <w:vAlign w:val="bottom"/>
            <w:gridSpan w:val="3"/>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8,117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21,539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11,351</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6,212</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8,907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26,470</w:t>
            </w:r>
          </w:p>
        </w:tc>
      </w:tr>
      <w:tr>
        <w:trPr>
          <w:trHeight w:val="210"/>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4,326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8,864</w:t>
            </w:r>
          </w:p>
        </w:tc>
      </w:tr>
      <w:tr>
        <w:trPr>
          <w:trHeight w:val="204"/>
        </w:trPr>
        <w:tc>
          <w:tcPr>
            <w:tcW w:w="2560" w:type="dxa"/>
            <w:vAlign w:val="bottom"/>
          </w:tcPr>
          <w:p>
            <w:pPr>
              <w:ind w:left="220"/>
              <w:spacing w:after="0"/>
              <w:rPr>
                <w:sz w:val="20"/>
                <w:szCs w:val="20"/>
                <w:color w:val="auto"/>
              </w:rPr>
            </w:pPr>
            <w:r>
              <w:rPr>
                <w:rFonts w:ascii="Arial" w:cs="Arial" w:eastAsia="Arial" w:hAnsi="Arial"/>
                <w:sz w:val="16"/>
                <w:szCs w:val="16"/>
                <w:color w:val="auto"/>
              </w:rPr>
              <w:t>Subscription Services</w:t>
            </w:r>
          </w:p>
        </w:tc>
        <w:tc>
          <w:tcPr>
            <w:tcW w:w="3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113,049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2"/>
              <w:spacing w:after="0"/>
              <w:rPr>
                <w:sz w:val="20"/>
                <w:szCs w:val="20"/>
                <w:color w:val="auto"/>
              </w:rPr>
            </w:pPr>
            <w:r>
              <w:rPr>
                <w:rFonts w:ascii="Arial" w:cs="Arial" w:eastAsia="Arial" w:hAnsi="Arial"/>
                <w:sz w:val="16"/>
                <w:szCs w:val="16"/>
                <w:color w:val="auto"/>
              </w:rPr>
              <w:t>20,104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24,236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157,389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105,027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26,435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36,365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167,827</w:t>
            </w:r>
          </w:p>
        </w:tc>
      </w:tr>
      <w:tr>
        <w:trPr>
          <w:trHeight w:val="207"/>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3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4,086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2,817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6,903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3,623</w:t>
            </w:r>
          </w:p>
        </w:tc>
      </w:tr>
      <w:tr>
        <w:trPr>
          <w:trHeight w:val="203"/>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123,536</w:t>
            </w:r>
          </w:p>
        </w:tc>
        <w:tc>
          <w:tcPr>
            <w:tcW w:w="440" w:type="dxa"/>
            <w:vAlign w:val="bottom"/>
            <w:gridSpan w:val="3"/>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
              <w:spacing w:after="0"/>
              <w:rPr>
                <w:sz w:val="20"/>
                <w:szCs w:val="20"/>
                <w:color w:val="auto"/>
              </w:rPr>
            </w:pPr>
            <w:r>
              <w:rPr>
                <w:rFonts w:ascii="Arial" w:cs="Arial" w:eastAsia="Arial" w:hAnsi="Arial"/>
                <w:sz w:val="16"/>
                <w:szCs w:val="16"/>
                <w:color w:val="auto"/>
              </w:rPr>
              <w:t>32,236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35,226</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190,998</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120,911</w:t>
            </w:r>
          </w:p>
        </w:tc>
        <w:tc>
          <w:tcPr>
            <w:tcW w:w="380" w:type="dxa"/>
            <w:vAlign w:val="bottom"/>
            <w:gridSpan w:val="3"/>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39,473</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46,400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206,784</w:t>
            </w:r>
          </w:p>
        </w:tc>
      </w:tr>
      <w:tr>
        <w:trPr>
          <w:trHeight w:val="20"/>
        </w:trPr>
        <w:tc>
          <w:tcPr>
            <w:tcW w:w="2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Accounts Receivable and Contract balances</w:t>
      </w:r>
    </w:p>
    <w:p>
      <w:pPr>
        <w:spacing w:after="0" w:line="244"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for the estimated amount of receivables that may not be collected. The allowance is based upon an assessment of customer creditworthiness, historical payment experience, the age of outstanding receivables and other economic indicators.</w:t>
      </w:r>
    </w:p>
    <w:p>
      <w:pPr>
        <w:spacing w:after="0" w:line="18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September 30, 2022 is $15.0 million.</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80" w:type="dxa"/>
            <w:vAlign w:val="bottom"/>
          </w:tcPr>
          <w:p>
            <w:pPr>
              <w:ind w:left="320"/>
              <w:spacing w:after="0"/>
              <w:rPr>
                <w:sz w:val="20"/>
                <w:szCs w:val="20"/>
                <w:color w:val="auto"/>
              </w:rPr>
            </w:pPr>
            <w:r>
              <w:rPr>
                <w:rFonts w:ascii="Arial" w:cs="Arial" w:eastAsia="Arial" w:hAnsi="Arial"/>
                <w:sz w:val="17"/>
                <w:szCs w:val="17"/>
                <w:color w:val="auto"/>
                <w:w w:val="92"/>
              </w:rPr>
              <w:t>The Company’s contract assets and liabilities are reported in a net position on a customer basis at the end of each reporting period.</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40"/>
        </w:trPr>
        <w:tc>
          <w:tcPr>
            <w:tcW w:w="9480" w:type="dxa"/>
            <w:vAlign w:val="bottom"/>
          </w:tcPr>
          <w:p>
            <w:pPr>
              <w:ind w:left="320"/>
              <w:spacing w:after="0"/>
              <w:rPr>
                <w:sz w:val="20"/>
                <w:szCs w:val="20"/>
                <w:color w:val="auto"/>
              </w:rPr>
            </w:pPr>
            <w:r>
              <w:rPr>
                <w:rFonts w:ascii="Arial" w:cs="Arial" w:eastAsia="Arial" w:hAnsi="Arial"/>
                <w:sz w:val="17"/>
                <w:szCs w:val="17"/>
                <w:color w:val="auto"/>
              </w:rPr>
              <w:t>Significant changes in the contract liabilities balance (current and non-current) during the period are as follows: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6"/>
        </w:trPr>
        <w:tc>
          <w:tcPr>
            <w:tcW w:w="94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4"/>
              <w:spacing w:after="0" w:line="245" w:lineRule="exact"/>
              <w:rPr>
                <w:sz w:val="20"/>
                <w:szCs w:val="20"/>
                <w:color w:val="auto"/>
              </w:rPr>
            </w:pPr>
            <w:r>
              <w:rPr>
                <w:rFonts w:ascii="Arial" w:cs="Arial" w:eastAsia="Arial" w:hAnsi="Arial"/>
                <w:sz w:val="17"/>
                <w:szCs w:val="17"/>
                <w:b w:val="1"/>
                <w:bCs w:val="1"/>
                <w:color w:val="auto"/>
                <w:w w:val="93"/>
              </w:rPr>
              <w:t>Contract Liabilities</w:t>
            </w:r>
            <w:r>
              <w:rPr>
                <w:rFonts w:ascii="Arial" w:cs="Arial" w:eastAsia="Arial" w:hAnsi="Arial"/>
                <w:sz w:val="22"/>
                <w:szCs w:val="22"/>
                <w:b w:val="1"/>
                <w:bCs w:val="1"/>
                <w:color w:val="auto"/>
                <w:w w:val="93"/>
                <w:vertAlign w:val="superscript"/>
              </w:rPr>
              <w:t>1</w:t>
            </w:r>
          </w:p>
        </w:tc>
      </w:tr>
      <w:tr>
        <w:trPr>
          <w:trHeight w:val="21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22,916</w:t>
            </w:r>
          </w:p>
        </w:tc>
      </w:tr>
      <w:tr>
        <w:trPr>
          <w:trHeight w:val="220"/>
        </w:trPr>
        <w:tc>
          <w:tcPr>
            <w:tcW w:w="9480" w:type="dxa"/>
            <w:vAlign w:val="bottom"/>
          </w:tcPr>
          <w:p>
            <w:pPr>
              <w:ind w:left="140"/>
              <w:spacing w:after="0"/>
              <w:rPr>
                <w:sz w:val="20"/>
                <w:szCs w:val="20"/>
                <w:color w:val="auto"/>
              </w:rPr>
            </w:pPr>
            <w:r>
              <w:rPr>
                <w:rFonts w:ascii="Arial" w:cs="Arial" w:eastAsia="Arial" w:hAnsi="Arial"/>
                <w:sz w:val="17"/>
                <w:szCs w:val="17"/>
                <w:color w:val="auto"/>
              </w:rPr>
              <w:t>Revenue recognized in the period</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(188,243)</w:t>
            </w:r>
          </w:p>
        </w:tc>
      </w:tr>
      <w:tr>
        <w:trPr>
          <w:trHeight w:val="220"/>
        </w:trPr>
        <w:tc>
          <w:tcPr>
            <w:tcW w:w="9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Amounts billed but not recognized as revenue</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180,329</w:t>
            </w:r>
          </w:p>
        </w:tc>
      </w:tr>
      <w:tr>
        <w:trPr>
          <w:trHeight w:val="213"/>
        </w:trPr>
        <w:tc>
          <w:tcPr>
            <w:tcW w:w="9480" w:type="dxa"/>
            <w:vAlign w:val="bottom"/>
          </w:tcPr>
          <w:p>
            <w:pPr>
              <w:ind w:left="20"/>
              <w:spacing w:after="0"/>
              <w:rPr>
                <w:sz w:val="20"/>
                <w:szCs w:val="20"/>
                <w:color w:val="auto"/>
              </w:rPr>
            </w:pPr>
            <w:r>
              <w:rPr>
                <w:rFonts w:ascii="Arial" w:cs="Arial" w:eastAsia="Arial" w:hAnsi="Arial"/>
                <w:sz w:val="17"/>
                <w:szCs w:val="17"/>
                <w:color w:val="auto"/>
              </w:rPr>
              <w:t>Balance - September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15,002</w:t>
            </w:r>
          </w:p>
        </w:tc>
      </w:tr>
      <w:tr>
        <w:trPr>
          <w:trHeight w:val="20"/>
        </w:trPr>
        <w:tc>
          <w:tcPr>
            <w:tcW w:w="9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1" w:lineRule="auto"/>
        <w:tabs>
          <w:tab w:leader="none" w:pos="20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Comprised of Deferred Revenue</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44" w:lineRule="exact"/>
        <w:rPr>
          <w:sz w:val="20"/>
          <w:szCs w:val="20"/>
          <w:color w:val="auto"/>
        </w:rPr>
      </w:pPr>
    </w:p>
    <w:p>
      <w:pPr>
        <w:ind w:firstLine="311"/>
        <w:spacing w:after="0" w:line="316"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September 30, 2022. The Company has elected not to disclose transaction price allocated to remaining performance obligations for:</w:t>
      </w:r>
    </w:p>
    <w:p>
      <w:pPr>
        <w:spacing w:after="0" w:line="162" w:lineRule="exact"/>
        <w:rPr>
          <w:sz w:val="20"/>
          <w:szCs w:val="20"/>
          <w:color w:val="auto"/>
        </w:rPr>
      </w:pPr>
    </w:p>
    <w:p>
      <w:pPr>
        <w:ind w:left="620" w:hanging="306"/>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35" w:lineRule="exact"/>
        <w:rPr>
          <w:rFonts w:ascii="Arial" w:cs="Arial" w:eastAsia="Arial" w:hAnsi="Arial"/>
          <w:sz w:val="16"/>
          <w:szCs w:val="16"/>
          <w:color w:val="auto"/>
        </w:rPr>
      </w:pPr>
    </w:p>
    <w:p>
      <w:pPr>
        <w:ind w:left="620" w:hanging="306"/>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11" w:lineRule="exact"/>
        <w:rPr>
          <w:rFonts w:ascii="Arial" w:cs="Arial" w:eastAsia="Arial" w:hAnsi="Arial"/>
          <w:sz w:val="17"/>
          <w:szCs w:val="17"/>
          <w:color w:val="auto"/>
        </w:rPr>
      </w:pPr>
    </w:p>
    <w:p>
      <w:pPr>
        <w:jc w:val="both"/>
        <w:ind w:left="620" w:hanging="306"/>
        <w:spacing w:after="0" w:line="258"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Company’s remaining performance obligations, all of which will be resolved in the period in which amounts are known:</w:t>
      </w:r>
    </w:p>
    <w:p>
      <w:pPr>
        <w:spacing w:after="0" w:line="11" w:lineRule="exact"/>
        <w:rPr>
          <w:sz w:val="20"/>
          <w:szCs w:val="20"/>
          <w:color w:val="auto"/>
        </w:rPr>
      </w:pPr>
    </w:p>
    <w:p>
      <w:pPr>
        <w:ind w:left="620" w:hanging="306"/>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consideration for future transactions, above any contractual minimums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consideration for success-based transactions contingent on third party data</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credits for failure to meet future service level requirements</w:t>
      </w:r>
    </w:p>
    <w:p>
      <w:pPr>
        <w:spacing w:after="0" w:line="232" w:lineRule="exact"/>
        <w:rPr>
          <w:sz w:val="20"/>
          <w:szCs w:val="20"/>
          <w:color w:val="auto"/>
        </w:rPr>
      </w:pPr>
    </w:p>
    <w:p>
      <w:pPr>
        <w:ind w:firstLine="311"/>
        <w:spacing w:after="0" w:line="353" w:lineRule="auto"/>
        <w:rPr>
          <w:sz w:val="20"/>
          <w:szCs w:val="20"/>
          <w:color w:val="auto"/>
        </w:rPr>
      </w:pPr>
      <w:r>
        <w:rPr>
          <w:rFonts w:ascii="Arial" w:cs="Arial" w:eastAsia="Arial" w:hAnsi="Arial"/>
          <w:sz w:val="15"/>
          <w:szCs w:val="15"/>
          <w:color w:val="auto"/>
        </w:rPr>
        <w:t>As of September 30, 2022, the aggregate amount of transaction price allocated to remaining performance obligations, other than those meeting the exclusion criteria above, was $136.0 million, of which approximately 93.2 percent is expected to be recognized as revenues within 2 years,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99" w:lineRule="exact"/>
        <w:rPr>
          <w:sz w:val="20"/>
          <w:szCs w:val="20"/>
          <w:color w:val="auto"/>
        </w:rPr>
      </w:pPr>
    </w:p>
    <w:p>
      <w:pPr>
        <w:ind w:left="620" w:hanging="306"/>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 Observable inputs - quoted prices in active markets for identical assets and liabilities;</w:t>
      </w:r>
    </w:p>
    <w:p>
      <w:pPr>
        <w:spacing w:after="0" w:line="24" w:lineRule="exact"/>
        <w:rPr>
          <w:rFonts w:ascii="Arial" w:cs="Arial" w:eastAsia="Arial" w:hAnsi="Arial"/>
          <w:sz w:val="17"/>
          <w:szCs w:val="17"/>
          <w:color w:val="auto"/>
        </w:rPr>
      </w:pPr>
    </w:p>
    <w:p>
      <w:pPr>
        <w:jc w:val="both"/>
        <w:ind w:left="620" w:hanging="306"/>
        <w:spacing w:after="0" w:line="254"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ind w:left="620" w:hanging="306"/>
        <w:spacing w:after="0" w:line="268"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 Unobservable inputs - includes amounts derived from valuation models where one or more significant inputs are unobservable and require the Company to develop relevant assumptions.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7"/>
                <w:szCs w:val="17"/>
                <w:b w:val="1"/>
                <w:bCs w:val="1"/>
                <w:color w:val="auto"/>
              </w:rPr>
              <w:t>September 30, 2022</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1)</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22,584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Total assets</w:t>
            </w:r>
          </w:p>
        </w:tc>
        <w:tc>
          <w:tcPr>
            <w:tcW w:w="280" w:type="dxa"/>
            <w:vAlign w:val="bottom"/>
            <w:shd w:val="clear" w:color="auto" w:fill="CCEEFF"/>
          </w:tcPr>
          <w:p>
            <w:pPr>
              <w:jc w:val="right"/>
              <w:ind w:right="94"/>
              <w:spacing w:after="0" w:line="187" w:lineRule="exact"/>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22,584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4"/>
              <w:spacing w:after="0" w:line="187"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22,584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14"/>
              <w:spacing w:after="0" w:line="187" w:lineRule="exact"/>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ind w:left="40"/>
              <w:spacing w:after="0" w:line="187"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line="187"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7"/>
                <w:szCs w:val="17"/>
                <w:color w:val="auto"/>
              </w:rPr>
              <w:t>Total temporary equity</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7"/>
                <w:szCs w:val="17"/>
                <w:b w:val="1"/>
                <w:bCs w:val="1"/>
                <w:color w:val="auto"/>
              </w:rPr>
              <w:t>December 31, 2021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1)</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31,504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Total assets</w:t>
            </w:r>
          </w:p>
        </w:tc>
        <w:tc>
          <w:tcPr>
            <w:tcW w:w="280" w:type="dxa"/>
            <w:vAlign w:val="bottom"/>
            <w:shd w:val="clear" w:color="auto" w:fill="CCEEFF"/>
          </w:tcPr>
          <w:p>
            <w:pPr>
              <w:jc w:val="right"/>
              <w:ind w:right="94"/>
              <w:spacing w:after="0" w:line="187" w:lineRule="exact"/>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31,504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4"/>
              <w:spacing w:after="0" w:line="187"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31,504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14"/>
              <w:spacing w:after="0" w:line="187" w:lineRule="exact"/>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ind w:left="40"/>
              <w:spacing w:after="0" w:line="187"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line="187" w:lineRule="exact"/>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7"/>
                <w:szCs w:val="17"/>
                <w:color w:val="auto"/>
              </w:rPr>
              <w:t>Total temporary equity</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215" w:lineRule="auto"/>
        <w:tabs>
          <w:tab w:leader="none" w:pos="10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Put arrangements held by the noncontrolling interests in certain of the Company’s joint venture.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44"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noncontrolling interests could significantly increase or decrease the fair value estimates recorded in the Condensed Consolidated Balance Sheets.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changes in fair value of the Company’s Level 3 redeemable noncontrolling interests during the nine months ended September 30, 2022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center"/>
              <w:ind w:right="114"/>
              <w:spacing w:after="0"/>
              <w:rPr>
                <w:sz w:val="20"/>
                <w:szCs w:val="20"/>
                <w:color w:val="auto"/>
              </w:rPr>
            </w:pPr>
            <w:r>
              <w:rPr>
                <w:rFonts w:ascii="Arial" w:cs="Arial" w:eastAsia="Arial" w:hAnsi="Arial"/>
                <w:sz w:val="17"/>
                <w:szCs w:val="17"/>
                <w:b w:val="1"/>
                <w:bCs w:val="1"/>
                <w:color w:val="auto"/>
                <w:w w:val="89"/>
              </w:rPr>
              <w:t>Redeemable</w:t>
            </w:r>
          </w:p>
        </w:tc>
      </w:tr>
      <w:tr>
        <w:trPr>
          <w:trHeight w:val="176"/>
        </w:trPr>
        <w:tc>
          <w:tcPr>
            <w:tcW w:w="9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34"/>
              <w:spacing w:after="0" w:line="176" w:lineRule="exact"/>
              <w:rPr>
                <w:sz w:val="20"/>
                <w:szCs w:val="20"/>
                <w:color w:val="auto"/>
              </w:rPr>
            </w:pPr>
            <w:r>
              <w:rPr>
                <w:rFonts w:ascii="Arial" w:cs="Arial" w:eastAsia="Arial" w:hAnsi="Arial"/>
                <w:sz w:val="17"/>
                <w:szCs w:val="17"/>
                <w:b w:val="1"/>
                <w:bCs w:val="1"/>
                <w:color w:val="auto"/>
                <w:w w:val="90"/>
              </w:rPr>
              <w:t>noncontrolling</w:t>
            </w:r>
          </w:p>
        </w:tc>
      </w:tr>
      <w:tr>
        <w:trPr>
          <w:trHeight w:val="225"/>
        </w:trPr>
        <w:tc>
          <w:tcPr>
            <w:tcW w:w="9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b w:val="1"/>
                <w:bCs w:val="1"/>
                <w:color w:val="auto"/>
                <w:w w:val="87"/>
              </w:rPr>
              <w:t>interests</w:t>
            </w:r>
          </w:p>
        </w:tc>
      </w:tr>
      <w:tr>
        <w:trPr>
          <w:trHeight w:val="21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r>
      <w:tr>
        <w:trPr>
          <w:trHeight w:val="220"/>
        </w:trPr>
        <w:tc>
          <w:tcPr>
            <w:tcW w:w="9480" w:type="dxa"/>
            <w:vAlign w:val="bottom"/>
          </w:tcPr>
          <w:p>
            <w:pPr>
              <w:ind w:left="220"/>
              <w:spacing w:after="0"/>
              <w:rPr>
                <w:sz w:val="20"/>
                <w:szCs w:val="20"/>
                <w:color w:val="auto"/>
              </w:rPr>
            </w:pPr>
            <w:r>
              <w:rPr>
                <w:rFonts w:ascii="Arial" w:cs="Arial" w:eastAsia="Arial" w:hAnsi="Arial"/>
                <w:sz w:val="17"/>
                <w:szCs w:val="17"/>
                <w:color w:val="auto"/>
              </w:rPr>
              <w:t>Fair value adjustment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(256)</w:t>
            </w:r>
          </w:p>
        </w:tc>
      </w:tr>
      <w:tr>
        <w:trPr>
          <w:trHeight w:val="220"/>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 attributable to 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13"/>
        </w:trPr>
        <w:tc>
          <w:tcPr>
            <w:tcW w:w="9480" w:type="dxa"/>
            <w:vAlign w:val="bottom"/>
          </w:tcPr>
          <w:p>
            <w:pPr>
              <w:ind w:left="20"/>
              <w:spacing w:after="0"/>
              <w:rPr>
                <w:sz w:val="20"/>
                <w:szCs w:val="20"/>
                <w:color w:val="auto"/>
              </w:rPr>
            </w:pPr>
            <w:r>
              <w:rPr>
                <w:rFonts w:ascii="Arial" w:cs="Arial" w:eastAsia="Arial" w:hAnsi="Arial"/>
                <w:sz w:val="17"/>
                <w:szCs w:val="17"/>
                <w:color w:val="auto"/>
              </w:rPr>
              <w:t>Balance at September 30, 2022</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Leases</w:t>
      </w:r>
    </w:p>
    <w:p>
      <w:pPr>
        <w:spacing w:after="0" w:line="250"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7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is party to certain sublease arrangements, primarily related to the Company’s real estate leases, where it acts as the lessee and intermediate lessor.</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reflects finance leases as a component of Leases, non-current on the Condensed Consolidated Balance Sheet. The finance leases were not material for the period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the Company's Right of Use (ROU) assets and lease liabilities at September 30, 2022:</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9480" w:type="dxa"/>
            <w:vAlign w:val="bottom"/>
          </w:tcPr>
          <w:p>
            <w:pPr>
              <w:ind w:left="140"/>
              <w:spacing w:after="0"/>
              <w:rPr>
                <w:sz w:val="20"/>
                <w:szCs w:val="20"/>
                <w:color w:val="auto"/>
              </w:rPr>
            </w:pPr>
            <w:r>
              <w:rPr>
                <w:rFonts w:ascii="Arial" w:cs="Arial" w:eastAsia="Arial" w:hAnsi="Arial"/>
                <w:sz w:val="17"/>
                <w:szCs w:val="17"/>
                <w:color w:val="auto"/>
              </w:rPr>
              <w:t>Non-current operating lease ROU assets</w:t>
            </w:r>
          </w:p>
        </w:tc>
        <w:tc>
          <w:tcPr>
            <w:tcW w:w="660" w:type="dxa"/>
            <w:vAlign w:val="bottom"/>
          </w:tcPr>
          <w:p>
            <w:pPr>
              <w:jc w:val="right"/>
              <w:ind w:right="47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21,471</w:t>
            </w:r>
          </w:p>
        </w:tc>
      </w:tr>
      <w:tr>
        <w:trPr>
          <w:trHeight w:val="220"/>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9480" w:type="dxa"/>
            <w:vAlign w:val="bottom"/>
          </w:tcPr>
          <w:p>
            <w:pPr>
              <w:ind w:left="140"/>
              <w:spacing w:after="0" w:line="220" w:lineRule="exact"/>
              <w:rPr>
                <w:sz w:val="20"/>
                <w:szCs w:val="20"/>
                <w:color w:val="auto"/>
              </w:rPr>
            </w:pPr>
            <w:r>
              <w:rPr>
                <w:rFonts w:ascii="Arial" w:cs="Arial" w:eastAsia="Arial" w:hAnsi="Arial"/>
                <w:sz w:val="17"/>
                <w:szCs w:val="17"/>
                <w:color w:val="auto"/>
              </w:rPr>
              <w:t>Current operating lease liabilities</w:t>
            </w:r>
            <w:r>
              <w:rPr>
                <w:rFonts w:ascii="Arial" w:cs="Arial" w:eastAsia="Arial" w:hAnsi="Arial"/>
                <w:sz w:val="22"/>
                <w:szCs w:val="22"/>
                <w:color w:val="auto"/>
                <w:vertAlign w:val="superscript"/>
              </w:rPr>
              <w:t>1</w:t>
            </w:r>
          </w:p>
        </w:tc>
        <w:tc>
          <w:tcPr>
            <w:tcW w:w="660" w:type="dxa"/>
            <w:vAlign w:val="bottom"/>
          </w:tcPr>
          <w:p>
            <w:pPr>
              <w:jc w:val="right"/>
              <w:ind w:right="47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5,682</w:t>
            </w:r>
          </w:p>
        </w:tc>
      </w:tr>
      <w:tr>
        <w:trPr>
          <w:trHeight w:val="220"/>
        </w:trPr>
        <w:tc>
          <w:tcPr>
            <w:tcW w:w="9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Non-current operating lease liabilities</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30,280</w:t>
            </w:r>
          </w:p>
        </w:tc>
      </w:tr>
      <w:tr>
        <w:trPr>
          <w:trHeight w:val="213"/>
        </w:trPr>
        <w:tc>
          <w:tcPr>
            <w:tcW w:w="9480" w:type="dxa"/>
            <w:vAlign w:val="bottom"/>
          </w:tcPr>
          <w:p>
            <w:pPr>
              <w:ind w:left="20"/>
              <w:spacing w:after="0"/>
              <w:rPr>
                <w:sz w:val="20"/>
                <w:szCs w:val="20"/>
                <w:color w:val="auto"/>
              </w:rPr>
            </w:pPr>
            <w:r>
              <w:rPr>
                <w:rFonts w:ascii="Arial" w:cs="Arial" w:eastAsia="Arial" w:hAnsi="Arial"/>
                <w:sz w:val="17"/>
                <w:szCs w:val="17"/>
                <w:color w:val="auto"/>
              </w:rPr>
              <w:t>Total operating lease liabilities</w:t>
            </w:r>
          </w:p>
        </w:tc>
        <w:tc>
          <w:tcPr>
            <w:tcW w:w="6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35,962</w:t>
            </w:r>
          </w:p>
        </w:tc>
      </w:tr>
      <w:tr>
        <w:trPr>
          <w:trHeight w:val="20"/>
        </w:trPr>
        <w:tc>
          <w:tcPr>
            <w:tcW w:w="9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1" w:lineRule="auto"/>
        <w:tabs>
          <w:tab w:leader="none" w:pos="20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Accrued Expenses on the Condensed Consolidated Balance Sheet.</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lease expense and sublease income for the three and nine months ended September 30, 2022:</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156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Nine Months Ended</w:t>
            </w:r>
          </w:p>
        </w:tc>
      </w:tr>
      <w:tr>
        <w:trPr>
          <w:trHeight w:val="185"/>
        </w:trPr>
        <w:tc>
          <w:tcPr>
            <w:tcW w:w="7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September 30, 2022</w:t>
            </w:r>
          </w:p>
        </w:tc>
        <w:tc>
          <w:tcPr>
            <w:tcW w:w="2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Arial" w:cs="Arial" w:eastAsia="Arial" w:hAnsi="Arial"/>
                <w:sz w:val="14"/>
                <w:szCs w:val="14"/>
                <w:b w:val="1"/>
                <w:bCs w:val="1"/>
                <w:color w:val="auto"/>
                <w:w w:val="94"/>
              </w:rPr>
              <w:t>September 30, 2022</w:t>
            </w:r>
          </w:p>
        </w:tc>
      </w:tr>
      <w:tr>
        <w:trPr>
          <w:trHeight w:val="219"/>
        </w:trPr>
        <w:tc>
          <w:tcPr>
            <w:tcW w:w="7620" w:type="dxa"/>
            <w:vAlign w:val="bottom"/>
            <w:tcBorders>
              <w:top w:val="single" w:sz="8" w:color="CCEEFF"/>
            </w:tcBorders>
            <w:shd w:val="clear" w:color="auto" w:fill="CCEEFF"/>
          </w:tcPr>
          <w:p>
            <w:pPr>
              <w:ind w:left="20"/>
              <w:spacing w:after="0" w:line="219"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5,691</w:t>
            </w:r>
          </w:p>
        </w:tc>
      </w:tr>
      <w:tr>
        <w:trPr>
          <w:trHeight w:val="220"/>
        </w:trPr>
        <w:tc>
          <w:tcPr>
            <w:tcW w:w="7620" w:type="dxa"/>
            <w:vAlign w:val="bottom"/>
          </w:tcPr>
          <w:p>
            <w:pPr>
              <w:ind w:left="20"/>
              <w:spacing w:after="0"/>
              <w:rPr>
                <w:sz w:val="20"/>
                <w:szCs w:val="20"/>
                <w:color w:val="auto"/>
              </w:rPr>
            </w:pPr>
            <w:r>
              <w:rPr>
                <w:rFonts w:ascii="Arial" w:cs="Arial" w:eastAsia="Arial" w:hAnsi="Arial"/>
                <w:sz w:val="17"/>
                <w:szCs w:val="17"/>
                <w:color w:val="auto"/>
              </w:rPr>
              <w:t>Other lease costs and income:</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76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Variable lease costs</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r>
      <w:tr>
        <w:trPr>
          <w:trHeight w:val="220"/>
        </w:trPr>
        <w:tc>
          <w:tcPr>
            <w:tcW w:w="7620" w:type="dxa"/>
            <w:vAlign w:val="bottom"/>
          </w:tcPr>
          <w:p>
            <w:pPr>
              <w:ind w:left="220"/>
              <w:spacing w:after="0" w:line="220" w:lineRule="exact"/>
              <w:rPr>
                <w:sz w:val="20"/>
                <w:szCs w:val="20"/>
                <w:color w:val="auto"/>
              </w:rPr>
            </w:pPr>
            <w:r>
              <w:rPr>
                <w:rFonts w:ascii="Arial" w:cs="Arial" w:eastAsia="Arial" w:hAnsi="Arial"/>
                <w:sz w:val="17"/>
                <w:szCs w:val="17"/>
                <w:color w:val="auto"/>
              </w:rPr>
              <w:t>Operating lease impairments</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20"/>
        </w:trPr>
        <w:tc>
          <w:tcPr>
            <w:tcW w:w="76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Sublease income</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(2,058)</w:t>
            </w:r>
          </w:p>
        </w:tc>
      </w:tr>
      <w:tr>
        <w:trPr>
          <w:trHeight w:val="213"/>
        </w:trPr>
        <w:tc>
          <w:tcPr>
            <w:tcW w:w="7620" w:type="dxa"/>
            <w:vAlign w:val="bottom"/>
          </w:tcPr>
          <w:p>
            <w:pPr>
              <w:ind w:left="20"/>
              <w:spacing w:after="0"/>
              <w:rPr>
                <w:sz w:val="20"/>
                <w:szCs w:val="20"/>
                <w:color w:val="auto"/>
              </w:rPr>
            </w:pPr>
            <w:r>
              <w:rPr>
                <w:rFonts w:ascii="Arial" w:cs="Arial" w:eastAsia="Arial" w:hAnsi="Arial"/>
                <w:sz w:val="17"/>
                <w:szCs w:val="17"/>
                <w:color w:val="auto"/>
              </w:rPr>
              <w:t>Total net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5,172</w:t>
            </w: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24" w:lineRule="exact"/>
        <w:rPr>
          <w:sz w:val="20"/>
          <w:szCs w:val="20"/>
          <w:color w:val="auto"/>
        </w:rPr>
      </w:pPr>
    </w:p>
    <w:p>
      <w:pPr>
        <w:ind w:left="320" w:hanging="317"/>
        <w:spacing w:after="0" w:line="214" w:lineRule="auto"/>
        <w:tabs>
          <w:tab w:leader="none" w:pos="225"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 following table provides the undiscounted amount of future cash flows included in our lease liabilities at September 30, 2022 for each of the five years subsequent to December 31, 2021 and thereafter, as well as a reconciliation of such undiscounted cash flows to our lease liabilities at September 30, 2022:</w:t>
      </w:r>
    </w:p>
    <w:tbl>
      <w:tblPr>
        <w:tblLayout w:type="fixed"/>
        <w:tblInd w:w="0" w:type="dxa"/>
        <w:tblCellMar>
          <w:top w:w="0" w:type="dxa"/>
          <w:left w:w="0" w:type="dxa"/>
          <w:bottom w:w="0" w:type="dxa"/>
          <w:right w:w="0" w:type="dxa"/>
        </w:tblCellMar>
      </w:tblPr>
      <w:tr>
        <w:trPr>
          <w:trHeight w:val="205"/>
        </w:trPr>
        <w:tc>
          <w:tcPr>
            <w:tcW w:w="9480" w:type="dxa"/>
            <w:vAlign w:val="bottom"/>
            <w:gridSpan w:val="2"/>
          </w:tcPr>
          <w:p>
            <w:pPr>
              <w:ind w:left="120"/>
              <w:spacing w:after="0"/>
              <w:rPr>
                <w:sz w:val="20"/>
                <w:szCs w:val="20"/>
                <w:color w:val="auto"/>
              </w:rPr>
            </w:pPr>
            <w:r>
              <w:rPr>
                <w:rFonts w:ascii="Arial" w:cs="Arial" w:eastAsia="Arial" w:hAnsi="Arial"/>
                <w:sz w:val="16"/>
                <w:szCs w:val="16"/>
                <w:b w:val="1"/>
                <w:bCs w:val="1"/>
                <w:color w:val="auto"/>
              </w:rPr>
              <w:t>Year</w:t>
            </w:r>
          </w:p>
        </w:tc>
        <w:tc>
          <w:tcPr>
            <w:tcW w:w="200" w:type="dxa"/>
            <w:vAlign w:val="bottom"/>
          </w:tcPr>
          <w:p>
            <w:pPr>
              <w:spacing w:after="0"/>
              <w:rPr>
                <w:sz w:val="17"/>
                <w:szCs w:val="17"/>
                <w:color w:val="auto"/>
              </w:rPr>
            </w:pPr>
          </w:p>
        </w:tc>
        <w:tc>
          <w:tcPr>
            <w:tcW w:w="1560" w:type="dxa"/>
            <w:vAlign w:val="bottom"/>
          </w:tcPr>
          <w:p>
            <w:pPr>
              <w:jc w:val="right"/>
              <w:ind w:right="215"/>
              <w:spacing w:after="0"/>
              <w:rPr>
                <w:sz w:val="20"/>
                <w:szCs w:val="20"/>
                <w:color w:val="auto"/>
              </w:rPr>
            </w:pPr>
            <w:r>
              <w:rPr>
                <w:rFonts w:ascii="Arial" w:cs="Arial" w:eastAsia="Arial" w:hAnsi="Arial"/>
                <w:sz w:val="16"/>
                <w:szCs w:val="16"/>
                <w:b w:val="1"/>
                <w:bCs w:val="1"/>
                <w:color w:val="auto"/>
                <w:w w:val="92"/>
              </w:rPr>
              <w:t>Operating Leases</w:t>
            </w:r>
          </w:p>
        </w:tc>
      </w:tr>
      <w:tr>
        <w:trPr>
          <w:trHeight w:val="216"/>
        </w:trPr>
        <w:tc>
          <w:tcPr>
            <w:tcW w:w="9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2022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2,346</w:t>
            </w:r>
          </w:p>
        </w:tc>
      </w:tr>
      <w:tr>
        <w:trPr>
          <w:trHeight w:val="220"/>
        </w:trPr>
        <w:tc>
          <w:tcPr>
            <w:tcW w:w="9400" w:type="dxa"/>
            <w:vAlign w:val="bottom"/>
          </w:tcPr>
          <w:p>
            <w:pPr>
              <w:ind w:left="120"/>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7,915</w:t>
            </w:r>
          </w:p>
        </w:tc>
      </w:tr>
      <w:tr>
        <w:trPr>
          <w:trHeight w:val="220"/>
        </w:trPr>
        <w:tc>
          <w:tcPr>
            <w:tcW w:w="9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8,052</w:t>
            </w:r>
          </w:p>
        </w:tc>
      </w:tr>
      <w:tr>
        <w:trPr>
          <w:trHeight w:val="220"/>
        </w:trPr>
        <w:tc>
          <w:tcPr>
            <w:tcW w:w="9400" w:type="dxa"/>
            <w:vAlign w:val="bottom"/>
          </w:tcPr>
          <w:p>
            <w:pPr>
              <w:ind w:left="120"/>
              <w:spacing w:after="0"/>
              <w:rPr>
                <w:sz w:val="20"/>
                <w:szCs w:val="20"/>
                <w:color w:val="auto"/>
              </w:rPr>
            </w:pPr>
            <w:r>
              <w:rPr>
                <w:rFonts w:ascii="Arial" w:cs="Arial" w:eastAsia="Arial" w:hAnsi="Arial"/>
                <w:sz w:val="17"/>
                <w:szCs w:val="17"/>
                <w:color w:val="auto"/>
              </w:rPr>
              <w:t>2025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7,909</w:t>
            </w:r>
          </w:p>
        </w:tc>
      </w:tr>
      <w:tr>
        <w:trPr>
          <w:trHeight w:val="220"/>
        </w:trPr>
        <w:tc>
          <w:tcPr>
            <w:tcW w:w="9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7,759</w:t>
            </w:r>
          </w:p>
        </w:tc>
      </w:tr>
      <w:tr>
        <w:trPr>
          <w:trHeight w:val="220"/>
        </w:trPr>
        <w:tc>
          <w:tcPr>
            <w:tcW w:w="9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10,386</w:t>
            </w:r>
          </w:p>
        </w:tc>
      </w:tr>
      <w:tr>
        <w:trPr>
          <w:trHeight w:val="213"/>
        </w:trPr>
        <w:tc>
          <w:tcPr>
            <w:tcW w:w="94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future lease payments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44,367</w:t>
            </w:r>
          </w:p>
        </w:tc>
      </w:tr>
      <w:tr>
        <w:trPr>
          <w:trHeight w:val="220"/>
        </w:trPr>
        <w:tc>
          <w:tcPr>
            <w:tcW w:w="9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Less: amount representing interest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(8,405)</w:t>
            </w:r>
          </w:p>
        </w:tc>
      </w:tr>
      <w:tr>
        <w:trPr>
          <w:trHeight w:val="238"/>
        </w:trPr>
        <w:tc>
          <w:tcPr>
            <w:tcW w:w="9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Present value of future lease payments (lease liability)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35,962</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the weighted-average remaining lease term and weighted-average discount rates for our leases as of September 30, 2022:</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100" w:type="dxa"/>
            <w:vAlign w:val="bottom"/>
            <w:shd w:val="clear" w:color="auto" w:fill="CCEEFF"/>
          </w:tcPr>
          <w:p>
            <w:pPr>
              <w:spacing w:after="0"/>
              <w:rPr>
                <w:sz w:val="19"/>
                <w:szCs w:val="19"/>
                <w:color w:val="auto"/>
              </w:rPr>
            </w:pPr>
          </w:p>
        </w:tc>
      </w:tr>
      <w:tr>
        <w:trPr>
          <w:trHeight w:val="220"/>
        </w:trPr>
        <w:tc>
          <w:tcPr>
            <w:tcW w:w="9140" w:type="dxa"/>
            <w:vAlign w:val="bottom"/>
          </w:tcPr>
          <w:p>
            <w:pPr>
              <w:ind w:left="140"/>
              <w:spacing w:after="0"/>
              <w:rPr>
                <w:sz w:val="20"/>
                <w:szCs w:val="20"/>
                <w:color w:val="auto"/>
              </w:rPr>
            </w:pPr>
            <w:r>
              <w:rPr>
                <w:rFonts w:ascii="Arial" w:cs="Arial" w:eastAsia="Arial" w:hAnsi="Arial"/>
                <w:sz w:val="17"/>
                <w:szCs w:val="17"/>
                <w:color w:val="auto"/>
              </w:rPr>
              <w:t>Weighted-average remaining lease term (years), weighted based on lease liability balances</w:t>
            </w:r>
          </w:p>
        </w:tc>
        <w:tc>
          <w:tcPr>
            <w:tcW w:w="2100" w:type="dxa"/>
            <w:vAlign w:val="bottom"/>
          </w:tcPr>
          <w:p>
            <w:pPr>
              <w:jc w:val="right"/>
              <w:ind w:right="34"/>
              <w:spacing w:after="0"/>
              <w:rPr>
                <w:sz w:val="20"/>
                <w:szCs w:val="20"/>
                <w:color w:val="auto"/>
              </w:rPr>
            </w:pPr>
            <w:r>
              <w:rPr>
                <w:rFonts w:ascii="Arial" w:cs="Arial" w:eastAsia="Arial" w:hAnsi="Arial"/>
                <w:sz w:val="17"/>
                <w:szCs w:val="17"/>
                <w:color w:val="auto"/>
              </w:rPr>
              <w:t>5.50</w:t>
            </w:r>
          </w:p>
        </w:tc>
      </w:tr>
      <w:tr>
        <w:trPr>
          <w:trHeight w:val="220"/>
        </w:trPr>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Weighted-average discount rate (percentages), weighted based on the remaining balance of lease payments</w:t>
            </w:r>
          </w:p>
        </w:tc>
        <w:tc>
          <w:tcPr>
            <w:tcW w:w="21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7.9%</w:t>
            </w: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following table provides certain cash flow and supplemental noncash information related to our lease liabilities 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138035" cy="139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Leases:</w:t>
      </w:r>
    </w:p>
    <w:p>
      <w:pPr>
        <w:spacing w:after="0" w:line="24" w:lineRule="exact"/>
        <w:rPr>
          <w:sz w:val="20"/>
          <w:szCs w:val="20"/>
          <w:color w:val="auto"/>
        </w:rPr>
      </w:pPr>
    </w:p>
    <w:p>
      <w:pPr>
        <w:ind w:left="140"/>
        <w:spacing w:after="0"/>
        <w:tabs>
          <w:tab w:leader="none" w:pos="9480" w:val="left"/>
          <w:tab w:leader="none" w:pos="10760" w:val="left"/>
        </w:tabs>
        <w:rPr>
          <w:sz w:val="20"/>
          <w:szCs w:val="20"/>
          <w:color w:val="auto"/>
        </w:rPr>
      </w:pPr>
      <w:r>
        <w:rPr>
          <w:rFonts w:ascii="Arial" w:cs="Arial" w:eastAsia="Arial" w:hAnsi="Arial"/>
          <w:sz w:val="17"/>
          <w:szCs w:val="17"/>
          <w:color w:val="auto"/>
        </w:rPr>
        <w:t>Cash paid for amounts included in the measurement of lease liabilities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7,292</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Investments in Affiliates and Related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Sequential Technology International, LLC</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86" w:lineRule="exact"/>
        <w:rPr>
          <w:sz w:val="20"/>
          <w:szCs w:val="20"/>
          <w:color w:val="auto"/>
        </w:rPr>
      </w:pPr>
    </w:p>
    <w:p>
      <w:pPr>
        <w:jc w:val="both"/>
        <w:ind w:firstLine="311"/>
        <w:spacing w:after="0" w:line="230" w:lineRule="auto"/>
        <w:rPr>
          <w:sz w:val="20"/>
          <w:szCs w:val="20"/>
          <w:color w:val="auto"/>
        </w:rPr>
      </w:pPr>
      <w:r>
        <w:rPr>
          <w:rFonts w:ascii="Arial" w:cs="Arial" w:eastAsia="Arial" w:hAnsi="Arial"/>
          <w:sz w:val="17"/>
          <w:szCs w:val="17"/>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the maturity date is April 27, 2025.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 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No gain or loss was recognized as a result of the transaction. As of September 30, 2022, the Company reassessed the fair value of the Note and there were no material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accordance with the terms of the agreement, STIN has made the required payments to the Company as of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of Senior Notes</w:t>
      </w:r>
    </w:p>
    <w:p>
      <w:pPr>
        <w:spacing w:after="0" w:line="244"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99"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04"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1"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19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amounts of the Company’s borrowings were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Senior Notes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w w:val="86"/>
              </w:rPr>
              <w:t>September 30, 2022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w w:val="87"/>
              </w:rPr>
              <w:t>December 31, 2021</w:t>
            </w:r>
          </w:p>
        </w:tc>
      </w:tr>
      <w:tr>
        <w:trPr>
          <w:trHeight w:val="21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8.375% Senior Notes due 2026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141,077</w:t>
            </w:r>
          </w:p>
        </w:tc>
      </w:tr>
      <w:tr>
        <w:trPr>
          <w:trHeight w:val="220"/>
        </w:trPr>
        <w:tc>
          <w:tcPr>
            <w:tcW w:w="8000" w:type="dxa"/>
            <w:vAlign w:val="bottom"/>
            <w:tcBorders>
              <w:bottom w:val="single" w:sz="8" w:color="CCEEFF"/>
            </w:tcBorders>
            <w:gridSpan w:val="2"/>
          </w:tcPr>
          <w:p>
            <w:pPr>
              <w:ind w:left="220"/>
              <w:spacing w:after="0" w:line="220" w:lineRule="exact"/>
              <w:rPr>
                <w:sz w:val="20"/>
                <w:szCs w:val="20"/>
                <w:color w:val="auto"/>
              </w:rPr>
            </w:pPr>
            <w:r>
              <w:rPr>
                <w:rFonts w:ascii="Arial" w:cs="Arial" w:eastAsia="Arial" w:hAnsi="Arial"/>
                <w:sz w:val="17"/>
                <w:szCs w:val="17"/>
                <w:color w:val="auto"/>
              </w:rPr>
              <w:t>Unamortized discount and debt issuance cost</w:t>
            </w:r>
            <w:r>
              <w:rPr>
                <w:rFonts w:ascii="Arial" w:cs="Arial" w:eastAsia="Arial" w:hAnsi="Arial"/>
                <w:sz w:val="22"/>
                <w:szCs w:val="22"/>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(7,973)</w:t>
            </w:r>
          </w:p>
        </w:tc>
      </w:tr>
      <w:tr>
        <w:trPr>
          <w:trHeight w:val="23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Carrying value of Senior Notes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133,104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201" w:lineRule="auto"/>
        <w:tabs>
          <w:tab w:leader="none" w:pos="1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Debt issuance costs are deferred and amortized into interest expense using the effective interest method.</w:t>
      </w:r>
    </w:p>
    <w:p>
      <w:pPr>
        <w:spacing w:after="0" w:line="21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fair value of the outstanding Senior Notes was $124.0 million as of September 30, 2022. The Company is in compliance with its debt covenants as of September 30, 2022.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Revolving Credit Facility</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0.5%.</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June 30, 2021, the Company paid off the outstanding balance and closed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interest expense: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gridSpan w:val="7"/>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7"/>
          </w:tcPr>
          <w:p>
            <w:pPr>
              <w:jc w:val="right"/>
              <w:ind w:right="500"/>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6"/>
        </w:trPr>
        <w:tc>
          <w:tcPr>
            <w:tcW w:w="8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95"/>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center"/>
              <w:ind w:right="294"/>
              <w:spacing w:after="0"/>
              <w:rPr>
                <w:sz w:val="20"/>
                <w:szCs w:val="20"/>
                <w:color w:val="auto"/>
              </w:rPr>
            </w:pPr>
            <w:r>
              <w:rPr>
                <w:rFonts w:ascii="Arial" w:cs="Arial" w:eastAsia="Arial" w:hAnsi="Arial"/>
                <w:sz w:val="17"/>
                <w:szCs w:val="17"/>
                <w:b w:val="1"/>
                <w:bCs w:val="1"/>
                <w:color w:val="auto"/>
                <w:w w:val="89"/>
              </w:rPr>
              <w:t>2021</w:t>
            </w: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2021 Non-Convertible Senior Notes due 2026:</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auto"/>
              </w:rPr>
              <w:t>Amortization of debt issuance costs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on borrowings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auto"/>
              </w:rPr>
              <w:t>Amortization of debt discount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2019 Revolving Credit Facility: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auto"/>
              </w:rPr>
              <w:t>Amortization of debt issuance costs</w:t>
            </w:r>
          </w:p>
        </w:tc>
        <w:tc>
          <w:tcPr>
            <w:tcW w:w="28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on borrowings</w:t>
            </w:r>
          </w:p>
        </w:tc>
        <w:tc>
          <w:tcPr>
            <w:tcW w:w="2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20"/>
              <w:spacing w:after="0"/>
              <w:rPr>
                <w:sz w:val="20"/>
                <w:szCs w:val="20"/>
                <w:color w:val="auto"/>
              </w:rPr>
            </w:pPr>
            <w:r>
              <w:rPr>
                <w:rFonts w:ascii="Arial" w:cs="Arial" w:eastAsia="Arial" w:hAnsi="Arial"/>
                <w:sz w:val="17"/>
                <w:szCs w:val="17"/>
                <w:color w:val="auto"/>
              </w:rPr>
              <w:t>Tax - ASC 740/FIN 48 Interest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8. Accumulated Other Comprehensive (Loss) / Income</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4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80" w:type="dxa"/>
            <w:vAlign w:val="bottom"/>
          </w:tcPr>
          <w:p>
            <w:pPr>
              <w:spacing w:after="0"/>
              <w:rPr>
                <w:sz w:val="24"/>
                <w:szCs w:val="24"/>
                <w:color w:val="auto"/>
              </w:rPr>
            </w:pPr>
          </w:p>
        </w:tc>
        <w:tc>
          <w:tcPr>
            <w:tcW w:w="9580" w:type="dxa"/>
            <w:vAlign w:val="bottom"/>
            <w:gridSpan w:val="14"/>
          </w:tcPr>
          <w:p>
            <w:pPr>
              <w:ind w:left="240"/>
              <w:spacing w:after="0"/>
              <w:rPr>
                <w:sz w:val="20"/>
                <w:szCs w:val="20"/>
                <w:color w:val="auto"/>
              </w:rPr>
            </w:pPr>
            <w:r>
              <w:rPr>
                <w:rFonts w:ascii="Arial" w:cs="Arial" w:eastAsia="Arial" w:hAnsi="Arial"/>
                <w:sz w:val="17"/>
                <w:szCs w:val="17"/>
                <w:color w:val="auto"/>
                <w:w w:val="93"/>
              </w:rPr>
              <w:t>The changes in accumulated other comprehensive (loss) income during the nine months ended September 30, 2022 were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660" w:type="dxa"/>
            <w:vAlign w:val="bottom"/>
            <w:gridSpan w:val="4"/>
          </w:tcPr>
          <w:p>
            <w:pPr>
              <w:jc w:val="center"/>
              <w:ind w:right="80"/>
              <w:spacing w:after="0" w:line="181" w:lineRule="exact"/>
              <w:rPr>
                <w:sz w:val="20"/>
                <w:szCs w:val="20"/>
                <w:color w:val="auto"/>
              </w:rPr>
            </w:pPr>
            <w:r>
              <w:rPr>
                <w:rFonts w:ascii="Arial" w:cs="Arial" w:eastAsia="Arial" w:hAnsi="Arial"/>
                <w:sz w:val="16"/>
                <w:szCs w:val="16"/>
                <w:b w:val="1"/>
                <w:bCs w:val="1"/>
                <w:color w:val="auto"/>
                <w:w w:val="87"/>
              </w:rPr>
              <w:t>Balance at December</w:t>
            </w:r>
          </w:p>
        </w:tc>
        <w:tc>
          <w:tcPr>
            <w:tcW w:w="1660" w:type="dxa"/>
            <w:vAlign w:val="bottom"/>
            <w:gridSpan w:val="4"/>
          </w:tcPr>
          <w:p>
            <w:pPr>
              <w:jc w:val="center"/>
              <w:ind w:right="80"/>
              <w:spacing w:after="0" w:line="181" w:lineRule="exact"/>
              <w:rPr>
                <w:sz w:val="20"/>
                <w:szCs w:val="20"/>
                <w:color w:val="auto"/>
              </w:rPr>
            </w:pPr>
            <w:r>
              <w:rPr>
                <w:rFonts w:ascii="Arial" w:cs="Arial" w:eastAsia="Arial" w:hAnsi="Arial"/>
                <w:sz w:val="16"/>
                <w:szCs w:val="16"/>
                <w:b w:val="1"/>
                <w:bCs w:val="1"/>
                <w:color w:val="auto"/>
                <w:w w:val="86"/>
              </w:rPr>
              <w:t>Other comprehensive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Tax effect</w:t>
            </w:r>
          </w:p>
        </w:tc>
        <w:tc>
          <w:tcPr>
            <w:tcW w:w="6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84"/>
              </w:rPr>
              <w:t>Balance at</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4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86"/>
              </w:rPr>
              <w:t>31, 2021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74"/>
              </w:rPr>
              <w:t>loss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6"/>
              </w:rPr>
              <w:t>September 30, 2022</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(28,647)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(57,997)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620" w:type="dxa"/>
            <w:vAlign w:val="bottom"/>
          </w:tcPr>
          <w:p>
            <w:pPr>
              <w:ind w:left="20"/>
              <w:spacing w:after="0" w:line="169" w:lineRule="exact"/>
              <w:rPr>
                <w:sz w:val="20"/>
                <w:szCs w:val="20"/>
                <w:color w:val="auto"/>
              </w:rPr>
            </w:pPr>
            <w:r>
              <w:rPr>
                <w:rFonts w:ascii="Arial" w:cs="Arial" w:eastAsia="Arial" w:hAnsi="Arial"/>
                <w:sz w:val="17"/>
                <w:szCs w:val="17"/>
                <w:color w:val="auto"/>
              </w:rPr>
              <w:t>Unrealized (loss) income on intercompany foreign currency</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transactions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(3,520)</w:t>
            </w: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(28,456)</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(61,517)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Capital Structure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44" w:lineRule="exact"/>
        <w:rPr>
          <w:sz w:val="20"/>
          <w:szCs w:val="20"/>
          <w:color w:val="auto"/>
        </w:rPr>
      </w:pPr>
    </w:p>
    <w:p>
      <w:pPr>
        <w:jc w:val="both"/>
        <w:ind w:right="40" w:firstLine="311"/>
        <w:spacing w:after="0" w:line="283"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Offering</w:t>
      </w:r>
    </w:p>
    <w:p>
      <w:pPr>
        <w:spacing w:after="0" w:line="244" w:lineRule="exact"/>
        <w:rPr>
          <w:sz w:val="20"/>
          <w:szCs w:val="20"/>
          <w:color w:val="auto"/>
        </w:rPr>
      </w:pPr>
    </w:p>
    <w:p>
      <w:pPr>
        <w:jc w:val="both"/>
        <w:ind w:right="40" w:firstLine="311"/>
        <w:spacing w:after="0" w:line="264" w:lineRule="auto"/>
        <w:rPr>
          <w:sz w:val="20"/>
          <w:szCs w:val="20"/>
          <w:color w:val="auto"/>
        </w:rPr>
      </w:pPr>
      <w:r>
        <w:rPr>
          <w:rFonts w:ascii="Arial" w:cs="Arial" w:eastAsia="Arial" w:hAnsi="Arial"/>
          <w:sz w:val="17"/>
          <w:szCs w:val="17"/>
          <w:color w:val="auto"/>
        </w:rPr>
        <w:t>On June 29, 2021, the Company closed its underwritten public offering of common stock, par value $0.0001 per share. The offering was conducted pursuant to an underwriting agreement (the “Underwriting Agreement”) dated June 24, 2021, by and between the Company and B. Riley Securities, Inc., as representative of the several underwriters (the “Underwriters”) for net proceeds of $102.3 million. At the closing, the Company issued 42,307,692 shares of common stock, inclusive of 3,846,154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80"/>
          </w:cols>
          <w:pgMar w:left="320" w:top="127" w:right="29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shares of common stock issued pursuant to the full exercise of the Underwriters’ option to purchase additional shares of common stock. The Company used the net proceeds for the redemption of the Series A Convertible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Statement</w:t>
      </w:r>
    </w:p>
    <w:p>
      <w:pPr>
        <w:spacing w:after="0" w:line="244"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On August 19, 2020, the Company filed a universal shelf registration statement with the SEC for the issuance of common stock, preferred stock, debt securities, guarantees of debt securities, warrants and units up to an aggregate amount of $250.0 million (“the 2020 Shelf Registration Statement”). On August 28, 2020, the 2020 Shelf Registration Statement was declared effective by the SEC. As of September 30, 2022, except for the Common Stock offering and the issuance of Senior Notes, the Company has not raised additional capital using the 2020 Shelf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4"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Non-Convertible Preferred Stock</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B Preferred Stock</w:t>
      </w:r>
    </w:p>
    <w:p>
      <w:pPr>
        <w:spacing w:after="0" w:line="244"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September 30, 2022, the Liquidation Value and Redemption Value of the Series B Preferred Shares was $73.0 million.</w:t>
      </w:r>
    </w:p>
    <w:p>
      <w:pPr>
        <w:spacing w:after="0" w:line="194"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16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 Rights Agreement</w:t>
      </w:r>
    </w:p>
    <w:p>
      <w:pPr>
        <w:spacing w:after="0" w:line="244"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 summary of the Company’s Series B Perpetual Non-Convertible Preferred Stock balance at September 30, 2022 and changes during the nine months ended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are presented below:</w:t>
      </w:r>
    </w:p>
    <w:p>
      <w:pPr>
        <w:spacing w:after="0" w:line="32"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Series B Preferred Stock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b w:val="1"/>
                <w:bCs w:val="1"/>
                <w:color w:val="auto"/>
              </w:rPr>
              <w:t>Shares</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Amount</w:t>
            </w:r>
          </w:p>
        </w:tc>
      </w:tr>
      <w:tr>
        <w:trPr>
          <w:trHeight w:val="213"/>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72,505</w:t>
            </w:r>
          </w:p>
        </w:tc>
      </w:tr>
      <w:tr>
        <w:trPr>
          <w:trHeight w:val="220"/>
        </w:trPr>
        <w:tc>
          <w:tcPr>
            <w:tcW w:w="9240" w:type="dxa"/>
            <w:vAlign w:val="bottom"/>
            <w:gridSpan w:val="2"/>
          </w:tcPr>
          <w:p>
            <w:pPr>
              <w:ind w:left="140"/>
              <w:spacing w:after="0"/>
              <w:rPr>
                <w:sz w:val="20"/>
                <w:szCs w:val="20"/>
                <w:color w:val="auto"/>
              </w:rPr>
            </w:pPr>
            <w:r>
              <w:rPr>
                <w:rFonts w:ascii="Arial" w:cs="Arial" w:eastAsia="Arial" w:hAnsi="Arial"/>
                <w:sz w:val="17"/>
                <w:szCs w:val="17"/>
                <w:color w:val="auto"/>
              </w:rPr>
              <w:t>Issuance of Series B preferred stock</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Issuance costs related to preferred stock</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9240" w:type="dxa"/>
            <w:vAlign w:val="bottom"/>
            <w:gridSpan w:val="2"/>
          </w:tcPr>
          <w:p>
            <w:pPr>
              <w:ind w:left="140"/>
              <w:spacing w:after="0"/>
              <w:rPr>
                <w:sz w:val="20"/>
                <w:szCs w:val="20"/>
                <w:color w:val="auto"/>
              </w:rPr>
            </w:pPr>
            <w:r>
              <w:rPr>
                <w:rFonts w:ascii="Arial" w:cs="Arial" w:eastAsia="Arial" w:hAnsi="Arial"/>
                <w:sz w:val="17"/>
                <w:szCs w:val="17"/>
                <w:color w:val="auto"/>
              </w:rPr>
              <w:t>Amortization of preferred stock issuance costs</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20"/>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Issuance of preferred PIK dividend</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w:t>
            </w:r>
          </w:p>
        </w:tc>
      </w:tr>
      <w:tr>
        <w:trPr>
          <w:trHeight w:val="22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Redemption of Series B preferred shares</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(6,738)</w:t>
            </w:r>
          </w:p>
        </w:tc>
      </w:tr>
      <w:tr>
        <w:trPr>
          <w:trHeight w:val="233"/>
        </w:trPr>
        <w:tc>
          <w:tcPr>
            <w:tcW w:w="924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Balance at September 30, 2022</w:t>
            </w:r>
            <w:r>
              <w:rPr>
                <w:rFonts w:ascii="Arial" w:cs="Arial" w:eastAsia="Arial" w:hAnsi="Arial"/>
                <w:sz w:val="22"/>
                <w:szCs w:val="22"/>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68,348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201" w:lineRule="auto"/>
        <w:tabs>
          <w:tab w:leader="none" w:pos="1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Series B preferred stock principal balance of $70.7 million is presented net of $2.4 million unamortized issuance costs.</w:t>
      </w:r>
    </w:p>
    <w:p>
      <w:pPr>
        <w:spacing w:after="0" w:line="21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On April 1, 2022 the Company paid in-kind the accrued Series B Perpetual Non-Convertible Preferred Stock dividend of $2.4 million. On April 18, 2022, the Company made a $2.5 million principal and interest payment to redeem 2,438 shares of Series B Preferred Stock. On May 10, 2022, the Company made an additional $4.4 million principal and interest payment to redeem 4,300 shares of Series B Preferred Stock.</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October 3, 2022 the Company paid the accrued Series B Perpetual Non-Convertible Preferred Stock dividend of $2.3 million in form of cash.</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Convertible Preferred Stock</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Redemption of Series A Preferred Stock</w:t>
      </w:r>
    </w:p>
    <w:p>
      <w:pPr>
        <w:spacing w:after="0" w:line="244"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net proceeds from the common stock public offering, Senior Note offering and the Series B transaction was used in part to fully redeem all outstanding shares of the Company’s Series A Preferred Stock on June 30, 2021 (the “Redemption”). 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 outstanding or authorized as of September 30, 2022.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44" w:lineRule="exact"/>
        <w:rPr>
          <w:sz w:val="20"/>
          <w:szCs w:val="20"/>
          <w:color w:val="auto"/>
        </w:rPr>
      </w:pPr>
    </w:p>
    <w:p>
      <w:pPr>
        <w:jc w:val="both"/>
        <w:ind w:firstLine="233"/>
        <w:spacing w:after="0" w:line="293" w:lineRule="auto"/>
        <w:rPr>
          <w:sz w:val="20"/>
          <w:szCs w:val="20"/>
          <w:color w:val="auto"/>
        </w:rPr>
      </w:pPr>
      <w:r>
        <w:rPr>
          <w:rFonts w:ascii="Arial" w:cs="Arial" w:eastAsia="Arial" w:hAnsi="Arial"/>
          <w:sz w:val="16"/>
          <w:szCs w:val="16"/>
          <w:color w:val="auto"/>
        </w:rPr>
        <w:t>The Investor Rights Agreement entered into on June 30, 2021 provides that in the event Synchronoss issues Registrable Securities to the holders of Series B Preferred Stock, such holders will have certain demand and piggy-back registration rights with respect to such Registrable Securities. In addition, on June 30, 2021, in connection with the redemption of the Series A Preferred Stock, the Investor Rights Agreement between the Company and Silver terminated.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Plans</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At the annual meeting of stockholders the Company held on June 16, 2022, the stockholders of the Company approved and adopted the Certificate of Amendment of the Company’s restated certificate of incorporation to increase the total number of shares of authorized common stock from 100 million shares to 150 million shares.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As of September 30, 2022, there were 7.9 million shares available for the grant or award under the Company’s 2015 Equity Incentive Plan and 0.5 million shares available for the grant or award under the Company’s 2017 New Hire Equity Incentive Plan.</w:t>
      </w:r>
    </w:p>
    <w:p>
      <w:pPr>
        <w:spacing w:after="0" w:line="18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Company’s performance cash awards granted to executives under the Long Term Incentive (“LTI”) Plans have been accounted for as liability awards, due to the Company’s intent and the ability to settle such awards in cash upon vesting and the Company has reflected such awards in accrued expenses. As of September 30, 2022, the liability for such awards is approximately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4" w:lineRule="exact"/>
        <w:rPr>
          <w:sz w:val="20"/>
          <w:szCs w:val="20"/>
          <w:color w:val="auto"/>
        </w:rPr>
      </w:pPr>
    </w:p>
    <w:p>
      <w:pPr>
        <w:ind w:right="20" w:firstLine="311"/>
        <w:spacing w:after="0" w:line="276" w:lineRule="auto"/>
        <w:rPr>
          <w:sz w:val="20"/>
          <w:szCs w:val="20"/>
          <w:color w:val="auto"/>
        </w:rPr>
      </w:pPr>
      <w:r>
        <w:rPr>
          <w:rFonts w:ascii="Arial" w:cs="Arial" w:eastAsia="Arial" w:hAnsi="Arial"/>
          <w:sz w:val="17"/>
          <w:szCs w:val="17"/>
          <w:color w:val="auto"/>
        </w:rPr>
        <w:t>The following table summarizes stock-based compensation expense related to all of the Company’s stock awards included by operating expense categories,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3280" w:type="dxa"/>
            <w:vAlign w:val="bottom"/>
            <w:tcBorders>
              <w:bottom w:val="single" w:sz="8" w:color="auto"/>
            </w:tcBorders>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6"/>
        </w:trPr>
        <w:tc>
          <w:tcPr>
            <w:tcW w:w="47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r>
      <w:tr>
        <w:trPr>
          <w:trHeight w:val="213"/>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of revenues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w:t>
            </w:r>
          </w:p>
        </w:tc>
      </w:tr>
      <w:tr>
        <w:trPr>
          <w:trHeight w:val="220"/>
        </w:trPr>
        <w:tc>
          <w:tcPr>
            <w:tcW w:w="4760" w:type="dxa"/>
            <w:vAlign w:val="bottom"/>
          </w:tcPr>
          <w:p>
            <w:pPr>
              <w:ind w:left="40"/>
              <w:spacing w:after="0"/>
              <w:rPr>
                <w:sz w:val="20"/>
                <w:szCs w:val="20"/>
                <w:color w:val="auto"/>
              </w:rPr>
            </w:pPr>
            <w:r>
              <w:rPr>
                <w:rFonts w:ascii="Arial" w:cs="Arial" w:eastAsia="Arial" w:hAnsi="Arial"/>
                <w:sz w:val="17"/>
                <w:szCs w:val="17"/>
                <w:color w:val="auto"/>
              </w:rPr>
              <w:t>Research and development</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2,276</w:t>
            </w:r>
          </w:p>
        </w:tc>
      </w:tr>
      <w:tr>
        <w:trPr>
          <w:trHeight w:val="220"/>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3,790</w:t>
            </w:r>
          </w:p>
        </w:tc>
      </w:tr>
      <w:tr>
        <w:trPr>
          <w:trHeight w:val="213"/>
        </w:trPr>
        <w:tc>
          <w:tcPr>
            <w:tcW w:w="4760" w:type="dxa"/>
            <w:vAlign w:val="bottom"/>
          </w:tcPr>
          <w:p>
            <w:pPr>
              <w:ind w:left="220"/>
              <w:spacing w:after="0"/>
              <w:rPr>
                <w:sz w:val="20"/>
                <w:szCs w:val="20"/>
                <w:color w:val="auto"/>
              </w:rPr>
            </w:pPr>
            <w:r>
              <w:rPr>
                <w:rFonts w:ascii="Arial" w:cs="Arial" w:eastAsia="Arial" w:hAnsi="Arial"/>
                <w:sz w:val="17"/>
                <w:szCs w:val="17"/>
                <w:color w:val="auto"/>
              </w:rPr>
              <w:t>Total stock-based compensation expense</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7,355</w:t>
            </w:r>
          </w:p>
        </w:tc>
      </w:tr>
      <w:tr>
        <w:trPr>
          <w:trHeight w:val="20"/>
        </w:trPr>
        <w:tc>
          <w:tcPr>
            <w:tcW w:w="4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328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7"/>
                <w:szCs w:val="17"/>
                <w:color w:val="auto"/>
              </w:rPr>
            </w:pPr>
          </w:p>
        </w:tc>
        <w:tc>
          <w:tcPr>
            <w:tcW w:w="2920" w:type="dxa"/>
            <w:vAlign w:val="bottom"/>
            <w:gridSpan w:val="4"/>
          </w:tcPr>
          <w:p>
            <w:pPr>
              <w:jc w:val="right"/>
              <w:ind w:right="354"/>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6"/>
        </w:trPr>
        <w:tc>
          <w:tcPr>
            <w:tcW w:w="47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r>
      <w:tr>
        <w:trPr>
          <w:trHeight w:val="213"/>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2,912</w:t>
            </w:r>
          </w:p>
        </w:tc>
      </w:tr>
      <w:tr>
        <w:trPr>
          <w:trHeight w:val="220"/>
        </w:trPr>
        <w:tc>
          <w:tcPr>
            <w:tcW w:w="4760" w:type="dxa"/>
            <w:vAlign w:val="bottom"/>
          </w:tcPr>
          <w:p>
            <w:pPr>
              <w:ind w:left="20"/>
              <w:spacing w:after="0"/>
              <w:rPr>
                <w:sz w:val="20"/>
                <w:szCs w:val="20"/>
                <w:color w:val="auto"/>
              </w:rPr>
            </w:pPr>
            <w:r>
              <w:rPr>
                <w:rFonts w:ascii="Arial" w:cs="Arial" w:eastAsia="Arial" w:hAnsi="Arial"/>
                <w:sz w:val="17"/>
                <w:szCs w:val="17"/>
                <w:color w:val="auto"/>
              </w:rPr>
              <w:t>Restricted stock awards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4,412</w:t>
            </w:r>
          </w:p>
        </w:tc>
      </w:tr>
      <w:tr>
        <w:trPr>
          <w:trHeight w:val="22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Based Cash Units</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4760" w:type="dxa"/>
            <w:vAlign w:val="bottom"/>
          </w:tcPr>
          <w:p>
            <w:pPr>
              <w:ind w:left="220"/>
              <w:spacing w:after="0"/>
              <w:rPr>
                <w:sz w:val="20"/>
                <w:szCs w:val="20"/>
                <w:color w:val="auto"/>
              </w:rPr>
            </w:pPr>
            <w:r>
              <w:rPr>
                <w:rFonts w:ascii="Arial" w:cs="Arial" w:eastAsia="Arial" w:hAnsi="Arial"/>
                <w:sz w:val="17"/>
                <w:szCs w:val="17"/>
                <w:color w:val="auto"/>
              </w:rPr>
              <w:t>Total stock-based compensation before taxes</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7,355</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benefit</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w:t>
            </w: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equity awards as of September 30, 2022 was approximately $10.0 million. The expense is expected to be recognized over a weighted-average period of approximately 2.1 years.</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performance based cash units as of September 30, 2022 was approximately $0.9 million. The expense is expected to be recognized over a weighted-average period of approximately 1.9 years.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uses the Black-Scholes option pricing model for determining the estimated fair value for stock options. The weighted-average assumptions used in the Black-Scholes option pricing model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Pr>
          <w:p>
            <w:pPr>
              <w:spacing w:after="0"/>
              <w:rPr>
                <w:sz w:val="17"/>
                <w:szCs w:val="17"/>
                <w:color w:val="auto"/>
              </w:rPr>
            </w:pPr>
          </w:p>
        </w:tc>
        <w:tc>
          <w:tcPr>
            <w:tcW w:w="340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7"/>
                <w:szCs w:val="17"/>
                <w:color w:val="auto"/>
              </w:rPr>
            </w:pPr>
          </w:p>
        </w:tc>
        <w:tc>
          <w:tcPr>
            <w:tcW w:w="3020" w:type="dxa"/>
            <w:vAlign w:val="bottom"/>
            <w:gridSpan w:val="4"/>
          </w:tcPr>
          <w:p>
            <w:pPr>
              <w:jc w:val="right"/>
              <w:ind w:right="414"/>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6"/>
        </w:trPr>
        <w:tc>
          <w:tcPr>
            <w:tcW w:w="45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stock price volatility</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82.9 %</w:t>
            </w:r>
          </w:p>
        </w:tc>
      </w:tr>
      <w:tr>
        <w:trPr>
          <w:trHeight w:val="220"/>
        </w:trPr>
        <w:tc>
          <w:tcPr>
            <w:tcW w:w="450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0.6 %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0.6 %</w:t>
            </w: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of options (in years)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r>
      <w:tr>
        <w:trPr>
          <w:trHeight w:val="220"/>
        </w:trPr>
        <w:tc>
          <w:tcPr>
            <w:tcW w:w="450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0.0 %</w:t>
            </w: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fair value (PSV) of the options</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information about stock options outstanding as of September 30,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Weighted-Average</w:t>
            </w:r>
          </w:p>
        </w:tc>
        <w:tc>
          <w:tcPr>
            <w:tcW w:w="260" w:type="dxa"/>
            <w:vAlign w:val="bottom"/>
          </w:tcPr>
          <w:p>
            <w:pPr>
              <w:spacing w:after="0"/>
              <w:rPr>
                <w:sz w:val="16"/>
                <w:szCs w:val="16"/>
                <w:color w:val="auto"/>
              </w:rPr>
            </w:pPr>
          </w:p>
        </w:tc>
        <w:tc>
          <w:tcPr>
            <w:tcW w:w="128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3"/>
                <w:szCs w:val="13"/>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Weighted-Average</w:t>
            </w:r>
          </w:p>
        </w:tc>
        <w:tc>
          <w:tcPr>
            <w:tcW w:w="166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87"/>
              </w:rPr>
              <w:t>Remaining</w:t>
            </w: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Options</w:t>
            </w:r>
          </w:p>
        </w:tc>
        <w:tc>
          <w:tcPr>
            <w:tcW w:w="100" w:type="dxa"/>
            <w:vAlign w:val="bottom"/>
            <w:vMerge w:val="restart"/>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6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89"/>
              </w:rPr>
              <w:t>Contractual</w:t>
            </w:r>
          </w:p>
        </w:tc>
        <w:tc>
          <w:tcPr>
            <w:tcW w:w="260" w:type="dxa"/>
            <w:vAlign w:val="bottom"/>
          </w:tcPr>
          <w:p>
            <w:pPr>
              <w:spacing w:after="0"/>
              <w:rPr>
                <w:sz w:val="13"/>
                <w:szCs w:val="13"/>
                <w:color w:val="auto"/>
              </w:rPr>
            </w:pPr>
          </w:p>
        </w:tc>
        <w:tc>
          <w:tcPr>
            <w:tcW w:w="1280" w:type="dxa"/>
            <w:vAlign w:val="bottom"/>
          </w:tcPr>
          <w:p>
            <w:pPr>
              <w:jc w:val="center"/>
              <w:ind w:right="179"/>
              <w:spacing w:after="0" w:line="155"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07"/>
        </w:trPr>
        <w:tc>
          <w:tcPr>
            <w:tcW w:w="4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Options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Term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40" w:type="dxa"/>
            <w:vAlign w:val="bottom"/>
            <w:gridSpan w:val="2"/>
          </w:tcPr>
          <w:p>
            <w:pPr>
              <w:ind w:left="240"/>
              <w:spacing w:after="0"/>
              <w:rPr>
                <w:sz w:val="20"/>
                <w:szCs w:val="20"/>
                <w:color w:val="auto"/>
              </w:rPr>
            </w:pPr>
            <w:r>
              <w:rPr>
                <w:rFonts w:ascii="Arial" w:cs="Arial" w:eastAsia="Arial" w:hAnsi="Arial"/>
                <w:sz w:val="17"/>
                <w:szCs w:val="17"/>
                <w:color w:val="auto"/>
              </w:rPr>
              <w:t>Options 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3,009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Options Exercised</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Borders>
              <w:bottom w:val="single" w:sz="8" w:color="CCEEFF"/>
            </w:tcBorders>
            <w:gridSpan w:val="2"/>
          </w:tcPr>
          <w:p>
            <w:pPr>
              <w:ind w:left="240"/>
              <w:spacing w:after="0"/>
              <w:rPr>
                <w:sz w:val="20"/>
                <w:szCs w:val="20"/>
                <w:color w:val="auto"/>
              </w:rPr>
            </w:pPr>
            <w:r>
              <w:rPr>
                <w:rFonts w:ascii="Arial" w:cs="Arial" w:eastAsia="Arial" w:hAnsi="Arial"/>
                <w:sz w:val="17"/>
                <w:szCs w:val="17"/>
                <w:color w:val="auto"/>
              </w:rPr>
              <w:t>Options 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September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Vested and exercisable at September 30, 2022</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gridSpan w:val="2"/>
            <w:vMerge w:val="continue"/>
          </w:tcPr>
          <w:p>
            <w:pPr>
              <w:spacing w:after="0"/>
              <w:rPr>
                <w:sz w:val="16"/>
                <w:szCs w:val="16"/>
                <w:color w:val="auto"/>
              </w:rPr>
            </w:pPr>
          </w:p>
        </w:tc>
        <w:tc>
          <w:tcPr>
            <w:tcW w:w="1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2,571</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7.14</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3.88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2" w:lineRule="exact"/>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ind w:left="104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intrinsic value of stock options exercisable was nil at September 30, 2022 and 2021, respectively. The total intrinsic value of stock options exercised was nil and nil during the nine months ended September 30, 2022 and 2021,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244"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7"/>
          <w:szCs w:val="17"/>
          <w:color w:val="auto"/>
        </w:rPr>
        <w:t>A summary of the Company’s unvested restricted stock at September 30, 2022, and changes during the nine months ended September 30, 2022, is presented below:</w:t>
      </w:r>
    </w:p>
    <w:tbl>
      <w:tblPr>
        <w:tblLayout w:type="fixed"/>
        <w:tblInd w:w="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vMerge w:val="restart"/>
          </w:tcPr>
          <w:p>
            <w:pPr>
              <w:ind w:left="380"/>
              <w:spacing w:after="0"/>
              <w:rPr>
                <w:sz w:val="20"/>
                <w:szCs w:val="20"/>
                <w:color w:val="auto"/>
              </w:rPr>
            </w:pPr>
            <w:r>
              <w:rPr>
                <w:rFonts w:ascii="Arial" w:cs="Arial" w:eastAsia="Arial" w:hAnsi="Arial"/>
                <w:sz w:val="17"/>
                <w:szCs w:val="17"/>
                <w:b w:val="1"/>
                <w:bCs w:val="1"/>
                <w:color w:val="auto"/>
              </w:rPr>
              <w:t>Number of</w:t>
            </w:r>
          </w:p>
        </w:tc>
        <w:tc>
          <w:tcPr>
            <w:tcW w:w="1560" w:type="dxa"/>
            <w:vAlign w:val="bottom"/>
            <w:gridSpan w:val="2"/>
          </w:tcPr>
          <w:p>
            <w:pPr>
              <w:jc w:val="center"/>
              <w:spacing w:after="0" w:line="174" w:lineRule="exact"/>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68"/>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54"/>
              <w:spacing w:after="0" w:line="168" w:lineRule="exact"/>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33"/>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Unvested Restricted Stock</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Awards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93"/>
              </w:rPr>
              <w:t>Fair Value</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20"/>
        </w:trPr>
        <w:tc>
          <w:tcPr>
            <w:tcW w:w="7940" w:type="dxa"/>
            <w:vAlign w:val="bottom"/>
          </w:tcPr>
          <w:p>
            <w:pPr>
              <w:ind w:left="220"/>
              <w:spacing w:after="0"/>
              <w:rPr>
                <w:sz w:val="20"/>
                <w:szCs w:val="20"/>
                <w:color w:val="auto"/>
              </w:rPr>
            </w:pPr>
            <w:r>
              <w:rPr>
                <w:rFonts w:ascii="Arial" w:cs="Arial" w:eastAsia="Arial" w:hAnsi="Arial"/>
                <w:sz w:val="17"/>
                <w:szCs w:val="17"/>
                <w:color w:val="auto"/>
              </w:rPr>
              <w:t>Granted</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20"/>
        </w:trPr>
        <w:tc>
          <w:tcPr>
            <w:tcW w:w="794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Granted adjustment</w:t>
            </w:r>
            <w:r>
              <w:rPr>
                <w:rFonts w:ascii="Arial" w:cs="Arial" w:eastAsia="Arial" w:hAnsi="Arial"/>
                <w:sz w:val="22"/>
                <w:szCs w:val="22"/>
                <w:color w:val="auto"/>
                <w:vertAlign w:val="superscript"/>
              </w:rPr>
              <w:t>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20"/>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Vested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20"/>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Forfeited</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33"/>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September 30, 2022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ind w:left="100" w:hanging="97"/>
        <w:spacing w:after="0" w:line="215" w:lineRule="auto"/>
        <w:tabs>
          <w:tab w:leader="none" w:pos="1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Represents performance based cash units grants that vested and were paid out in form of shares of stock during the period.</w:t>
      </w:r>
    </w:p>
    <w:p>
      <w:pPr>
        <w:spacing w:after="0" w:line="21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Restricted stock awards are granted subject to service conditions or service and performance conditions. Restricted stock awards (“RSA”) and performance based restricted stock awards (“PRSA”) are measured at the closing stock price at the date of grant and the expense is recognized straight line over the requisite service period.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Based Cash Units</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Performance based cash units (“PBCU”) generally vest at the end of a three-year period based on service and achievement of certain performance objectives determined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311"/>
        <w:spacing w:after="0" w:line="274" w:lineRule="auto"/>
        <w:rPr>
          <w:sz w:val="20"/>
          <w:szCs w:val="20"/>
          <w:color w:val="auto"/>
        </w:rPr>
      </w:pPr>
      <w:r>
        <w:rPr>
          <w:rFonts w:ascii="Arial" w:cs="Arial" w:eastAsia="Arial" w:hAnsi="Arial"/>
          <w:sz w:val="17"/>
          <w:szCs w:val="17"/>
          <w:color w:val="auto"/>
        </w:rPr>
        <w:t>A summary of the Company’s unvested performance based cash units at September 30, 2022 and changes during the nine months ended September 30, 2022, is presented below:</w:t>
      </w:r>
    </w:p>
    <w:tbl>
      <w:tblPr>
        <w:tblLayout w:type="fixed"/>
        <w:tblInd w:w="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380"/>
              <w:spacing w:after="0" w:line="174" w:lineRule="exact"/>
              <w:rPr>
                <w:sz w:val="20"/>
                <w:szCs w:val="20"/>
                <w:color w:val="auto"/>
              </w:rPr>
            </w:pPr>
            <w:r>
              <w:rPr>
                <w:rFonts w:ascii="Arial" w:cs="Arial" w:eastAsia="Arial" w:hAnsi="Arial"/>
                <w:sz w:val="17"/>
                <w:szCs w:val="17"/>
                <w:b w:val="1"/>
                <w:bCs w:val="1"/>
                <w:color w:val="auto"/>
              </w:rPr>
              <w:t>Number of</w:t>
            </w:r>
          </w:p>
        </w:tc>
        <w:tc>
          <w:tcPr>
            <w:tcW w:w="140" w:type="dxa"/>
            <w:vAlign w:val="bottom"/>
          </w:tcPr>
          <w:p>
            <w:pPr>
              <w:spacing w:after="0"/>
              <w:rPr>
                <w:sz w:val="15"/>
                <w:szCs w:val="15"/>
                <w:color w:val="auto"/>
              </w:rPr>
            </w:pPr>
          </w:p>
        </w:tc>
        <w:tc>
          <w:tcPr>
            <w:tcW w:w="1420" w:type="dxa"/>
            <w:vAlign w:val="bottom"/>
          </w:tcPr>
          <w:p>
            <w:pPr>
              <w:jc w:val="right"/>
              <w:ind w:right="94"/>
              <w:spacing w:after="0" w:line="174" w:lineRule="exact"/>
              <w:rPr>
                <w:sz w:val="20"/>
                <w:szCs w:val="20"/>
                <w:color w:val="auto"/>
              </w:rPr>
            </w:pPr>
            <w:r>
              <w:rPr>
                <w:rFonts w:ascii="Arial" w:cs="Arial" w:eastAsia="Arial" w:hAnsi="Arial"/>
                <w:sz w:val="17"/>
                <w:szCs w:val="17"/>
                <w:b w:val="1"/>
                <w:bCs w:val="1"/>
                <w:color w:val="auto"/>
                <w:w w:val="97"/>
              </w:rPr>
              <w:t>Period End Fair</w:t>
            </w:r>
          </w:p>
        </w:tc>
      </w:tr>
      <w:tr>
        <w:trPr>
          <w:trHeight w:val="233"/>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Unvested Cash Units</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Units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Value</w:t>
            </w:r>
          </w:p>
        </w:tc>
      </w:tr>
      <w:tr>
        <w:trPr>
          <w:trHeight w:val="21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r>
      <w:tr>
        <w:trPr>
          <w:trHeight w:val="220"/>
        </w:trPr>
        <w:tc>
          <w:tcPr>
            <w:tcW w:w="8020" w:type="dxa"/>
            <w:vAlign w:val="bottom"/>
            <w:gridSpan w:val="2"/>
          </w:tcPr>
          <w:p>
            <w:pPr>
              <w:ind w:left="220"/>
              <w:spacing w:after="0"/>
              <w:rPr>
                <w:sz w:val="20"/>
                <w:szCs w:val="20"/>
                <w:color w:val="auto"/>
              </w:rPr>
            </w:pPr>
            <w:r>
              <w:rPr>
                <w:rFonts w:ascii="Arial" w:cs="Arial" w:eastAsia="Arial" w:hAnsi="Arial"/>
                <w:sz w:val="17"/>
                <w:szCs w:val="17"/>
                <w:color w:val="auto"/>
              </w:rPr>
              <w:t>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4,622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Granted adjustment</w:t>
            </w:r>
            <w:r>
              <w:rPr>
                <w:rFonts w:ascii="Arial" w:cs="Arial" w:eastAsia="Arial" w:hAnsi="Arial"/>
                <w:sz w:val="22"/>
                <w:szCs w:val="22"/>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gridSpan w:val="2"/>
          </w:tcPr>
          <w:p>
            <w:pPr>
              <w:ind w:left="220"/>
              <w:spacing w:after="0"/>
              <w:rPr>
                <w:sz w:val="20"/>
                <w:szCs w:val="20"/>
                <w:color w:val="auto"/>
              </w:rPr>
            </w:pPr>
            <w:r>
              <w:rPr>
                <w:rFonts w:ascii="Arial" w:cs="Arial" w:eastAsia="Arial" w:hAnsi="Arial"/>
                <w:sz w:val="17"/>
                <w:szCs w:val="17"/>
                <w:color w:val="auto"/>
              </w:rPr>
              <w:t>Vested</w:t>
            </w:r>
          </w:p>
        </w:tc>
        <w:tc>
          <w:tcPr>
            <w:tcW w:w="156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7"/>
                <w:szCs w:val="17"/>
                <w:color w:val="auto"/>
              </w:rPr>
              <w:t>Unvested at September 30, 2022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r>
      <w:tr>
        <w:trPr>
          <w:trHeight w:val="20"/>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ind w:left="100" w:hanging="97"/>
        <w:spacing w:after="0" w:line="201" w:lineRule="auto"/>
        <w:tabs>
          <w:tab w:leader="none" w:pos="10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Includes changes in the unvested performance based cash units due to performance adjustments.</w:t>
      </w:r>
    </w:p>
    <w:p>
      <w:pPr>
        <w:spacing w:after="0" w:line="214"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the expense is recognized straight line over the requisite service period. The expense for the period will increase or decrease based on updated fair values of these units at each reporting date. Unvested units’ fluctuations are shown as adjustments to units granted in the table above. These fluctuations are based on the percentage achievement of the performance metrics at the end of each reporting period.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37"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6"/>
          <w:szCs w:val="16"/>
          <w:color w:val="auto"/>
        </w:rPr>
        <w:t>The Company recognized an income tax expense of approximately $1.7 million and an income tax benefit of approximately $7.3 million during the nine months ended September 30, 2022 and 2021, respectively. The effective tax rate was approximately 21.9% for the nine months ended September 30, 2022, which approximated the U.S. federal statutory rate. The Company’s effective tax rate was approximately 24.3% for the nine months ended September 30, 2021, which was higher than the U.S. federal statutory rate primarily due to discrete income tax benefit recorded in the period associated with the finalization of the Company’s U.S. federal income tax return, which reflected a net operating loss that was carried back to prior tax years. Based on the final carryback claim, the Company recorded a discrete income tax benefit of $7.4 million and discrete income tax expense related to a liability for unrecognized tax benefits in the amount of $2.1 million, all of which, if recognized, would impact the Company’s effective tax rate. This increase was partially offset by pre-tax losses in jurisdictions where full valuation allowances have been recorded, pre-tax losses in jurisdictions which have a zero tax rate, and certain foreign jurisdictions projecting current income tax expense.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nine months ended September 30, 2022.</w:t>
      </w:r>
    </w:p>
    <w:p>
      <w:pPr>
        <w:spacing w:after="0" w:line="196"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On March 11, 2021 the American Rescue Plan Act ("ARPA") was signed into law which is aimed at addressing the continuing economic and health impacts of the COVID-19 pandemic. This legislation relief, along with the previous governmental relief packages provide for numerous changes to current tax law. The ARPA does not have a material impact on the Company’s financial statements in the period ending September 30, 2022.</w:t>
      </w:r>
    </w:p>
    <w:p>
      <w:pPr>
        <w:spacing w:after="0" w:line="180" w:lineRule="exact"/>
        <w:rPr>
          <w:sz w:val="20"/>
          <w:szCs w:val="20"/>
          <w:color w:val="auto"/>
        </w:rPr>
      </w:pPr>
    </w:p>
    <w:p>
      <w:pPr>
        <w:jc w:val="both"/>
        <w:ind w:firstLine="311"/>
        <w:spacing w:after="0" w:line="242" w:lineRule="auto"/>
        <w:rPr>
          <w:sz w:val="20"/>
          <w:szCs w:val="20"/>
          <w:color w:val="auto"/>
        </w:rPr>
      </w:pPr>
      <w:r>
        <w:rPr>
          <w:rFonts w:ascii="Arial" w:cs="Arial" w:eastAsia="Arial" w:hAnsi="Arial"/>
          <w:sz w:val="17"/>
          <w:szCs w:val="17"/>
          <w:color w:val="auto"/>
        </w:rPr>
        <w:t>On August 16, 2022, the Inflation Reduction Act of 2022 ("IRA") was signed into law. This legislation includes significant changes relating to tax, climate change, energy and health care. Among other provisions, the IRA introduces a book minimum tax assessed on financial statement income of certain large corporations and an excise tax on share repurchases. The Company does not anticipate these provisions will have a material impact on our results of operations or financial position, when effective.</w:t>
      </w:r>
    </w:p>
    <w:p>
      <w:pPr>
        <w:spacing w:after="0" w:line="208"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During 2021 the Internal Revenue Service commenced an audit of certain of the Company’s prior year U.S. federal income tax filings, including the 2013 through 2020 tax years. The audit is currently ongoing and the while receipt of the associated refunds would materially improve its financial position, the Company does not believe that the results of this audit will have a material effect on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40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The Company received $4.3 million in federal tax refunds in the second quarter of 2022. There is no change to the Company’s position on the remaining tax refunds.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Restructuring</w:t>
      </w:r>
    </w:p>
    <w:p>
      <w:pPr>
        <w:spacing w:after="0" w:line="25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The Company continues to execute certain restructurings to identify workforce optimization opportunities to better align the Company’s resources with its key strategic priorities. A summary of the Company’s restructuring accrual at September 30, 2022 and changes during the nine months ended September 30, 2022, are presented below:</w:t>
      </w: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5" w:lineRule="exact"/>
              <w:rPr>
                <w:sz w:val="20"/>
                <w:szCs w:val="20"/>
                <w:color w:val="auto"/>
              </w:rPr>
            </w:pPr>
            <w:r>
              <w:rPr>
                <w:rFonts w:ascii="Arial" w:cs="Arial" w:eastAsia="Arial" w:hAnsi="Arial"/>
                <w:sz w:val="17"/>
                <w:szCs w:val="17"/>
                <w:b w:val="1"/>
                <w:bCs w:val="1"/>
                <w:color w:val="auto"/>
                <w:w w:val="91"/>
              </w:rPr>
              <w:t>Balance at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6"/>
              </w:rPr>
              <w:t>Other</w:t>
            </w:r>
          </w:p>
        </w:tc>
        <w:tc>
          <w:tcPr>
            <w:tcW w:w="160" w:type="dxa"/>
            <w:vAlign w:val="bottom"/>
          </w:tcPr>
          <w:p>
            <w:pPr>
              <w:spacing w:after="0"/>
              <w:rPr>
                <w:sz w:val="15"/>
                <w:szCs w:val="15"/>
                <w:color w:val="auto"/>
              </w:rPr>
            </w:pPr>
          </w:p>
        </w:tc>
        <w:tc>
          <w:tcPr>
            <w:tcW w:w="1280" w:type="dxa"/>
            <w:vAlign w:val="bottom"/>
          </w:tcPr>
          <w:p>
            <w:pPr>
              <w:jc w:val="center"/>
              <w:ind w:right="54"/>
              <w:spacing w:after="0" w:line="175" w:lineRule="exact"/>
              <w:rPr>
                <w:sz w:val="20"/>
                <w:szCs w:val="20"/>
                <w:color w:val="auto"/>
              </w:rPr>
            </w:pPr>
            <w:r>
              <w:rPr>
                <w:rFonts w:ascii="Arial" w:cs="Arial" w:eastAsia="Arial" w:hAnsi="Arial"/>
                <w:sz w:val="17"/>
                <w:szCs w:val="17"/>
                <w:b w:val="1"/>
                <w:bCs w:val="1"/>
                <w:color w:val="auto"/>
                <w:w w:val="91"/>
              </w:rPr>
              <w:t>Balance at</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0"/>
              </w:rPr>
              <w:t>December 31,</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54"/>
              <w:spacing w:after="0" w:line="168" w:lineRule="exact"/>
              <w:rPr>
                <w:sz w:val="20"/>
                <w:szCs w:val="20"/>
                <w:color w:val="auto"/>
              </w:rPr>
            </w:pPr>
            <w:r>
              <w:rPr>
                <w:rFonts w:ascii="Arial" w:cs="Arial" w:eastAsia="Arial" w:hAnsi="Arial"/>
                <w:sz w:val="17"/>
                <w:szCs w:val="17"/>
                <w:b w:val="1"/>
                <w:bCs w:val="1"/>
                <w:color w:val="auto"/>
                <w:w w:val="91"/>
              </w:rPr>
              <w:t>September 30,</w:t>
            </w:r>
          </w:p>
        </w:tc>
        <w:tc>
          <w:tcPr>
            <w:tcW w:w="0" w:type="dxa"/>
            <w:vAlign w:val="bottom"/>
          </w:tcPr>
          <w:p>
            <w:pPr>
              <w:spacing w:after="0"/>
              <w:rPr>
                <w:sz w:val="1"/>
                <w:szCs w:val="1"/>
                <w:color w:val="auto"/>
              </w:rPr>
            </w:pPr>
          </w:p>
        </w:tc>
      </w:tr>
      <w:tr>
        <w:trPr>
          <w:trHeight w:val="233"/>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74"/>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Charges</w:t>
            </w:r>
          </w:p>
        </w:tc>
        <w:tc>
          <w:tcPr>
            <w:tcW w:w="22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7"/>
                <w:szCs w:val="17"/>
                <w:b w:val="1"/>
                <w:bCs w:val="1"/>
                <w:color w:val="auto"/>
              </w:rPr>
              <w:t>Payments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Adjustments</w:t>
            </w:r>
          </w:p>
        </w:tc>
        <w:tc>
          <w:tcPr>
            <w:tcW w:w="160" w:type="dxa"/>
            <w:vAlign w:val="bottom"/>
          </w:tcPr>
          <w:p>
            <w:pPr>
              <w:spacing w:after="0"/>
              <w:rPr>
                <w:sz w:val="20"/>
                <w:szCs w:val="20"/>
                <w:color w:val="auto"/>
              </w:rPr>
            </w:pPr>
          </w:p>
        </w:tc>
        <w:tc>
          <w:tcPr>
            <w:tcW w:w="1280" w:type="dxa"/>
            <w:vAlign w:val="bottom"/>
          </w:tcPr>
          <w:p>
            <w:pPr>
              <w:jc w:val="center"/>
              <w:ind w:right="54"/>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13"/>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Employment termination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Common Share (“EPS”)</w:t>
      </w:r>
    </w:p>
    <w:p>
      <w:pPr>
        <w:spacing w:after="0" w:line="250"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The following table provides a reconciliation of the numerator and denominator used in computing basic and diluted net income attributable to common stockholders per common share from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5"/>
              </w:rPr>
              <w:t>Three Months Ended September 30,</w:t>
            </w:r>
          </w:p>
        </w:tc>
        <w:tc>
          <w:tcPr>
            <w:tcW w:w="1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6"/>
                <w:szCs w:val="16"/>
                <w:b w:val="1"/>
                <w:bCs w:val="1"/>
                <w:color w:val="auto"/>
                <w:w w:val="88"/>
              </w:rPr>
              <w:t>Nine Months Ended September 30,</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 - Basic:</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40" w:type="dxa"/>
            <w:vAlign w:val="bottom"/>
          </w:tcPr>
          <w:p>
            <w:pPr>
              <w:ind w:left="240"/>
              <w:spacing w:after="0"/>
              <w:rPr>
                <w:sz w:val="20"/>
                <w:szCs w:val="20"/>
                <w:color w:val="auto"/>
              </w:rPr>
            </w:pPr>
            <w:r>
              <w:rPr>
                <w:rFonts w:ascii="Arial" w:cs="Arial" w:eastAsia="Arial" w:hAnsi="Arial"/>
                <w:sz w:val="17"/>
                <w:szCs w:val="17"/>
                <w:color w:val="auto"/>
              </w:rPr>
              <w:t>Net income (loss) from operations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1,086</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(8,109)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5,970</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(22,895)</w:t>
            </w: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(loss) income attributable to redeemable noncontrolling interests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20"/>
        </w:trPr>
        <w:tc>
          <w:tcPr>
            <w:tcW w:w="56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Preferred stock dividend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(33,728)</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Synchronoss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 - Diluted: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income (loss) from operations attributable to Synchronoss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(56,337)</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Synchronoss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86,400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85,646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57,662</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diluted</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86,400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85,646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57,662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per share: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640" w:type="dxa"/>
            <w:vAlign w:val="bottom"/>
          </w:tcPr>
          <w:p>
            <w:pPr>
              <w:ind w:left="220"/>
              <w:spacing w:after="0" w:line="194" w:lineRule="exact"/>
              <w:rPr>
                <w:sz w:val="20"/>
                <w:szCs w:val="20"/>
                <w:color w:val="auto"/>
              </w:rPr>
            </w:pPr>
            <w:r>
              <w:rPr>
                <w:rFonts w:ascii="Arial" w:cs="Arial" w:eastAsia="Arial" w:hAnsi="Arial"/>
                <w:sz w:val="17"/>
                <w:szCs w:val="17"/>
                <w:color w:val="auto"/>
              </w:rPr>
              <w:t>Basic</w:t>
            </w:r>
          </w:p>
        </w:tc>
        <w:tc>
          <w:tcPr>
            <w:tcW w:w="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Anti-dilutive stock options excluded</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Unvested shares of restricted stock awards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92" w:lineRule="exact"/>
              <w:rPr>
                <w:sz w:val="20"/>
                <w:szCs w:val="20"/>
                <w:color w:val="auto"/>
              </w:rPr>
            </w:pPr>
            <w:r>
              <w:rPr>
                <w:rFonts w:ascii="Arial" w:cs="Arial" w:eastAsia="Arial" w:hAnsi="Arial"/>
                <w:sz w:val="17"/>
                <w:szCs w:val="17"/>
                <w:color w:val="auto"/>
              </w:rPr>
              <w:t>4,779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line="192" w:lineRule="exact"/>
              <w:rPr>
                <w:sz w:val="20"/>
                <w:szCs w:val="20"/>
                <w:color w:val="auto"/>
              </w:rPr>
            </w:pPr>
            <w:r>
              <w:rPr>
                <w:rFonts w:ascii="Arial" w:cs="Arial" w:eastAsia="Arial" w:hAnsi="Arial"/>
                <w:sz w:val="17"/>
                <w:szCs w:val="17"/>
                <w:color w:val="auto"/>
              </w:rPr>
              <w:t>2,319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line="192" w:lineRule="exact"/>
              <w:rPr>
                <w:sz w:val="20"/>
                <w:szCs w:val="20"/>
                <w:color w:val="auto"/>
              </w:rPr>
            </w:pPr>
            <w:r>
              <w:rPr>
                <w:rFonts w:ascii="Arial" w:cs="Arial" w:eastAsia="Arial" w:hAnsi="Arial"/>
                <w:sz w:val="17"/>
                <w:szCs w:val="17"/>
                <w:color w:val="auto"/>
              </w:rPr>
              <w:t>4,779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line="192" w:lineRule="exact"/>
              <w:rPr>
                <w:sz w:val="20"/>
                <w:szCs w:val="20"/>
                <w:color w:val="auto"/>
              </w:rPr>
            </w:pPr>
            <w:r>
              <w:rPr>
                <w:rFonts w:ascii="Arial" w:cs="Arial" w:eastAsia="Arial" w:hAnsi="Arial"/>
                <w:sz w:val="17"/>
                <w:szCs w:val="17"/>
                <w:color w:val="auto"/>
              </w:rPr>
              <w:t>2,319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Contingencies and Other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Non-cancelable agreements</w:t>
      </w:r>
    </w:p>
    <w:p>
      <w:pPr>
        <w:spacing w:after="0" w:line="244"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The Company has various non-cancelable arrangements such as services for hosting, support, and software that expire at various dates, with the latest expiration in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80" w:type="dxa"/>
            <w:vAlign w:val="bottom"/>
            <w:gridSpan w:val="2"/>
          </w:tcPr>
          <w:p>
            <w:pPr>
              <w:ind w:left="320"/>
              <w:spacing w:after="0"/>
              <w:rPr>
                <w:sz w:val="20"/>
                <w:szCs w:val="20"/>
                <w:color w:val="auto"/>
              </w:rPr>
            </w:pPr>
            <w:r>
              <w:rPr>
                <w:rFonts w:ascii="Arial" w:cs="Arial" w:eastAsia="Arial" w:hAnsi="Arial"/>
                <w:sz w:val="17"/>
                <w:szCs w:val="17"/>
                <w:color w:val="auto"/>
              </w:rPr>
              <w:t>Aggregate annual future minimum payments under non-cancelable agreements as of September 30, 2022 are as follows: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10"/>
        </w:trPr>
        <w:tc>
          <w:tcPr>
            <w:tcW w:w="9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234"/>
              <w:spacing w:after="0"/>
              <w:rPr>
                <w:sz w:val="20"/>
                <w:szCs w:val="20"/>
                <w:color w:val="auto"/>
              </w:rPr>
            </w:pPr>
            <w:r>
              <w:rPr>
                <w:rFonts w:ascii="Arial" w:cs="Arial" w:eastAsia="Arial" w:hAnsi="Arial"/>
                <w:sz w:val="17"/>
                <w:szCs w:val="17"/>
                <w:b w:val="1"/>
                <w:bCs w:val="1"/>
                <w:color w:val="auto"/>
                <w:w w:val="95"/>
              </w:rPr>
              <w:t>Non-cancelable</w:t>
            </w:r>
          </w:p>
        </w:tc>
      </w:tr>
      <w:tr>
        <w:trPr>
          <w:trHeight w:val="233"/>
        </w:trPr>
        <w:tc>
          <w:tcPr>
            <w:tcW w:w="9480" w:type="dxa"/>
            <w:vAlign w:val="bottom"/>
            <w:gridSpan w:val="2"/>
          </w:tcPr>
          <w:p>
            <w:pPr>
              <w:ind w:left="120"/>
              <w:spacing w:after="0"/>
              <w:rPr>
                <w:sz w:val="20"/>
                <w:szCs w:val="20"/>
                <w:color w:val="auto"/>
              </w:rPr>
            </w:pPr>
            <w:r>
              <w:rPr>
                <w:rFonts w:ascii="Arial" w:cs="Arial" w:eastAsia="Arial" w:hAnsi="Arial"/>
                <w:sz w:val="17"/>
                <w:szCs w:val="17"/>
                <w:b w:val="1"/>
                <w:bCs w:val="1"/>
                <w:color w:val="auto"/>
              </w:rPr>
              <w:t>Year</w:t>
            </w:r>
          </w:p>
        </w:tc>
        <w:tc>
          <w:tcPr>
            <w:tcW w:w="220" w:type="dxa"/>
            <w:vAlign w:val="bottom"/>
          </w:tcPr>
          <w:p>
            <w:pPr>
              <w:spacing w:after="0"/>
              <w:rPr>
                <w:sz w:val="20"/>
                <w:szCs w:val="20"/>
                <w:color w:val="auto"/>
              </w:rPr>
            </w:pPr>
          </w:p>
        </w:tc>
        <w:tc>
          <w:tcPr>
            <w:tcW w:w="1540" w:type="dxa"/>
            <w:vAlign w:val="bottom"/>
          </w:tcPr>
          <w:p>
            <w:pPr>
              <w:jc w:val="right"/>
              <w:ind w:right="374"/>
              <w:spacing w:after="0"/>
              <w:rPr>
                <w:sz w:val="20"/>
                <w:szCs w:val="20"/>
                <w:color w:val="auto"/>
              </w:rPr>
            </w:pPr>
            <w:r>
              <w:rPr>
                <w:rFonts w:ascii="Arial" w:cs="Arial" w:eastAsia="Arial" w:hAnsi="Arial"/>
                <w:sz w:val="17"/>
                <w:szCs w:val="17"/>
                <w:b w:val="1"/>
                <w:bCs w:val="1"/>
                <w:color w:val="auto"/>
              </w:rPr>
              <w:t>agreements</w:t>
            </w:r>
          </w:p>
        </w:tc>
      </w:tr>
      <w:tr>
        <w:trPr>
          <w:trHeight w:val="213"/>
        </w:trPr>
        <w:tc>
          <w:tcPr>
            <w:tcW w:w="9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2022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6,349</w:t>
            </w:r>
          </w:p>
        </w:tc>
      </w:tr>
      <w:tr>
        <w:trPr>
          <w:trHeight w:val="220"/>
        </w:trPr>
        <w:tc>
          <w:tcPr>
            <w:tcW w:w="9400" w:type="dxa"/>
            <w:vAlign w:val="bottom"/>
          </w:tcPr>
          <w:p>
            <w:pPr>
              <w:ind w:left="120"/>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19,002</w:t>
            </w:r>
          </w:p>
        </w:tc>
      </w:tr>
      <w:tr>
        <w:trPr>
          <w:trHeight w:val="220"/>
        </w:trPr>
        <w:tc>
          <w:tcPr>
            <w:tcW w:w="9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17,490</w:t>
            </w:r>
          </w:p>
        </w:tc>
      </w:tr>
      <w:tr>
        <w:trPr>
          <w:trHeight w:val="220"/>
        </w:trPr>
        <w:tc>
          <w:tcPr>
            <w:tcW w:w="94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2025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10,601</w:t>
            </w:r>
          </w:p>
        </w:tc>
      </w:tr>
      <w:tr>
        <w:trPr>
          <w:trHeight w:val="238"/>
        </w:trPr>
        <w:tc>
          <w:tcPr>
            <w:tcW w:w="9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53,442</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44"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81"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5"/>
          <w:szCs w:val="15"/>
          <w:color w:val="auto"/>
        </w:rPr>
        <w:t>In the third quarter of 2017, the SEC and Department of Justice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13(b)(2)(B) of the Exchange Act and the associated rules thereunder. The expense associated with this settlement of the SEC Order has previously been accrued in the Company’s financial statements. Also on June 7, 2022, the SEC filed a civil action against two former members of the Company’s management team, alleging misconduct arising out of the restated transactions that took place in 2015 and 2016 investigated by the SEC as set forth above. The Company may be required to indemnify the former members of management in that action. Due to the inherent uncertainty of litigation, the Company cannot predict the outcome of the litigation and can give no assurance that the asserted claims will not have a material adverse effect on its financial position, prospects, or results of operations.</w:t>
      </w:r>
    </w:p>
    <w:p>
      <w:pPr>
        <w:spacing w:after="0" w:line="18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Additional Financial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components of Other Income (expense), net included in the Condensed Consolidated Statements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2820" w:type="dxa"/>
            <w:vAlign w:val="bottom"/>
            <w:gridSpan w:val="6"/>
          </w:tcPr>
          <w:p>
            <w:pPr>
              <w:ind w:left="160"/>
              <w:spacing w:after="0"/>
              <w:rPr>
                <w:sz w:val="20"/>
                <w:szCs w:val="20"/>
                <w:color w:val="auto"/>
              </w:rPr>
            </w:pPr>
            <w:r>
              <w:rPr>
                <w:rFonts w:ascii="Arial" w:cs="Arial" w:eastAsia="Arial" w:hAnsi="Arial"/>
                <w:sz w:val="16"/>
                <w:szCs w:val="16"/>
                <w:b w:val="1"/>
                <w:bCs w:val="1"/>
                <w:color w:val="auto"/>
                <w:w w:val="97"/>
              </w:rPr>
              <w:t>Three Months Ended September 30,</w:t>
            </w:r>
          </w:p>
        </w:tc>
        <w:tc>
          <w:tcPr>
            <w:tcW w:w="180" w:type="dxa"/>
            <w:vAlign w:val="bottom"/>
          </w:tcPr>
          <w:p>
            <w:pPr>
              <w:spacing w:after="0"/>
              <w:rPr>
                <w:sz w:val="17"/>
                <w:szCs w:val="17"/>
                <w:color w:val="auto"/>
              </w:rPr>
            </w:pPr>
          </w:p>
        </w:tc>
        <w:tc>
          <w:tcPr>
            <w:tcW w:w="2580" w:type="dxa"/>
            <w:vAlign w:val="bottom"/>
            <w:gridSpan w:val="4"/>
          </w:tcPr>
          <w:p>
            <w:pPr>
              <w:jc w:val="right"/>
              <w:ind w:right="135"/>
              <w:spacing w:after="0"/>
              <w:rPr>
                <w:sz w:val="20"/>
                <w:szCs w:val="20"/>
                <w:color w:val="auto"/>
              </w:rPr>
            </w:pPr>
            <w:r>
              <w:rPr>
                <w:rFonts w:ascii="Arial" w:cs="Arial" w:eastAsia="Arial" w:hAnsi="Arial"/>
                <w:sz w:val="16"/>
                <w:szCs w:val="16"/>
                <w:b w:val="1"/>
                <w:bCs w:val="1"/>
                <w:color w:val="auto"/>
                <w:w w:val="88"/>
              </w:rPr>
              <w:t>Nine Months Ended September 30,</w:t>
            </w:r>
          </w:p>
        </w:tc>
      </w:tr>
      <w:tr>
        <w:trPr>
          <w:trHeight w:val="200"/>
        </w:trPr>
        <w:tc>
          <w:tcPr>
            <w:tcW w:w="56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r>
      <w:tr>
        <w:trPr>
          <w:trHeight w:val="215"/>
        </w:trPr>
        <w:tc>
          <w:tcPr>
            <w:tcW w:w="56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FX gains (losses)</w:t>
            </w:r>
            <w:r>
              <w:rPr>
                <w:rFonts w:ascii="Arial" w:cs="Arial" w:eastAsia="Arial" w:hAnsi="Arial"/>
                <w:sz w:val="22"/>
                <w:szCs w:val="22"/>
                <w:color w:val="auto"/>
                <w:vertAlign w:val="superscript"/>
              </w:rPr>
              <w:t>1</w:t>
            </w:r>
          </w:p>
        </w:tc>
        <w:tc>
          <w:tcPr>
            <w:tcW w:w="8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4,810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(4,055)</w:t>
            </w:r>
          </w:p>
        </w:tc>
      </w:tr>
      <w:tr>
        <w:trPr>
          <w:trHeight w:val="220"/>
        </w:trPr>
        <w:tc>
          <w:tcPr>
            <w:tcW w:w="5660" w:type="dxa"/>
            <w:vAlign w:val="bottom"/>
          </w:tcPr>
          <w:p>
            <w:pPr>
              <w:ind w:left="20"/>
              <w:spacing w:after="0" w:line="220" w:lineRule="exact"/>
              <w:rPr>
                <w:sz w:val="20"/>
                <w:szCs w:val="20"/>
                <w:color w:val="auto"/>
              </w:rPr>
            </w:pPr>
            <w:r>
              <w:rPr>
                <w:rFonts w:ascii="Arial" w:cs="Arial" w:eastAsia="Arial" w:hAnsi="Arial"/>
                <w:sz w:val="17"/>
                <w:szCs w:val="17"/>
                <w:color w:val="auto"/>
              </w:rPr>
              <w:t>Government refunds</w:t>
            </w:r>
            <w:r>
              <w:rPr>
                <w:rFonts w:ascii="Arial" w:cs="Arial" w:eastAsia="Arial" w:hAnsi="Arial"/>
                <w:sz w:val="22"/>
                <w:szCs w:val="22"/>
                <w:color w:val="auto"/>
                <w:vertAlign w:val="superscript"/>
              </w:rPr>
              <w:t>2</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20"/>
        </w:trPr>
        <w:tc>
          <w:tcPr>
            <w:tcW w:w="56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Income from sale of intangible assets</w:t>
            </w:r>
            <w:r>
              <w:rPr>
                <w:rFonts w:ascii="Arial" w:cs="Arial" w:eastAsia="Arial" w:hAnsi="Arial"/>
                <w:sz w:val="22"/>
                <w:szCs w:val="22"/>
                <w:color w:val="auto"/>
                <w:vertAlign w:val="superscript"/>
              </w:rPr>
              <w:t>3</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r>
      <w:tr>
        <w:trPr>
          <w:trHeight w:val="220"/>
        </w:trPr>
        <w:tc>
          <w:tcPr>
            <w:tcW w:w="566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4</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r>
      <w:tr>
        <w:trPr>
          <w:trHeight w:val="238"/>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840" w:type="dxa"/>
            <w:vAlign w:val="bottom"/>
            <w:tcBorders>
              <w:bottom w:val="single" w:sz="8" w:color="auto"/>
            </w:tcBorders>
            <w:shd w:val="clear" w:color="auto" w:fill="CCEEFF"/>
          </w:tcPr>
          <w:p>
            <w:pPr>
              <w:jc w:val="right"/>
              <w:ind w:right="658"/>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4,437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80" w:hanging="77"/>
        <w:spacing w:after="0" w:line="185" w:lineRule="auto"/>
        <w:tabs>
          <w:tab w:leader="none" w:pos="80"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Represents foreign exchange gains and losses</w:t>
      </w:r>
    </w:p>
    <w:p>
      <w:pPr>
        <w:spacing w:after="0" w:line="188"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Represents government and tax refunds</w:t>
      </w:r>
    </w:p>
    <w:p>
      <w:pPr>
        <w:ind w:right="6960"/>
        <w:spacing w:after="0" w:line="380" w:lineRule="auto"/>
        <w:rPr>
          <w:rFonts w:ascii="Arial" w:cs="Arial" w:eastAsia="Arial" w:hAnsi="Arial"/>
          <w:sz w:val="20"/>
          <w:szCs w:val="20"/>
          <w:color w:val="auto"/>
          <w:vertAlign w:val="superscript"/>
        </w:rPr>
      </w:pPr>
      <w:r>
        <w:rPr>
          <w:rFonts w:ascii="Arial" w:cs="Arial" w:eastAsia="Arial" w:hAnsi="Arial"/>
          <w:sz w:val="17"/>
          <w:szCs w:val="17"/>
          <w:color w:val="auto"/>
          <w:vertAlign w:val="superscript"/>
        </w:rPr>
        <w:t>3</w:t>
      </w:r>
      <w:r>
        <w:rPr>
          <w:rFonts w:ascii="Arial" w:cs="Arial" w:eastAsia="Arial" w:hAnsi="Arial"/>
          <w:sz w:val="13"/>
          <w:szCs w:val="13"/>
          <w:color w:val="auto"/>
        </w:rPr>
        <w:t xml:space="preserve"> Represents gain on sale on the Company’s IP addresses and Patents </w:t>
      </w:r>
      <w:r>
        <w:rPr>
          <w:rFonts w:ascii="Arial" w:cs="Arial" w:eastAsia="Arial" w:hAnsi="Arial"/>
          <w:sz w:val="17"/>
          <w:szCs w:val="17"/>
          <w:color w:val="auto"/>
          <w:vertAlign w:val="superscript"/>
        </w:rPr>
        <w:t>4</w:t>
      </w:r>
      <w:r>
        <w:rPr>
          <w:rFonts w:ascii="Arial" w:cs="Arial" w:eastAsia="Arial" w:hAnsi="Arial"/>
          <w:sz w:val="13"/>
          <w:szCs w:val="13"/>
          <w:color w:val="auto"/>
        </w:rPr>
        <w:t xml:space="preserve"> Represents an aggregate of individually immaterial transactions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201" w:lineRule="exact"/>
        <w:rPr>
          <w:sz w:val="20"/>
          <w:szCs w:val="20"/>
          <w:color w:val="auto"/>
        </w:rPr>
      </w:pPr>
    </w:p>
    <w:p>
      <w:pPr>
        <w:jc w:val="both"/>
        <w:ind w:firstLine="311"/>
        <w:spacing w:after="0" w:line="296" w:lineRule="auto"/>
        <w:rPr>
          <w:sz w:val="20"/>
          <w:szCs w:val="20"/>
          <w:color w:val="auto"/>
        </w:rPr>
      </w:pPr>
      <w:r>
        <w:rPr>
          <w:rFonts w:ascii="Arial" w:cs="Arial" w:eastAsia="Arial" w:hAnsi="Arial"/>
          <w:sz w:val="15"/>
          <w:szCs w:val="15"/>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Synchronoss is a leading provider of white label cloud, messaging, digital and network management solutions that enable our customers to keep subscribers, systems, networks and content in sync. We help our customers to connect, engage and monetize subscribers in more meaningful ways by providing trusted platforms through which end users can sync and store content and connect with one another and the brands they love. Our mission is to help our customers create new revenue streams, reduce the cost of innovation, and captivate their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Our core product sets allow our customers to create a positive experience throughout their subscribers’ lifecycle by engaging, onboarding and managing the network to ensure reliable service.</w:t>
      </w:r>
    </w:p>
    <w:p>
      <w:pPr>
        <w:spacing w:after="0" w:line="203" w:lineRule="exact"/>
        <w:rPr>
          <w:sz w:val="20"/>
          <w:szCs w:val="20"/>
          <w:color w:val="auto"/>
        </w:rPr>
      </w:pPr>
    </w:p>
    <w:p>
      <w:pPr>
        <w:ind w:left="620" w:hanging="306"/>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ENGAGE:</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Personal Cloud: Backup, manage and engage with content.</w:t>
      </w:r>
    </w:p>
    <w:p>
      <w:pPr>
        <w:spacing w:after="0" w:line="26" w:lineRule="exact"/>
        <w:rPr>
          <w:rFonts w:ascii="Arial" w:cs="Arial" w:eastAsia="Arial" w:hAnsi="Arial"/>
          <w:sz w:val="21"/>
          <w:szCs w:val="21"/>
          <w:color w:val="auto"/>
        </w:rPr>
      </w:pPr>
    </w:p>
    <w:p>
      <w:pPr>
        <w:ind w:left="1240" w:hanging="305"/>
        <w:spacing w:after="0"/>
        <w:tabs>
          <w:tab w:leader="none" w:pos="1240" w:val="left"/>
        </w:tabs>
        <w:numPr>
          <w:ilvl w:val="1"/>
          <w:numId w:val="16"/>
        </w:numPr>
        <w:rPr>
          <w:rFonts w:ascii="Arial" w:cs="Arial" w:eastAsia="Arial" w:hAnsi="Arial"/>
          <w:sz w:val="18"/>
          <w:szCs w:val="18"/>
          <w:color w:val="auto"/>
        </w:rPr>
      </w:pPr>
      <w:r>
        <w:rPr>
          <w:rFonts w:ascii="Arial" w:cs="Arial" w:eastAsia="Arial" w:hAnsi="Arial"/>
          <w:sz w:val="15"/>
          <w:szCs w:val="15"/>
          <w:color w:val="auto"/>
        </w:rPr>
        <w:t>Advanced Messaging: multi-channel messaging, peer-to-peer (“P2P”) communications and application-to-person (“A2P”) commerce solutions.</w:t>
      </w:r>
    </w:p>
    <w:p>
      <w:pPr>
        <w:spacing w:after="0" w:line="29" w:lineRule="exact"/>
        <w:rPr>
          <w:rFonts w:ascii="Arial" w:cs="Arial" w:eastAsia="Arial" w:hAnsi="Arial"/>
          <w:sz w:val="18"/>
          <w:szCs w:val="18"/>
          <w:color w:val="auto"/>
        </w:rPr>
      </w:pPr>
    </w:p>
    <w:p>
      <w:pPr>
        <w:ind w:left="1240" w:hanging="305"/>
        <w:spacing w:after="0"/>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Email Suite: White label consumer email solutions.</w:t>
      </w:r>
    </w:p>
    <w:p>
      <w:pPr>
        <w:spacing w:after="0" w:line="237" w:lineRule="exact"/>
        <w:rPr>
          <w:rFonts w:ascii="Arial" w:cs="Arial" w:eastAsia="Arial" w:hAnsi="Arial"/>
          <w:sz w:val="21"/>
          <w:szCs w:val="21"/>
          <w:color w:val="auto"/>
        </w:rPr>
      </w:pPr>
    </w:p>
    <w:p>
      <w:pPr>
        <w:ind w:left="620" w:hanging="306"/>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ONBOARD:</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Backup and Restore: Backup, view and restore subscriber content across operating systems and devices.</w:t>
      </w:r>
    </w:p>
    <w:p>
      <w:pPr>
        <w:spacing w:after="0" w:line="10" w:lineRule="exact"/>
        <w:rPr>
          <w:rFonts w:ascii="Arial" w:cs="Arial" w:eastAsia="Arial" w:hAnsi="Arial"/>
          <w:sz w:val="21"/>
          <w:szCs w:val="21"/>
          <w:color w:val="auto"/>
        </w:rPr>
      </w:pPr>
    </w:p>
    <w:p>
      <w:pPr>
        <w:ind w:left="1240" w:hanging="305"/>
        <w:spacing w:after="0" w:line="234" w:lineRule="auto"/>
        <w:tabs>
          <w:tab w:leader="none" w:pos="1240" w:val="left"/>
        </w:tabs>
        <w:numPr>
          <w:ilvl w:val="1"/>
          <w:numId w:val="16"/>
        </w:numPr>
        <w:rPr>
          <w:rFonts w:ascii="Arial" w:cs="Arial" w:eastAsia="Arial" w:hAnsi="Arial"/>
          <w:sz w:val="21"/>
          <w:szCs w:val="21"/>
          <w:color w:val="auto"/>
        </w:rPr>
      </w:pPr>
      <w:r>
        <w:rPr>
          <w:rFonts w:ascii="Arial" w:cs="Arial" w:eastAsia="Arial" w:hAnsi="Arial"/>
          <w:sz w:val="17"/>
          <w:szCs w:val="17"/>
          <w:color w:val="auto"/>
        </w:rPr>
        <w:t>Content Transfer: Effortlessly move content between mobile devices.</w:t>
      </w:r>
    </w:p>
    <w:p>
      <w:pPr>
        <w:spacing w:after="0" w:line="237" w:lineRule="exact"/>
        <w:rPr>
          <w:rFonts w:ascii="Arial" w:cs="Arial" w:eastAsia="Arial" w:hAnsi="Arial"/>
          <w:sz w:val="21"/>
          <w:szCs w:val="21"/>
          <w:color w:val="auto"/>
        </w:rPr>
      </w:pPr>
    </w:p>
    <w:p>
      <w:pPr>
        <w:ind w:left="620" w:hanging="306"/>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NETWORK:</w:t>
      </w:r>
    </w:p>
    <w:p>
      <w:pPr>
        <w:spacing w:after="0" w:line="10" w:lineRule="exact"/>
        <w:rPr>
          <w:rFonts w:ascii="Arial" w:cs="Arial" w:eastAsia="Arial" w:hAnsi="Arial"/>
          <w:sz w:val="21"/>
          <w:szCs w:val="21"/>
          <w:color w:val="auto"/>
        </w:rPr>
      </w:pPr>
    </w:p>
    <w:p>
      <w:pPr>
        <w:ind w:left="1240" w:hanging="305"/>
        <w:spacing w:after="0" w:line="262" w:lineRule="auto"/>
        <w:tabs>
          <w:tab w:leader="none" w:pos="1287" w:val="left"/>
        </w:tabs>
        <w:numPr>
          <w:ilvl w:val="1"/>
          <w:numId w:val="16"/>
        </w:numPr>
        <w:rPr>
          <w:rFonts w:ascii="Arial" w:cs="Arial" w:eastAsia="Arial" w:hAnsi="Arial"/>
          <w:sz w:val="21"/>
          <w:szCs w:val="21"/>
          <w:color w:val="auto"/>
        </w:rPr>
      </w:pPr>
      <w:r>
        <w:rPr>
          <w:rFonts w:ascii="Arial" w:cs="Arial" w:eastAsia="Arial" w:hAnsi="Arial"/>
          <w:sz w:val="17"/>
          <w:szCs w:val="17"/>
          <w:color w:val="auto"/>
        </w:rPr>
        <w:t>Total Network Management (“TNM”)</w:t>
      </w:r>
      <w:r>
        <w:rPr>
          <w:rFonts w:ascii="Arial" w:cs="Arial" w:eastAsia="Arial" w:hAnsi="Arial"/>
          <w:sz w:val="20"/>
          <w:szCs w:val="20"/>
          <w:color w:val="008080"/>
        </w:rPr>
        <w:t>:</w:t>
      </w:r>
      <w:r>
        <w:rPr>
          <w:rFonts w:ascii="Arial" w:cs="Arial" w:eastAsia="Arial" w:hAnsi="Arial"/>
          <w:sz w:val="17"/>
          <w:szCs w:val="17"/>
          <w:color w:val="auto"/>
        </w:rPr>
        <w:t xml:space="preserve"> integrated application suite that designs, procures, manages and optimizes telecom network infrastructure.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currently operates in and markets its solutions and services directly through its sales organizations in North America, Europe and Asia-Pacific.</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generate most of our revenues on a per transaction or subscription basis, which is derived from contracts that extend up to 60 months from execution.</w:t>
      </w:r>
    </w:p>
    <w:p>
      <w:pPr>
        <w:spacing w:after="0" w:line="25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Most of our revenues are recorded in U.S. dollars but as we continue to expand our footprint with international carriers, we will continue to be subject to currency translation that could affect our future net sales as reported in U.S. dollars.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Our top five customers accounted for 73.1% and 69.2% of net revenues for the nine months ended September 30, 2022 and September 30, 2021, respectively. Contracts with these customers typically run for three to five years. Of these customers, Verizon accounted for more than 10% of our revenues in 2022 and 2021. The loss of Verizon as a customer would have a material negative impact on our company. However, we believe that the costs incurred and subscriber disruption by Verizon to replace Synchronoss’ solutions would be substantial.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Trends Affecting Our Results of Operations</w:t>
      </w:r>
    </w:p>
    <w:p>
      <w:pPr>
        <w:spacing w:after="0" w:line="250" w:lineRule="exact"/>
        <w:rPr>
          <w:sz w:val="20"/>
          <w:szCs w:val="20"/>
          <w:color w:val="auto"/>
        </w:rPr>
      </w:pPr>
    </w:p>
    <w:p>
      <w:pPr>
        <w:jc w:val="both"/>
        <w:ind w:firstLine="311"/>
        <w:spacing w:after="0" w:line="249" w:lineRule="auto"/>
        <w:rPr>
          <w:sz w:val="20"/>
          <w:szCs w:val="20"/>
          <w:color w:val="auto"/>
        </w:rPr>
      </w:pPr>
      <w:r>
        <w:rPr>
          <w:rFonts w:ascii="Arial" w:cs="Arial" w:eastAsia="Arial" w:hAnsi="Arial"/>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17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advanced messaging drives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subscriber engagement than any other application in the market today and holds the potential to stimulate new revenue from traditional services and third-party brands. OTT global success has driven MNOs to look at opportunities to preempt and compete with the OTTs which provides a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2" w:lineRule="exact"/>
        <w:rPr>
          <w:sz w:val="20"/>
          <w:szCs w:val="20"/>
          <w:color w:val="auto"/>
        </w:rPr>
      </w:pPr>
    </w:p>
    <w:p>
      <w:pPr>
        <w:jc w:val="both"/>
        <w:ind w:firstLine="311"/>
        <w:spacing w:after="0" w:line="254" w:lineRule="auto"/>
        <w:rPr>
          <w:sz w:val="20"/>
          <w:szCs w:val="20"/>
          <w:color w:val="auto"/>
        </w:rPr>
      </w:pPr>
      <w:r>
        <w:rPr>
          <w:rFonts w:ascii="Arial" w:cs="Arial" w:eastAsia="Arial" w:hAnsi="Arial"/>
          <w:sz w:val="17"/>
          <w:szCs w:val="17"/>
          <w:color w:val="auto"/>
        </w:rPr>
        <w:t>To support our growth, which we expect to be driven by these favorable industry trends mentioned above, we plan to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jc w:val="both"/>
        <w:ind w:firstLine="311"/>
        <w:spacing w:after="0" w:line="261" w:lineRule="auto"/>
        <w:rPr>
          <w:sz w:val="20"/>
          <w:szCs w:val="20"/>
          <w:color w:val="auto"/>
        </w:rPr>
      </w:pPr>
      <w:r>
        <w:rPr>
          <w:rFonts w:ascii="Arial" w:cs="Arial" w:eastAsia="Arial" w:hAnsi="Arial"/>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2022 compared to the three months ended September 30,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September 30,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0" w:type="dxa"/>
            <w:vAlign w:val="bottom"/>
          </w:tcPr>
          <w:p>
            <w:pPr>
              <w:spacing w:after="0"/>
              <w:rPr>
                <w:sz w:val="17"/>
                <w:szCs w:val="17"/>
                <w:color w:val="auto"/>
              </w:rPr>
            </w:pPr>
          </w:p>
        </w:tc>
        <w:tc>
          <w:tcPr>
            <w:tcW w:w="3700" w:type="dxa"/>
            <w:vAlign w:val="bottom"/>
            <w:gridSpan w:val="6"/>
          </w:tcPr>
          <w:p>
            <w:pPr>
              <w:ind w:left="60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7"/>
                <w:szCs w:val="17"/>
                <w:color w:val="auto"/>
              </w:rPr>
            </w:pPr>
          </w:p>
        </w:tc>
        <w:tc>
          <w:tcPr>
            <w:tcW w:w="1460" w:type="dxa"/>
            <w:vAlign w:val="bottom"/>
          </w:tcPr>
          <w:p>
            <w:pPr>
              <w:jc w:val="right"/>
              <w:ind w:right="47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58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 vs 2021</w:t>
            </w: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(9,857)</w:t>
            </w:r>
          </w:p>
        </w:tc>
      </w:tr>
      <w:tr>
        <w:trPr>
          <w:trHeight w:val="220"/>
        </w:trPr>
        <w:tc>
          <w:tcPr>
            <w:tcW w:w="5800" w:type="dxa"/>
            <w:vAlign w:val="bottom"/>
          </w:tcPr>
          <w:p>
            <w:pPr>
              <w:ind w:left="2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22,440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27,245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(4,805)</w:t>
            </w:r>
          </w:p>
        </w:tc>
      </w:tr>
      <w:tr>
        <w:trPr>
          <w:trHeight w:val="220"/>
        </w:trPr>
        <w:tc>
          <w:tcPr>
            <w:tcW w:w="5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w:t>
            </w:r>
          </w:p>
        </w:tc>
      </w:tr>
      <w:tr>
        <w:trPr>
          <w:trHeight w:val="220"/>
        </w:trPr>
        <w:tc>
          <w:tcPr>
            <w:tcW w:w="5800" w:type="dxa"/>
            <w:vAlign w:val="bottom"/>
          </w:tcPr>
          <w:p>
            <w:pPr>
              <w:ind w:left="240"/>
              <w:spacing w:after="0"/>
              <w:rPr>
                <w:sz w:val="20"/>
                <w:szCs w:val="20"/>
                <w:color w:val="auto"/>
              </w:rPr>
            </w:pPr>
            <w:r>
              <w:rPr>
                <w:rFonts w:ascii="Arial" w:cs="Arial" w:eastAsia="Arial" w:hAnsi="Arial"/>
                <w:sz w:val="17"/>
                <w:szCs w:val="17"/>
                <w:color w:val="auto"/>
              </w:rPr>
              <w:t>Selling, general and administrative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15,338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27,953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(12,615)</w:t>
            </w:r>
          </w:p>
        </w:tc>
      </w:tr>
      <w:tr>
        <w:trPr>
          <w:trHeight w:val="220"/>
        </w:trPr>
        <w:tc>
          <w:tcPr>
            <w:tcW w:w="5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Restructuring charges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r>
      <w:tr>
        <w:trPr>
          <w:trHeight w:val="220"/>
        </w:trPr>
        <w:tc>
          <w:tcPr>
            <w:tcW w:w="58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w:t>
            </w:r>
          </w:p>
        </w:tc>
      </w:tr>
      <w:tr>
        <w:trPr>
          <w:trHeight w:val="213"/>
        </w:trPr>
        <w:tc>
          <w:tcPr>
            <w:tcW w:w="5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costs and expenses</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80,266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(21,650)</w:t>
            </w:r>
          </w:p>
        </w:tc>
      </w:tr>
      <w:tr>
        <w:trPr>
          <w:trHeight w:val="213"/>
        </w:trPr>
        <w:tc>
          <w:tcPr>
            <w:tcW w:w="580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120" w:type="dxa"/>
            <w:vAlign w:val="bottom"/>
            <w:tcBorders>
              <w:bottom w:val="single" w:sz="8" w:color="auto"/>
            </w:tcBorders>
          </w:tcPr>
          <w:p>
            <w:pPr>
              <w:jc w:val="right"/>
              <w:ind w:right="938"/>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11,793</w:t>
            </w:r>
          </w:p>
        </w:tc>
      </w:tr>
      <w:tr>
        <w:trPr>
          <w:trHeight w:val="20"/>
        </w:trPr>
        <w:tc>
          <w:tcPr>
            <w:tcW w:w="5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195" w:lineRule="exact"/>
        <w:rPr>
          <w:sz w:val="20"/>
          <w:szCs w:val="20"/>
          <w:color w:val="auto"/>
        </w:rPr>
      </w:pPr>
    </w:p>
    <w:p>
      <w:pPr>
        <w:jc w:val="both"/>
        <w:ind w:firstLine="311"/>
        <w:spacing w:after="0" w:line="250"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decreased $9.9 million to $59.9 million for the three months ended September 30, 2022, compared to the same period in 2021. The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is mainly attributable to increased cloud revenue driven by continued subscriber growth which was more than offset by the (i) expected deferred revenue run-off in the current quarter, (ii) continued impact of DXP business unit divestiture, and (iii) lower professional service revenue and unfavorable foreign exchange movements in messaging.</w:t>
      </w:r>
    </w:p>
    <w:p>
      <w:pPr>
        <w:spacing w:after="0" w:line="207"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$4.8 million to $22.4 million for the three months ended September 30, 2022, compared to the same period in 2021. The 2022</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attributable to unfavorable revenue changes and continued efforts to streamline our business operations, reduce costs and focus on higher margin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$2.5 million to $12.9 million for the three months ended September 30, 2022,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2021. The research and development costs decreased year over year mainly as a result of executed cost savings initiatives to streamline our workforce and reduce vendor spend and overhead costs.</w:t>
      </w:r>
    </w:p>
    <w:p>
      <w:pPr>
        <w:spacing w:after="0" w:line="189"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$12.6 million to $15.3 million for the three months ended September 30, 2022,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2021. We executed significant strategic cost reductions by optimizing our workforce, reducing vendor spend and lowering facility costs. These strategic cost savings in addition to certain legal reserves recorded in the prior year and favorable foreign exchange movements, positively impacted our current period selling, general and administrative costs.</w:t>
      </w:r>
    </w:p>
    <w:p>
      <w:pPr>
        <w:spacing w:after="0" w:line="194" w:lineRule="exact"/>
        <w:rPr>
          <w:sz w:val="20"/>
          <w:szCs w:val="20"/>
          <w:color w:val="auto"/>
        </w:rPr>
      </w:pPr>
    </w:p>
    <w:p>
      <w:pPr>
        <w:jc w:val="both"/>
        <w:ind w:firstLine="311"/>
        <w:spacing w:after="0" w:line="361" w:lineRule="auto"/>
        <w:rPr>
          <w:sz w:val="20"/>
          <w:szCs w:val="20"/>
          <w:color w:val="auto"/>
        </w:rPr>
      </w:pPr>
      <w:r>
        <w:rPr>
          <w:rFonts w:ascii="Arial" w:cs="Arial" w:eastAsia="Arial" w:hAnsi="Arial"/>
          <w:sz w:val="15"/>
          <w:szCs w:val="15"/>
          <w:b w:val="1"/>
          <w:bCs w:val="1"/>
          <w:color w:val="auto"/>
        </w:rPr>
        <w:t xml:space="preserve">Restructuring charges </w:t>
      </w:r>
      <w:r>
        <w:rPr>
          <w:rFonts w:ascii="Arial" w:cs="Arial" w:eastAsia="Arial" w:hAnsi="Arial"/>
          <w:sz w:val="15"/>
          <w:szCs w:val="15"/>
          <w:color w:val="auto"/>
        </w:rPr>
        <w:t>were $0.2 million and $1.5 million for the three months ended September 30, 2022 and 2021, respectively, which primarily related to</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termination costs as a result of the work-force reductions initiated to reduce operating costs and align our resources with our key strategic priorities.</w:t>
      </w:r>
    </w:p>
    <w:p>
      <w:pPr>
        <w:spacing w:after="0" w:line="128"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expense decreased $0.5 million to $7.7 million for the three months ended September 30, 2022, compared to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in 2021. The 2022 decrease was primarily attributable to the expiration of amortizable acquired assets in combination with reduced capital expenditures mainly as a result of efforts to streamline business operations, partially offset by the increased amortization of capitalized software.</w:t>
      </w:r>
    </w:p>
    <w:p>
      <w:pPr>
        <w:spacing w:after="0" w:line="158"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5"/>
          <w:szCs w:val="15"/>
          <w:b w:val="1"/>
          <w:bCs w:val="1"/>
          <w:color w:val="auto"/>
        </w:rPr>
        <w:t xml:space="preserve">Income tax. </w:t>
      </w:r>
      <w:r>
        <w:rPr>
          <w:rFonts w:ascii="Arial" w:cs="Arial" w:eastAsia="Arial" w:hAnsi="Arial"/>
          <w:sz w:val="15"/>
          <w:szCs w:val="15"/>
          <w:color w:val="auto"/>
        </w:rPr>
        <w:t>The Company recognized an income tax expense of approximately $1.1 million and an income tax benefit of approximately $7.0 million during</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September 30, 2022 and 2021, respectively. The effective tax rate was approximately 50.7% for the three months ended September 30, 2022, which was higher than the U.S. federal statutory rate primarily due to discrete income tax expense recorded in the period associated with the accrual of certain reserves for uncertain tax benefits, net of discrete income tax benefit recorded in the period associated with an increase in foreign R&amp;D credits claimed on tax returns filed during the period. The Company’s effective tax rate was approximately 46.3% for the three months ended September 30, 2021, which was higher than the U.S. federal statutory rate primarily due to discrete income tax benefit recorded in the period associated with the finalization of the Company’s U.S. federal income tax return, which reflected a net operating loss that was carried back to prior tax years. Based on the final carryback claim, the Company recorded a discrete income tax benefit of $7.4 million and discrete income tax expense related to a liability for unrecognized tax benefits in the amount of $2.1 million, all of which, if recognized, would impact our effective tax rate. This increase was partially offset by pre-tax losses in jurisdictions where full valuation allowances have been recorded, pre-tax losses in jurisdictions which have a zero tax rate, and certain foreign jurisdictions projecting current income tax expense.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2022 compared to the nine months ended September 30,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nine months ended September 30,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60" w:type="dxa"/>
            <w:vAlign w:val="bottom"/>
          </w:tcPr>
          <w:p>
            <w:pPr>
              <w:spacing w:after="0"/>
              <w:rPr>
                <w:sz w:val="17"/>
                <w:szCs w:val="17"/>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57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 vs 2021</w:t>
            </w: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190,998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206,784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(15,786)</w:t>
            </w:r>
          </w:p>
        </w:tc>
      </w:tr>
      <w:tr>
        <w:trPr>
          <w:trHeight w:val="220"/>
        </w:trPr>
        <w:tc>
          <w:tcPr>
            <w:tcW w:w="5760" w:type="dxa"/>
            <w:vAlign w:val="bottom"/>
          </w:tcPr>
          <w:p>
            <w:pPr>
              <w:ind w:left="1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69,595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83,024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(13,429)</w:t>
            </w:r>
          </w:p>
        </w:tc>
      </w:tr>
      <w:tr>
        <w:trPr>
          <w:trHeight w:val="220"/>
        </w:trPr>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42,162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(7,800)</w:t>
            </w:r>
          </w:p>
        </w:tc>
      </w:tr>
      <w:tr>
        <w:trPr>
          <w:trHeight w:val="220"/>
        </w:trPr>
        <w:tc>
          <w:tcPr>
            <w:tcW w:w="576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48,523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67,790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(19,267)</w:t>
            </w:r>
          </w:p>
        </w:tc>
      </w:tr>
      <w:tr>
        <w:trPr>
          <w:trHeight w:val="220"/>
        </w:trPr>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Restructuring charges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r>
      <w:tr>
        <w:trPr>
          <w:trHeight w:val="220"/>
        </w:trPr>
        <w:tc>
          <w:tcPr>
            <w:tcW w:w="5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Depreciation and amortization</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(2,548)</w:t>
            </w:r>
          </w:p>
        </w:tc>
      </w:tr>
      <w:tr>
        <w:trPr>
          <w:trHeight w:val="213"/>
        </w:trPr>
        <w:tc>
          <w:tcPr>
            <w:tcW w:w="57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costs and expenses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186,204</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230,418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(44,214)</w:t>
            </w:r>
          </w:p>
        </w:tc>
      </w:tr>
      <w:tr>
        <w:trPr>
          <w:trHeight w:val="213"/>
        </w:trPr>
        <w:tc>
          <w:tcPr>
            <w:tcW w:w="5760" w:type="dxa"/>
            <w:vAlign w:val="bottom"/>
          </w:tcPr>
          <w:p>
            <w:pPr>
              <w:ind w:left="40"/>
              <w:spacing w:after="0"/>
              <w:rPr>
                <w:sz w:val="20"/>
                <w:szCs w:val="20"/>
                <w:color w:val="auto"/>
              </w:rPr>
            </w:pPr>
            <w:r>
              <w:rPr>
                <w:rFonts w:ascii="Arial" w:cs="Arial" w:eastAsia="Arial" w:hAnsi="Arial"/>
                <w:sz w:val="17"/>
                <w:szCs w:val="17"/>
                <w:color w:val="auto"/>
              </w:rPr>
              <w:t>Income (loss) from operations</w:t>
            </w:r>
          </w:p>
        </w:tc>
        <w:tc>
          <w:tcPr>
            <w:tcW w:w="1080" w:type="dxa"/>
            <w:vAlign w:val="bottom"/>
            <w:tcBorders>
              <w:bottom w:val="single" w:sz="8" w:color="auto"/>
            </w:tcBorders>
          </w:tcPr>
          <w:p>
            <w:pPr>
              <w:jc w:val="right"/>
              <w:ind w:right="898"/>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3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(23,634)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28,428</w:t>
            </w:r>
          </w:p>
        </w:tc>
      </w:tr>
      <w:tr>
        <w:trPr>
          <w:trHeight w:val="20"/>
        </w:trPr>
        <w:tc>
          <w:tcPr>
            <w:tcW w:w="5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6"/>
          <w:szCs w:val="16"/>
          <w:b w:val="1"/>
          <w:bCs w:val="1"/>
          <w:color w:val="auto"/>
        </w:rPr>
        <w:t xml:space="preserve">Net revenues </w:t>
      </w:r>
      <w:r>
        <w:rPr>
          <w:rFonts w:ascii="Arial" w:cs="Arial" w:eastAsia="Arial" w:hAnsi="Arial"/>
          <w:sz w:val="16"/>
          <w:szCs w:val="16"/>
          <w:color w:val="auto"/>
        </w:rPr>
        <w:t>decreased $15.8 million to $191.0 million for the nine months ended September 30, 2022, compared to the same period in 2021. The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is mainly attributable to increased cloud revenue driven by continued subscriber growth which was more than offset by the (i) expected deferred revenue run-off in the current quarter, (ii) revenue received from a non-recurring advanced messaging contract in the prior year, lower professional service revenue and unfavorable foreign exchange movements in messaging, and (iii) continued impact of DXP business unit divestiture in digital.</w:t>
      </w:r>
    </w:p>
    <w:p>
      <w:pPr>
        <w:spacing w:after="0" w:line="191"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$13.4 million to $69.6 million for the nine months ended September 30, 2022, compared to the same period in 2021. The 2022</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attributable to unfavorable revenue changes and continued efforts to streamline our business operations, reduce costs and focus on higher margin products.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$7.8 million to $42.2 million for the nine months ended September 30, 2022, compared to the same period in</w:t>
      </w:r>
      <w:r>
        <w:rPr>
          <w:rFonts w:ascii="Arial" w:cs="Arial" w:eastAsia="Arial" w:hAnsi="Arial"/>
          <w:sz w:val="17"/>
          <w:szCs w:val="17"/>
          <w:b w:val="1"/>
          <w:bCs w:val="1"/>
          <w:color w:val="auto"/>
        </w:rPr>
        <w:t xml:space="preserve"> </w:t>
      </w:r>
      <w:r>
        <w:rPr>
          <w:rFonts w:ascii="Arial" w:cs="Arial" w:eastAsia="Arial" w:hAnsi="Arial"/>
          <w:sz w:val="17"/>
          <w:szCs w:val="17"/>
          <w:color w:val="auto"/>
        </w:rPr>
        <w:t>2021. The research and development costs decreased year over year mainly as a result of executed cost savings initiatives to streamline our workforce and reduce vendor spend.</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$19.3 million to $48.5 million for the nine months ended September 30, 2022,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2021. The 2022 decrease was primarily driven by cost savings initiatives and favorable foreign exchange movements as well as the the recognition of certain legal reserves in the prior year that had a favorable impact on current year results.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decreased $1.2 million to $1.9 million for the nine months ended September 30, 2022, compared to the same period in 2021, which</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related to employment termination costs as a result of the work-force reductions initiated to reduce operating costs and align our resources with our key strategic priorities.</w:t>
      </w:r>
    </w:p>
    <w:p>
      <w:pPr>
        <w:spacing w:after="0" w:line="189"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$2.5 million to $24.0 million for the nine months ended September 30, 2022,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2021. The 2022 decrease was primarily attributable to the expiration of amortizable acquired assets in combination with reduced capital expenditures mainly as a result of the data center consolidation project and efforts to streamline business operations, partially offset by the increased amortization of capitalized software.</w:t>
      </w:r>
    </w:p>
    <w:p>
      <w:pPr>
        <w:spacing w:after="0" w:line="181"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5"/>
          <w:szCs w:val="15"/>
          <w:b w:val="1"/>
          <w:bCs w:val="1"/>
          <w:color w:val="auto"/>
        </w:rPr>
        <w:t xml:space="preserve">Income tax. </w:t>
      </w:r>
      <w:r>
        <w:rPr>
          <w:rFonts w:ascii="Arial" w:cs="Arial" w:eastAsia="Arial" w:hAnsi="Arial"/>
          <w:sz w:val="15"/>
          <w:szCs w:val="15"/>
          <w:color w:val="auto"/>
        </w:rPr>
        <w:t>The Company recognized an income tax expense of $1.7 million and an income tax benefit of $7.3 million during the nine months ended</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30, 2022 and 2021, respectively. The effective tax rate was 21.9% for the nine months ended September 30, 2022, which approximated the U.S. federal statutory rate. The Company’s effective tax rate was approximately 24.3% for the nine months ended September 30, 2021, which was higher than the U.S. federal statutory rate primarily due to discrete income tax benefit recorded in the period associated with the finalization of the Company’s U.S. federal income tax return, which reflected a net operating loss that was carried back to prior tax years. Based on the final carryback claim, the Company recorded a discrete income tax benefit of $7.4 million and discrete income tax expense related to a liability for unrecognized tax benefits in the amount of $2.1 million, all of which, if recognized, would impact the Company’s effective tax rate. This increase was partially offset by pre-tax losses in jurisdictions where full valuation allowances have been recorded, pre-tax losses in jurisdictions which have a zero tax rate, and certain foreign jurisdictions projecting current income tax expense.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As of September 30, 2022, our principal sources of liquidity were cash provided by operations and the remaining proceeds from the financing transactions. Our cash and cash equivalents balance was $22.6 million at September 30, 2022. We anticipate that our principal uses of cash and cash equivalents will be to fund our business, including technology expansion and working capital.</w:t>
      </w:r>
    </w:p>
    <w:p>
      <w:pPr>
        <w:spacing w:after="0" w:line="199"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At September 30, 2022, our non-U.S. subsidiaries held approximately $6.8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11"/>
        <w:spacing w:after="0" w:line="247" w:lineRule="auto"/>
        <w:rPr>
          <w:sz w:val="20"/>
          <w:szCs w:val="20"/>
          <w:color w:val="auto"/>
        </w:rPr>
      </w:pPr>
      <w:r>
        <w:rPr>
          <w:rFonts w:ascii="Arial" w:cs="Arial" w:eastAsia="Arial" w:hAnsi="Arial"/>
          <w:sz w:val="17"/>
          <w:szCs w:val="17"/>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However, given the impact of the COVID-19 pandemic on the economy and our operations as well as geopolitical developments, we will 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in our Annual Report on Form 10-K for the year ended December 31, 2021, some of which are outside of our control.</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For further details, see </w:t>
      </w:r>
      <w:r>
        <w:rPr>
          <w:rFonts w:ascii="Arial" w:cs="Arial" w:eastAsia="Arial" w:hAnsi="Arial"/>
          <w:sz w:val="15"/>
          <w:szCs w:val="15"/>
          <w:i w:val="1"/>
          <w:iCs w:val="1"/>
          <w:color w:val="auto"/>
        </w:rPr>
        <w:t>Note 7. Debt</w:t>
      </w:r>
      <w:r>
        <w:rPr>
          <w:rFonts w:ascii="Arial" w:cs="Arial" w:eastAsia="Arial" w:hAnsi="Arial"/>
          <w:sz w:val="15"/>
          <w:szCs w:val="15"/>
          <w:color w:val="auto"/>
        </w:rPr>
        <w:t xml:space="preserve"> and </w:t>
      </w:r>
      <w:r>
        <w:rPr>
          <w:rFonts w:ascii="Arial" w:cs="Arial" w:eastAsia="Arial" w:hAnsi="Arial"/>
          <w:sz w:val="15"/>
          <w:szCs w:val="15"/>
          <w:i w:val="1"/>
          <w:iCs w:val="1"/>
          <w:color w:val="auto"/>
        </w:rPr>
        <w:t>Note 9. Capital Structure</w:t>
      </w:r>
      <w:r>
        <w:rPr>
          <w:rFonts w:ascii="Arial" w:cs="Arial" w:eastAsia="Arial" w:hAnsi="Arial"/>
          <w:sz w:val="15"/>
          <w:szCs w:val="15"/>
          <w:color w:val="auto"/>
        </w:rPr>
        <w:t xml:space="preserve"> of the Notes to Condensed Consolidated Financial Statements in Item 1 of this Form 10-Q.</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40" w:type="dxa"/>
            <w:vAlign w:val="bottom"/>
          </w:tcPr>
          <w:p>
            <w:pPr>
              <w:spacing w:after="0"/>
              <w:rPr>
                <w:sz w:val="20"/>
                <w:szCs w:val="20"/>
                <w:color w:val="auto"/>
              </w:rPr>
            </w:pPr>
            <w:r>
              <w:rPr>
                <w:rFonts w:ascii="Arial" w:cs="Arial" w:eastAsia="Arial" w:hAnsi="Arial"/>
                <w:sz w:val="17"/>
                <w:szCs w:val="17"/>
                <w:b w:val="1"/>
                <w:bCs w:val="1"/>
                <w:color w:val="auto"/>
              </w:rPr>
              <w:t>Discussion of Cash Flows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0"/>
        </w:trPr>
        <w:tc>
          <w:tcPr>
            <w:tcW w:w="7640" w:type="dxa"/>
            <w:vAlign w:val="bottom"/>
          </w:tcPr>
          <w:p>
            <w:pPr>
              <w:ind w:left="320"/>
              <w:spacing w:after="0"/>
              <w:rPr>
                <w:sz w:val="20"/>
                <w:szCs w:val="20"/>
                <w:color w:val="auto"/>
              </w:rPr>
            </w:pPr>
            <w:r>
              <w:rPr>
                <w:rFonts w:ascii="Arial" w:cs="Arial" w:eastAsia="Arial" w:hAnsi="Arial"/>
                <w:sz w:val="17"/>
                <w:szCs w:val="17"/>
                <w:color w:val="auto"/>
              </w:rPr>
              <w:t>A summary of net cash flows follows (in thousands):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6"/>
        </w:trPr>
        <w:tc>
          <w:tcPr>
            <w:tcW w:w="7640" w:type="dxa"/>
            <w:vAlign w:val="bottom"/>
          </w:tcPr>
          <w:p>
            <w:pPr>
              <w:spacing w:after="0"/>
              <w:rPr>
                <w:sz w:val="21"/>
                <w:szCs w:val="21"/>
                <w:color w:val="auto"/>
              </w:rPr>
            </w:pPr>
          </w:p>
        </w:tc>
        <w:tc>
          <w:tcPr>
            <w:tcW w:w="360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7"/>
                <w:szCs w:val="17"/>
                <w:b w:val="1"/>
                <w:bCs w:val="1"/>
                <w:color w:val="auto"/>
              </w:rPr>
              <w:t>Nine Months Ended September 30,</w:t>
            </w:r>
          </w:p>
        </w:tc>
      </w:tr>
      <w:tr>
        <w:trPr>
          <w:trHeight w:val="213"/>
        </w:trPr>
        <w:tc>
          <w:tcPr>
            <w:tcW w:w="76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r>
      <w:tr>
        <w:trPr>
          <w:trHeight w:val="20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0"/>
        </w:trPr>
        <w:tc>
          <w:tcPr>
            <w:tcW w:w="764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11,078</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5,551</w:t>
            </w:r>
          </w:p>
        </w:tc>
      </w:tr>
      <w:tr>
        <w:trPr>
          <w:trHeight w:val="220"/>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Investing activities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(17,840)</w:t>
            </w:r>
          </w:p>
        </w:tc>
      </w:tr>
      <w:tr>
        <w:trPr>
          <w:trHeight w:val="220"/>
        </w:trPr>
        <w:tc>
          <w:tcPr>
            <w:tcW w:w="7640" w:type="dxa"/>
            <w:vAlign w:val="bottom"/>
          </w:tcPr>
          <w:p>
            <w:pPr>
              <w:ind w:left="220"/>
              <w:spacing w:after="0"/>
              <w:rPr>
                <w:sz w:val="20"/>
                <w:szCs w:val="20"/>
                <w:color w:val="auto"/>
              </w:rPr>
            </w:pPr>
            <w:r>
              <w:rPr>
                <w:rFonts w:ascii="Arial" w:cs="Arial" w:eastAsia="Arial" w:hAnsi="Arial"/>
                <w:sz w:val="17"/>
                <w:szCs w:val="17"/>
                <w:color w:val="auto"/>
              </w:rPr>
              <w:t>Financing activities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(10,975)</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2,687</w:t>
            </w:r>
          </w:p>
        </w:tc>
      </w:tr>
    </w:tbl>
    <w:p>
      <w:pPr>
        <w:spacing w:after="0" w:line="31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93"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Cash provided by operating activities </w:t>
      </w:r>
      <w:r>
        <w:rPr>
          <w:rFonts w:ascii="Arial" w:cs="Arial" w:eastAsia="Arial" w:hAnsi="Arial"/>
          <w:sz w:val="17"/>
          <w:szCs w:val="17"/>
          <w:color w:val="auto"/>
        </w:rPr>
        <w:t>for the nine months ended September 30, 2022 was $11.1 million as compared to $5.6 million of cash provided by</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activities for the same period in 2021. In the current period, the Company generated cash from operations mainly driven by continued growth in cloud subscribers, reduced operating costs, and $4.3 million tax refund received in the second quarter. The prior year’s cash provided from operations was positively impacted by a non-recurring cash payment for an advanced messaging contract.</w:t>
      </w:r>
    </w:p>
    <w:p>
      <w:pPr>
        <w:spacing w:after="0" w:line="194"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b w:val="1"/>
          <w:bCs w:val="1"/>
          <w:color w:val="auto"/>
        </w:rPr>
        <w:t xml:space="preserve">Cash used in investing activities </w:t>
      </w:r>
      <w:r>
        <w:rPr>
          <w:rFonts w:ascii="Arial" w:cs="Arial" w:eastAsia="Arial" w:hAnsi="Arial"/>
          <w:sz w:val="16"/>
          <w:szCs w:val="16"/>
          <w:color w:val="auto"/>
        </w:rPr>
        <w:t>for the nine months ended September 30, 2022 was $8.3 million as compared to $17.8 million in cash used in investing</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during the same period in 2021. The cash used for investing activities in the current year and prior year was primarily related to increased investment in product development for our Cloud offering and capitalization of associated labor costs, in addition to annual vendor payments made in the current period. This investment was offset in the current period by the $8 million of cash received as part of the DXP and Activation sale.</w:t>
      </w:r>
    </w:p>
    <w:p>
      <w:pPr>
        <w:spacing w:after="0" w:line="178"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Cash (used in) provided by financing activities </w:t>
      </w:r>
      <w:r>
        <w:rPr>
          <w:rFonts w:ascii="Arial" w:cs="Arial" w:eastAsia="Arial" w:hAnsi="Arial"/>
          <w:sz w:val="17"/>
          <w:szCs w:val="17"/>
          <w:color w:val="auto"/>
        </w:rPr>
        <w:t>for the nine months ended September 30, 2022 was $11.0 million of cash used primarily due to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and interest payments associated with the redemption of Series B Preferred Stock. In 2021, the net proceeds from our public offering of common stock, Senior Note offering and Series B Preferred Stock transaction was primarily used to fully redeem all outstanding shares of the Company’s Series A Preferred Stock and repay and close the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Inflationary increases in certain input costs, such as occupancy, labor and benefits, and general administrative costs, have impacted our business. Management does not believe these impacts however have had a material impact on our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operations during the nine months September 30, 2022 and 2021. We cannot assure you, however, that we will not be affected by general inflation in the future.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September 30, 2022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6"/>
                <w:szCs w:val="16"/>
                <w:b w:val="1"/>
                <w:bCs w:val="1"/>
                <w:color w:val="auto"/>
                <w:w w:val="86"/>
              </w:rPr>
              <w:t>Payments Due by Period</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0"/>
        </w:trPr>
        <w:tc>
          <w:tcPr>
            <w:tcW w:w="4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w w:val="99"/>
              </w:rPr>
              <w:t>2023-2025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99"/>
              </w:rPr>
              <w:t>2026-2027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Thereafter</w:t>
            </w:r>
          </w:p>
        </w:tc>
      </w:tr>
      <w:tr>
        <w:trPr>
          <w:trHeight w:val="215"/>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obligations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Interest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47,261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35,446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4,264</w:t>
            </w:r>
          </w:p>
        </w:tc>
      </w:tr>
      <w:tr>
        <w:trPr>
          <w:trHeight w:val="220"/>
        </w:trPr>
        <w:tc>
          <w:tcPr>
            <w:tcW w:w="4280" w:type="dxa"/>
            <w:vAlign w:val="bottom"/>
          </w:tcPr>
          <w:p>
            <w:pPr>
              <w:ind w:left="20"/>
              <w:spacing w:after="0" w:line="220"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53,442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47,093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 Payable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280" w:type="dxa"/>
            <w:vAlign w:val="bottom"/>
          </w:tcPr>
          <w:p>
            <w:pPr>
              <w:ind w:left="220"/>
              <w:spacing w:after="0"/>
              <w:rPr>
                <w:sz w:val="20"/>
                <w:szCs w:val="20"/>
                <w:color w:val="auto"/>
              </w:rPr>
            </w:pPr>
            <w:r>
              <w:rPr>
                <w:rFonts w:ascii="Arial" w:cs="Arial" w:eastAsia="Arial" w:hAnsi="Arial"/>
                <w:sz w:val="17"/>
                <w:szCs w:val="17"/>
                <w:color w:val="auto"/>
              </w:rPr>
              <w:t>Total</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287,144</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11,767</w:t>
            </w:r>
          </w:p>
        </w:tc>
        <w:tc>
          <w:tcPr>
            <w:tcW w:w="3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107,275</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163,838</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4,264</w:t>
            </w:r>
          </w:p>
        </w:tc>
      </w:tr>
      <w:tr>
        <w:trPr>
          <w:trHeight w:val="20"/>
        </w:trPr>
        <w:tc>
          <w:tcPr>
            <w:tcW w:w="4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ind w:left="200" w:hanging="197"/>
        <w:spacing w:after="0" w:line="221" w:lineRule="auto"/>
        <w:tabs>
          <w:tab w:leader="none" w:pos="20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Amount represents obligations associated with colocation agreements and other customer delivery related purchase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37" w:lineRule="exact"/>
        <w:rPr>
          <w:sz w:val="20"/>
          <w:szCs w:val="20"/>
          <w:color w:val="auto"/>
        </w:rPr>
      </w:pPr>
    </w:p>
    <w:p>
      <w:pPr>
        <w:jc w:val="both"/>
        <w:ind w:firstLine="311"/>
        <w:spacing w:after="0" w:line="278" w:lineRule="auto"/>
        <w:rPr>
          <w:sz w:val="20"/>
          <w:szCs w:val="20"/>
          <w:color w:val="auto"/>
        </w:rPr>
      </w:pPr>
      <w:r>
        <w:rPr>
          <w:rFonts w:ascii="Arial" w:cs="Arial" w:eastAsia="Arial" w:hAnsi="Arial"/>
          <w:sz w:val="16"/>
          <w:szCs w:val="16"/>
          <w:color w:val="auto"/>
        </w:rPr>
        <w:t>Unrecognized tax positions of $5.0 million at September 30, 2022 are excluded from the table above as we are not able to reasonably estimate when we would make any cash payments required to settle these liabilities, but we do not believe that the ultimate settlement of our obligations will materially affect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liquidity. We anticipate that the balance of unrecognized tax benefits will decrease by approximately $0.5 million over the next twelve months.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0"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91"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continuing to arise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During the nine months ended September 30, 2022, there were no significant changes in our critical accounting policies and estimates discussed in our Form 10-K for the year ended December 31, 2021. Please refer to Management’s Discussion and Analysis of Financial Condition and Results of Operations contained in Part II, Item 7 of our Annual Report on Form 10-K for the year ended December 31, 2021 for a more complete discussion of our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 xml:space="preserve">For a discussion of recently issued accounting standards see </w:t>
      </w:r>
      <w:r>
        <w:rPr>
          <w:rFonts w:ascii="Arial" w:cs="Arial" w:eastAsia="Arial" w:hAnsi="Arial"/>
          <w:sz w:val="17"/>
          <w:szCs w:val="17"/>
          <w:i w:val="1"/>
          <w:iCs w:val="1"/>
          <w:color w:val="auto"/>
        </w:rPr>
        <w:t>Note 2. Basis of Presentation and Consolidation</w:t>
      </w:r>
      <w:r>
        <w:rPr>
          <w:rFonts w:ascii="Arial" w:cs="Arial" w:eastAsia="Arial" w:hAnsi="Arial"/>
          <w:sz w:val="17"/>
          <w:szCs w:val="17"/>
          <w:color w:val="auto"/>
        </w:rPr>
        <w:t xml:space="preserve"> included in Part I, Item 1. “Notes to Condensed Consolidated Financial Statements (unaudited)”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had no off-balance sheet arrangements as of September 30, 2022 and December 31, 2021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05"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September 30, 2022 and December 31, 2021 were invested in liquid money market accounts, certificates of deposit and government securities. All market-risk sensitive instruments were entered into for non-trading purposes.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September 30, 2022 would increase interest income by approximately $0.2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0"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 xml:space="preserve">For a discussion of our material pending legal proceedings that could impact our results of operations, financial condition or cash flows see </w:t>
      </w:r>
      <w:r>
        <w:rPr>
          <w:rFonts w:ascii="Arial" w:cs="Arial" w:eastAsia="Arial" w:hAnsi="Arial"/>
          <w:sz w:val="17"/>
          <w:szCs w:val="17"/>
          <w:i w:val="1"/>
          <w:iCs w:val="1"/>
          <w:color w:val="auto"/>
        </w:rPr>
        <w:t>Note 13.</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Commitments, Contingencies and Other </w:t>
      </w:r>
      <w:r>
        <w:rPr>
          <w:rFonts w:ascii="Arial" w:cs="Arial" w:eastAsia="Arial" w:hAnsi="Arial"/>
          <w:sz w:val="17"/>
          <w:szCs w:val="17"/>
          <w:color w:val="auto"/>
        </w:rPr>
        <w:t>included in Part I, Item 1. “Notes to Condensed Consolidated Financial Statements (unaudited)” of this Quarterly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5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Other than set forth below, there have been no material changes to our risk factors as previously disclosed in Part I, Item 1A. included in our Annual Report on Form 10-K for the year ended December 31, 2021.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credit risk and other risks associated with our accounts receivable securitization facility (the “A/R Facility”).</w:t>
      </w:r>
    </w:p>
    <w:p>
      <w:pPr>
        <w:spacing w:after="0" w:line="244"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We entered into the A/R Facility with Norddeutsche Landesbank Girozentrale (“NLG”) in June 2022 that permits borrowings of up to $15.0 million outstanding from time to time through June 2025 against our existing and future account receivables. As of September 30, 2022, there were no outstanding obligations under the A/R Facility.</w:t>
      </w:r>
    </w:p>
    <w:p>
      <w:pPr>
        <w:spacing w:after="0" w:line="21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The amounts available under the A/R Facility depend on the size of our accounts receivable. If these amounts are less than we forecast, this could negatively affect our expected borrowing capacity and our ability to satisfy any obligations as they become due.</w:t>
      </w:r>
    </w:p>
    <w:p>
      <w:pPr>
        <w:spacing w:after="0" w:line="186"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The willingness of NLG to make advances to us is subject to customary conditions for financings of this nature. If we are unable to satisfy those conditions, NLG could refrain from providing financing to us, and we may experience a material and adverse loss of liquidity. The A/R Facility contains representations and warranties, affirmative and negative covenants, and events of default that are customary for financings of this type. If we breach certain of our debt covenants under the A/R Facility, we will be unable to utilize the full borrowing capacity under the A/R Facility and our lenders could require us to repay the debt immediately and could immediately take possession of the receivables securing such debt. In addition, because our Senior Notes and A/R Facility contain cross-default and cross-acceleration provisions with other debt, if any debtholder were to declare its loan due and payable as a result of a default, the holders of the Senior Notes or NLG, might be able to require us to pay those debts immediately.</w:t>
      </w:r>
    </w:p>
    <w:p>
      <w:pPr>
        <w:spacing w:after="0" w:line="216"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If NLG terminates the A/R Facility, we may experience a material and adverse loss of our liquidity, which could have a material adverse effect on financial, results of operations and cash flows.</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Due to the global nature of our operations, political or economic changes or other factors in a specific country or region could harm our operating results and financial condition.</w:t>
      </w:r>
    </w:p>
    <w:p>
      <w:pPr>
        <w:spacing w:after="0" w:line="186" w:lineRule="exact"/>
        <w:rPr>
          <w:sz w:val="20"/>
          <w:szCs w:val="20"/>
          <w:color w:val="auto"/>
        </w:rPr>
      </w:pPr>
    </w:p>
    <w:p>
      <w:pPr>
        <w:jc w:val="both"/>
        <w:ind w:firstLine="311"/>
        <w:spacing w:after="0" w:line="265" w:lineRule="auto"/>
        <w:rPr>
          <w:sz w:val="20"/>
          <w:szCs w:val="20"/>
          <w:color w:val="auto"/>
        </w:rPr>
      </w:pPr>
      <w:r>
        <w:rPr>
          <w:rFonts w:ascii="Arial" w:cs="Arial" w:eastAsia="Arial" w:hAnsi="Arial"/>
          <w:sz w:val="16"/>
          <w:szCs w:val="16"/>
          <w:color w:val="auto"/>
        </w:rPr>
        <w:t>We conduct significant sales and customer support operations in countries around the world. As such, our growth depends in part on our increasing sales into emerging countries. We also depend on, and many of our customers depend on, non-U.S. operations of our contract manufacturers, component suppliers and distribution partners. Emerging countries in the aggregate experienced a decline in orders during fiscal 2021 and certain prior periods. We continue to assess the sustainability of any improvements in these countries and there can be no assurance that our investments in these countries will be successful. Our future results could be materially adversely affected by a variety of political, economic or other factors relating to our operations inside and outside the United States, including impacts from global central bank monetary policy; issues related to the political relationship between the United States and other countries that can affect the willingness of customers in those countries to purchase products from companies headquartered in the United States; business interruptions resulting from regional or larger scale conflicts or geo-political actions; the impact of the COVID-19 or other public health epidemics or concerns on our customer’s component suppliers, and the challenging and inconsistent global macroeconomic environment,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or all of which could have a material adverse effect on our operating results and financial condition, including, among others things:</w:t>
      </w:r>
    </w:p>
    <w:p>
      <w:pPr>
        <w:spacing w:after="0" w:line="231" w:lineRule="exact"/>
        <w:rPr>
          <w:sz w:val="20"/>
          <w:szCs w:val="20"/>
          <w:color w:val="auto"/>
        </w:rPr>
      </w:pPr>
    </w:p>
    <w:p>
      <w:pPr>
        <w:ind w:left="620" w:hanging="306"/>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Current or future supply chain interruptions;</w:t>
      </w:r>
    </w:p>
    <w:p>
      <w:pPr>
        <w:spacing w:after="0" w:line="24" w:lineRule="exact"/>
        <w:rPr>
          <w:rFonts w:ascii="Arial" w:cs="Arial" w:eastAsia="Arial" w:hAnsi="Arial"/>
          <w:sz w:val="17"/>
          <w:szCs w:val="17"/>
          <w:color w:val="auto"/>
        </w:rPr>
      </w:pPr>
    </w:p>
    <w:p>
      <w:pPr>
        <w:ind w:left="620" w:hanging="306"/>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Foreign currency exchange rates;</w:t>
      </w:r>
    </w:p>
    <w:p>
      <w:pPr>
        <w:spacing w:after="0" w:line="11" w:lineRule="exact"/>
        <w:rPr>
          <w:rFonts w:ascii="Arial" w:cs="Arial" w:eastAsia="Arial" w:hAnsi="Arial"/>
          <w:sz w:val="17"/>
          <w:szCs w:val="17"/>
          <w:color w:val="auto"/>
        </w:rPr>
      </w:pPr>
    </w:p>
    <w:p>
      <w:pPr>
        <w:ind w:left="620" w:hanging="306"/>
        <w:spacing w:after="0" w:line="254"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Political or social unrest or instability, including effects of the recent conflict between Russia and Ukraine, and the possibility of a wider European or global conflict, and global sanctions imposed in response thereto;</w:t>
      </w:r>
    </w:p>
    <w:p>
      <w:pPr>
        <w:ind w:left="620" w:hanging="306"/>
        <w:spacing w:after="0" w:line="254"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Economic instability or weakness, including inflation, or natural disasters in a specific country or region, including the current economic or health challenges in China and global economic ramifications of Chinese economic difficulties;</w:t>
      </w:r>
    </w:p>
    <w:p>
      <w:pPr>
        <w:ind w:left="620" w:hanging="306"/>
        <w:spacing w:after="0" w:line="254"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Environmental and trade protection measures and other legal and regulatory requirements, some of which may affect our ability to import our products, to export our products from, or sell our products in various countries;</w:t>
      </w:r>
    </w:p>
    <w:p>
      <w:pPr>
        <w:ind w:left="620" w:hanging="306"/>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Political considerations that affect service provider and government spending patterns;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Health or similar issues and the responses thereto, such as a pandemic or epidemic, including the COVID-19 pandemic and responses taken thereto;</w:t>
      </w:r>
    </w:p>
    <w:p>
      <w:pPr>
        <w:spacing w:after="0" w:line="22" w:lineRule="exact"/>
        <w:rPr>
          <w:rFonts w:ascii="Arial" w:cs="Arial" w:eastAsia="Arial" w:hAnsi="Arial"/>
          <w:sz w:val="16"/>
          <w:szCs w:val="16"/>
          <w:color w:val="auto"/>
        </w:rPr>
      </w:pPr>
    </w:p>
    <w:p>
      <w:pPr>
        <w:ind w:left="620" w:hanging="306"/>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Natural disasters, terrorism, war or other military conflict, telecommunication and electrical failures;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 or</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Adverse tax consequences, including imposition of withholding or other taxes on our global operations.</w:t>
      </w:r>
    </w:p>
    <w:p>
      <w:pPr>
        <w:spacing w:after="0" w:line="232"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Society for Worldwide Interbank Financial Telecommunication system, and have threatened additional sanctions and controls. The impact of these measures, as well as potential responses to them by Russia, is unknown.</w:t>
      </w:r>
    </w:p>
    <w:p>
      <w:pPr>
        <w:spacing w:after="0" w:line="21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must recruit and retain our key management and other key personnel and our failure to recruit and retain qualified employees could have a negative impact on our business.</w:t>
      </w:r>
    </w:p>
    <w:p>
      <w:pPr>
        <w:spacing w:after="0" w:line="186"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5"/>
          <w:szCs w:val="15"/>
          <w:color w:val="auto"/>
        </w:rPr>
        <w:t>We believe that our success depends in part on the continued contributions of our senior management and other key personnel to generate business and execute programs successfully. In addition, the relationships and reputation that these individuals have established and maintain with our customers and within the industries in which we operate contribute to our ability to maintain good relations with our customers and others within those industries. The loss of any members of senior management or other key personnel could materially impair our ability to identify and secure new contracts and otherwise effectively manage our business. In order to attract and retain executives and other key employees in a competitive marketplace, we must provide a competitive compensation package, including cash- and equity-based compensation. If we do not obtain the stockholder approval needed to continue granting equity compensation in a competitive manner, our ability to attract, retain, and motivate executives and key employees could be weakened. Further, in the technology industry, there is substantial and continuous competition for highly skilled business, product development, technical and other personnel. We may be unable to attract or retain qualified personnel because their salaries and other compensation may increase to levels that we are unwilling or unable to provide. Competition for qualified personnel at times can be intense and as a result we may not be successful in attracting and retaining the personnel we require, which could have a material adverse effect on our ability to meet our commitments and new product delivery objectives. If we are unable to maintain or expand our direct sales capabilities, we may not be able to generate anticipated revenues. In addition, if we are unable to maintain or expand our product development capabilities, we may not be able to meet our product development goals. Further, we rely on the expertise and experience of our senior management team. Although we have employment agreements with our executive officers, none of them or any of our other management personnel is obligated to remain employed by us. The loss of services of any key management personnel could lower productive output, interrupt our strategic vision and make it more difficult to pursue our business goals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political and market conditions can adversely affect our results of operations, financial condition and business.</w:t>
      </w:r>
    </w:p>
    <w:p>
      <w:pPr>
        <w:spacing w:after="0" w:line="244" w:lineRule="exact"/>
        <w:rPr>
          <w:sz w:val="20"/>
          <w:szCs w:val="20"/>
          <w:color w:val="auto"/>
        </w:rPr>
      </w:pPr>
    </w:p>
    <w:p>
      <w:pPr>
        <w:jc w:val="both"/>
        <w:ind w:firstLine="311"/>
        <w:spacing w:after="0" w:line="265" w:lineRule="auto"/>
        <w:rPr>
          <w:sz w:val="20"/>
          <w:szCs w:val="20"/>
          <w:color w:val="auto"/>
        </w:rPr>
      </w:pPr>
      <w:r>
        <w:rPr>
          <w:rFonts w:ascii="Arial" w:cs="Arial" w:eastAsia="Arial" w:hAnsi="Arial"/>
          <w:sz w:val="16"/>
          <w:szCs w:val="16"/>
          <w:color w:val="auto"/>
        </w:rPr>
        <w:t>Our business is influenced by a range of factors that are beyond our control and that we have no comparative advantage in forecasting. These include but are not limited to general economic and business conditions, the overall demand for cloud-based products and services, general political developments and currency exchange rate fluctuations. Economic uncertainty, including interest rate increases and inflation, may exacerbate negative trends in consumer spending and may negatively impact the businesses of certain of our customers, which may cause a reduction in their use of our platforms or increase the likelihood of defaulting on their payment obligations, and therefore cause a reduction in our revenues. These conditions and uncertainty about future economic conditions may make it challenging for us to forecast our operating results, make business decisions and identify the risks that may affect our business, financial conditions and results of operations and may result in a more competitive environment, resulting in possible pricing pressures. Our business could be affected by acts of war or other military actions, terrorism, natural disasters and the widespread outbreak of infectious diseases. Current world tensions could escalate, and this could have unpredictable consequences on the world economy and on our business.</w:t>
      </w:r>
    </w:p>
    <w:p>
      <w:pPr>
        <w:spacing w:after="0" w:line="190" w:lineRule="exact"/>
        <w:rPr>
          <w:sz w:val="20"/>
          <w:szCs w:val="20"/>
          <w:color w:val="auto"/>
        </w:rPr>
      </w:pPr>
    </w:p>
    <w:p>
      <w:pPr>
        <w:jc w:val="both"/>
        <w:ind w:firstLine="311"/>
        <w:spacing w:after="0" w:line="262" w:lineRule="auto"/>
        <w:rPr>
          <w:sz w:val="20"/>
          <w:szCs w:val="20"/>
          <w:color w:val="auto"/>
        </w:rPr>
      </w:pPr>
      <w:r>
        <w:rPr>
          <w:rFonts w:ascii="Arial" w:cs="Arial" w:eastAsia="Arial" w:hAnsi="Arial"/>
          <w:sz w:val="16"/>
          <w:szCs w:val="16"/>
          <w:color w:val="auto"/>
        </w:rPr>
        <w:t>The COVID-19 pandemic has created significant uncertainty in the global economy. The COVID-19 pandemic and health measures taken by governments and private industry in response to the pandemic, including stay-at-home orders, restrictions on business operations, and travel restrictions, have had significant negative effects on the economy, including disruptions impacting various supply chains. Continued uncertainty about the pandemic, associated economic consequences, and potential relief measures may have a long-term adverse effect on the economy, our sellers, customers, suppliers, and our business. For example, we are currently subletting some of our office space. An economic downturn or our work from home practices may cause us to need less office space than we are contractually committed to leasing and prevent us from finding subtenants for such unused office space, causing us to pay for unused office space. Rising tensions in the geopolitical climate, including effects of the recent conflict between Russia and Ukraine, and the possibility of a wider European or global conflict, and global sanctions imposed in response thereto, have created significant uncertainty in the global economy. These or any further political or governmental developments or health concerns in countries could result in social, economic and labor instability. If, as a result of such events, we experience a reduction in demand for our products, platforms or services, or the supply of products or components to our customers, our business, results of operations and financial condition may be materially and adversely affected.</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have, and in the future may be, the target of stockholder derivative complaints or other securities related legal actions that could adversely affect our results of operations and our business.</w:t>
      </w:r>
    </w:p>
    <w:p>
      <w:pPr>
        <w:spacing w:after="0" w:line="186"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5"/>
          <w:szCs w:val="15"/>
          <w:color w:val="auto"/>
        </w:rPr>
        <w:t>We have, and in the future may be, the target of stockholder derivative complaints or other securities related legal actions. The existence of any litigation may have an adverse effect on our reputation with referral sources 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For instance, on June 7, 2022, the SEC filed a civil action against two former members of the Company’s management team, alleging misconduct arising out of the restated transactions that took place in 2015 and 2016 investigated by the Securities and Exchange Commission (“SEC”). We may be required to indemnify these individuals in connection with such action. Although we maintain insurance for claims of this nature, our insurance coverage does not apply in all circumstances and may be denied or insufficient to cover the costs related to the class action and stockholder derivative lawsuits. In addition, future lawsuits or legal claims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any such legal proceedings could decrease customer demand for our services. As a result, future lawsuits involving us, or our officers or directors, could have a material adverse effect on our business, reputation, financial condition, results of operations, liquidity and the trading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continue to experience significant fluctuations and could subject us to litigation.</w:t>
      </w:r>
    </w:p>
    <w:p>
      <w:pPr>
        <w:spacing w:after="0" w:line="244"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Our stock price, like that of other technology companies, continues to fluctuate greatly. Our stock price, and demand for our stock, can be affected by many factors, such as unanticipated changes in management, quarterly increases or decreases in our earnings, speculation in the investment community about our financial condition or results of operations and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or other jurisdictions where we conduct business, war or other military conflict or due to a variety of company specific factors, including quarter to quarter variations in our operating results, shortfalls in revenue, gross margin or earnings from levels projected by securities analysts and the other factors discussed in these risk factors. 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The U.S. government and other governments in jurisdictions have imposed severe economic sanctions and export controls against Russia and Russian interests, have removed Russia from the SWIFT system, and have threatened additional sanctions and controls. The impact of these measures, as well as potential responses to them by Russia, is unknown. In addition, if the market for technology stocks or the stock market in general experiences uneven investor confidence, the market price of our common stock could decline for reasons unrelated to our business, operating results or financial condition. Fluctuation in market price and demand for our common stock may limit or prevent investors from readily selling their shares of common stock and may otherwise negatively affect the liquidity of our common stock. Causes of volatility in the market price of our stock could subject us to securities class action litigation. We were previously, and may in the future be, the subject of lawsuits that could require us to incur substantial costs defending against those lawsuits and divert the time and attention of our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or interpretations of, tax rules and regulations, could adversely affect our effective tax rates.</w:t>
      </w:r>
    </w:p>
    <w:p>
      <w:pPr>
        <w:spacing w:after="0" w:line="244" w:lineRule="exact"/>
        <w:rPr>
          <w:sz w:val="20"/>
          <w:szCs w:val="20"/>
          <w:color w:val="auto"/>
        </w:rPr>
      </w:pPr>
    </w:p>
    <w:p>
      <w:pPr>
        <w:jc w:val="both"/>
        <w:ind w:firstLine="311"/>
        <w:spacing w:after="0" w:line="245" w:lineRule="auto"/>
        <w:rPr>
          <w:sz w:val="20"/>
          <w:szCs w:val="20"/>
          <w:color w:val="auto"/>
        </w:rPr>
      </w:pPr>
      <w:r>
        <w:rPr>
          <w:rFonts w:ascii="Arial" w:cs="Arial" w:eastAsia="Arial" w:hAnsi="Arial"/>
          <w:sz w:val="17"/>
          <w:szCs w:val="17"/>
          <w:color w:val="auto"/>
        </w:rPr>
        <w:t>Global tax developments applicable to multinational businesses may have a material impact to our business, cash flow from operating activities, or financial results. International organizations such as the Organization for Economic Cooperation and Development, have published Base Erosion and Profit Shifting action plans that, if adopted by countries where we do business, could increase our tax obligations in these countries. In addition, several countries have proposed or enacted Digital Services Taxes ("DST"), many of which would apply to revenues derived from digital services. We will continue to assess the ongoing impact of these current and pending changes to global tax legislation and the impact on the Company's future financial statements upon the finalization of laws, regulations and additional guidance. In addition, as we continue to evaluate our corporate structure, any changes to the taxation of undistributed foreign earnings could also change our plans regarding reinvestment of such earnings. Due to the large scale of our U.S. and international business activities, many of these enacted and proposed changes to the taxation of our activities could increase our worldwide effective tax rate and have an adverse effect on our operating results, cash flow or financial condition.</w:t>
      </w:r>
    </w:p>
    <w:p>
      <w:pPr>
        <w:spacing w:after="0" w:line="222"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Certain EU and other jurisdictions have introduced anti-hybrid provisions, which came into force in EU member states on January 1, 2020 (subject to relevant derogations). The scope of these rules is wide-reaching and can apply to disallow certain deductions for corporate tax purposes where hybrid entities exist within a company structure. These provisions may place additional burden on our management to assess the impact of the rules and potentially create additional tax costs. EU countries and other jurisdictions will continue to interpret or issue additional guidance on how provisions of the anti-hybrid will be applied, which, if applicable, may materially impact our financial statements and cash flow. Separately, as a result of the complexity of, and lack of clear precedent or authority with respect to, the application of various income tax laws to our corporate structure, tax authorities may challenge how we report our transactions, which may increase our costs and impact our operations.</w:t>
      </w:r>
    </w:p>
    <w:p>
      <w:pPr>
        <w:spacing w:after="0" w:line="203" w:lineRule="exact"/>
        <w:rPr>
          <w:sz w:val="20"/>
          <w:szCs w:val="20"/>
          <w:color w:val="auto"/>
        </w:rPr>
      </w:pPr>
    </w:p>
    <w:p>
      <w:pPr>
        <w:jc w:val="both"/>
        <w:ind w:firstLine="311"/>
        <w:spacing w:after="0" w:line="263" w:lineRule="auto"/>
        <w:rPr>
          <w:sz w:val="20"/>
          <w:szCs w:val="20"/>
          <w:color w:val="auto"/>
        </w:rPr>
      </w:pPr>
      <w:r>
        <w:rPr>
          <w:rFonts w:ascii="Arial" w:cs="Arial" w:eastAsia="Arial" w:hAnsi="Arial"/>
          <w:sz w:val="16"/>
          <w:szCs w:val="16"/>
          <w:color w:val="auto"/>
        </w:rPr>
        <w:t>We are subject to income taxes as well as non-income-based taxes, in both the U.S. and various foreign jurisdictions. Many judgments are required in determining our worldwide provision for income taxes and other tax liabilities, and we are under audit by various tax authorities, which often do not agree with positions taken by us on our income and non-income-based tax returns. Although we believe that our estimates are reasonable, the ultimate tax outcome may differ from the amounts recorded in our consolidated financial statements and may materially affect our financial results in the period or periods for which such determination is made. Unanticipated changes in our tax rates could affect our future results of operations. Our future effective tax rates could be unfavorably affected by changes in tax laws or the interpretation of tax laws or by changes in the valuation of our deferred tax assets and liabilities. In August 2022, the Inflation Reduction Act of 2022 (the “IRA”) was signed into law. This law, among other things, provides for a corporate alternative minimum tax on adjusted financial statement income (effective for us beginning in fiscal 2024), and an excise tax on corporate stock repurchases (effective for our share repurchases after December 31, 2022), and we are continuing to evaluate the impact it may have on our financial position and results of operations. There are several proposed changes to U.S. and non-U.S. tax legislation and the ultimate enactment of any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could have a negative impact on our effective tax rate. It is possible that future requirements, including the recently proposed implementation of International Financial Reporting Standards (“IFRS”) could change our current application of U.S. GAAP, resulting in a material adverse impact on our financial position or results of operations. In addition, we are subject to the continued examination of our income tax returns by the Internal Revenue Service (“IRS”), and other tax authorities. We regularly assess the likelihood of outcomes resulting from these examinations, if any, to determine the adequacy of our provision for income taxes. We believe our estimates to be reasonable, but there can be no assurance that the final determination of any of these examinations will not have an adverse effect on our operating results and financial position.</w:t>
      </w: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A new 1% U.S. federal excise tax may be imposed upon us in connection with the redemptions by us of our Series B Non-Convertible Perpetual Preferred Stock (“Series B Preferred Stock”) or other redemptions or repurchases of our equity.</w:t>
      </w:r>
    </w:p>
    <w:p>
      <w:pPr>
        <w:spacing w:after="0" w:line="199"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6"/>
          <w:szCs w:val="16"/>
          <w:color w:val="auto"/>
        </w:rPr>
        <w:t>On August 16, 2022, President Biden signed into law the IRA, which, among other things, imposes a new U.S. federal 1% excise tax on certain repurchases (including redemptions) of stock by publicly traded domestic corporations and certain domestic subsidiaries of publicly traded foreign corporations. This excise tax is imposed on the repurchasing corporation itself, not its stockholders from which shares are repurchased. Generally, the amount of the excise tax is 1% of the fair market value of the shares repurchased at the time of the repurchase. For the purposes of calculating the excise tax, the repurchasing corporation is permitted to net the fair market value of certain new stock issuances against the fair market value of the stock repurchases that occur in the same taxable year. The U.S. Treasury Department, the IRS, and other standard-setting bodies are expected to issue guidance on how the excise tax provisions of the IRA will be applied. The IRA excise tax applies to repurchases and redemptions that occur after December 31, 2022.</w:t>
      </w:r>
    </w:p>
    <w:p>
      <w:pPr>
        <w:spacing w:after="0" w:line="190" w:lineRule="exact"/>
        <w:rPr>
          <w:sz w:val="20"/>
          <w:szCs w:val="20"/>
          <w:color w:val="auto"/>
        </w:rPr>
      </w:pPr>
    </w:p>
    <w:p>
      <w:pPr>
        <w:jc w:val="both"/>
        <w:ind w:firstLine="311"/>
        <w:spacing w:after="0" w:line="262" w:lineRule="auto"/>
        <w:rPr>
          <w:sz w:val="20"/>
          <w:szCs w:val="20"/>
          <w:color w:val="auto"/>
        </w:rPr>
      </w:pPr>
      <w:r>
        <w:rPr>
          <w:rFonts w:ascii="Arial" w:cs="Arial" w:eastAsia="Arial" w:hAnsi="Arial"/>
          <w:sz w:val="16"/>
          <w:szCs w:val="16"/>
          <w:color w:val="auto"/>
        </w:rPr>
        <w:t>Pursuant to the Certificate of Designation setting forth the rights, preferences, privileges, qualifications, restrictions and limitations on the Series B Preferred Stock (the “Series B Certificate”), on and after the fifth anniversary of the date of issuance, holders of shares of Series B Preferred Stock will have the right to cause us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subject to certain limitations on the amount of stock that could be issued to the holders of Series B Preferred Stock. In addition, we are permitted to redeem outstanding shares of the Series B Preferred Stock at any time for the sum of the then-applicable Liquidation Preference and the accrued but unpaid dividends. Pursuant to the Series B Certificate, we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us may be used by us to buy back shares of Common Stock and to the extent, not used for such purpose, to redeem, for cash, shares of the Series B Preferred Stock, on a pro rata basis among each holder of the Series B Preferred Stock.</w:t>
      </w:r>
    </w:p>
    <w:p>
      <w:pPr>
        <w:spacing w:after="0" w:line="210" w:lineRule="exact"/>
        <w:rPr>
          <w:sz w:val="20"/>
          <w:szCs w:val="20"/>
          <w:color w:val="auto"/>
        </w:rPr>
      </w:pPr>
    </w:p>
    <w:p>
      <w:pPr>
        <w:jc w:val="both"/>
        <w:ind w:firstLine="311"/>
        <w:spacing w:after="0" w:line="249" w:lineRule="auto"/>
        <w:rPr>
          <w:sz w:val="20"/>
          <w:szCs w:val="20"/>
          <w:color w:val="auto"/>
        </w:rPr>
      </w:pPr>
      <w:r>
        <w:rPr>
          <w:rFonts w:ascii="Arial" w:cs="Arial" w:eastAsia="Arial" w:hAnsi="Arial"/>
          <w:sz w:val="17"/>
          <w:szCs w:val="17"/>
          <w:color w:val="auto"/>
        </w:rPr>
        <w:t>We currently expect that each redemption of Series B Preferred Stock after December 31, 2022 will be subject to the 1% excise tax. Whether and to what extent we would be subject to the excise tax would depend on a number of factors, including (i) the fair market value of the redemptions and repurchase, (ii) the nature and amount of any equity issuances within the same taxable year and (iii) the regulations and other guidance issued by the U.S. Treasury Department and the IRS. The 1% excise tax may increase our costs and impact our operations. This could have an adverse effect on our margins and financial position and would negatively affect our revenues and results of operations and/or trading price of our common stock.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Exhibit No.</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900" w:type="dxa"/>
            <w:vAlign w:val="bottom"/>
            <w:gridSpan w:val="16"/>
          </w:tcPr>
          <w:p>
            <w:pPr>
              <w:ind w:left="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5"/>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080" w:type="dxa"/>
            <w:vAlign w:val="bottom"/>
          </w:tcPr>
          <w:p>
            <w:pPr>
              <w:jc w:val="center"/>
              <w:spacing w:after="0" w:line="135" w:lineRule="exact"/>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tcBorders>
              <w:bottom w:val="single" w:sz="8" w:color="0000FF"/>
            </w:tcBorders>
            <w:gridSpan w:val="7"/>
          </w:tcPr>
          <w:p>
            <w:pPr>
              <w:spacing w:after="0" w:line="135" w:lineRule="exact"/>
              <w:rPr>
                <w:rFonts w:ascii="Arial" w:cs="Arial" w:eastAsia="Arial" w:hAnsi="Arial"/>
                <w:sz w:val="14"/>
                <w:szCs w:val="14"/>
                <w:color w:val="0000FF"/>
                <w:w w:val="89"/>
              </w:rPr>
            </w:pPr>
            <w:hyperlink r:id="rId73">
              <w:r>
                <w:rPr>
                  <w:rFonts w:ascii="Arial" w:cs="Arial" w:eastAsia="Arial" w:hAnsi="Arial"/>
                  <w:sz w:val="14"/>
                  <w:szCs w:val="14"/>
                  <w:color w:val="0000FF"/>
                  <w:w w:val="89"/>
                </w:rPr>
                <w:t>Restated Certificate of Incorporation of the Registrant.</w:t>
              </w:r>
            </w:hyperlink>
          </w:p>
        </w:tc>
        <w:tc>
          <w:tcPr>
            <w:tcW w:w="174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gridSpan w:val="19"/>
          </w:tcPr>
          <w:p>
            <w:pPr>
              <w:spacing w:after="0"/>
              <w:rPr>
                <w:rFonts w:ascii="Arial" w:cs="Arial" w:eastAsia="Arial" w:hAnsi="Arial"/>
                <w:sz w:val="14"/>
                <w:szCs w:val="14"/>
                <w:color w:val="0000FF"/>
              </w:rPr>
            </w:pPr>
            <w:hyperlink r:id="rId74">
              <w:r>
                <w:rPr>
                  <w:rFonts w:ascii="Arial" w:cs="Arial" w:eastAsia="Arial" w:hAnsi="Arial"/>
                  <w:sz w:val="14"/>
                  <w:szCs w:val="14"/>
                  <w:color w:val="0000FF"/>
                </w:rPr>
                <w:t>Certificate of Amendment to the Restated Certificate of Incorporation of the</w:t>
              </w:r>
            </w:hyperlink>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0000FF"/>
              <w:bottom w:val="single" w:sz="8" w:color="0000FF"/>
            </w:tcBorders>
            <w:gridSpan w:val="2"/>
          </w:tcPr>
          <w:p>
            <w:pPr>
              <w:spacing w:after="0" w:line="135" w:lineRule="exact"/>
              <w:rPr>
                <w:rFonts w:ascii="Arial" w:cs="Arial" w:eastAsia="Arial" w:hAnsi="Arial"/>
                <w:sz w:val="14"/>
                <w:szCs w:val="14"/>
                <w:color w:val="0000FF"/>
                <w:w w:val="85"/>
              </w:rPr>
            </w:pPr>
            <w:hyperlink r:id="rId74">
              <w:r>
                <w:rPr>
                  <w:rFonts w:ascii="Arial" w:cs="Arial" w:eastAsia="Arial" w:hAnsi="Arial"/>
                  <w:sz w:val="14"/>
                  <w:szCs w:val="14"/>
                  <w:color w:val="0000FF"/>
                  <w:w w:val="85"/>
                </w:rPr>
                <w:t>Registrant.</w:t>
              </w:r>
            </w:hyperlink>
          </w:p>
        </w:tc>
        <w:tc>
          <w:tcPr>
            <w:tcW w:w="3600" w:type="dxa"/>
            <w:vAlign w:val="bottom"/>
            <w:tcBorders>
              <w:top w:val="single" w:sz="8" w:color="0000FF"/>
            </w:tcBorders>
            <w:gridSpan w:val="8"/>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bottom w:val="single" w:sz="8" w:color="0000FF"/>
            </w:tcBorders>
            <w:gridSpan w:val="6"/>
          </w:tcPr>
          <w:p>
            <w:pPr>
              <w:spacing w:after="0"/>
              <w:rPr>
                <w:rFonts w:ascii="Arial" w:cs="Arial" w:eastAsia="Arial" w:hAnsi="Arial"/>
                <w:sz w:val="14"/>
                <w:szCs w:val="14"/>
                <w:color w:val="0000FF"/>
                <w:w w:val="88"/>
              </w:rPr>
            </w:pPr>
            <w:hyperlink r:id="rId75">
              <w:r>
                <w:rPr>
                  <w:rFonts w:ascii="Arial" w:cs="Arial" w:eastAsia="Arial" w:hAnsi="Arial"/>
                  <w:sz w:val="14"/>
                  <w:szCs w:val="14"/>
                  <w:color w:val="0000FF"/>
                  <w:w w:val="88"/>
                </w:rPr>
                <w:t>Amended and Restated Bylaws of the Registrant.</w:t>
              </w:r>
            </w:hyperlink>
          </w:p>
        </w:tc>
        <w:tc>
          <w:tcPr>
            <w:tcW w:w="20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bottom w:val="single" w:sz="8" w:color="0000FF"/>
            </w:tcBorders>
            <w:gridSpan w:val="8"/>
          </w:tcPr>
          <w:p>
            <w:pPr>
              <w:spacing w:after="0"/>
              <w:rPr>
                <w:rFonts w:ascii="Arial" w:cs="Arial" w:eastAsia="Arial" w:hAnsi="Arial"/>
                <w:sz w:val="14"/>
                <w:szCs w:val="14"/>
                <w:color w:val="0000FF"/>
                <w:w w:val="89"/>
              </w:rPr>
            </w:pPr>
            <w:hyperlink r:id="rId76">
              <w:r>
                <w:rPr>
                  <w:rFonts w:ascii="Arial" w:cs="Arial" w:eastAsia="Arial" w:hAnsi="Arial"/>
                  <w:sz w:val="14"/>
                  <w:szCs w:val="14"/>
                  <w:color w:val="0000FF"/>
                  <w:w w:val="89"/>
                </w:rPr>
                <w:t>Amendment No. 1 to Amended and Restated Bylaws of the Registrant.</w:t>
              </w:r>
            </w:hyperlink>
          </w:p>
        </w:tc>
        <w:tc>
          <w:tcPr>
            <w:tcW w:w="8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Borders>
              <w:bottom w:val="single" w:sz="8" w:color="0000FF"/>
            </w:tcBorders>
            <w:gridSpan w:val="9"/>
          </w:tcPr>
          <w:p>
            <w:pPr>
              <w:spacing w:after="0"/>
              <w:rPr>
                <w:rFonts w:ascii="Arial" w:cs="Arial" w:eastAsia="Arial" w:hAnsi="Arial"/>
                <w:sz w:val="14"/>
                <w:szCs w:val="14"/>
                <w:color w:val="0000FF"/>
                <w:w w:val="88"/>
              </w:rPr>
            </w:pPr>
            <w:hyperlink r:id="rId77">
              <w:r>
                <w:rPr>
                  <w:rFonts w:ascii="Arial" w:cs="Arial" w:eastAsia="Arial" w:hAnsi="Arial"/>
                  <w:sz w:val="14"/>
                  <w:szCs w:val="14"/>
                  <w:color w:val="0000FF"/>
                  <w:w w:val="88"/>
                </w:rPr>
                <w:t>Amendment No. 2 to the Amended and Restated Bylaws of the Registrant.</w:t>
              </w:r>
            </w:hyperlink>
          </w:p>
        </w:tc>
        <w:tc>
          <w:tcPr>
            <w:tcW w:w="6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80" w:type="dxa"/>
            <w:vAlign w:val="bottom"/>
          </w:tcPr>
          <w:p>
            <w:pPr>
              <w:jc w:val="center"/>
              <w:spacing w:after="0"/>
              <w:rPr>
                <w:sz w:val="20"/>
                <w:szCs w:val="20"/>
                <w:color w:val="auto"/>
              </w:rPr>
            </w:pPr>
            <w:r>
              <w:rPr>
                <w:rFonts w:ascii="Arial" w:cs="Arial" w:eastAsia="Arial" w:hAnsi="Arial"/>
                <w:sz w:val="14"/>
                <w:szCs w:val="14"/>
                <w:color w:val="auto"/>
                <w:w w:val="81"/>
              </w:rPr>
              <w:t>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gridSpan w:val="19"/>
          </w:tcPr>
          <w:p>
            <w:pPr>
              <w:spacing w:after="0"/>
              <w:rPr>
                <w:rFonts w:ascii="Arial" w:cs="Arial" w:eastAsia="Arial" w:hAnsi="Arial"/>
                <w:sz w:val="14"/>
                <w:szCs w:val="14"/>
                <w:color w:val="0000FF"/>
                <w:w w:val="96"/>
              </w:rPr>
            </w:pPr>
            <w:hyperlink r:id="rId78">
              <w:r>
                <w:rPr>
                  <w:rFonts w:ascii="Arial" w:cs="Arial" w:eastAsia="Arial" w:hAnsi="Arial"/>
                  <w:sz w:val="14"/>
                  <w:szCs w:val="14"/>
                  <w:color w:val="0000FF"/>
                  <w:w w:val="96"/>
                </w:rPr>
                <w:t>Certificate of Designations of the Series B Perpetual Non-Convertible Preferred</w:t>
              </w:r>
            </w:hyperlink>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0" w:type="dxa"/>
            <w:vAlign w:val="bottom"/>
            <w:tcBorders>
              <w:top w:val="single" w:sz="8" w:color="0000FF"/>
            </w:tcBorders>
            <w:gridSpan w:val="11"/>
          </w:tcPr>
          <w:p>
            <w:pPr>
              <w:spacing w:after="0" w:line="135" w:lineRule="exact"/>
              <w:rPr>
                <w:rFonts w:ascii="Arial" w:cs="Arial" w:eastAsia="Arial" w:hAnsi="Arial"/>
                <w:sz w:val="14"/>
                <w:szCs w:val="14"/>
                <w:color w:val="0000FF"/>
              </w:rPr>
            </w:pPr>
            <w:hyperlink r:id="rId78">
              <w:r>
                <w:rPr>
                  <w:rFonts w:ascii="Arial" w:cs="Arial" w:eastAsia="Arial" w:hAnsi="Arial"/>
                  <w:sz w:val="14"/>
                  <w:szCs w:val="14"/>
                  <w:color w:val="0000FF"/>
                </w:rPr>
                <w:t>Stock.</w:t>
              </w:r>
            </w:hyperlink>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0" w:type="dxa"/>
            <w:vAlign w:val="bottom"/>
            <w:tcBorders>
              <w:bottom w:val="single" w:sz="8" w:color="0000FF"/>
            </w:tcBorders>
            <w:gridSpan w:val="12"/>
          </w:tcPr>
          <w:p>
            <w:pPr>
              <w:spacing w:after="0"/>
              <w:rPr>
                <w:rFonts w:ascii="Arial" w:cs="Arial" w:eastAsia="Arial" w:hAnsi="Arial"/>
                <w:sz w:val="14"/>
                <w:szCs w:val="14"/>
                <w:color w:val="0000FF"/>
                <w:w w:val="88"/>
              </w:rPr>
            </w:pPr>
            <w:hyperlink r:id="rId79">
              <w:r>
                <w:rPr>
                  <w:rFonts w:ascii="Arial" w:cs="Arial" w:eastAsia="Arial" w:hAnsi="Arial"/>
                  <w:sz w:val="14"/>
                  <w:szCs w:val="14"/>
                  <w:color w:val="0000FF"/>
                  <w:w w:val="88"/>
                </w:rPr>
                <w:t>Appointment Letter, dated August 9, 2022 between the Registrant and Lou Ferraro.</w:t>
              </w:r>
            </w:hyperlink>
          </w:p>
        </w:tc>
        <w:tc>
          <w:tcPr>
            <w:tcW w:w="1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gridSpan w:val="19"/>
          </w:tcPr>
          <w:p>
            <w:pPr>
              <w:spacing w:after="0"/>
              <w:rPr>
                <w:rFonts w:ascii="Arial" w:cs="Arial" w:eastAsia="Arial" w:hAnsi="Arial"/>
                <w:sz w:val="14"/>
                <w:szCs w:val="14"/>
                <w:color w:val="0000FF"/>
              </w:rPr>
            </w:pPr>
            <w:hyperlink r:id="rId80">
              <w:r>
                <w:rPr>
                  <w:rFonts w:ascii="Arial" w:cs="Arial" w:eastAsia="Arial" w:hAnsi="Arial"/>
                  <w:sz w:val="14"/>
                  <w:szCs w:val="14"/>
                  <w:color w:val="0000FF"/>
                </w:rPr>
                <w:t>Amendment to Employment Agreement, dated August 9, 2022 between  the</w:t>
              </w:r>
            </w:hyperlink>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tcBorders>
            <w:gridSpan w:val="15"/>
          </w:tcPr>
          <w:p>
            <w:pPr>
              <w:spacing w:after="0" w:line="123" w:lineRule="exact"/>
              <w:rPr>
                <w:rFonts w:ascii="Arial" w:cs="Arial" w:eastAsia="Arial" w:hAnsi="Arial"/>
                <w:sz w:val="14"/>
                <w:szCs w:val="14"/>
                <w:color w:val="0000FF"/>
              </w:rPr>
            </w:pPr>
            <w:hyperlink r:id="rId80">
              <w:r>
                <w:rPr>
                  <w:rFonts w:ascii="Arial" w:cs="Arial" w:eastAsia="Arial" w:hAnsi="Arial"/>
                  <w:sz w:val="14"/>
                  <w:szCs w:val="14"/>
                  <w:color w:val="0000FF"/>
                </w:rPr>
                <w:t>Registrant and Taylor Greenwald.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9"/>
          </w:tcPr>
          <w:p>
            <w:pPr>
              <w:spacing w:after="0" w:line="161" w:lineRule="exact"/>
              <w:rPr>
                <w:sz w:val="20"/>
                <w:szCs w:val="20"/>
                <w:color w:val="auto"/>
              </w:rPr>
            </w:pPr>
            <w:r>
              <w:rPr>
                <w:rFonts w:ascii="Arial" w:cs="Arial" w:eastAsia="Arial" w:hAnsi="Arial"/>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14(a) of the</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bottom w:val="single" w:sz="8" w:color="0000FF"/>
            </w:tcBorders>
            <w:gridSpan w:val="13"/>
          </w:tcPr>
          <w:p>
            <w:pPr>
              <w:spacing w:after="0" w:line="123" w:lineRule="exact"/>
              <w:rPr>
                <w:sz w:val="20"/>
                <w:szCs w:val="20"/>
                <w:color w:val="auto"/>
              </w:rPr>
            </w:pPr>
            <w:r>
              <w:rPr>
                <w:rFonts w:ascii="Arial" w:cs="Arial" w:eastAsia="Arial" w:hAnsi="Arial"/>
                <w:sz w:val="14"/>
                <w:szCs w:val="14"/>
                <w:color w:val="0000FF"/>
                <w:w w:val="93"/>
              </w:rPr>
              <w:t>Exchange Act, as adopted pursuant to section 302 of the 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w:t>
            </w: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0000FF"/>
            </w:tcBorders>
          </w:tcPr>
          <w:p>
            <w:pPr>
              <w:spacing w:after="0" w:line="110" w:lineRule="exact"/>
              <w:rPr>
                <w:sz w:val="20"/>
                <w:szCs w:val="20"/>
                <w:color w:val="auto"/>
              </w:rPr>
            </w:pPr>
            <w:r>
              <w:rPr>
                <w:rFonts w:ascii="Arial" w:cs="Arial" w:eastAsia="Arial" w:hAnsi="Arial"/>
                <w:sz w:val="11"/>
                <w:szCs w:val="11"/>
                <w:color w:val="0000FF"/>
              </w:rPr>
              <w:t>2002.</w:t>
            </w: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gridSpan w:val="19"/>
          </w:tcPr>
          <w:p>
            <w:pPr>
              <w:spacing w:after="0" w:line="161" w:lineRule="exact"/>
              <w:rPr>
                <w:sz w:val="20"/>
                <w:szCs w:val="20"/>
                <w:color w:val="auto"/>
              </w:rPr>
            </w:pPr>
            <w:r>
              <w:rPr>
                <w:rFonts w:ascii="Arial" w:cs="Arial" w:eastAsia="Arial" w:hAnsi="Arial"/>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14(a) of the</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bottom w:val="single" w:sz="8" w:color="0000FF"/>
            </w:tcBorders>
            <w:gridSpan w:val="14"/>
          </w:tcPr>
          <w:p>
            <w:pPr>
              <w:spacing w:after="0" w:line="123" w:lineRule="exact"/>
              <w:rPr>
                <w:sz w:val="20"/>
                <w:szCs w:val="20"/>
                <w:color w:val="auto"/>
              </w:rPr>
            </w:pPr>
            <w:r>
              <w:rPr>
                <w:rFonts w:ascii="Arial" w:cs="Arial" w:eastAsia="Arial" w:hAnsi="Arial"/>
                <w:sz w:val="14"/>
                <w:szCs w:val="14"/>
                <w:color w:val="0000FF"/>
                <w:w w:val="93"/>
              </w:rPr>
              <w:t>Exchange Act, as adopted pursuant to section 302 of the 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w:t>
            </w: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0000FF"/>
            </w:tcBorders>
          </w:tcPr>
          <w:p>
            <w:pPr>
              <w:spacing w:after="0" w:line="110" w:lineRule="exact"/>
              <w:rPr>
                <w:sz w:val="20"/>
                <w:szCs w:val="20"/>
                <w:color w:val="auto"/>
              </w:rPr>
            </w:pPr>
            <w:r>
              <w:rPr>
                <w:rFonts w:ascii="Arial" w:cs="Arial" w:eastAsia="Arial" w:hAnsi="Arial"/>
                <w:sz w:val="11"/>
                <w:szCs w:val="11"/>
                <w:color w:val="0000FF"/>
              </w:rPr>
              <w:t>2002.</w:t>
            </w: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gridSpan w:val="19"/>
          </w:tcPr>
          <w:p>
            <w:pPr>
              <w:spacing w:after="0" w:line="161" w:lineRule="exact"/>
              <w:rPr>
                <w:sz w:val="20"/>
                <w:szCs w:val="20"/>
                <w:color w:val="auto"/>
              </w:rPr>
            </w:pPr>
            <w:r>
              <w:rPr>
                <w:rFonts w:ascii="Arial" w:cs="Arial" w:eastAsia="Arial" w:hAnsi="Arial"/>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14(b) of the</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bottom w:val="single" w:sz="8" w:color="0000FF"/>
            </w:tcBorders>
            <w:gridSpan w:val="16"/>
          </w:tcPr>
          <w:p>
            <w:pPr>
              <w:spacing w:after="0" w:line="123" w:lineRule="exact"/>
              <w:rPr>
                <w:sz w:val="20"/>
                <w:szCs w:val="20"/>
                <w:color w:val="auto"/>
              </w:rPr>
            </w:pPr>
            <w:r>
              <w:rPr>
                <w:rFonts w:ascii="Arial" w:cs="Arial" w:eastAsia="Arial" w:hAnsi="Arial"/>
                <w:sz w:val="14"/>
                <w:szCs w:val="14"/>
                <w:color w:val="0000FF"/>
              </w:rPr>
              <w:t>Exchange Act and section 18 U.S.C. Section 1350, as adopted pursuant to</w:t>
            </w: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bottom w:val="single" w:sz="8" w:color="0000FF"/>
            </w:tcBorders>
            <w:gridSpan w:val="5"/>
          </w:tcPr>
          <w:p>
            <w:pPr>
              <w:spacing w:after="0" w:line="110" w:lineRule="exact"/>
              <w:rPr>
                <w:sz w:val="20"/>
                <w:szCs w:val="20"/>
                <w:color w:val="auto"/>
              </w:rPr>
            </w:pPr>
            <w:r>
              <w:rPr>
                <w:rFonts w:ascii="Arial" w:cs="Arial" w:eastAsia="Arial" w:hAnsi="Arial"/>
                <w:sz w:val="11"/>
                <w:szCs w:val="11"/>
                <w:color w:val="0000FF"/>
              </w:rPr>
              <w:t>section 906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w:t>
            </w:r>
          </w:p>
        </w:tc>
        <w:tc>
          <w:tcPr>
            <w:tcW w:w="2100" w:type="dxa"/>
            <w:vAlign w:val="bottom"/>
            <w:gridSpan w:val="1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80" w:type="dxa"/>
            <w:vAlign w:val="bottom"/>
          </w:tcPr>
          <w:p>
            <w:pPr>
              <w:jc w:val="center"/>
              <w:spacing w:after="0"/>
              <w:rPr>
                <w:sz w:val="20"/>
                <w:szCs w:val="20"/>
                <w:color w:val="auto"/>
              </w:rPr>
            </w:pPr>
            <w:r>
              <w:rPr>
                <w:rFonts w:ascii="Arial" w:cs="Arial" w:eastAsia="Arial" w:hAnsi="Arial"/>
                <w:sz w:val="14"/>
                <w:szCs w:val="14"/>
                <w:color w:val="auto"/>
                <w:w w:val="87"/>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gridSpan w:val="19"/>
          </w:tcPr>
          <w:p>
            <w:pPr>
              <w:spacing w:after="0" w:line="161" w:lineRule="exact"/>
              <w:rPr>
                <w:sz w:val="20"/>
                <w:szCs w:val="20"/>
                <w:color w:val="auto"/>
              </w:rPr>
            </w:pPr>
            <w:r>
              <w:rPr>
                <w:rFonts w:ascii="Arial" w:cs="Arial" w:eastAsia="Arial" w:hAnsi="Arial"/>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Arial" w:cs="Arial" w:eastAsia="Arial" w:hAnsi="Arial"/>
                <w:sz w:val="14"/>
                <w:szCs w:val="14"/>
                <w:color w:val="0000FF"/>
              </w:rPr>
              <w:t>14(b) of the</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17"/>
          </w:tcPr>
          <w:p>
            <w:pPr>
              <w:spacing w:after="0" w:line="123" w:lineRule="exact"/>
              <w:rPr>
                <w:sz w:val="20"/>
                <w:szCs w:val="20"/>
                <w:color w:val="auto"/>
              </w:rPr>
            </w:pPr>
            <w:r>
              <w:rPr>
                <w:rFonts w:ascii="Arial" w:cs="Arial" w:eastAsia="Arial" w:hAnsi="Arial"/>
                <w:sz w:val="14"/>
                <w:szCs w:val="14"/>
                <w:color w:val="0000FF"/>
              </w:rPr>
              <w:t>Exchange Act and section 18 U.S.C. Section 1350, as adopted pursuant to</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tcBorders>
              <w:top w:val="single" w:sz="8" w:color="0000FF"/>
            </w:tcBorders>
            <w:gridSpan w:val="18"/>
          </w:tcPr>
          <w:p>
            <w:pPr>
              <w:spacing w:after="0" w:line="110" w:lineRule="exact"/>
              <w:rPr>
                <w:sz w:val="20"/>
                <w:szCs w:val="20"/>
                <w:color w:val="auto"/>
              </w:rPr>
            </w:pPr>
            <w:r>
              <w:rPr>
                <w:rFonts w:ascii="Arial" w:cs="Arial" w:eastAsia="Arial" w:hAnsi="Arial"/>
                <w:sz w:val="11"/>
                <w:szCs w:val="11"/>
                <w:color w:val="0000FF"/>
              </w:rPr>
              <w:t>section 906 of the 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101.INS</w:t>
            </w:r>
          </w:p>
        </w:tc>
        <w:tc>
          <w:tcPr>
            <w:tcW w:w="20" w:type="dxa"/>
            <w:vAlign w:val="bottom"/>
          </w:tcPr>
          <w:p>
            <w:pPr>
              <w:spacing w:after="0"/>
              <w:rPr>
                <w:sz w:val="17"/>
                <w:szCs w:val="17"/>
                <w:color w:val="auto"/>
              </w:rPr>
            </w:pPr>
          </w:p>
        </w:tc>
        <w:tc>
          <w:tcPr>
            <w:tcW w:w="262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auto"/>
              </w:rPr>
              <w:t>XBRL Instance Document</w:t>
            </w:r>
          </w:p>
        </w:tc>
        <w:tc>
          <w:tcPr>
            <w:tcW w:w="21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101.SCH</w:t>
            </w:r>
          </w:p>
        </w:tc>
        <w:tc>
          <w:tcPr>
            <w:tcW w:w="20" w:type="dxa"/>
            <w:vAlign w:val="bottom"/>
          </w:tcPr>
          <w:p>
            <w:pPr>
              <w:spacing w:after="0"/>
              <w:rPr>
                <w:sz w:val="16"/>
                <w:szCs w:val="16"/>
                <w:color w:val="auto"/>
              </w:rPr>
            </w:pPr>
          </w:p>
        </w:tc>
        <w:tc>
          <w:tcPr>
            <w:tcW w:w="4760" w:type="dxa"/>
            <w:vAlign w:val="bottom"/>
            <w:gridSpan w:val="19"/>
          </w:tcPr>
          <w:p>
            <w:pPr>
              <w:spacing w:after="0"/>
              <w:rPr>
                <w:sz w:val="20"/>
                <w:szCs w:val="20"/>
                <w:color w:val="auto"/>
              </w:rPr>
            </w:pPr>
            <w:r>
              <w:rPr>
                <w:rFonts w:ascii="Arial" w:cs="Arial" w:eastAsia="Arial" w:hAnsi="Arial"/>
                <w:sz w:val="14"/>
                <w:szCs w:val="14"/>
                <w:color w:val="auto"/>
              </w:rPr>
              <w:t>XBRL Schema Document</w:t>
            </w: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101.CAL</w:t>
            </w:r>
          </w:p>
        </w:tc>
        <w:tc>
          <w:tcPr>
            <w:tcW w:w="20" w:type="dxa"/>
            <w:vAlign w:val="bottom"/>
          </w:tcPr>
          <w:p>
            <w:pPr>
              <w:spacing w:after="0"/>
              <w:rPr>
                <w:sz w:val="16"/>
                <w:szCs w:val="16"/>
                <w:color w:val="auto"/>
              </w:rPr>
            </w:pPr>
          </w:p>
        </w:tc>
        <w:tc>
          <w:tcPr>
            <w:tcW w:w="4760" w:type="dxa"/>
            <w:vAlign w:val="bottom"/>
            <w:gridSpan w:val="19"/>
          </w:tcPr>
          <w:p>
            <w:pPr>
              <w:spacing w:after="0"/>
              <w:rPr>
                <w:sz w:val="20"/>
                <w:szCs w:val="20"/>
                <w:color w:val="auto"/>
              </w:rPr>
            </w:pPr>
            <w:r>
              <w:rPr>
                <w:rFonts w:ascii="Arial" w:cs="Arial" w:eastAsia="Arial" w:hAnsi="Arial"/>
                <w:sz w:val="14"/>
                <w:szCs w:val="14"/>
                <w:color w:val="auto"/>
              </w:rPr>
              <w:t>XBRL Calculation Linkbase Document</w:t>
            </w: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16"/>
                <w:szCs w:val="16"/>
                <w:color w:val="auto"/>
              </w:rPr>
            </w:pPr>
          </w:p>
        </w:tc>
        <w:tc>
          <w:tcPr>
            <w:tcW w:w="4760" w:type="dxa"/>
            <w:vAlign w:val="bottom"/>
            <w:gridSpan w:val="19"/>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101.LAB</w:t>
            </w:r>
          </w:p>
        </w:tc>
        <w:tc>
          <w:tcPr>
            <w:tcW w:w="20" w:type="dxa"/>
            <w:vAlign w:val="bottom"/>
          </w:tcPr>
          <w:p>
            <w:pPr>
              <w:spacing w:after="0"/>
              <w:rPr>
                <w:sz w:val="16"/>
                <w:szCs w:val="16"/>
                <w:color w:val="auto"/>
              </w:rPr>
            </w:pPr>
          </w:p>
        </w:tc>
        <w:tc>
          <w:tcPr>
            <w:tcW w:w="4760" w:type="dxa"/>
            <w:vAlign w:val="bottom"/>
            <w:gridSpan w:val="19"/>
          </w:tcPr>
          <w:p>
            <w:pPr>
              <w:spacing w:after="0"/>
              <w:rPr>
                <w:sz w:val="20"/>
                <w:szCs w:val="20"/>
                <w:color w:val="auto"/>
              </w:rPr>
            </w:pPr>
            <w:r>
              <w:rPr>
                <w:rFonts w:ascii="Arial" w:cs="Arial" w:eastAsia="Arial" w:hAnsi="Arial"/>
                <w:sz w:val="14"/>
                <w:szCs w:val="14"/>
                <w:color w:val="auto"/>
              </w:rPr>
              <w:t>XBRL Labels Linkbase Document</w:t>
            </w:r>
          </w:p>
        </w:tc>
        <w:tc>
          <w:tcPr>
            <w:tcW w:w="0" w:type="dxa"/>
            <w:vAlign w:val="bottom"/>
          </w:tcPr>
          <w:p>
            <w:pPr>
              <w:spacing w:after="0"/>
              <w:rPr>
                <w:sz w:val="1"/>
                <w:szCs w:val="1"/>
                <w:color w:val="auto"/>
              </w:rPr>
            </w:pPr>
          </w:p>
        </w:tc>
      </w:tr>
      <w:tr>
        <w:trPr>
          <w:trHeight w:val="194"/>
        </w:trPr>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101.PRE</w:t>
            </w:r>
          </w:p>
        </w:tc>
        <w:tc>
          <w:tcPr>
            <w:tcW w:w="20" w:type="dxa"/>
            <w:vAlign w:val="bottom"/>
          </w:tcPr>
          <w:p>
            <w:pPr>
              <w:spacing w:after="0"/>
              <w:rPr>
                <w:sz w:val="16"/>
                <w:szCs w:val="16"/>
                <w:color w:val="auto"/>
              </w:rPr>
            </w:pPr>
          </w:p>
        </w:tc>
        <w:tc>
          <w:tcPr>
            <w:tcW w:w="4760" w:type="dxa"/>
            <w:vAlign w:val="bottom"/>
            <w:gridSpan w:val="19"/>
          </w:tcPr>
          <w:p>
            <w:pPr>
              <w:spacing w:after="0"/>
              <w:rPr>
                <w:sz w:val="20"/>
                <w:szCs w:val="20"/>
                <w:color w:val="auto"/>
              </w:rPr>
            </w:pPr>
            <w:r>
              <w:rPr>
                <w:rFonts w:ascii="Arial" w:cs="Arial" w:eastAsia="Arial" w:hAnsi="Arial"/>
                <w:sz w:val="14"/>
                <w:szCs w:val="14"/>
                <w:color w:val="auto"/>
              </w:rPr>
              <w:t>XBRL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274320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743200" cy="165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Form</w:t>
            </w:r>
          </w:p>
        </w:tc>
        <w:tc>
          <w:tcPr>
            <w:tcW w:w="1280" w:type="dxa"/>
            <w:vAlign w:val="bottom"/>
            <w:gridSpan w:val="2"/>
          </w:tcPr>
          <w:p>
            <w:pPr>
              <w:ind w:left="360"/>
              <w:spacing w:after="0"/>
              <w:rPr>
                <w:sz w:val="20"/>
                <w:szCs w:val="20"/>
                <w:color w:val="auto"/>
              </w:rPr>
            </w:pPr>
            <w:r>
              <w:rPr>
                <w:rFonts w:ascii="Arial" w:cs="Arial" w:eastAsia="Arial" w:hAnsi="Arial"/>
                <w:sz w:val="14"/>
                <w:szCs w:val="14"/>
                <w:b w:val="1"/>
                <w:bCs w:val="1"/>
                <w:color w:val="auto"/>
              </w:rPr>
              <w:t>File No.</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5"/>
        </w:trPr>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8"/>
        </w:trPr>
        <w:tc>
          <w:tcPr>
            <w:tcW w:w="660" w:type="dxa"/>
            <w:vAlign w:val="bottom"/>
          </w:tcPr>
          <w:p>
            <w:pPr>
              <w:jc w:val="center"/>
              <w:spacing w:after="0"/>
              <w:rPr>
                <w:sz w:val="20"/>
                <w:szCs w:val="20"/>
                <w:color w:val="auto"/>
              </w:rPr>
            </w:pPr>
            <w:r>
              <w:rPr>
                <w:rFonts w:ascii="Arial" w:cs="Arial" w:eastAsia="Arial" w:hAnsi="Arial"/>
                <w:sz w:val="14"/>
                <w:szCs w:val="14"/>
                <w:color w:val="auto"/>
                <w:w w:val="91"/>
              </w:rPr>
              <w:t>S-1</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88"/>
              </w:rPr>
              <w:t>333-132080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May 9, 2006</w:t>
            </w:r>
          </w:p>
        </w:tc>
      </w:tr>
      <w:tr>
        <w:trPr>
          <w:trHeight w:val="266"/>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001-40574</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5"/>
              </w:rPr>
              <w:t>June 23, 2022</w:t>
            </w:r>
          </w:p>
        </w:tc>
      </w:tr>
      <w:tr>
        <w:trPr>
          <w:trHeight w:val="285"/>
        </w:trPr>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S-1</w:t>
            </w:r>
          </w:p>
        </w:tc>
        <w:tc>
          <w:tcPr>
            <w:tcW w:w="1180" w:type="dxa"/>
            <w:vAlign w:val="bottom"/>
          </w:tcPr>
          <w:p>
            <w:pPr>
              <w:jc w:val="center"/>
              <w:spacing w:after="0"/>
              <w:rPr>
                <w:sz w:val="20"/>
                <w:szCs w:val="20"/>
                <w:color w:val="auto"/>
              </w:rPr>
            </w:pPr>
            <w:r>
              <w:rPr>
                <w:rFonts w:ascii="Arial" w:cs="Arial" w:eastAsia="Arial" w:hAnsi="Arial"/>
                <w:sz w:val="14"/>
                <w:szCs w:val="14"/>
                <w:color w:val="auto"/>
                <w:w w:val="88"/>
              </w:rPr>
              <w:t>333-132080</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May 9, 2006</w:t>
            </w:r>
          </w:p>
        </w:tc>
      </w:tr>
      <w:tr>
        <w:trPr>
          <w:trHeight w:val="194"/>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000-52049</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7"/>
              </w:rPr>
              <w:t>February 20, 2018</w:t>
            </w:r>
          </w:p>
        </w:tc>
      </w:tr>
      <w:tr>
        <w:trPr>
          <w:trHeight w:val="194"/>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000-52049</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5"/>
              </w:rPr>
              <w:t>June 30, 2021</w:t>
            </w:r>
          </w:p>
        </w:tc>
      </w:tr>
      <w:tr>
        <w:trPr>
          <w:trHeight w:val="28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000-52049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5"/>
              </w:rPr>
              <w:t>June 30, 2021</w:t>
            </w:r>
          </w:p>
        </w:tc>
      </w:tr>
      <w:tr>
        <w:trPr>
          <w:trHeight w:val="28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001-40574</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August 9, 2022</w:t>
            </w:r>
          </w:p>
        </w:tc>
      </w:tr>
      <w:tr>
        <w:trPr>
          <w:trHeight w:val="272"/>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001-40574</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9"/>
              </w:rPr>
              <w:t>August 9, 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jc w:val="center"/>
        <w:spacing w:after="0"/>
        <w:rPr>
          <w:sz w:val="20"/>
          <w:szCs w:val="20"/>
          <w:color w:val="auto"/>
        </w:rPr>
      </w:pPr>
      <w:r>
        <w:rPr>
          <w:rFonts w:ascii="Arial" w:cs="Arial" w:eastAsia="Arial" w:hAnsi="Arial"/>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30480</wp:posOffset>
            </wp:positionV>
            <wp:extent cx="5505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X</w:t>
      </w:r>
    </w:p>
    <w:p>
      <w:pPr>
        <w:spacing w:after="0" w:line="213" w:lineRule="exact"/>
        <w:rPr>
          <w:sz w:val="20"/>
          <w:szCs w:val="20"/>
          <w:color w:val="auto"/>
        </w:rPr>
      </w:pPr>
    </w:p>
    <w:p>
      <w:pPr>
        <w:sectPr>
          <w:pgSz w:w="11900" w:h="16838" w:orient="portrait"/>
          <w:cols w:equalWidth="0" w:num="3">
            <w:col w:w="5880" w:space="80"/>
            <w:col w:w="4320" w:space="260"/>
            <w:col w:w="540"/>
          </w:cols>
          <w:pgMar w:left="320" w:top="12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ind w:firstLine="311"/>
        <w:spacing w:after="0" w:line="277" w:lineRule="auto"/>
        <w:rPr>
          <w:sz w:val="20"/>
          <w:szCs w:val="20"/>
          <w:color w:val="auto"/>
        </w:rPr>
      </w:pPr>
      <w:r>
        <w:rPr>
          <w:rFonts w:ascii="Arial" w:cs="Arial" w:eastAsia="Arial" w:hAnsi="Arial"/>
          <w:sz w:val="17"/>
          <w:szCs w:val="17"/>
          <w:color w:val="auto"/>
        </w:rPr>
        <w:t>Pursuant to the requirements of Securities Exchange Act of 1934, the registrant has caused this Report to be signed on its behalf by the undersigned, thereunto duly authorized.</w:t>
      </w:r>
    </w:p>
    <w:p>
      <w:pPr>
        <w:spacing w:after="0" w:line="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15240</wp:posOffset>
            </wp:positionV>
            <wp:extent cx="2924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2924175" cy="8255"/>
                    </a:xfrm>
                    <a:prstGeom prst="rect">
                      <a:avLst/>
                    </a:prstGeom>
                    <a:noFill/>
                  </pic:spPr>
                </pic:pic>
              </a:graphicData>
            </a:graphic>
          </wp:anchor>
        </w:drawing>
      </w:r>
    </w:p>
    <w:p>
      <w:pPr>
        <w:spacing w:after="0" w:line="11"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4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15240</wp:posOffset>
            </wp:positionV>
            <wp:extent cx="2924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2924175" cy="8255"/>
                    </a:xfrm>
                    <a:prstGeom prst="rect">
                      <a:avLst/>
                    </a:prstGeom>
                    <a:noFill/>
                  </pic:spPr>
                </pic:pic>
              </a:graphicData>
            </a:graphic>
          </wp:anchor>
        </w:drawing>
      </w:r>
    </w:p>
    <w:p>
      <w:pPr>
        <w:spacing w:after="0" w:line="11"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Louis Ferraro</w:t>
      </w:r>
    </w:p>
    <w:p>
      <w:pPr>
        <w:spacing w:after="0" w:line="30"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Chief Financial Officer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November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12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Jeff Miller</w:t>
      </w:r>
      <w:r>
        <w:rPr>
          <w:rFonts w:ascii="Arial" w:cs="Arial" w:eastAsia="Arial" w:hAnsi="Arial"/>
          <w:sz w:val="17"/>
          <w:szCs w:val="17"/>
          <w:color w:val="auto"/>
        </w:rPr>
        <w:t>, certify that:</w:t>
      </w:r>
    </w:p>
    <w:p>
      <w:pPr>
        <w:spacing w:after="0" w:line="224" w:lineRule="exact"/>
        <w:rPr>
          <w:sz w:val="20"/>
          <w:szCs w:val="20"/>
          <w:color w:val="auto"/>
        </w:rPr>
      </w:pPr>
    </w:p>
    <w:p>
      <w:pPr>
        <w:ind w:left="620" w:hanging="306"/>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September 30, 2022;</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15240</wp:posOffset>
            </wp:positionV>
            <wp:extent cx="21031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85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Louis Ferraro</w:t>
      </w:r>
      <w:r>
        <w:rPr>
          <w:rFonts w:ascii="Arial" w:cs="Arial" w:eastAsia="Arial" w:hAnsi="Arial"/>
          <w:sz w:val="17"/>
          <w:szCs w:val="17"/>
          <w:color w:val="auto"/>
        </w:rPr>
        <w:t>, certify that:</w:t>
      </w:r>
    </w:p>
    <w:p>
      <w:pPr>
        <w:spacing w:after="0" w:line="224" w:lineRule="exact"/>
        <w:rPr>
          <w:sz w:val="20"/>
          <w:szCs w:val="20"/>
          <w:color w:val="auto"/>
        </w:rPr>
      </w:pPr>
    </w:p>
    <w:p>
      <w:pPr>
        <w:ind w:left="620" w:hanging="306"/>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September 30, 2022;</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50"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15240</wp:posOffset>
            </wp:positionV>
            <wp:extent cx="29489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Louis Ferraro</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85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September 30, 2022,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15240</wp:posOffset>
            </wp:positionV>
            <wp:extent cx="22834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September 30, 2022, as filed with the Securities and Exchange Commission on the date hereof (the “Report”), I, </w:t>
      </w:r>
      <w:r>
        <w:rPr>
          <w:rFonts w:ascii="Arial" w:cs="Arial" w:eastAsia="Arial" w:hAnsi="Arial"/>
          <w:sz w:val="16"/>
          <w:szCs w:val="16"/>
          <w:b w:val="1"/>
          <w:bCs w:val="1"/>
          <w:color w:val="auto"/>
        </w:rPr>
        <w:t>Louis Ferraro</w:t>
      </w:r>
      <w:r>
        <w:rPr>
          <w:rFonts w:ascii="Arial" w:cs="Arial" w:eastAsia="Arial" w:hAnsi="Arial"/>
          <w:sz w:val="16"/>
          <w:szCs w:val="16"/>
          <w:color w:val="auto"/>
        </w:rPr>
        <w:t>, the Chief Financial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pacing w:after="0" w:line="154" w:lineRule="exact"/>
        <w:rPr>
          <w:sz w:val="20"/>
          <w:szCs w:val="20"/>
          <w:color w:val="auto"/>
        </w:rPr>
      </w:pPr>
    </w:p>
    <w:p>
      <w:pPr>
        <w:ind w:left="4720"/>
        <w:spacing w:after="0"/>
        <w:rPr>
          <w:sz w:val="20"/>
          <w:szCs w:val="20"/>
          <w:color w:val="auto"/>
        </w:rPr>
      </w:pPr>
      <w:r>
        <w:rPr>
          <w:rFonts w:ascii="Arial" w:cs="Arial" w:eastAsia="Arial" w:hAnsi="Arial"/>
          <w:sz w:val="17"/>
          <w:szCs w:val="17"/>
          <w:i w:val="1"/>
          <w:iCs w:val="1"/>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15240</wp:posOffset>
            </wp:positionV>
            <wp:extent cx="2874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spacing w:after="0" w:line="11"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Louis Ferraro</w:t>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1"/>
      <w:numFmt w:val="bullet"/>
      <w:start w:val="1"/>
    </w:lvl>
  </w:abstractNum>
  <w:abstractNum w:abstractNumId="9">
    <w:nsid w:val="25E45D32"/>
    <w:multiLevelType w:val="hybridMultilevel"/>
    <w:lvl w:ilvl="0">
      <w:lvlJc w:val="left"/>
      <w:lvlText w:val="1"/>
      <w:numFmt w:val="bullet"/>
      <w:start w:val="1"/>
    </w:lvl>
  </w:abstractNum>
  <w:abstractNum w:abstractNumId="10">
    <w:nsid w:val="519B500D"/>
    <w:multiLevelType w:val="hybridMultilevel"/>
    <w:lvl w:ilvl="0">
      <w:lvlJc w:val="left"/>
      <w:lvlText w:val="1"/>
      <w:numFmt w:val="bullet"/>
      <w:start w:val="1"/>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1"/>
      <w:numFmt w:val="bullet"/>
      <w:start w:val="1"/>
    </w:lvl>
  </w:abstractNum>
  <w:abstractNum w:abstractNumId="14">
    <w:nsid w:val="257130A3"/>
    <w:multiLevelType w:val="hybridMultilevel"/>
    <w:lvl w:ilvl="0">
      <w:lvlJc w:val="left"/>
      <w:lvlText w:val="1"/>
      <w:numFmt w:val="bullet"/>
      <w:start w:val="1"/>
    </w:lvl>
  </w:abstractNum>
  <w:abstractNum w:abstractNumId="15">
    <w:nsid w:val="62BBD95A"/>
    <w:multiLevelType w:val="hybridMultilevel"/>
    <w:lvl w:ilvl="0">
      <w:lvlJc w:val="left"/>
      <w:lvlText w:val="•"/>
      <w:numFmt w:val="bullet"/>
      <w:start w:val="1"/>
    </w:lvl>
    <w:lvl w:ilvl="1">
      <w:lvlJc w:val="left"/>
      <w:lvlText w:val="◦"/>
      <w:numFmt w:val="bullet"/>
      <w:start w:val="1"/>
    </w:lvl>
  </w:abstractNum>
  <w:abstractNum w:abstractNumId="16">
    <w:nsid w:val="436C6125"/>
    <w:multiLevelType w:val="hybridMultilevel"/>
    <w:lvl w:ilvl="0">
      <w:lvlJc w:val="left"/>
      <w:lvlText w:val="1"/>
      <w:numFmt w:val="bullet"/>
      <w:start w:val="1"/>
    </w:lvl>
  </w:abstractNum>
  <w:abstractNum w:abstractNumId="17">
    <w:nsid w:val="628C895D"/>
    <w:multiLevelType w:val="hybridMultilevel"/>
    <w:lvl w:ilvl="0">
      <w:lvlJc w:val="left"/>
      <w:lvlText w:val="1"/>
      <w:numFmt w:val="bullet"/>
      <w:start w:val="1"/>
    </w:lvl>
  </w:abstractNum>
  <w:abstractNum w:abstractNumId="18">
    <w:nsid w:val="333AB105"/>
    <w:multiLevelType w:val="hybridMultilevel"/>
    <w:lvl w:ilvl="0">
      <w:lvlJc w:val="left"/>
      <w:lvlText w:val="1"/>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73" Type="http://schemas.openxmlformats.org/officeDocument/2006/relationships/hyperlink" Target="http://www.sec.gov/Archives/edgar/data/1131554/000095012306005985/y15440a2exv3w2.txt" TargetMode="External"/><Relationship Id="rId74" Type="http://schemas.openxmlformats.org/officeDocument/2006/relationships/hyperlink" Target="https://www.sec.gov/Archives/edgar/data/1131554/000113155422000035/sncr-exhx31certificateofam.htm" TargetMode="External"/><Relationship Id="rId75" Type="http://schemas.openxmlformats.org/officeDocument/2006/relationships/hyperlink" Target="http://www.sec.gov/Archives/edgar/data/1131554/000095012306005985/y15440a2exv3w4.txt" TargetMode="External"/><Relationship Id="rId76" Type="http://schemas.openxmlformats.org/officeDocument/2006/relationships/hyperlink" Target="http://www.sec.gov/Archives/edgar/data/1131554/000110465918010721/a18-6289_1ex3d2.htm" TargetMode="External"/><Relationship Id="rId77" Type="http://schemas.openxmlformats.org/officeDocument/2006/relationships/hyperlink" Target="https://www.sec.gov/Archives/edgar/data/1131554/000110465921087598/tm2120300d3_ex3-3.htm" TargetMode="External"/><Relationship Id="rId78" Type="http://schemas.openxmlformats.org/officeDocument/2006/relationships/hyperlink" Target="https://www.sec.gov/Archives/edgar/data/1131554/000110465921087598/tm2120300d3_ex3-1.htm" TargetMode="External"/><Relationship Id="rId79" Type="http://schemas.openxmlformats.org/officeDocument/2006/relationships/hyperlink" Target="https://www.sec.gov/Archives/edgar/data/1131554/000113155422000063/sncr-ex101appointmentlette.htm" TargetMode="External"/><Relationship Id="rId80" Type="http://schemas.openxmlformats.org/officeDocument/2006/relationships/hyperlink" Target="https://www.sec.gov/Archives/edgar/data/1131554/000113155422000063/sncr-ex102amendmenttoempl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2022-11-08T17:20:31Z</dcterms:created>
  <dcterms:modified xsi:type="dcterms:W3CDTF">2022-11-08T17:20:31Z</dcterms:modified>
</cp:coreProperties>
</file>