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2" w:lineRule="exact"/>
        <w:rPr>
          <w:sz w:val="24"/>
          <w:szCs w:val="24"/>
          <w:color w:val="auto"/>
        </w:rPr>
      </w:pPr>
    </w:p>
    <w:p>
      <w:pPr>
        <w:ind w:left="1020" w:hanging="594"/>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020" w:hanging="580"/>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transition period from to</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000-52049</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jc w:val="center"/>
              <w:ind w:left="979"/>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spacing w:after="0"/>
              <w:rPr>
                <w:sz w:val="18"/>
                <w:szCs w:val="18"/>
                <w:color w:val="auto"/>
              </w:rPr>
            </w:pPr>
          </w:p>
        </w:tc>
        <w:tc>
          <w:tcPr>
            <w:tcW w:w="3820" w:type="dxa"/>
            <w:vAlign w:val="bottom"/>
          </w:tcPr>
          <w:p>
            <w:pPr>
              <w:jc w:val="right"/>
              <w:ind w:right="2359"/>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72"/>
        </w:trPr>
        <w:tc>
          <w:tcPr>
            <w:tcW w:w="4540" w:type="dxa"/>
            <w:vAlign w:val="bottom"/>
          </w:tcPr>
          <w:p>
            <w:pPr>
              <w:jc w:val="center"/>
              <w:ind w:left="979"/>
              <w:spacing w:after="0" w:line="171" w:lineRule="exact"/>
              <w:rPr>
                <w:sz w:val="20"/>
                <w:szCs w:val="20"/>
                <w:color w:val="auto"/>
              </w:rPr>
            </w:pPr>
            <w:r>
              <w:rPr>
                <w:rFonts w:ascii="Arial" w:cs="Arial" w:eastAsia="Arial" w:hAnsi="Arial"/>
                <w:sz w:val="16"/>
                <w:szCs w:val="16"/>
                <w:color w:val="auto"/>
                <w:w w:val="93"/>
              </w:rPr>
              <w:t>(State or other jurisdiction of</w:t>
            </w:r>
          </w:p>
        </w:tc>
        <w:tc>
          <w:tcPr>
            <w:tcW w:w="2860" w:type="dxa"/>
            <w:vAlign w:val="bottom"/>
          </w:tcPr>
          <w:p>
            <w:pPr>
              <w:spacing w:after="0"/>
              <w:rPr>
                <w:sz w:val="14"/>
                <w:szCs w:val="14"/>
                <w:color w:val="auto"/>
              </w:rPr>
            </w:pPr>
          </w:p>
        </w:tc>
        <w:tc>
          <w:tcPr>
            <w:tcW w:w="3820" w:type="dxa"/>
            <w:vAlign w:val="bottom"/>
          </w:tcPr>
          <w:p>
            <w:pPr>
              <w:jc w:val="center"/>
              <w:ind w:right="1739"/>
              <w:spacing w:after="0" w:line="171" w:lineRule="exact"/>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4540" w:type="dxa"/>
            <w:vAlign w:val="bottom"/>
          </w:tcPr>
          <w:p>
            <w:pPr>
              <w:jc w:val="center"/>
              <w:ind w:left="979"/>
              <w:spacing w:after="0"/>
              <w:rPr>
                <w:sz w:val="20"/>
                <w:szCs w:val="20"/>
                <w:color w:val="auto"/>
              </w:rPr>
            </w:pPr>
            <w:r>
              <w:rPr>
                <w:rFonts w:ascii="Arial" w:cs="Arial" w:eastAsia="Arial" w:hAnsi="Arial"/>
                <w:sz w:val="16"/>
                <w:szCs w:val="16"/>
                <w:color w:val="auto"/>
                <w:w w:val="94"/>
              </w:rPr>
              <w:t>incorporation or organization)</w:t>
            </w:r>
          </w:p>
        </w:tc>
        <w:tc>
          <w:tcPr>
            <w:tcW w:w="2860" w:type="dxa"/>
            <w:vAlign w:val="bottom"/>
          </w:tcPr>
          <w:p>
            <w:pPr>
              <w:spacing w:after="0"/>
              <w:rPr>
                <w:sz w:val="17"/>
                <w:szCs w:val="17"/>
                <w:color w:val="auto"/>
              </w:rPr>
            </w:pPr>
          </w:p>
        </w:tc>
        <w:tc>
          <w:tcPr>
            <w:tcW w:w="3820" w:type="dxa"/>
            <w:vAlign w:val="bottom"/>
          </w:tcPr>
          <w:p>
            <w:pPr>
              <w:jc w:val="center"/>
              <w:ind w:right="173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168"/>
        </w:trPr>
        <w:tc>
          <w:tcPr>
            <w:tcW w:w="4540" w:type="dxa"/>
            <w:vAlign w:val="bottom"/>
          </w:tcPr>
          <w:p>
            <w:pPr>
              <w:jc w:val="center"/>
              <w:ind w:left="999"/>
              <w:spacing w:after="0" w:line="168" w:lineRule="exact"/>
              <w:rPr>
                <w:sz w:val="20"/>
                <w:szCs w:val="20"/>
                <w:color w:val="auto"/>
              </w:rPr>
            </w:pPr>
            <w:r>
              <w:rPr>
                <w:rFonts w:ascii="Arial" w:cs="Arial" w:eastAsia="Arial" w:hAnsi="Arial"/>
                <w:sz w:val="16"/>
                <w:szCs w:val="16"/>
                <w:b w:val="1"/>
                <w:bCs w:val="1"/>
                <w:color w:val="auto"/>
                <w:w w:val="91"/>
              </w:rPr>
              <w:t>200 Crossing Boulevard, 8th Floor</w:t>
            </w:r>
          </w:p>
        </w:tc>
        <w:tc>
          <w:tcPr>
            <w:tcW w:w="2860" w:type="dxa"/>
            <w:vAlign w:val="bottom"/>
          </w:tcPr>
          <w:p>
            <w:pPr>
              <w:spacing w:after="0"/>
              <w:rPr>
                <w:sz w:val="14"/>
                <w:szCs w:val="14"/>
                <w:color w:val="auto"/>
              </w:rPr>
            </w:pPr>
          </w:p>
        </w:tc>
        <w:tc>
          <w:tcPr>
            <w:tcW w:w="3820" w:type="dxa"/>
            <w:vAlign w:val="bottom"/>
            <w:vMerge w:val="restart"/>
          </w:tcPr>
          <w:p>
            <w:pPr>
              <w:jc w:val="right"/>
              <w:ind w:right="2539"/>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10"/>
        </w:trPr>
        <w:tc>
          <w:tcPr>
            <w:tcW w:w="4540" w:type="dxa"/>
            <w:vAlign w:val="bottom"/>
          </w:tcPr>
          <w:p>
            <w:pPr>
              <w:jc w:val="center"/>
              <w:ind w:left="979"/>
              <w:spacing w:after="0"/>
              <w:rPr>
                <w:sz w:val="20"/>
                <w:szCs w:val="20"/>
                <w:color w:val="auto"/>
              </w:rPr>
            </w:pPr>
            <w:r>
              <w:rPr>
                <w:rFonts w:ascii="Arial" w:cs="Arial" w:eastAsia="Arial" w:hAnsi="Arial"/>
                <w:sz w:val="16"/>
                <w:szCs w:val="16"/>
                <w:b w:val="1"/>
                <w:bCs w:val="1"/>
                <w:color w:val="auto"/>
                <w:w w:val="90"/>
              </w:rPr>
              <w:t>Bridgewater, New Jersey</w:t>
            </w:r>
          </w:p>
        </w:tc>
        <w:tc>
          <w:tcPr>
            <w:tcW w:w="28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jc w:val="center"/>
              <w:ind w:left="979"/>
              <w:spacing w:after="0"/>
              <w:rPr>
                <w:sz w:val="20"/>
                <w:szCs w:val="20"/>
                <w:color w:val="auto"/>
              </w:rPr>
            </w:pPr>
            <w:r>
              <w:rPr>
                <w:rFonts w:ascii="Arial" w:cs="Arial" w:eastAsia="Arial" w:hAnsi="Arial"/>
                <w:sz w:val="16"/>
                <w:szCs w:val="16"/>
                <w:color w:val="auto"/>
                <w:w w:val="93"/>
              </w:rPr>
              <w:t>(Address of principal executive offices)</w:t>
            </w:r>
          </w:p>
        </w:tc>
        <w:tc>
          <w:tcPr>
            <w:tcW w:w="2860" w:type="dxa"/>
            <w:vAlign w:val="bottom"/>
          </w:tcPr>
          <w:p>
            <w:pPr>
              <w:spacing w:after="0"/>
              <w:rPr>
                <w:sz w:val="18"/>
                <w:szCs w:val="18"/>
                <w:color w:val="auto"/>
              </w:rPr>
            </w:pPr>
          </w:p>
        </w:tc>
        <w:tc>
          <w:tcPr>
            <w:tcW w:w="3820" w:type="dxa"/>
            <w:vAlign w:val="bottom"/>
          </w:tcPr>
          <w:p>
            <w:pPr>
              <w:jc w:val="center"/>
              <w:ind w:right="173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455"/>
        </w:trPr>
        <w:tc>
          <w:tcPr>
            <w:tcW w:w="4540" w:type="dxa"/>
            <w:vAlign w:val="bottom"/>
          </w:tcPr>
          <w:p>
            <w:pPr>
              <w:spacing w:after="0"/>
              <w:rPr>
                <w:sz w:val="24"/>
                <w:szCs w:val="24"/>
                <w:color w:val="auto"/>
              </w:rPr>
            </w:pPr>
          </w:p>
        </w:tc>
        <w:tc>
          <w:tcPr>
            <w:tcW w:w="2860" w:type="dxa"/>
            <w:vAlign w:val="bottom"/>
          </w:tcPr>
          <w:p>
            <w:pPr>
              <w:jc w:val="center"/>
              <w:ind w:right="599"/>
              <w:spacing w:after="0"/>
              <w:rPr>
                <w:sz w:val="20"/>
                <w:szCs w:val="20"/>
                <w:color w:val="auto"/>
              </w:rPr>
            </w:pPr>
            <w:r>
              <w:rPr>
                <w:rFonts w:ascii="Arial" w:cs="Arial" w:eastAsia="Arial" w:hAnsi="Arial"/>
                <w:sz w:val="16"/>
                <w:szCs w:val="16"/>
                <w:b w:val="1"/>
                <w:bCs w:val="1"/>
                <w:color w:val="auto"/>
                <w:w w:val="93"/>
              </w:rPr>
              <w:t>(866) 620-3940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left="3719"/>
              <w:spacing w:after="0"/>
              <w:rPr>
                <w:sz w:val="20"/>
                <w:szCs w:val="20"/>
                <w:color w:val="auto"/>
              </w:rPr>
            </w:pPr>
            <w:r>
              <w:rPr>
                <w:rFonts w:ascii="Arial" w:cs="Arial" w:eastAsia="Arial" w:hAnsi="Arial"/>
                <w:sz w:val="16"/>
                <w:szCs w:val="16"/>
                <w:color w:val="auto"/>
                <w:w w:val="91"/>
              </w:rPr>
              <w:t>(Registrant’s telephone number, including area code)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5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860" w:type="dxa"/>
            <w:vAlign w:val="bottom"/>
            <w:tcBorders>
              <w:bottom w:val="single" w:sz="8" w:color="auto"/>
            </w:tcBorders>
          </w:tcPr>
          <w:p>
            <w:pPr>
              <w:jc w:val="center"/>
              <w:ind w:right="599"/>
              <w:spacing w:after="0"/>
              <w:rPr>
                <w:sz w:val="20"/>
                <w:szCs w:val="20"/>
                <w:color w:val="auto"/>
              </w:rPr>
            </w:pPr>
            <w:r>
              <w:rPr>
                <w:rFonts w:ascii="Arial" w:cs="Arial" w:eastAsia="Arial" w:hAnsi="Arial"/>
                <w:sz w:val="16"/>
                <w:szCs w:val="16"/>
                <w:color w:val="auto"/>
                <w:w w:val="93"/>
              </w:rPr>
              <w:t>Trading Symbol(s)</w:t>
            </w:r>
          </w:p>
        </w:tc>
        <w:tc>
          <w:tcPr>
            <w:tcW w:w="3820" w:type="dxa"/>
            <w:vAlign w:val="bottom"/>
            <w:tcBorders>
              <w:bottom w:val="single" w:sz="8" w:color="auto"/>
            </w:tcBorders>
          </w:tcPr>
          <w:p>
            <w:pPr>
              <w:jc w:val="center"/>
              <w:ind w:right="73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06"/>
        </w:trPr>
        <w:tc>
          <w:tcPr>
            <w:tcW w:w="4540" w:type="dxa"/>
            <w:vAlign w:val="bottom"/>
          </w:tcPr>
          <w:p>
            <w:pPr>
              <w:jc w:val="center"/>
              <w:spacing w:after="0"/>
              <w:rPr>
                <w:sz w:val="20"/>
                <w:szCs w:val="20"/>
                <w:color w:val="auto"/>
              </w:rPr>
            </w:pPr>
            <w:r>
              <w:rPr>
                <w:rFonts w:ascii="Arial" w:cs="Arial" w:eastAsia="Arial" w:hAnsi="Arial"/>
                <w:sz w:val="16"/>
                <w:szCs w:val="16"/>
                <w:color w:val="auto"/>
                <w:w w:val="91"/>
              </w:rPr>
              <w:t>Common Stock, par value $.0001 par value</w:t>
            </w:r>
          </w:p>
        </w:tc>
        <w:tc>
          <w:tcPr>
            <w:tcW w:w="2860" w:type="dxa"/>
            <w:vAlign w:val="bottom"/>
          </w:tcPr>
          <w:p>
            <w:pPr>
              <w:jc w:val="center"/>
              <w:ind w:right="599"/>
              <w:spacing w:after="0"/>
              <w:rPr>
                <w:sz w:val="20"/>
                <w:szCs w:val="20"/>
                <w:color w:val="auto"/>
              </w:rPr>
            </w:pPr>
            <w:r>
              <w:rPr>
                <w:rFonts w:ascii="Arial" w:cs="Arial" w:eastAsia="Arial" w:hAnsi="Arial"/>
                <w:sz w:val="16"/>
                <w:szCs w:val="16"/>
                <w:color w:val="auto"/>
                <w:w w:val="92"/>
              </w:rPr>
              <w:t>SNCR</w:t>
            </w:r>
          </w:p>
        </w:tc>
        <w:tc>
          <w:tcPr>
            <w:tcW w:w="3820" w:type="dxa"/>
            <w:vAlign w:val="bottom"/>
          </w:tcPr>
          <w:p>
            <w:pPr>
              <w:jc w:val="center"/>
              <w:ind w:right="739"/>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114935</wp:posOffset>
            </wp:positionV>
            <wp:extent cx="2366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29" w:lineRule="exact"/>
        <w:rPr>
          <w:sz w:val="24"/>
          <w:szCs w:val="24"/>
          <w:color w:val="auto"/>
        </w:rPr>
      </w:pPr>
    </w:p>
    <w:p>
      <w:pPr>
        <w:ind w:right="2560"/>
        <w:spacing w:after="0" w:line="24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p>
      <w:pPr>
        <w:ind w:left="420"/>
        <w:spacing w:after="0" w:line="161" w:lineRule="exact"/>
        <w:tabs>
          <w:tab w:leader="none" w:pos="2560" w:val="left"/>
          <w:tab w:leader="none" w:pos="4420" w:val="left"/>
          <w:tab w:leader="none" w:pos="6580" w:val="left"/>
          <w:tab w:leader="none" w:pos="90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rPr>
        <w:t>☒</w:t>
      </w:r>
    </w:p>
    <w:p>
      <w:pPr>
        <w:spacing w:after="0" w:line="18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market value of the common stock held by non-affiliates of the Registrant as of June 30, 2020, the last business day of the Registrant’s last completed second quarter, based upon the closing price of the common stock as reported by The Nasdaq Stock Market on such date was approximately $148.8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March 11, 2021, a total of 44,162,001 shares of the Registrant’s common stock were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exhibit index as required by Item 601(a) of Regulation S-K is included in Item 15 of Part IV of this report on Form 10-K.</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0"/>
          <w:szCs w:val="20"/>
          <w:color w:val="auto"/>
        </w:rPr>
      </w:pPr>
    </w:p>
    <w:p>
      <w:pPr>
        <w:jc w:val="both"/>
        <w:spacing w:after="0" w:line="195" w:lineRule="exact"/>
        <w:rPr>
          <w:sz w:val="20"/>
          <w:szCs w:val="20"/>
          <w:color w:val="auto"/>
        </w:rPr>
      </w:pPr>
      <w:r>
        <w:rPr>
          <w:rFonts w:ascii="Arial" w:cs="Arial" w:eastAsia="Arial" w:hAnsi="Arial"/>
          <w:sz w:val="15"/>
          <w:szCs w:val="15"/>
          <w:color w:val="auto"/>
        </w:rPr>
        <w:t>Information required by Part III (Items 10, 11, 12, 13 and 14) is incorporated by reference to portions of the Registrant’s definitive Proxy Statement for its 2021 Annual Meeting of Stockholders (the “Proxy Statement”), which is to be filed pursuant to Regulation 14A within 120 days after the end of the Registrant’s fiscal year ended December 31, 2020. Except as expressly incorporated by reference, the Proxy Statement shall not be deemed to be a part of this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81280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106680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14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tcPr>
          <w:p>
            <w:pPr>
              <w:ind w:left="3480"/>
              <w:spacing w:after="0"/>
              <w:rPr>
                <w:sz w:val="20"/>
                <w:szCs w:val="20"/>
                <w:color w:val="auto"/>
              </w:rPr>
            </w:pPr>
            <w:r>
              <w:rPr>
                <w:rFonts w:ascii="Arial" w:cs="Arial" w:eastAsia="Arial" w:hAnsi="Arial"/>
                <w:sz w:val="18"/>
                <w:szCs w:val="18"/>
                <w:b w:val="1"/>
                <w:bCs w:val="1"/>
                <w:color w:val="auto"/>
              </w:rPr>
              <w:t>SYNCHRONOSS TECHNOLOGIES, INC.</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40" w:type="dxa"/>
            <w:vAlign w:val="bottom"/>
          </w:tcPr>
          <w:p>
            <w:pPr>
              <w:ind w:left="4340"/>
              <w:spacing w:after="0"/>
              <w:rPr>
                <w:sz w:val="20"/>
                <w:szCs w:val="20"/>
                <w:color w:val="auto"/>
              </w:rPr>
            </w:pPr>
            <w:r>
              <w:rPr>
                <w:rFonts w:ascii="Arial" w:cs="Arial" w:eastAsia="Arial" w:hAnsi="Arial"/>
                <w:sz w:val="18"/>
                <w:szCs w:val="18"/>
                <w:b w:val="1"/>
                <w:bCs w:val="1"/>
                <w:color w:val="auto"/>
              </w:rPr>
              <w:t>FORM 10-K INDEX</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340" w:type="dxa"/>
            <w:vAlign w:val="bottom"/>
            <w:vMerge w:val="restart"/>
          </w:tcPr>
          <w:p>
            <w:pPr>
              <w:ind w:left="44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934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04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20" w:type="dxa"/>
            <w:vAlign w:val="bottom"/>
          </w:tcPr>
          <w:p>
            <w:pPr>
              <w:spacing w:after="0"/>
              <w:rPr>
                <w:rFonts w:ascii="Arial" w:cs="Arial" w:eastAsia="Arial" w:hAnsi="Arial"/>
                <w:sz w:val="18"/>
                <w:szCs w:val="18"/>
                <w:color w:val="0000FF"/>
              </w:rPr>
            </w:pPr>
            <w:hyperlink w:anchor="page10">
              <w:r>
                <w:rPr>
                  <w:rFonts w:ascii="Arial" w:cs="Arial" w:eastAsia="Arial" w:hAnsi="Arial"/>
                  <w:sz w:val="18"/>
                  <w:szCs w:val="18"/>
                  <w:u w:val="single" w:color="auto"/>
                  <w:color w:val="0000FF"/>
                </w:rPr>
                <w:t>1A</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04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11</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1B.</w:t>
              </w:r>
            </w:hyperlink>
          </w:p>
        </w:tc>
        <w:tc>
          <w:tcPr>
            <w:tcW w:w="93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Unresolved Staff Comments</w:t>
              </w:r>
            </w:hyperlink>
          </w:p>
        </w:tc>
        <w:tc>
          <w:tcPr>
            <w:tcW w:w="10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2.</w:t>
              </w:r>
            </w:hyperlink>
          </w:p>
        </w:tc>
        <w:tc>
          <w:tcPr>
            <w:tcW w:w="93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Properties</w:t>
              </w:r>
            </w:hyperlink>
          </w:p>
        </w:tc>
        <w:tc>
          <w:tcPr>
            <w:tcW w:w="10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w:t>
              </w:r>
            </w:hyperlink>
          </w:p>
        </w:tc>
        <w:tc>
          <w:tcPr>
            <w:tcW w:w="93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10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4.</w:t>
              </w:r>
            </w:hyperlink>
          </w:p>
        </w:tc>
        <w:tc>
          <w:tcPr>
            <w:tcW w:w="93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Mine Safety Disclosures</w:t>
              </w:r>
            </w:hyperlink>
          </w:p>
        </w:tc>
        <w:tc>
          <w:tcPr>
            <w:tcW w:w="10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40" w:type="dxa"/>
            <w:vAlign w:val="bottom"/>
          </w:tcPr>
          <w:p>
            <w:pPr>
              <w:ind w:left="43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PART II</w:t>
              </w:r>
            </w:hyperlink>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5.</w:t>
              </w:r>
            </w:hyperlink>
          </w:p>
        </w:tc>
        <w:tc>
          <w:tcPr>
            <w:tcW w:w="934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104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6.</w:t>
              </w:r>
            </w:hyperlink>
          </w:p>
        </w:tc>
        <w:tc>
          <w:tcPr>
            <w:tcW w:w="934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Selected Financial Data</w:t>
              </w:r>
            </w:hyperlink>
          </w:p>
        </w:tc>
        <w:tc>
          <w:tcPr>
            <w:tcW w:w="104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7.</w:t>
              </w:r>
            </w:hyperlink>
          </w:p>
        </w:tc>
        <w:tc>
          <w:tcPr>
            <w:tcW w:w="934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Management’s Discussion and Analysis of Financial Condition and Results of Operations</w:t>
              </w:r>
            </w:hyperlink>
          </w:p>
        </w:tc>
        <w:tc>
          <w:tcPr>
            <w:tcW w:w="104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rFonts w:ascii="Arial" w:cs="Arial" w:eastAsia="Arial" w:hAnsi="Arial"/>
                <w:sz w:val="18"/>
                <w:szCs w:val="18"/>
                <w:color w:val="0000FF"/>
              </w:rPr>
            </w:pPr>
            <w:hyperlink w:anchor="page53">
              <w:r>
                <w:rPr>
                  <w:rFonts w:ascii="Arial" w:cs="Arial" w:eastAsia="Arial" w:hAnsi="Arial"/>
                  <w:sz w:val="18"/>
                  <w:szCs w:val="18"/>
                  <w:u w:val="single" w:color="auto"/>
                  <w:color w:val="0000FF"/>
                </w:rPr>
                <w:t>7A</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104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8.</w:t>
              </w:r>
            </w:hyperlink>
          </w:p>
        </w:tc>
        <w:tc>
          <w:tcPr>
            <w:tcW w:w="93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Financial Statements and Supplementary Data</w:t>
              </w:r>
            </w:hyperlink>
          </w:p>
        </w:tc>
        <w:tc>
          <w:tcPr>
            <w:tcW w:w="104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9.</w:t>
              </w:r>
            </w:hyperlink>
          </w:p>
        </w:tc>
        <w:tc>
          <w:tcPr>
            <w:tcW w:w="9340" w:type="dxa"/>
            <w:vAlign w:val="bottom"/>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Changes in and Disagreements with Accountants on Accounting and Financial Disclosure</w:t>
              </w:r>
            </w:hyperlink>
          </w:p>
        </w:tc>
        <w:tc>
          <w:tcPr>
            <w:tcW w:w="104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110</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rFonts w:ascii="Arial" w:cs="Arial" w:eastAsia="Arial" w:hAnsi="Arial"/>
                <w:sz w:val="18"/>
                <w:szCs w:val="18"/>
                <w:color w:val="0000FF"/>
              </w:rPr>
            </w:pPr>
            <w:hyperlink w:anchor="page110">
              <w:r>
                <w:rPr>
                  <w:rFonts w:ascii="Arial" w:cs="Arial" w:eastAsia="Arial" w:hAnsi="Arial"/>
                  <w:sz w:val="18"/>
                  <w:szCs w:val="18"/>
                  <w:u w:val="single" w:color="auto"/>
                  <w:color w:val="0000FF"/>
                </w:rPr>
                <w:t>9A</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Controls and Procedures</w:t>
              </w:r>
            </w:hyperlink>
          </w:p>
        </w:tc>
        <w:tc>
          <w:tcPr>
            <w:tcW w:w="1040" w:type="dxa"/>
            <w:vAlign w:val="bottom"/>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110</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9B.</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Other Information</w:t>
              </w:r>
            </w:hyperlink>
          </w:p>
        </w:tc>
        <w:tc>
          <w:tcPr>
            <w:tcW w:w="104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112</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40" w:type="dxa"/>
            <w:vAlign w:val="bottom"/>
          </w:tcPr>
          <w:p>
            <w:pPr>
              <w:ind w:left="434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PART III</w:t>
              </w:r>
            </w:hyperlink>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color w:val="0000FF"/>
              </w:rPr>
            </w:pPr>
            <w:hyperlink w:anchor="page112">
              <w:r>
                <w:rPr>
                  <w:rFonts w:ascii="Arial" w:cs="Arial" w:eastAsia="Arial" w:hAnsi="Arial"/>
                  <w:sz w:val="18"/>
                  <w:szCs w:val="18"/>
                  <w:u w:val="single" w:color="auto"/>
                  <w:color w:val="0000FF"/>
                </w:rPr>
                <w:t>10</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Directors and Executive Officers and Corporate Governance</w:t>
              </w:r>
            </w:hyperlink>
          </w:p>
        </w:tc>
        <w:tc>
          <w:tcPr>
            <w:tcW w:w="104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Executive Compensation</w:t>
              </w:r>
            </w:hyperlink>
          </w:p>
        </w:tc>
        <w:tc>
          <w:tcPr>
            <w:tcW w:w="104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color w:val="0000FF"/>
              </w:rPr>
            </w:pPr>
            <w:hyperlink w:anchor="page112">
              <w:r>
                <w:rPr>
                  <w:rFonts w:ascii="Arial" w:cs="Arial" w:eastAsia="Arial" w:hAnsi="Arial"/>
                  <w:sz w:val="18"/>
                  <w:szCs w:val="18"/>
                  <w:u w:val="single" w:color="auto"/>
                  <w:color w:val="0000FF"/>
                </w:rPr>
                <w:t>12</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Security Ownership of Certain Beneficial Owners and Management and Related Stockholder Matters</w:t>
              </w:r>
            </w:hyperlink>
          </w:p>
        </w:tc>
        <w:tc>
          <w:tcPr>
            <w:tcW w:w="104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ind w:left="80"/>
              <w:spacing w:after="0"/>
              <w:rPr>
                <w:rFonts w:ascii="Arial" w:cs="Arial" w:eastAsia="Arial" w:hAnsi="Arial"/>
                <w:sz w:val="18"/>
                <w:szCs w:val="18"/>
                <w:color w:val="0000FF"/>
              </w:rPr>
            </w:pPr>
            <w:hyperlink w:anchor="page112">
              <w:r>
                <w:rPr>
                  <w:rFonts w:ascii="Arial" w:cs="Arial" w:eastAsia="Arial" w:hAnsi="Arial"/>
                  <w:sz w:val="18"/>
                  <w:szCs w:val="18"/>
                  <w:u w:val="single" w:color="auto"/>
                  <w:color w:val="0000FF"/>
                </w:rPr>
                <w:t>13</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Certain Relationships and Related Transactions</w:t>
              </w:r>
            </w:hyperlink>
          </w:p>
        </w:tc>
        <w:tc>
          <w:tcPr>
            <w:tcW w:w="104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color w:val="0000FF"/>
              </w:rPr>
            </w:pPr>
            <w:hyperlink w:anchor="page112">
              <w:r>
                <w:rPr>
                  <w:rFonts w:ascii="Arial" w:cs="Arial" w:eastAsia="Arial" w:hAnsi="Arial"/>
                  <w:sz w:val="18"/>
                  <w:szCs w:val="18"/>
                  <w:u w:val="single" w:color="auto"/>
                  <w:color w:val="0000FF"/>
                </w:rPr>
                <w:t>14</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Principal Accounting Fees and Services</w:t>
              </w:r>
            </w:hyperlink>
          </w:p>
        </w:tc>
        <w:tc>
          <w:tcPr>
            <w:tcW w:w="104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113</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40" w:type="dxa"/>
            <w:vAlign w:val="bottom"/>
          </w:tcPr>
          <w:p>
            <w:pPr>
              <w:ind w:left="43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PART IV</w:t>
              </w:r>
            </w:hyperlink>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color w:val="0000FF"/>
              </w:rPr>
            </w:pPr>
            <w:hyperlink w:anchor="page113">
              <w:r>
                <w:rPr>
                  <w:rFonts w:ascii="Arial" w:cs="Arial" w:eastAsia="Arial" w:hAnsi="Arial"/>
                  <w:sz w:val="18"/>
                  <w:szCs w:val="18"/>
                  <w:u w:val="single" w:color="auto"/>
                  <w:color w:val="0000FF"/>
                </w:rPr>
                <w:t>15</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Exhibits</w:t>
              </w:r>
            </w:hyperlink>
          </w:p>
        </w:tc>
        <w:tc>
          <w:tcPr>
            <w:tcW w:w="1040" w:type="dxa"/>
            <w:vAlign w:val="bottom"/>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ind w:left="80"/>
              <w:spacing w:after="0"/>
              <w:rPr>
                <w:rFonts w:ascii="Arial" w:cs="Arial" w:eastAsia="Arial" w:hAnsi="Arial"/>
                <w:sz w:val="18"/>
                <w:szCs w:val="18"/>
                <w:color w:val="0000FF"/>
              </w:rPr>
            </w:pPr>
            <w:hyperlink w:anchor="page115">
              <w:r>
                <w:rPr>
                  <w:rFonts w:ascii="Arial" w:cs="Arial" w:eastAsia="Arial" w:hAnsi="Arial"/>
                  <w:sz w:val="18"/>
                  <w:szCs w:val="18"/>
                  <w:u w:val="single" w:color="auto"/>
                  <w:color w:val="0000FF"/>
                </w:rPr>
                <w:t>16</w:t>
              </w:r>
              <w:r>
                <w:rPr>
                  <w:rFonts w:ascii="Arial" w:cs="Arial" w:eastAsia="Arial" w:hAnsi="Arial"/>
                  <w:sz w:val="18"/>
                  <w:szCs w:val="18"/>
                  <w:color w:val="0000FF"/>
                </w:rPr>
                <w:t>.</w:t>
              </w:r>
            </w:hyperlink>
          </w:p>
        </w:tc>
        <w:tc>
          <w:tcPr>
            <w:tcW w:w="9340" w:type="dxa"/>
            <w:vAlign w:val="bottom"/>
          </w:tcPr>
          <w:p>
            <w:pPr>
              <w:ind w:left="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Form 10-K Summary</w:t>
              </w:r>
            </w:hyperlink>
          </w:p>
        </w:tc>
        <w:tc>
          <w:tcPr>
            <w:tcW w:w="1040" w:type="dxa"/>
            <w:vAlign w:val="bottom"/>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116</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060" w:type="dxa"/>
            <w:vAlign w:val="bottom"/>
            <w:gridSpan w:val="2"/>
          </w:tcPr>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Signatures</w:t>
              </w:r>
            </w:hyperlink>
          </w:p>
        </w:tc>
        <w:tc>
          <w:tcPr>
            <w:tcW w:w="1040" w:type="dxa"/>
            <w:vAlign w:val="bottom"/>
          </w:tcPr>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117</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8"/>
        </w:trPr>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words “Synchronoss,” “we,” “our,” “ours,” “us” and the “Company,” refer to Synchronoss Technologies, Inc. and its consolidated subsidiaries. All statements in this Annual Report on Form 10-K for the fiscal year ended December 31, 2020 (the “Form 10-K”)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9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Synchronoss, we build products that deliver trusted and engaging experiences for our customers and their subscribers at the moments that matter most. Our mission is to provide leading cloud, digital, messaging and network management platforms our customers use to connect, engage and monetize subscribers in more meaningful ways. Our technologies act as a catalyst to enable and unlock new capabilities in our customers’ organizations, creating value through new experiences for their end users and capitalizing on the rapidly converging services, connected devices, networks and applications</w:t>
      </w:r>
      <w:r>
        <w:rPr>
          <w:rFonts w:ascii="Arial" w:cs="Arial" w:eastAsia="Arial" w:hAnsi="Arial"/>
          <w:sz w:val="16"/>
          <w:szCs w:val="16"/>
          <w:color w:val="FF0000"/>
        </w:rPr>
        <w: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businesses span primarily across four pillars and focus on driving profitable growth in business-to-consumer (“B2C”), business-to-business (“B2B”), enterprise and indirect channel (i.e., resellers/dealers) experiences.</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White Label Personal Cloud: Cloud sync, backup, storage, device set up, content transfer and content engagement for user generated content.</w:t>
      </w:r>
    </w:p>
    <w:p>
      <w:pPr>
        <w:spacing w:after="0" w:line="46" w:lineRule="exact"/>
        <w:rPr>
          <w:rFonts w:ascii="Arial" w:cs="Arial" w:eastAsia="Arial" w:hAnsi="Arial"/>
          <w:sz w:val="16"/>
          <w:szCs w:val="16"/>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Messaging: White label consumer email solutions. Advanced, multi-channel messaging peer-to-peer (“P2P”) communications and application-to-person (“A2P”) commerce solutions.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Customer journey and workflow design, development, orchestration and experience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Network Management (“TNM”)</w:t>
      </w:r>
      <w:r>
        <w:rPr>
          <w:rFonts w:ascii="Arial" w:cs="Arial" w:eastAsia="Arial" w:hAnsi="Arial"/>
          <w:sz w:val="16"/>
          <w:szCs w:val="16"/>
          <w:color w:val="008080"/>
        </w:rPr>
        <w:t>:</w:t>
      </w:r>
      <w:r>
        <w:rPr>
          <w:rFonts w:ascii="Arial" w:cs="Arial" w:eastAsia="Arial" w:hAnsi="Arial"/>
          <w:sz w:val="16"/>
          <w:szCs w:val="16"/>
          <w:color w:val="auto"/>
        </w:rPr>
        <w:t xml:space="preserve"> integrated application suite that designs, procures, manage</w:t>
      </w:r>
      <w:r>
        <w:rPr>
          <w:rFonts w:ascii="Arial" w:cs="Arial" w:eastAsia="Arial" w:hAnsi="Arial"/>
          <w:sz w:val="16"/>
          <w:szCs w:val="16"/>
          <w:color w:val="008080"/>
        </w:rPr>
        <w:t>s</w:t>
      </w:r>
      <w:r>
        <w:rPr>
          <w:rFonts w:ascii="Arial" w:cs="Arial" w:eastAsia="Arial" w:hAnsi="Arial"/>
          <w:sz w:val="16"/>
          <w:szCs w:val="16"/>
          <w:color w:val="auto"/>
        </w:rPr>
        <w:t xml:space="preserve"> and optimizes telecom network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Synchronoss, we are focused on delivering value to our customers and their end users through:</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Managing Complexity:</w:t>
      </w:r>
    </w:p>
    <w:p>
      <w:pPr>
        <w:spacing w:after="0" w:line="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companies struggle with legacy infrastructure and extensive software development lifecycles due to competing priorities. Within Synchronoss, we focus on managing and reducing the complexity, making it simple for our customers to deliver the trusted experiences their (end user) customers expect to have with them. Our platforms resolve complexity with back-end data and system frameworks to create simple, easy use cases to end users and subscribers.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AI and Machine Learning:</w:t>
      </w:r>
    </w:p>
    <w:p>
      <w:pPr>
        <w:spacing w:after="0" w:line="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platforms, products and solutions operate with the assistance of analytics, smart tagging, artificial intelligence, natural language processing, reporting and other data-driven insights. Our technology uses data to help shape user experiences, summarize reporting, prompt next best actions and recommendations and conduct automated dialogue with subscribers.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Trust &amp; Dependability:</w:t>
      </w:r>
    </w:p>
    <w:p>
      <w:pPr>
        <w:spacing w:after="0" w:line="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committed to providing high-quality, dependable services to our customers. To ensure reliability, system uptime and other service offerings, our transaction management is guaranteed through Service Level Agreements (“SLAs”). Our platforms offer a complete customer management solution, including exception handling, which we believe is one of the main factors that differentiates us from our competitors.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Extensibility, Relevance &amp; Scalability:</w:t>
      </w:r>
    </w:p>
    <w:p>
      <w:pPr>
        <w:spacing w:after="0" w:line="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platforms and solutions are built in a modular fashion, thereby conducive to be extended dynamically and enabling our customers to offer solutions that are relevant to current market situations, with the goal of providing them with the competitive edge required for them to be successful. We support expanding transaction volumes reliably and cost effectively with platforms built to scale. Our Synchronoss Personal Cloud platform is deployed across more than 95 million devices, managing 20 billion entities in the Cloud and performing more than 4 million synchronizations per day.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Security &amp; Reliability</w:t>
      </w:r>
    </w:p>
    <w:p>
      <w:pPr>
        <w:spacing w:after="0" w:line="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marketplace is fraught with a constantly changing security threat landscape and increasingly vulnerable to attacks</w:t>
      </w:r>
      <w:r>
        <w:rPr>
          <w:rFonts w:ascii="Arial" w:cs="Arial" w:eastAsia="Arial" w:hAnsi="Arial"/>
          <w:sz w:val="18"/>
          <w:szCs w:val="18"/>
          <w:color w:val="008080"/>
        </w:rPr>
        <w:t>.</w:t>
      </w:r>
      <w:r>
        <w:rPr>
          <w:rFonts w:ascii="Arial" w:cs="Arial" w:eastAsia="Arial" w:hAnsi="Arial"/>
          <w:sz w:val="18"/>
          <w:szCs w:val="18"/>
          <w:color w:val="auto"/>
        </w:rPr>
        <w:t xml:space="preserve"> Various governing bodies and companies are on heightened alert and aware of these increasing threats. Customers rely on us to protect the confidentiality, integrity, and availability of sensitive company and client information including the systems and platforms they reside on. We also aims to safeguard the reputation of the company and its customers in the marketplace, maintain compliance with applicable laws and regulatory standards</w:t>
      </w:r>
      <w:r>
        <w:rPr>
          <w:rFonts w:ascii="Arial" w:cs="Arial" w:eastAsia="Arial" w:hAnsi="Arial"/>
          <w:sz w:val="18"/>
          <w:szCs w:val="18"/>
          <w:color w:val="008080"/>
        </w:rPr>
        <w:t>,</w:t>
      </w:r>
      <w:r>
        <w:rPr>
          <w:rFonts w:ascii="Arial" w:cs="Arial" w:eastAsia="Arial" w:hAnsi="Arial"/>
          <w:sz w:val="18"/>
          <w:szCs w:val="18"/>
          <w:color w:val="auto"/>
        </w:rPr>
        <w:t xml:space="preserve"> and protect the privacy of user information. All of our platforms have security oversight and are governed from an information security standpoint by the Synchronoss Information Security Program which is designed to achieve these goals and priorities.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Synchronoss, we help our customers accelerate and monetize value-add services to drive growth, retention and enable differentiated experiences.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technologies appeal to a diverse group of customers in a converging TMT space including:</w:t>
      </w: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Communication service providers (“CSP”)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operators/multi-services operators (“MSO”)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Media and Technology Companies with multi-customer-facing channels in global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OEMs with embedded connectivity (e.g., smartphones, laptops, tablets and mobile internet devices)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Insurance Providers</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platforms, products and solutions operate in a white label capacity serving a diverse range of customers in the Telecommunications, Media and Technology (“TMT”) markets and enabling our customers to drive differentiated and trusted experiences with their customer.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Telecommunications, Media and Technology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TMT companies operate and/or market white label instantiations of Synchronoss Cloud, Messaging, and Digital platforms, products and solutions to power new, digitally enhanced experiences for their subscribers and employees. TMT companies use our platforms to author and manage new workflows and customer experiences, orchestrate data from existing back-office systems and create personalized customer experiences across channels and touch points (e.g., online, mobile apps, call centers and care, retail, self-service, etc.)</w:t>
      </w:r>
      <w:r>
        <w:rPr>
          <w:rFonts w:ascii="Arial" w:cs="Arial" w:eastAsia="Arial" w:hAnsi="Arial"/>
          <w:sz w:val="18"/>
          <w:szCs w:val="18"/>
          <w:color w:val="00808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Operators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CSPs, MSOs and Mobile Insurance Providers market white</w:t>
      </w:r>
      <w:r>
        <w:rPr>
          <w:rFonts w:ascii="Arial" w:cs="Arial" w:eastAsia="Arial" w:hAnsi="Arial"/>
          <w:sz w:val="18"/>
          <w:szCs w:val="18"/>
          <w:color w:val="008080"/>
        </w:rPr>
        <w:t>-</w:t>
      </w:r>
      <w:r>
        <w:rPr>
          <w:rFonts w:ascii="Arial" w:cs="Arial" w:eastAsia="Arial" w:hAnsi="Arial"/>
          <w:sz w:val="18"/>
          <w:szCs w:val="18"/>
          <w:color w:val="auto"/>
        </w:rPr>
        <w:t>label implementations of our Synchronoss Cloud, Messaging, and Digital platforms, products and solutions to their subscribers around the world. CSPs and MSOs market and re-sell the value-added services powered by our technology to their subscribers as part of stand-alone subscriptions, value-added bundles or use our technologies directly to enhance their digital offerings and workflow. CSPs and MSOs license Synchronoss Personal Cloud to enhance their value-added service offerings to subscribers who purchase and lease mobile devices and network connectivity - storing and syncing their user generated content (e.g., videos, photos, documents, contacts, music etc.). CSPs and MSOs license Synchronoss Advanced Messaging and Email to enable white label multichannel messaging services including advanced P2P, A2P transactions and brand/advertiser ecosystems.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customers include global service providers such as AT&amp;T, BT, Verizon, Vodafone, T-Mobile, Softbank and MSOs like Comcast, Altice, Charter and Mediacom. These customers utilize our platforms and services to service both consumer and enterprise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Go to Market</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market our solutions and services directly through our sales organizations in the Americas, Europe, Middle East and Africa (“EMEA”) and Asia-Pacific (“APAC”). We have invested significantly in our sales, marketing and operations to expand our historically North American presence and revenue weighting to a global presence especially in the EMEA and APAC markets.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sell our platforms, products, and services through a direct sales force, with strategic partners and in collaboration with our customers to re-sell services to their end customers and subscribers. Our sales professionals are well versed in our platforms, products and services with domain understanding of market trends, demands and conditions that our current and potential customers are facing.</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Synchronoss Corporate Marketing team is the face of our organization. Their mission is to deliver the right strategy, tools, support and customer acquisition initiatives that accelerate our growth. They play a vital role in promoting our products, discovering new markets, and driving subscriber growth, retention, and loyalty initiatives for all cloud deployments globally.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Deliver - Our Platforms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Synchronoss Personal Cloud™ Platform</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Synchronoss Cloud platforms, products and solutions are designed to create an engaging and trusted customer experience for Operator subscribers from device purchase, service onboarding and ongoing content management and engagement. The Synchronoss Personal Cloud™ platform is a secure and highly scalable, white label platform that allows our carriers’ customers to protect, engage with, and manage their personal content and gives our operator customers the ability to increase average revenue per user (“ARPU”)</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Synchronoss Personal Cloud™ platform is specifically designed to support smartphones, tablets and wirelessly enabled consumer electronics such as wearables for health and wellness, cameras, tablets, e-readers, personal navigation devices, and GPS enabled devices, as well as connected automobiles. Our Synchronoss Personal Cloud™ solution features products that facilitate the transfer of mobile content from one smart device to another</w:t>
      </w:r>
      <w:r>
        <w:rPr>
          <w:rFonts w:ascii="Arial" w:cs="Arial" w:eastAsia="Arial" w:hAnsi="Arial"/>
          <w:sz w:val="16"/>
          <w:szCs w:val="16"/>
          <w:color w:val="008080"/>
        </w:rPr>
        <w:t>.</w:t>
      </w:r>
    </w:p>
    <w:p>
      <w:pPr>
        <w:spacing w:after="0" w:line="176" w:lineRule="exact"/>
        <w:rPr>
          <w:sz w:val="20"/>
          <w:szCs w:val="20"/>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Content Transfer: </w:t>
      </w:r>
      <w:r>
        <w:rPr>
          <w:rFonts w:ascii="Arial" w:cs="Arial" w:eastAsia="Arial" w:hAnsi="Arial"/>
          <w:sz w:val="18"/>
          <w:szCs w:val="18"/>
          <w:color w:val="auto"/>
        </w:rPr>
        <w:t>Our Synchronoss Mobile Content Transfer™ solution is an easy-to-use product whose client enables a secure, peer-to-peer, wireless transfer of content from one mobile smart device to another in a carrier retail location or at home/work, etc. Our solution can transfer select data classes that may include photos, videos, music, messages, documents, contacts, and call logs, across operating systems including iOS and Android.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Backup &amp; Transfer: </w:t>
      </w:r>
      <w:r>
        <w:rPr>
          <w:rFonts w:ascii="Arial" w:cs="Arial" w:eastAsia="Arial" w:hAnsi="Arial"/>
          <w:sz w:val="17"/>
          <w:szCs w:val="17"/>
          <w:color w:val="auto"/>
        </w:rPr>
        <w:t>Our Synchronoss Backup &amp; Transfer™ solution is a variation of Synchronoss Mobile Content Transfer™ that offers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peer-to-peer transfer of select data classes across smart mobile devices and major operating systems and also offers the ability to send supported data classes that may include photos, videos, music, messages, documents, contacts and call logs up to the cloud for temporary storage and then restore the content back into the new device or to a new device with the same client.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Messaging Platform</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Synchronoss’ Messaging Platform powers mobile messaging and mailboxes for hundreds of millions of telecommunication subscribers. Our Advanced Messaging platform is a powerful, secure</w:t>
      </w:r>
      <w:r>
        <w:rPr>
          <w:rFonts w:ascii="Arial" w:cs="Arial" w:eastAsia="Arial" w:hAnsi="Arial"/>
          <w:sz w:val="18"/>
          <w:szCs w:val="18"/>
          <w:color w:val="008080"/>
        </w:rPr>
        <w:t>,</w:t>
      </w:r>
      <w:r>
        <w:rPr>
          <w:rFonts w:ascii="Arial" w:cs="Arial" w:eastAsia="Arial" w:hAnsi="Arial"/>
          <w:sz w:val="18"/>
          <w:szCs w:val="18"/>
          <w:color w:val="auto"/>
        </w:rPr>
        <w:t xml:space="preserve"> intelligent, white-label messaging platform that expands capabilities for Operators and TMT companies to offer P2P messaging via Rich Communications Services (“RCS”). Our Mobile Messaging Platform (“MMP”) is poised to provide a single standard ecosystem onboarding and management to brands, advertisers and message wholesalers.</w:t>
      </w:r>
    </w:p>
    <w:p>
      <w:pPr>
        <w:spacing w:after="0" w:line="214" w:lineRule="exact"/>
        <w:rPr>
          <w:sz w:val="20"/>
          <w:szCs w:val="20"/>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Messaging: </w:t>
      </w:r>
      <w:r>
        <w:rPr>
          <w:rFonts w:ascii="Arial" w:cs="Arial" w:eastAsia="Arial" w:hAnsi="Arial"/>
          <w:sz w:val="18"/>
          <w:szCs w:val="18"/>
          <w:color w:val="auto"/>
        </w:rPr>
        <w:t>Our Advanced Messaging platform supports rich messaging channel in both RCS and other Real-Time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(“RTC”) and enables rich, P2P communications and creates new commerce and revenue opportunities across channels via A2P experiences for Operators and other brands. Our messaging platform operates in tandem with Messaging-as-a-Platform (“MaaP”), Messaging Marketplace as well as dedicated, third-party clients and native OEM clients, providing an end-end to messaging platform and monetization tools to the operators, CpassS players and brands.</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E-Mail: </w:t>
      </w:r>
      <w:r>
        <w:rPr>
          <w:rFonts w:ascii="Arial" w:cs="Arial" w:eastAsia="Arial" w:hAnsi="Arial"/>
          <w:sz w:val="18"/>
          <w:szCs w:val="18"/>
          <w:color w:val="auto"/>
        </w:rPr>
        <w:t>Our Email suite provides service providers with a secure, white-label, back-end framework for a branded email service that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introduce and promote services that can be monetized. Our carrier branded Email solution offers leading anti-virus &amp;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Network Management</w:t>
      </w:r>
    </w:p>
    <w:p>
      <w:pPr>
        <w:spacing w:after="0" w:line="243"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The Synchronoss Total Network Management application provides operators with the tools and software to design their physical network, streamline their infrastructure purchases, and manage and optimize comprehensive network expense for leading top tier carriers around the globe.</w:t>
      </w:r>
    </w:p>
    <w:p>
      <w:pPr>
        <w:jc w:val="both"/>
        <w:ind w:left="660" w:hanging="328"/>
        <w:spacing w:after="0" w:line="271"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spatialSUITE: </w:t>
      </w:r>
      <w:r>
        <w:rPr>
          <w:rFonts w:ascii="Arial" w:cs="Arial" w:eastAsia="Arial" w:hAnsi="Arial"/>
          <w:sz w:val="17"/>
          <w:szCs w:val="17"/>
          <w:color w:val="auto"/>
        </w:rPr>
        <w:t>Our spatialSUITE provides enterprise-wide access to timely, accurate, and comprehensive network information –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location, specifications, attributes, connectivity and capacity – for every inside-plant and outside-plant asset. It delivers data across the enterprise to support provisioning, planning and design, construction, fault and event management, work order management, customer service, marketing and other critical business functions. The automation and ease of integration of our platform is designed to enable our customers to lower the cost of new subscriber acquisitions and enhance the accuracy and reliability of customer transactions.</w:t>
      </w:r>
    </w:p>
    <w:p>
      <w:pPr>
        <w:spacing w:after="0" w:line="205" w:lineRule="exact"/>
        <w:rPr>
          <w:rFonts w:ascii="Arial" w:cs="Arial" w:eastAsia="Arial" w:hAnsi="Arial"/>
          <w:sz w:val="17"/>
          <w:szCs w:val="17"/>
          <w:color w:val="auto"/>
        </w:rPr>
      </w:pPr>
    </w:p>
    <w:p>
      <w:pPr>
        <w:jc w:val="both"/>
        <w:ind w:left="660" w:hanging="328"/>
        <w:spacing w:after="0" w:line="27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Interconnect NOW (iNOW): </w:t>
      </w:r>
      <w:r>
        <w:rPr>
          <w:rFonts w:ascii="Arial" w:cs="Arial" w:eastAsia="Arial" w:hAnsi="Arial"/>
          <w:sz w:val="17"/>
          <w:szCs w:val="17"/>
          <w:color w:val="auto"/>
        </w:rPr>
        <w:t>Our iNOW provisioning system eliminates manual handling of service orders and manages the full order lifecycle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customer and supplier via automation and rules-based validation. iNOW includes an interface that powers bulk provisioning needs and an open API to seamlessly integrate to other carrier systems. iNOW also provides an electronically bonded gateway platform enabling rapid electronic order confirmations and status updates between bonded carriers. Finally, completed order information flows to Financial Analytics providing integrated and automated order to billing reconciliation functionality.</w:t>
      </w:r>
    </w:p>
    <w:p>
      <w:pPr>
        <w:spacing w:after="0" w:line="203"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Analytics: </w:t>
      </w:r>
      <w:r>
        <w:rPr>
          <w:rFonts w:ascii="Arial" w:cs="Arial" w:eastAsia="Arial" w:hAnsi="Arial"/>
          <w:sz w:val="18"/>
          <w:szCs w:val="18"/>
          <w:color w:val="auto"/>
        </w:rPr>
        <w:t>Our Financial Analytics Platform is a comprehensive application suite that helps operators reduce costs, mitigate risks,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enforce financial compliance and controls, and increase operational efficiencies. Financial Analytics ingests any supplier invoice (in any format) through a unique software-driven process – with 100% of the detail. Invoices are managed via automated audit and payment workflow tightly coupled with a software driven dispute management lifecycle, providing a true procurement-to-payment process on network expenses and disputes across a carrier’s organization.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Digital</w:t>
      </w:r>
    </w:p>
    <w:p>
      <w:pPr>
        <w:spacing w:after="0" w:line="24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Synchronoss Digital Platform is a suite of technology, tools and solutions that includes digital experience creation and management, automated provisioning, artificial intelligence and financial analytics that service a broad swatch of TMT markets.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By equipping our customers with a toolkit of capabilities,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203" w:lineRule="exact"/>
        <w:rPr>
          <w:sz w:val="20"/>
          <w:szCs w:val="20"/>
          <w:color w:val="auto"/>
        </w:rPr>
      </w:pPr>
    </w:p>
    <w:p>
      <w:pPr>
        <w:jc w:val="both"/>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Experience Platform (“DXP”) is a purpose-built, low-code experience creation and management toolset that sits between our customers’ end-user facing applications and their existing back end systems, enabling the authoring and management of customer journeys in a cloud-native no/low-code environment.</w:t>
      </w:r>
    </w:p>
    <w:p>
      <w:pPr>
        <w:spacing w:after="0" w:line="2"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Digital Activation Module is powered by DXP and allows Operators and indirect mobility resellers to activate mobility plans with carriers without large, dedicated teams and affords flexibility at a fraction of the cost and time to go to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for Our Business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today’s business landscape, ‘Digital Transformation’ is not new or novel anymore; it is a necessary way of doing business in a landscape where access to technology has become democratized and the effects of citizen developers can change entire industries overnight. TMT providers need to digitally transform to increase and find new sources of revenue, reduce operational cost and complexity and improve the appeal of their products and services to better compete with new standards set by over-the-top (“OTT”) competitors.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Overall Trends in the TMT Market</w:t>
      </w:r>
    </w:p>
    <w:p>
      <w:pPr>
        <w:spacing w:after="0" w:line="25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Convergence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Transformation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Disintermediation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5G</w:t>
      </w:r>
    </w:p>
    <w:p>
      <w:pPr>
        <w:spacing w:after="0" w:line="238"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6"/>
          <w:szCs w:val="16"/>
          <w:color w:val="auto"/>
        </w:rPr>
        <w:t>The biggest growth driver of the next five years is predicted to be the global adoption of 5G networks, and the epoch change in business that comes with it. In the U.S alone, telecom giant Ericsson predicts 320M 5G subscribers by 2025 with 86% of Deloitte-surveyed networking executives expecting advanced wireless solutions to transform their business within three years. 5G is being ushered in by network operators as a platform for innovation, not simply a next-generation improvement to network infrastructure. 5G is a hundred times faster than the current 4G technology, capable of supporting one hundred times more devices / km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with a 50X improvement in total latency. While the extra speed and capacity that 5G provides is important, the improvements in network latency will usher in an entirely new spectrum of use cases that require instantaneous processing of large, multi-device data sets and faster, Artificial Intelligence decision-making at the edge. With 5G still in its infancy we believe there is significant opportunity to evolve our Personal Cloud and Advanced Messaging products to deliver a connected, personalized, 5G-enhanced experience for consumers.</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According to a recent study by Ericsson - with over 35,000 participants from 22 countries representing the opinions of over 1 billion smartphone users globally - 43% of smartphone users are willing to pay a significant premium for a 5G plan expect new applications and services as a part of the offering. And with that new, shiny plan 5G users are expected to consume, on average, 2-3X more data than their 4G counterparts with an expected 76% of that traffic being attributed to video by 2025. As more smart devices come online and more personal content is uploaded in 4K/8K Ultra-HD we believe the demand for consumer cloud services will expand exponentially. To meet that demand. over the next five years, we believe our white-label Personal Cloud product will transform into a personal content engagement platform that organizes and enhances a user’s digital life, creating meaningful connections between friends and family, and puts them back in control of their personal data.</w:t>
      </w:r>
    </w:p>
    <w:p>
      <w:pPr>
        <w:spacing w:after="0" w:line="20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With the worldwide edge computing market forecasted to reach ~$250B in 2024, emerging markets leapfrogging to 5G infrastructure, and over 50% of the world expected to have 5G coverage by 2025 we believe these factors will create a significant breeding ground for 5G-backed innovation and customer expansion. By leveraging our existing relationships with the world’s largest mobile and broadband network operators and driving increased consumption and engagement with our more than 7 million Personal Cloud user base, we believe we are uniquely positioned to be the leading global provider of white label, 5G consumer cloud engagement apps.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Competition across our markets is incredibly diverse, dynamic and nuanced in an increasingly interconnected landscape of rapidly changing technologies, evolving industry standards, new product introductions and converging spaces and services.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face the following categories of competitors:</w:t>
      </w:r>
    </w:p>
    <w:p>
      <w:pPr>
        <w:spacing w:after="0" w:line="252" w:lineRule="exact"/>
        <w:rPr>
          <w:sz w:val="20"/>
          <w:szCs w:val="20"/>
          <w:color w:val="auto"/>
        </w:rPr>
      </w:pPr>
    </w:p>
    <w:p>
      <w:pPr>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OTT Service &amp; Platform Providers</w:t>
      </w:r>
      <w:r>
        <w:rPr>
          <w:rFonts w:ascii="Arial" w:cs="Arial" w:eastAsia="Arial" w:hAnsi="Arial"/>
          <w:sz w:val="18"/>
          <w:szCs w:val="18"/>
          <w:color w:val="auto"/>
        </w:rPr>
        <w:t xml:space="preserve"> - Apple, Google, Dropbox, Box, Microsoft and Amazon all provide personal cloud services closely integrated to their respective technology or service platforms.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White Label Platform Providers</w:t>
      </w:r>
      <w:r>
        <w:rPr>
          <w:rFonts w:ascii="Arial" w:cs="Arial" w:eastAsia="Arial" w:hAnsi="Arial"/>
          <w:sz w:val="17"/>
          <w:szCs w:val="17"/>
          <w:color w:val="auto"/>
        </w:rPr>
        <w:t xml:space="preserve"> - The field of platform-independent, white label personal cloud providers has consolidated in recent years with Funambol, One Drive and others competing for Operator distribution deals. However, these providers target second and third tier regional operators with low-risk, revenue share business models and do not generally pose a real threat to Tier 1 world-wide Operators.</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emerging RCS marketplace is intensely competitive across the globe. Leading OTT device and OS platform providers, led by Google, Samsung along with prominent online platform providers such as Facebook, WhatsApp, Instagram, WeChat, and LINE have created a radically new market for communication and monetization that is turning “messaging” into a new, virtual OS.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System Integrators</w:t>
      </w:r>
      <w:r>
        <w:rPr>
          <w:rFonts w:ascii="Arial" w:cs="Arial" w:eastAsia="Arial" w:hAnsi="Arial"/>
          <w:sz w:val="16"/>
          <w:szCs w:val="16"/>
          <w:color w:val="auto"/>
        </w:rPr>
        <w:t xml:space="preserve"> - Accenture, Amdocs and others engage our customers in long term contracts for services focused on digital transformation.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CRM and BPM Providers</w:t>
      </w:r>
      <w:r>
        <w:rPr>
          <w:rFonts w:ascii="Arial" w:cs="Arial" w:eastAsia="Arial" w:hAnsi="Arial"/>
          <w:sz w:val="18"/>
          <w:szCs w:val="18"/>
          <w:color w:val="auto"/>
        </w:rPr>
        <w:t xml:space="preserve"> - Major providers of CRM and other systems of record such as Salesforce, Pega Systems and Vlocity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Telecom Expense Management (TEM) Providers –</w:t>
      </w:r>
      <w:r>
        <w:rPr>
          <w:rFonts w:ascii="Arial" w:cs="Arial" w:eastAsia="Arial" w:hAnsi="Arial"/>
          <w:sz w:val="18"/>
          <w:szCs w:val="18"/>
          <w:color w:val="auto"/>
        </w:rPr>
        <w:t xml:space="preserve"> major providers of both wholesale and retail TEM software and services such as TEOCO and Tangoe.</w:t>
      </w:r>
    </w:p>
    <w:p>
      <w:pPr>
        <w:ind w:left="66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Telecom Service Order Management Providers</w:t>
      </w:r>
      <w:r>
        <w:rPr>
          <w:rFonts w:ascii="Arial" w:cs="Arial" w:eastAsia="Arial" w:hAnsi="Arial"/>
          <w:sz w:val="17"/>
          <w:szCs w:val="17"/>
          <w:color w:val="auto"/>
        </w:rPr>
        <w:t xml:space="preserve"> – major providers of software that manage the full order lifecycle of telecommunications service orders such as Neustar. Order management applications and processes developed/utilized by Operators also present competition.</w:t>
      </w: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Geospatial Network Planning Providers</w:t>
      </w:r>
      <w:r>
        <w:rPr>
          <w:rFonts w:ascii="Arial" w:cs="Arial" w:eastAsia="Arial" w:hAnsi="Arial"/>
          <w:sz w:val="18"/>
          <w:szCs w:val="18"/>
          <w:color w:val="auto"/>
        </w:rPr>
        <w:t xml:space="preserve"> – major providers of software that manage the planning and design of physical communication networks such as Bentley, GE Smallworld, and 3-GIS.</w:t>
      </w:r>
    </w:p>
    <w:p>
      <w:pPr>
        <w:spacing w:after="0" w:line="2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compete against global platform providers, we are compelled to maximize our natural advantages through the relationships we have with our customers and partners and the unique value we offer them: bottom line increase in revenue and margins. We believe we compete favorably across these factors and are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Synchronoss, we believe that our growth and success are attributable in large part to our diverse employee base and an experienced management team, with a mission to make Synchronoss a great place to work. We continue to invest in our employees, as well as developing and promoting our team-oriented culture, and believe that these efforts provide us with a sustainable competitive advantage.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we had 1,598 full-time employees located in India, North America, Europe, and Asia Pacific regions. None of our employees are covered by any collective bargaining agreements.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We have a purpose-driven culture, with a focus on employee input and well-being, which we believe enables us to attract and retain exceptional talent. We offer learning and development programs for all employees. Employees are able to actively voice their questions and thoughts through many internal channels, including our company townhall meetings and employee engagement surveys. While we have always had distributed teams collaborating around the globe, the COVID-19 pandemic provided an unexpected experiment in remote work, as the vast majority of our employees pivoted to working from home starting in March 2020. In May 2020, we announced that most employees will continue to have the option to work remotely even after we reopen our offices. This flexible location policy has unlocked opportunities to source, connect, and hire talent in more locations. We believe it will also enable us to retain talent, as employees can continue to work for Synchronoss if they need or want to relocate.</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key focus of our human capital management approach is our commitment to improving inclusion and diversity. In 2020, our focus was on building sustainable systems to champion inclusion and diversity via three critical channels — growing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Communities program (employee resource groups), equipping our managers to build and lead inclusive teams, and making diversity a central component of our recruiting strategy.</w:t>
      </w:r>
    </w:p>
    <w:p>
      <w:pPr>
        <w:spacing w:after="0" w:line="19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From a total rewards perspective, Synchronoss offers a competitive compensation and benefits package, which we review and update each year. Our annual compensation planning coincides with our feedback cycle where employees and managers have performance conversations to facilitate learning and career development. As part of our compensation review program, we conduct pay equity analyses annually.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were incorporated in Delaware in 2000. Our principal offices are located at 200 Crossing Boulevard Bridgewater NJ. We completed our initial public offering in 2006, and our common stock is listed on the NASDAQ Global Select Market under the symbol “SNCR.”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u w:val="single" w:color="auto"/>
          <w:color w:val="3051F2"/>
        </w:rPr>
        <w:t>www.synchronoss.com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u w:val="single" w:color="auto"/>
          <w:color w:val="3051F2"/>
        </w:rPr>
        <w:t>www.synchronosstechnologiesinc.gcs-web.com</w:t>
      </w:r>
      <w:r>
        <w:rPr>
          <w:rFonts w:ascii="Arial" w:cs="Arial" w:eastAsia="Arial" w:hAnsi="Arial"/>
          <w:sz w:val="17"/>
          <w:szCs w:val="17"/>
          <w:color w:val="auto"/>
        </w:rPr>
        <w:t xml:space="preserve">.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u w:val="single" w:color="auto"/>
          <w:color w:val="3051F2"/>
        </w:rPr>
        <w:t>www.sec.gov</w:t>
      </w:r>
      <w:r>
        <w:rPr>
          <w:rFonts w:ascii="Arial" w:cs="Arial" w:eastAsia="Arial" w:hAnsi="Arial"/>
          <w:sz w:val="17"/>
          <w:szCs w:val="17"/>
          <w:color w:val="auto"/>
        </w:rPr>
        <w:t>. The contents of these websites are not incorporated into this filing. Further, the Company’s references to the URLs for these websites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-1041400</wp:posOffset>
            </wp:positionV>
            <wp:extent cx="2540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Synchronoss and Synchronoss Personal Cloud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referred to without the ®, ™ and SM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An investment in our common stock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stock could decline, and our stockholders may lose part or all of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Risks</w:t>
      </w:r>
    </w:p>
    <w:p>
      <w:pPr>
        <w:spacing w:after="0" w:line="239" w:lineRule="exact"/>
        <w:rPr>
          <w:sz w:val="20"/>
          <w:szCs w:val="20"/>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may not generate sufficient cash flows from operations or future borrowings may not be available in amounts sufficient to enable us to fund liquidity needs or capital expenditures which may impact our ability to expand our operations and invest in new products which could reduce our ability to compete.</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earnings and profitability are affected by the length of our sales cycle, and a longer sales cycle could adversely affect our results of operations and financial condition.</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 due to certain factors make our future results difficult to predict.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number of customers account for a substantial portion of our revenues.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global nature of our operations, political or economic changes or other factors in a specific country or region could harm our operating results and financial condition.</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foreign currency transaction losses.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secured revolving credit facility require, and additional financing may require, us to meet certain operating covenants and place restrictions on our operating and financial flexibility.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make investments in new products and services that may not be profitable.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recruit and retain our key personnel and our failure to recruit and retain qualified employees, including issues relating to immigration restrictions, could have a negative impact on our business.</w:t>
      </w:r>
    </w:p>
    <w:p>
      <w:pPr>
        <w:jc w:val="both"/>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recognize revenue for certain products and services ratably over the term of customer agreements and we are subject to complex revenue recognition standard, changes in the value of signed contracts will not be fully reflected in our operating results and changes in these standards may impact our business and results of operations.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performance and growth depend on our ability to generate customer referrals and develop customer relationships that will enhance our sales and marketing efforts.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of our products are complex and may contain defects that are detected only after deployment and if that occurs, our reputation may be harmed and may result in loss or delay in market acceptance of our products.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the confidentiality, integrity and availability of our systems, software and solutions could seriously damage our reputation and affect our ability to retain customers and attract new business.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Consolidation in the communications industry or the other industries that we serve can reduce the number of actual and potential customers.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Failures or interruptions of our systems and services could materially harm our revenues, impair our ability to conduct our operations and damage relationships with our customers.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our offerings is important to our customers and failure to meet our service level obligations or otherwise fail to offer quality support and services would subject us to penalties and we could lose customers.</w:t>
      </w: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providers exposes us to a variety of risks we cannot control and interruptions or delays in our service due to problems with these third-party providers could adversely affect our business.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seek to acquire or make investments in companies or technologies which could disrupt our management, dilute our stockholders’ ownership, increase our debt, and adversely affect our business.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political, market conditions and catastrophic events can adversely affect our business.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Downgrades in our credit ratings may increase our future borrowing costs, limit our ability to raise capital or cause our stock price to decline, any of which could have a material adverse impact on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39"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and operating difficulties in the telecommunications sector, including those related to the COVID-19 pandemic, may negatively affect our customers and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continue to improve our operational, financial and other internal controls and systems to manage our growth, our business could be adversely affected.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business depends on the continued growth in demand for connected devices and the continued availability of high-speed access to the Internet.</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depends on businesses adopting our products and existing customers renewing and expanding their subscriptions for our services and any decline in these would harm our operating results.</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(i) compete successfully with existing or new competitors, (ii) adapt to rapid technological change or achieve or (iii) sustain market acceptance of our services and solutions at desired pricing levels, we could lose customers or market share, which could adversely affect our ability to sustain or grow revenue.</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strategic relationships with third parties to sell and deliver our solutions and the compatibility of our services with third party applications that our customers use.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Regulatory and Compliance Risks</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 regulation of the Internet and e-commerce and exchange of certain information is subject to possible unfavorable changes.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regulations or governmental policy applicable to our customers or potential customers may decrease the demand for our solutions or increase our costs.</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expansion into new markets may be subject to uncertainties that could increase our costs to comply with foreign regulatory requirements, disrupt our operations and require increased focus from our management.</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rights, we could be required to incur significant expenses to enforce our rights and defend claims by others that we infringe their proprietary technology.</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collect, process, store and use personal information and other data, and our failure to protect this information and data could damage our reputation and brand and harm our business and operating results.</w:t>
      </w: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changing data protection and privacy laws could require us to incur significant costs or experience significant business disruption.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“open source” software could negatively affect our ability to sell our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being a public company, we continue to incur significant costs and devote management time.</w:t>
      </w:r>
    </w:p>
    <w:p>
      <w:pPr>
        <w:spacing w:after="0" w:line="9" w:lineRule="exact"/>
        <w:rPr>
          <w:rFonts w:ascii="Arial" w:cs="Arial" w:eastAsia="Arial" w:hAnsi="Arial"/>
          <w:sz w:val="18"/>
          <w:szCs w:val="18"/>
          <w:color w:val="auto"/>
        </w:rPr>
      </w:pPr>
    </w:p>
    <w:p>
      <w:pPr>
        <w:ind w:left="660" w:hanging="328"/>
        <w:spacing w:after="0" w:line="24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regulations could adversely affect our effective tax rates and if we are required to collect sales taxes on the services we sell in additional jurisdictions, we may be subject to liability for past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Series A Preferred Stock and Common Stock</w:t>
      </w:r>
    </w:p>
    <w:p>
      <w:pPr>
        <w:spacing w:after="0" w:line="239" w:lineRule="exact"/>
        <w:rPr>
          <w:sz w:val="20"/>
          <w:szCs w:val="20"/>
          <w:color w:val="auto"/>
        </w:rPr>
      </w:pPr>
    </w:p>
    <w:p>
      <w:pPr>
        <w:ind w:left="660" w:right="2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Series A Preferred Stock contains covenants that may limit our business flexibility and the holders have rights that are preferential to common stockholders.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 price may continue to experience significant fluctuations and could subject us to litigation.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decline in the price of our securities and the restatement of our financial results has resulted in private litigation that if results in judgments against us could have a material adverse impact on our business.</w:t>
      </w:r>
    </w:p>
    <w:p>
      <w:pPr>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than payment of dividends on our Series A Preferred Stock, we have never paid dividends on our capital stock and do not anticipate paying dividends in the foreseeable future.</w:t>
      </w:r>
    </w:p>
    <w:p>
      <w:pPr>
        <w:spacing w:after="0" w:line="1" w:lineRule="exact"/>
        <w:rPr>
          <w:rFonts w:ascii="Arial" w:cs="Arial" w:eastAsia="Arial" w:hAnsi="Arial"/>
          <w:sz w:val="18"/>
          <w:szCs w:val="18"/>
          <w:color w:val="auto"/>
        </w:rPr>
      </w:pPr>
    </w:p>
    <w:p>
      <w:pPr>
        <w:ind w:left="660" w:right="20" w:hanging="328"/>
        <w:spacing w:after="0" w:line="24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Delaware law and provisions in our restated certificate of incorporation and bylaws could make a merger, tender offer or proxy contest difficult, therefore depressing the trading price of our common stock.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Risks</w:t>
      </w:r>
    </w:p>
    <w:p>
      <w:pPr>
        <w:spacing w:after="0" w:line="2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business may not generate sufficient cash flows from operations, or future borrowings which may not be available to us, in amounts sufficient to enable us to fund our liquidity needs and capital expenditure requirements necessary to expand our operations and invest in new products which could reduce our ability to compete and could harm our business.</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cannot guarantee that we will be able to generate sufficient revenue or obtain enough capital to fund our planned capital expenditures and execute on our business strategy. We may be more vulnerable to adverse economic conditions than our leveraged competitors and thus less able to withstand competitive pressures. We intend to continue to make investments to support our business growth and may require additional funds to respond to business challenges, including the need to develop new products and enhancements to our platforms or acquire complementary businesses and technologies. Accordingly, we may need to engage in equity or debt financings to secure additional funds. If we raise additional equity financing,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common stock. Furthermore, if we engage in debt financing, the holders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debt might have priority over the holders of common stock, and we may be required to accept terms that restrict our ability to incur additional indebtedness, including restrictive covenants relating to our capital raising activities and other financial and operational matters, which may make it more difficult for us to obtain additional capital and to pursue business opportunities. We may also be required to take other actions that would otherwise be in the interests of the debt holders and force us to maintain specified liquidity or other ratios, any of which could harm our business, results of operations, and financial condition. If we need additional capital and cannot raise it on acceptable terms, we may not be able to, among other things, (i) develop or enhance our products and platforms, (ii) acquire complementary technologies, products or businesses, (iii) expand operations in the United States or internationally or (iv) respond to competitive pressures or unanticipated working capital requirements.</w:t>
      </w:r>
    </w:p>
    <w:p>
      <w:pPr>
        <w:spacing w:after="0" w:line="2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our ability to continue to support our business growth and to respond to business challenges could be significantly limited which may also require us to delay, scale back or eliminate some or all of our activities which could have a material adverse effect on our business, results of operations and financial condition.</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19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is directly affected by the length of our sales cycles. Our customers’ businesses are relatively complex and their purchase of the types of services that we offer generally involve a significant financial commitment, with attendant delays frequently associated with large financial commitments and procurement procedures within an organization. In addition, as we continue to further penetrate the enterprise and the size and complexity of our sales opportunities continue to expand, we have seen an increase in the average length of time in our sales cycles. The purchase of the types of services that we offer typically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 our future results difficult to predict and could cause our operating results to fall below expectations or our guidance.</w:t>
      </w:r>
    </w:p>
    <w:p>
      <w:pPr>
        <w:spacing w:after="0" w:line="19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a result of a variety of factors discussed in this report, many of which are out of our control, our revenue for a particular quarter is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 affected if the nonlinear sales pattern seen in some of our past quarters recurs in future periods. The timing of large orders can also have a significant effect on our business and operating results from quarter to quarter. From time to time, we receive large orders that have a significant effect on our operating results in the period in which the order is recognized as revenue. The timing of such orders is difficult to predict, and the timing of revenue recognition from such orders may affect period to period changes in revenue. As a result, our operating results could vary materially from quarter to quarter based on the receipt of such orders and their ultimate recognition as revenue. We plan our operating expense levels based primarily on forecasted revenue levels. These expenses and the impact of long-term commitments are relatively fixed in the short term. A shortfall in revenue could lead to operating results being below expectations because we may not be able to quickly reduce these fixed expenses in response to short-term business changes. As a result, comparing our operating results on a period-to-period basis may not be meaningful. Our past results should not be relied on as an indication of our future performance. Non-GAAP financial measures should not be considered in isolation from, or as a substitute for, financial information prepared in accordance with GAAP. In addition, non-GAAP metrics we may disclose, such as EBITDA, and any corresponding trends in such metrics should not be relied on as an indication that our GAAP results, such as income (loss), will be similar or will follow the same trends. If our revenue or operating results fall below the expectations of investors or securities analysts or below any guidance we may provide to the market, the price of our common stock could decline substantially. Any of the above factors could have a material adverse impact on our operations and financial results.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do not meet our revenue forecasts, we may be unable to reduce our expenses in a timely fashion to avoid or minimize harm to our results of operations.</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revenues are difficult to forecast and are likely to fluctuate significantly from period to period, particularly as we continue to implement our business strategy. We base our operating expense and capital investment budgets on expected sales and revenue trends, and many of our expenses, such as office and equipment leases and personnel costs, will be relatively fixed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short term and will increase over time as we make investments in our business. Our estimates of sales trends may not correlate with actual revenues in a particular quarter or over a longer period of time. Variations in the rate and timing of conversion of our sales prospects into sales and actual revenues could cause us to plan or budget inaccurately and those variations could adversely affect our financial results. In particular, delays, reductions in amount or cancellation of customers’ contracts would adversely affect the overall level and timing of our revenues, and our business, results of operations and financial condition could be harmed. Due to the relatively fixed nature of many of our expenses, we may be unable to adjust spending quickly enough to offset any unexpected revenue shortfall. In the course of our sales to customers, we may encounter difficulty collecting accounts receivable and could be exposed to risks associated with uncollectible accounts receivable. In the event we are unable to collect on our accounts receivable, it could negatively affect our cash flows, operating results and business.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traditionally have had substantial customer concentration, with a limited number of customers accounting for a substantial portion of our revenues.</w:t>
      </w:r>
    </w:p>
    <w:p>
      <w:pPr>
        <w:spacing w:after="0" w:line="1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top five customers accounted for 68.0% of revenues for the year ended December 31, 2020 compared to 69.2% of revenues for the year ended December 31, 2019. Of these customers, Verizon accounted for more than 10% of our revenues in 2020, 2019, and 2018. 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our customers’ credit risk.</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the credit risk of our customers and customers with liquidity issues may lead to credit losses for us. Most of our sales are on an open credit basis, with typical payment terms between 45 and 60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a difficult macroeconomic environment, or if there is a continuation or worsening of the economic environment. Although we have programs in place that are designed to monitor and mitigate the associated risk, including monitoring of particular risks in certain geographic areas, there can be no assurance, especially during the COVID-19 pandemic, that these programs will be effective in reducing our credit risks or preventing us from incurring additional losses. Future losses, if incurred, could harm our business and have a material adverse effect on our business operating results and financial condition. Additionally, to the degree that the current or future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Emerging countries in the aggregate experienced a decline in orders during fiscal 2020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the impact of the COVID-19 or other public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health epidemics or concerns on our customer’s component suppliers, and the challenging and inconsistent global macroeconomic environment, any or all of which could have a material adverse effect on our operating results and financial condition, including, among others things:</w:t>
      </w:r>
    </w:p>
    <w:p>
      <w:pPr>
        <w:spacing w:after="0" w:line="1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unrest;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instability or weakness or natural disasters in a specific country or region, including the current economic or health challenges in China and global economic ramifications of Chinese economic difficulties; or instability as a result of Brexit;</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and trade protection measures and other legal and regulatory requirements, some of which may affect our ability to import our products, to export our products from, or sell our products in various countries;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considerations that affect service provider and government spending patterns;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or similar issues and the responses thereto, such as a pandemic or epidemic, including the COVID-19 pandemic and responses taken thereto;</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tax consequences, including imposition of withholding or other taxes on our global operations.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foreign currency transaction losses, which could harm our operating results and financial condition.</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consider the U.S. dollar to be our functional currency. However, given our international operations we currently have, and expect to have in the future, revenue and expenses and related assets and liabilities denominated in foreign currencies. Foreign currency transaction exposure results primarily from transactions with customers or vendors denominated in currencies other than the functional currency of the entity in which we record the transaction. Any fluctuation in the exchange rate of these foreign currencies may positively or negatively affect our business and operating results. We face exposure to movements in foreign currency exchange rates due to the fact that we have non-U.S. dollar denominated revenue worldwide. Weakening of foreign currencies relative to the U.S. dollar adversely affects the U.S. dollar value of our foreign currency denominated revenue and positively affects the U.S. dollar value of our foreign currency denominated expenses. If foreign currencies were to weaken or strengthen relative to the U.S. dollar, we might elect to raise or lower our international pricing, which could potentially impact demand for our services. Alternatively, we might opt not to adjust our international pricing as a result of fluctuations in foreign currency exchange rates, which could potentially have a positive or negative impact on our results of operations and financial condition. Similarly, our financial performance may be impacted by fluctuations in currency exchange rates when it comes to our non-U.S. dollar denominated expenses. The third-party vendors and suppliers to whom we owe payments for non-U.S. dollar denominated expenses may or may not decide to adjust their pricing to reflect fluctuations in foreign currency exchange rates. 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and the translation of our non-U.S. denominated revenue and expenses into U.S. dollars may affect the year-over-year comparability of our operating results.</w:t>
      </w:r>
    </w:p>
    <w:p>
      <w:pPr>
        <w:spacing w:after="0" w:line="19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terms of our secured revolving credit facility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12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October 2019, we entered into a revolving credit facility with Citizens Bank, N.A. that is secured by a lien covering substantially all of our assets, other than our existing real property. The revolving credit facility contains customary covenants that limit the ability of our company and our restricted subsidiaries to, among other things, (1) incur additional indebtedness, (2) pay dividends or make certain other restricted payments, (3) sell assets, (4) make certain investments and (5) grant liens. These covenants are subject to exceptions and qualifications set forth in the credit agreement. The financial covenants set forth in the credit agreement include a maximum consolidated total leverage ratio and a minimum consolidated fixed charge coverage ratio, each of which will be tested at the end of each fiscal quarter. If we default under the terms of the revolving credit facility or any future debt facility, the lender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The lender could declare a default upon the occurrence of any event that they interpret as a material adverse effect as defined under the loan agreement.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make investments in new products and services that may not be profitable or align with our company vision.</w:t>
      </w:r>
    </w:p>
    <w:p>
      <w:pPr>
        <w:spacing w:after="0" w:line="2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including failures to align new initiatives with our established corporate vision and direction, which could lead to 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 retention and hiring may be adversely impacted by immigration restrictions and related factors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 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 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revenue recognitions standards and because we recognize revenue for certain products and services ratably over the term of customer agreements upturns or downturns in the value of signed contracts will not be fully and immediately reflected in our operating results and any changes in the standards could impact our business.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offer certain of our products and services primarily through fixed or variable commitment contracts and recognize revenue ratably over the related service period, which typically ranges from twelve to twenty-four months. As a result, some 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 could cause our margins and profitability to fluctuate significantly from quarter to quarter. As we introduce new services or products, revenue recognition could become 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our business, we depend on end-users of our solutions to generate customer referrals for our services. We also depend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 our reach and improve the efficiency of our sales efforts. 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 customers. We may not be able to cultivate or maintain the relationships with customers that are necessary to develop those customer relationships into referenceable accounts.</w:t>
      </w:r>
    </w:p>
    <w:p>
      <w:pPr>
        <w:spacing w:after="0" w:line="20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current and planned products are highly complex and may contain defects or errors that are detected only after deployment in telecommunications networks. If that occurs, our reputation may be harmed.</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products are highly complex, and we cannot assure customers that our extensive product development, production and integration testing is, or will be, adequate to detect all defects, errors, failures and quality issues that could affect customer satisfaction or result in claims against us. As a result, we might have to replace certain components and/or provide remediation in response to the discovery of defects in products that have been supplied to customers. 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 disrupt the proper functioning of our software solutions, cause errors in the output of our customers’ work, allow unauthorized 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20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More generally, the COVID-19 pandemic has increased attack opportunities available to criminals, as they attempt to profit from disruptions and the resulting shift in companies and individuals working remotely and online, as well as the increase in electronic payments, e-commerce, and other online activity. As such, the risk of cybersecurity incidents is increasing, and we cannot provide assurances that our preventative efforts will be successful. Although we actively employ measures to combat unlicensed copying, access and use of our facilities, systems, software and intellectual property through a variety of 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 our solutions. 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 and cash flows.</w:t>
      </w:r>
    </w:p>
    <w:p>
      <w:pPr>
        <w:spacing w:after="0" w:line="2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 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We also cannot assure that our existing general liability insurance coverage, coverage for errors and omissions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 policies, including premium increases or the imposition of large deductible or co-insurance requirements, could have a material adverse effect on our business, financial condition and results of operations. Furthermore, litigation, regardless of its outcome, could result in a substantial cost to us and divert management’s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attention from our operations. Any significant claim against us or litigation involving us could have a material adverse effect on our business, financial condition and results of operations.</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Consolidation in the communications industry or the other industries that we serve can reduce the number of actual and potential customers and adversely affect our business.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and there continues to be, merger, acquisition and consolidation activity among our customers. Mergers, acquisitions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 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depends on our ability to provide reliable services to our customers and process a high volume of transactions in a timely and effective manner. Although we operate disaster recovery solutions, our network operations are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 among other things:</w:t>
      </w:r>
    </w:p>
    <w:p>
      <w:pPr>
        <w:spacing w:after="0" w:line="21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damage to, or failure of, our computer software or hardware or our connections and outsourced service arrangements with third parties;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in the processing of data by our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computer viruses or software defects;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physical or electronic break-ins, sabotage, intentional acts of vandalism and similar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fire, cybersecurity attack, terrorist attack or other catastrophic event;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capacity demands or changes in systems requirements of our customers;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by our employees or third-party service providers.</w:t>
      </w:r>
    </w:p>
    <w:p>
      <w:pPr>
        <w:spacing w:after="0" w:line="2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third-party vendors to support these solutions and assure their continued availability. We have also acquired a number of companies, products, services and technologies over the last several years. While we make significant efforts to address any IT security issues with respect to our acquisitions, we may still inherit certain risks when we integrate these acquisitions. In addition, our business interruption insurance may be insufficient to compensate us for losses or liabilities that may occur. Any interruptions in our systems or services could damage our reputation and substantially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Undetected errors or failures found in our products and services may result in loss of or delay in market acceptance of our products and services that could seriously harm our business.</w:t>
      </w:r>
    </w:p>
    <w:p>
      <w:pPr>
        <w:spacing w:after="0" w:line="197" w:lineRule="exact"/>
        <w:rPr>
          <w:sz w:val="20"/>
          <w:szCs w:val="20"/>
          <w:color w:val="auto"/>
        </w:rPr>
      </w:pPr>
    </w:p>
    <w:p>
      <w:pPr>
        <w:jc w:val="both"/>
        <w:ind w:firstLine="202"/>
        <w:spacing w:after="0" w:line="293" w:lineRule="auto"/>
        <w:rPr>
          <w:sz w:val="20"/>
          <w:szCs w:val="20"/>
          <w:color w:val="auto"/>
        </w:rPr>
      </w:pPr>
      <w:r>
        <w:rPr>
          <w:rFonts w:ascii="Arial" w:cs="Arial" w:eastAsia="Arial" w:hAnsi="Arial"/>
          <w:sz w:val="16"/>
          <w:szCs w:val="16"/>
          <w:color w:val="auto"/>
        </w:rPr>
        <w:t>Our products and services may contain undetected errors or scalability limitations at any point in their lives, but particularly when first introduced or as new versions are released. We frequently release new versions of our products and different aspects of our platforms are in various stages of development. Despite testing by us and by current and potential customers, errors may not be found in new products and services until after commencement of commercial availability or use, resulting in a loss of or a delay in market acceptance, damage to our reputation, customer dissatisfaction and reductions in revenues and margins, any of which could seriously harm our business. Additionally, our agreements with customers that attempt to limit our exposure to liability claims may not be enforceable in jurisdictions where we operate, particularly in certain markets outside the United States.</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 (i) loss of customers and market share; (ii) difficulty attracting or the inability to attract new customers, including in new geographic regions; and (iii) increased service and support costs and a diversion of resources.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of the above results would likely have a material adverse impact on our business, revenue, results of operations, financial condition and reputation. 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If we fail to meet our service level obligations under these agreements, we would be subject to penalties, which could result in higher than expected costs, decreased revenues and decreased operating margins. We could also lose customers.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third-party providers for communications software, services, hardware and infrastructure exposes us to a variety of risks we cannot control.</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 cause delays in the operations of our business. 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damage to, or failure or capacity limitations of, our systems and our related network could result in interruptions in our service that could cause us to lose revenue, issue credits or refunds or could cause our customers to terminate their 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doubtful accounts, an increase in collection cycles for accounts receivable or the expense or risk of litigation. Additionally, third-party software underlying our services can contain undetected errors or bugs. We may be forced to delay commercial release of our services until any discovered problems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corrected and, in some cases, may need to implement enhancements or modifications to correct errors that we do not detect until after deployment of our services. In addition, problems with the third-party software underlying our services could result in (i) damage to our reputation, (ii) loss of or customers or delayed revenue, (iii) warranty claims or litigation, (iv) loss of or delayed market acceptance of our services or (v) unexpected expenses and diversion of resources to remedy errors.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to acquire companies or technologies, form joint ventures or make investments in other companies or technologies, which could disrupt our ongoing business, disrupt our management and employees, dilute our stockholders’ ownership, increase our debt, and adversely affect our results of operations.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made, and in the future intend to form joint ventures, make acquisitions of and investments in companies, technologies or products in existing, related or new markets for us that we believe may enhance our market position or strategic strengths. However, we cannot be sure that any acquisition or investment will ultimately enhance our products or strengthen our competitive position. Acquisitions involve numerous risks, including but not limited to:</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identify acquisition candidates on terms acceptable to us or at all, or inability to complete acquisitions as anticipated or at all;</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realize anticipated benefits or commercialize purchased technologies;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operational risks, rules and regulations to the extent such activities are located in countries where we have not historically done business;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unknown, underestimated and/or undisclosed commitments or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debt, contingent liabilities or future write-offs of intangible assets or goodwill;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dilution of ownership of our current stockholders if we issue shares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expected transaction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 integration of operations, technologies, products or employees of the acquired companies.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acquisitions may disrupt our ongoing operations, increase our expenses and/or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&amp; market conditions can adversely affect our results of operations, financial condition &amp; business</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terrorism, natural disasters and the widespread outbreak of infectious diseases. Current world tensions could escalate, and this could have unpredictable consequences on the world economy and on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has created significant uncertainty in the global economy. The COVID-19 pandemic and health measures taken by governments and private industry in response to the pandemic, including stay-at-home orders, restrictions on business operations, and travel restrictions, have had significant negative effects on the economy.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new work from home practices may cause us to need less office space than we are contractually committed to leasing and prevent us from finding subtenants for such unused office space, causing us to pay for unused office space. We are also monitoring developments related to the United Kingdom leaving the European Union. Brexit could have significant implications for our business and could lead to economic and legal uncertainty and increasingly divergent laws, regulations, and licensing requirements. Any of these effects of Brexit, among others, could adversely affect our operations and financial results.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0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9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natural disaster, telecommunications failure, power outage, cybersecurity attack, war, terrorist attack, health epidemic or pandemic or other catastrophic event could cause us to suffer system interruptions, reputational harm, delays in product development, lack of products provided to our customers, breaches of data security and loss of critical data. An event of this nature could also prevent us from fulfilling customer orders or maintaining certain service level requirements, particularly in respect of our SaaS and hosted offerings. While we have developed certain disaster recovery plans and maintain backup systems to reduce the potentially adverse effect of these types of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financial and operating difficulties in the telecommunications sector may negatively affect our customers and our company.</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205" w:lineRule="exact"/>
        <w:rPr>
          <w:sz w:val="20"/>
          <w:szCs w:val="20"/>
          <w:color w:val="auto"/>
        </w:rPr>
      </w:pPr>
    </w:p>
    <w:p>
      <w:pPr>
        <w:jc w:val="both"/>
        <w:ind w:right="20" w:firstLine="39"/>
        <w:spacing w:after="0" w:line="261" w:lineRule="auto"/>
        <w:rPr>
          <w:sz w:val="20"/>
          <w:szCs w:val="20"/>
          <w:color w:val="auto"/>
        </w:rPr>
      </w:pPr>
      <w:r>
        <w:rPr>
          <w:rFonts w:ascii="Arial" w:cs="Arial" w:eastAsia="Arial" w:hAnsi="Arial"/>
          <w:sz w:val="18"/>
          <w:szCs w:val="18"/>
          <w:b w:val="1"/>
          <w:bCs w:val="1"/>
          <w:i w:val="1"/>
          <w:iCs w:val="1"/>
          <w:color w:val="auto"/>
        </w:rPr>
        <w:t>The ongoing COVID-19 pandemic and measures intended to prevent its spread may have a material and adverse effect on our business and results of operations.</w:t>
      </w:r>
    </w:p>
    <w:p>
      <w:pPr>
        <w:spacing w:after="0" w:line="198"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The pandemic has resulted in government authorities and businesses implementing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numerous measures to try to contain the virus, such as travel bans and restrictions, quarantines, shelter in place or total lock-down orders, school closures, and business limitations and shutdowns. As a result, our supply chain, financial condition, revenues, profitability and cash flows could be adversely affected.</w:t>
      </w:r>
    </w:p>
    <w:p>
      <w:pPr>
        <w:spacing w:after="0" w:line="211" w:lineRule="exact"/>
        <w:rPr>
          <w:sz w:val="20"/>
          <w:szCs w:val="20"/>
          <w:color w:val="auto"/>
        </w:rPr>
      </w:pPr>
    </w:p>
    <w:p>
      <w:pPr>
        <w:jc w:val="both"/>
        <w:ind w:firstLine="363"/>
        <w:spacing w:after="0" w:line="257"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our customers, and the communities in which we participate,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w:t>
      </w:r>
    </w:p>
    <w:p>
      <w:pPr>
        <w:spacing w:after="0" w:line="215"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The extent to which the COVID-19 pandemic impacts our business, results of operations, and financial condition will depend on developments that continue to be highly uncertain and difficult to predict, including, but not limited to, the duration and spread of the pandemic, its severity, the actions to contain the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customers, and recession or economic downturn.</w:t>
      </w:r>
    </w:p>
    <w:p>
      <w:pPr>
        <w:spacing w:after="0" w:line="219"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There are no comparable recent events that provide guidance as to the effect the COVID-19 pandemic may have, and, as a result, the ultimate impact of the pandemic is highly uncertain and subject to change. We do not yet know the full extent of the impacts on our business, our operations, or the global economy as a whole. However, the effects could have a material impact on our results of operations and heighten many of the known risks described throughout this Risk Factors section.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improve our operational, financial and other internal controls and systems to manage our growth and size, our business, results of operations and financial condition could be adversely affected.</w:t>
      </w:r>
    </w:p>
    <w:p>
      <w:pPr>
        <w:spacing w:after="0" w:line="197" w:lineRule="exact"/>
        <w:rPr>
          <w:sz w:val="20"/>
          <w:szCs w:val="20"/>
          <w:color w:val="auto"/>
        </w:rPr>
      </w:pPr>
    </w:p>
    <w:p>
      <w:pPr>
        <w:jc w:val="both"/>
        <w:ind w:right="20" w:firstLine="364"/>
        <w:spacing w:after="0" w:line="342" w:lineRule="auto"/>
        <w:rPr>
          <w:sz w:val="20"/>
          <w:szCs w:val="20"/>
          <w:color w:val="auto"/>
        </w:rPr>
      </w:pPr>
      <w:r>
        <w:rPr>
          <w:rFonts w:ascii="Arial" w:cs="Arial" w:eastAsia="Arial" w:hAnsi="Arial"/>
          <w:sz w:val="16"/>
          <w:szCs w:val="16"/>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151"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training and retaining technical, finance, marketing and management personnel with the knowledge, skills and experience that our business model requires;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high levels of customer satisfaction;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communications and other internal systems;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preserving our culture, values and entrepreneurial environment;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managing our personnel and operations and effectively communicating to our personnel worldwide our core values, strategies and goals.</w:t>
      </w:r>
    </w:p>
    <w:p>
      <w:pPr>
        <w:spacing w:after="0" w:line="21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the increasing size and scope of our operations increase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197"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In particular, the current COVID-19 pandemic has caused disruptions in various supply chains. If the demand for connected devices were to slow down or decline or the supply of connected devices to our customers is impacted for any reason, such as COVID-19 or other public health epidemics or concerns, our business and results of operations may be adversely affected. If for any reason the Internet does not remain a widespread communications medium and commercial platform, the demand for our services would be significantly reduced, which would harm our business, results of operations and financial condition. To the extent the Internet continues to experience increased numbers of users, frequency of use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bandwidth requirements, the Internet may become congested and be unable to support the demands placed on it, and its performance or reliability may decline. Any future Internet outages or delays could adversely affect our business, results of operation and financial condition.</w:t>
      </w:r>
    </w:p>
    <w:p>
      <w:pPr>
        <w:spacing w:after="0" w:line="197"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Our business growth would be impeded if the performance or perception of the Internet was harmed by security problems such as “viruses,” “worms” or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and operating results may be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enter into subscription agreements with certain of our customers that are generally one to two years.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If our renewal rates are lower than anticipated or decline for any reason, or if customers renew on terms less favorable to us, our revenue may decrease, and our profitability and gross margin may be harmed, which would have a material adverse effect on our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compete successfully with existing or new competitors, our business could be harmed.</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fail to compete successfully with established or new competitors, it could have a material adverse effect on our results of operations and financial condition. The industries in which we operate are highly competitive and fragmented, and we expect competition to increase. We compete with independent providers of information systems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information systems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 results of operations and financial condition.</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industries we serve are characterized by rapid technological change and frequent new service offerings and are highly competitive with respect to the need for innovation. Significant technological changes could make our technology and services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obsolete, less marketable or less competitive. We must adapt to these rapidly changing markets by continually improving the features, functionality, reliability and responsiveness of our products 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timely adapt to these challenges or respond successfully or in a cost-effective way. Our failure to do so would adversely affect our ability to compete and retain customers and/or market share and could adversely affect our ability to sustain or grow revenue.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business depends on our ability to achieve or sustain market acceptance of our services and solutions at desired pricing levels.</w:t>
      </w:r>
    </w:p>
    <w:p>
      <w:pPr>
        <w:spacing w:after="0" w:line="2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 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keep pace with technological advances in the industry, or if we pursue technologies that do not become commercially accepted, customers may not buy our products or use our services.</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telecommunications industry uses numerous and varied technologies, and large service providers often invest in several, and sometimes incompatible, technologies. The industry also demands frequent and, at times, significant technology upgrades. Furthermore, enhancing our services revenues requires that we develop and maintain leading tools. We will not have the resources to invest in all existing and potential technologies. As a result, we expect to concentrate our resources on those technologies that we believe have or will achieve substantial customer acceptance and in which we will have appropriate technical expertise. However, existing products often have short product life cycles characterized by declining prices over their lives. In addition, our choices for developing technologies may prove incorrect if customers do not adopt the products that we develop or if those technologies ultimately prove to be unviable. Our revenues and operating results will depend, to a significant extent, on our ability to maintain a product portfolio and service capability that is attractive to our current and future customers; to enhance our existing products; to continue to introduce new products successfully and on a timely basis; and to develop new or enhance existing tools for our services offerings. The development of new technologies remains a significant risk to us, due to the efforts that we still need to make to achieve technological feasibility, due to rapidly changing customer markets; and due to significant competitive threats. Our failure to bring these products to market in a timely manner could result in a loss of market share or a lost opportunity to capitalize on new markets for emerging technologies and could have a material adverse impact on our business, operating results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Though acceptance of cloud-based software has advanced in recent years, some businesses may still be hesitant to adopt these types of solutions.</w:t>
      </w:r>
    </w:p>
    <w:p>
      <w:pPr>
        <w:spacing w:after="0" w:line="2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 guarantee of the adoption rate by these subscribers. Many organizations have invested substantial personnel and financial resources to integrate traditional enterprise software into their organizations and, therefore, may be reluctant or unwilling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 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 parties. Identifying partners and negotiating and documenting relationships with them requires significant time and resources, as does integrating third-party content and technology.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 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solutions can be used alongside a wide range of other systems such as email and enterprise software systems used by our customers in their businesses. If we do not support the continued integration of our products and services with third-party 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 and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current or potential customers consider most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Internet commerce continues to evolve, increasing regulation by federal, state, local and foreign governments become more likely. For example, in recent years, numerous federal, state, local and foreign laws regarding privacy and the collection, processing, storage, sharing, disclosure, use or protection of personal information and other data have been enacted. The scope of these laws is expanding, they are subject to differing interpretations and may be costly to comply with and may be inconsistent between countries and jurisdictions or conflict with other rules.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 Internet could result in reduced growth or a decline in the use of the Internet and could diminish the viability of our Internet-based services, which could harm our business and operating results.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 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growth strategy includes the growth of our operations in foreign jurisdictions. International operations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changing and complex tax laws and regulations, and the differences in foreign laws and regulations, including foreign tax, data privacy requirements, anti-competition, intellectual property, labor,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As we continue to expand our business globally, our success will depend, in large part, on our ability to anticipate and effectively manage these and other risks associated with our international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operations. However, any of these factors could adversely affect our international operations and, consequently, our operating results.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to a significant degree upon the protection of our software and other proprietary technology rights. We rely on trade secret, copyright and trademark laws and confidentiality agreements with employees and third parties, all of which offer only limited protection.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collect, process, store, disclose and use personal information and other data, and our actual or perceived failure to protect this information and data could damage our reputation and harm our business and operating results.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collect, process, store, disclose and use personal information and other data provided by our customers and their end users. We rely on encryption and authentication technology licensed from third parties to effectively secure transmission of this information. There are numerous federal, state, local and foreign laws regarding privacy and the collection, processing, storage, sharing, disclosure, use or protection of personal information and other data. The scope of these laws is changing, they are subject to differing interpretations and they may be costly to comply with and may be inconsistent between countries and jurisdictions or conflict with other rules.</w:t>
      </w:r>
    </w:p>
    <w:p>
      <w:pPr>
        <w:spacing w:after="0" w:line="21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 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Many aspects of the California Consumer Privacy Act and its interpretation remain unclear, and its full impact on our business and operations remains uncertain.</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laws and regulations relating to privacy and data security are evolving, can be subject to significant change, and may result in ever-increasing regulatory and public scrutiny and escalating levels of enforcement and sanctions. The CCPA, in particular, could mark the beginning of a trend toward more stringent state privacy legislation in the United States, which could in certain circumstances increase our potential liability and adversely affect our business. Certain other state laws impose similar privacy obligations, others, such as Virginia and Washington, have proposed broad privacy laws that are similar to the CCPA and we anticipate that more states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Synchronoss has multiple offices in Europe and serves clients and their customers throughout the European Union (“EU”), where the GDPR went into effect in 2018. The GDPR, which also is the law in Iceland, Norway, Liechtenstein, and – to a large degree – the United Kingdom,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(discussed in further detail below).The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Recent legal developments have created compliance uncertainty regarding some transfers of personal information from the UK and European Economic Area to locations where we or our customers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European Union ruled in its “Schrems II” decision (C-311/18), that the Privacy Shield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Synchronoss and our customers continue to use alternative transfer strategies, including the European Commission’s Standard Contractual Clauses (SCCs), while the authorities interpret the Schrems II decision and the validity of alternative data transfer mechanisms. The SCCs, though previously approved by the European Commission, have faced challenges in European courts (including being called into question in the Schrems II decision), and may be further challenged, suspended or invalidated for transfers to some or all countries. For example, guidance regarding Schrems II issued by the European Data Protection Board (which is comprised of representatives from every EU member state’s top data protection authority) have cast serious doubt on the validity of SCCs for most transfers of personal information to the United States. At present, there are few viable alternatives to the Privacy Shield and the SCCs, so such developments may necessitate further expenditures on local infrastructure, changes to internal business processes, changes to products, or may otherwise affect or restrict our sales and operations.</w:t>
      </w:r>
    </w:p>
    <w:p>
      <w:pPr>
        <w:spacing w:after="0" w:line="19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we will be able to implement changes in a timely manner or without significant disruption to our business, or that such steps will be effective, and we may face the risk of liability and loss of business.</w:t>
      </w:r>
    </w:p>
    <w:p>
      <w:pPr>
        <w:spacing w:after="0" w:line="1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further to the United Kingdom's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Although, under the EU-UK Trade Cooperation Agreement it is lawful to transfer personal data between the UK and the EEA for a 6 month period following the end of the transition period, with a view to achieving an adequacy decision from the European Commission during that period. Like the EU GDPR, the UK GDPR restricts personal data transfers outside the UK to countries not regarded by the UK as providing adequate protection (this means that personal data transfers from the UK to the EEA remain free flowing).</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could become less aligned with the EU General Data Protection Regulation, or GDPR, which could require us to implement different compliance measures for the UK and the European Union and result in potentially enhanced compliance obligations for EU personal data.</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noted above, 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to preserve and protect our data and our clients’ and client customers’ data against loss, misuse, corruption, misappropriation caused by systems failures, or unauthorized access. If our policies, procedures, or measures relating to privacy, data protection, marketing, or client communications fail to comply with laws, regulations, policies, legal obligations, or industry standards, we may be subject to governmental enforcement actions, litigation, regulatory investigations, fines, penalties, and negative publicity, and could cause our application providers, clients and partners to lose trust in us, and have an adverse effect on our business, operating results, and financial condition.</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products.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products, possibly in a material manner, and could limit our ability to develop new functionality.</w:t>
      </w:r>
    </w:p>
    <w:p>
      <w:pPr>
        <w:spacing w:after="0" w:line="1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Compromises to our privacy safeguards or disclosure of confidential information could impact our reputation.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Names, addresses, telephone numbers, credit card data and other personal identification information (“PII”) are collected, processed and stored in our systems. Our treatment of this kind of information is subject to contractual restrictions and federal, state and foreign data privacy laws and regulations. We have implemented technical and organizational steps designed to protect against unauthorized access to PII and comply with these laws and regulations. Because of the inherent risks and complexities involved in protecting this information, the steps we have taken to protect PII may not be sufficient to prevent the misappropriation or improper disclosure of such PII. If misappropriation or disclosure of PII were to occur, our business could be harmed through reputational injury, litigation and possible damages claimed by the affected subscribers, including in some cases costs related to notification and fraud monitoring or potential fines from regulatory authorities. We may need to incur significant costs or modify our business practices and/or our services in order to comply with these data privacy and protection laws and regulations in the future. Even the mere perception of a security breach or inadvertent disclosure of PII could adversely affect our business and results of operations. In addition, third-party vendors that we engage to perform services for us may unintentionally release PII or otherwise fail to comply with applicable laws and regulations. Our insurance may not cover potential claims of this type or may not be adequate to cover all costs incurred in defense of potential claims or to indemnify us for all liability that may be imposed. Concerns about the security of online transactions and the privacy of PII could deter our customers from utilizing our products. The occurrence of any of these events could have an adverse effect on our business, financial position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Internet transactions could negatively impact our business.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a claim of this nature, if successful, could secure a judgment that requires us to pay substantial damages. A judgment could also include an injunction or other court order that could prevent us from offering our products or services. Any of these events could seriously harm our business.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generally obligated to indemnify our customers if our services infringe the proprietary rights of third parties and certain of our agreements with customers and partners include indemnification provisions under which we have agreed to indemnify the counter-party for losses suffered or incurred as a result of claims of intellectual property infringement and, in some cases, for financial and other damages caused by us to property or persons. Third parties may assert infringement claims against our customers or partners. These claims may require us to initiate or defend protracted and costly litigation on behalf of our customers or partners, regardless of the merits of these claims. If any of these claims succeed, we may be forced to pay damages on behalf of our customers or partners.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2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of our services that incorporate the open source software at no cost. Additionally, we may be required to make publicly available any source code for modifications or derivative works we create based upon, incorporating or using the open source software and/or license those modifications or alterations on terms that are unfavorable to us.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 services. In addition to risks related to license requirements, usage of open source software can lead to greater risks than use of third-party commercial software, as open source licensors generally do not provide technology support, maintenance, warranties or assurance of title or controls on the origin of the software.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 stock is listed (Nasdaq: SNCR).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 systems and resources. Our management and other personnel will continue to devote a substantial amount of time to these compliance initiatives. Moreover, these rules and 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interpretations of, tax rules and regulations, could adversely affect our effective tax rates.</w:t>
      </w:r>
    </w:p>
    <w:p>
      <w:pPr>
        <w:spacing w:after="0" w:line="2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22, 2017, former President Trump signed into law the tax legislation commonly known as the "Tax Cuts and Jobs Act" (the “TCJA”) that significantly changes the U.S. Internal Revenue Code of 1986, as amended. Subsequent to TCJA, the U.S. Department of Treasury and Internal Revenue Service issued several complex proposed and final regulations, and related guidance, regarding provisions of the Tax Act. However, several aspects of the legislation remain unclear and subject to interpretation. While our current tax accounting is completely based on legislative updates relating to the U.S. TCJA, further interpretive guidance of the U.S. TCJA's provisions could result in further adjustments that could have an impact on our future results of operations, cash flows or financial positions. Furthermore, states continue to issue guidance and enact legislation in response to the Tax Act, all of which could have an impact on our income tax expense, assets and liabilities. Unanticipated changes in our tax rates could affect our future results of operations. Our future effective tax rates could be unfavorably affected by changes in tax laws or the interpretation of tax laws or by changes in the valuation of our deferred tax assets and liabilities. It is possible that 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sales and use taxes on the services we sell in additional jurisdictions, we may be subject to liability for past sales and our future sales could decrease.</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collect sales or use tax on our services in most states. Historically, with a few exceptions, we have not charged or collected value added tax on our services anywhere in the world. We may lose sales or incur significant expenses should tax authorities in other jurisdictions where we do business be successful in imposing sales and use taxes, value added taxes or similar taxes on the services we provide. A successful assertion by one or more tax authorities that we should collect sales or other taxes on the sale of our services could result in substantial tax liabilities for past sales, including interest and penalty charges, and could discourage customers from purchasing our services and otherwise harm our business. Further, we may conclude based on our own review that our services may be subject to sales and use taxes in other areas where we do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Under these circumstances, we may voluntarily disclose our estimated liability to the respective tax authorities and initiate activities to collect taxes going forward. It is not clear that our services are subject to sales and use tax in certain jurisdictions. States and certain municipalities in the United States, as well as countries outside the United States, have different rules and regulations governing sales and use taxes. These rules and regulations are subject to varying interpretations that may change over time and, in the future, our services may be subject to such taxes. Although our customer contracts typically provide that our customers are responsible for the payment of all taxes associated with the provision and use of our services, customers may decline to pay back taxes and may refuse responsibility for interest or penalties associated with those taxes. In certain cases, we may elect not to request customers to pay back taxes. If we are required to collect and pay back taxes and associated interest and penalties, and if our customers fail or refuse to reimburse us for all or a portion of these amounts, or if we elect not to seek payment of these amounts, we will incur unplanned expenses that may be substantial. Moreover, imposition of such taxes on our services going forward will effectively increase the cost of our services to our customers and may adversely affect our ability to retain existing customers or gain new customers in jurisdictions in which such taxes are imposed. Any of the foregoing could have a material adverse effect on our business, results of operation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Series A Preferred Stock and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Series A Preferred Stock contains covenants that may limit our business flexibility.</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15, 2018, in accordance with the terms of that certain Securities Purchase Agreement dated as of October 17, 2017 with Silver Private Holdings I, LLC (“Silver”), an affiliate of Siris Capital Group, LLC (“Siris”), we issued to Silver 185,000 shares of our newly issued “Series A Preferred Stock”, par value $0.0001 per share, with an initial liquidation preference of $1,000 per share, in exchange for $97.7 million in cash and the transfer from Silver to us of 5,994,667 shares of our common stock held by Silver. In connection with the issuance of the Series A Preferred Stock, we filed a Certificate of Designations with the State of Delaware setting forth the rights, preferences, privileges, qualifications, restrictions and limitations on the Series A Preferred Stock (the “Series A Certificate”). 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so long as the holders of shares of our Series A Preferred Stock have the right to nominate at least one director, we are required to obtain the prior approval of Silver prior to taking certain actions, including: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dividends, repayments and redemptions;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to our certificate of incorporation that adversely effects the rights, preferences, privileges or voting powers of the Series A Preferred Stock;</w:t>
      </w:r>
    </w:p>
    <w:p>
      <w:pPr>
        <w:ind w:left="660" w:hanging="328"/>
        <w:spacing w:after="0" w:line="265"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issuances of stock ranking senior or equivalent to shares of Series A Preferred Stock (including additional shares of Series A Preferred Stock) in the priority of payment of dividends or in the distribution of assets upon any liquidation, dissolution or winding up of us;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size of our Board of Directors;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alteration, modification or repeal of the charter of our Nominating and Corporate Governance Committee of the Board of Directors and related documents;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 in our principal business or the entry into any line of business outside of our existing lines of businesses.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 There is no guarantee that the holders of the Series A Preferred Stock would approve any such restricted action, even where such an action would be in the best interests of our stockholders. Any failure to obtain such approval could harm our business and result in a decrease in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Series A Preferred Stock has rights, preferences and privileges that are not held by, and are preferential to, the rights of our common stockholders, which could adversely affect our liquidity and financial condition, and may result in the interests of the holders of our Series A Preferred Stock differing from those of our common stockholders.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holders of our Series A Preferred Stock have the right to receive a liquidation preference entitling them to be paid out of our assets available for distribution to stockholders before any payment may be made to holders of any other class or series of capital stock, an amount equal to the greater of the stated value of such holder’s shares of Series A Preferred Stock or the amount that such holder would have been entitled to receive upon our liquidation, dissolution and winding up if all outstanding shares of our Series A Preferred Stock had been converted into common stock immediately prior to such liquidation, dissolution or winding up, plus accrued but unpaid dividends. In addition, dividends on Series A Preferred Stock accrue and are cumulative at the rate of 14.5% per annum, payable quarterly in arrears in cash or in-kind. The holders of our Series A Preferred Stock also have certain redemption rights, including the right to require us to repurchase all or any portion of the Series A Preferred Stock upon the occurrence of certain events. These dividend and redemption obligations could impact our liquidity and reduce the amount of cash flows available for working capital, capital expenditures, growth opportunities, acquisitions and other general corporate purposes. Our obligations to the holders of Series A Preferred Stock, including the requirement that we obtain the consent of such holders prior to incurring additional indebtedness under certain circumstances, could also limit our ability to obtain additional financing or increase our borrowing costs, which could have an adverse effect on our financial condition. The preferential rights could also result in divergent interests between the holders of shares of Series A Preferred Stock and holders of our common stock. The two members of our Board of Directors elected by the Series A Preferred Stock, Frank Baker and Peter Berger, are affiliated with Silver, which holds all outstanding shares of our Series A Preferred Stock. Notwithstanding the fact that all directors are subject to fiduciary duties to us and to applicable law, the interests of the directors elected by the holders of the Series A Preferred may differ from the interests of our security holders as a whole or of our other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continue to experience significant fluctuations and could subject us to litigation.</w:t>
      </w: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due to a variety of company specific factors, including quarter to quarter variations in our operating results, shortfalls in revenue, gross margin or earnings from levels projected by securities analysts and the other factors discussed in these risk factors.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are currently, and may in the future be, the subject of lawsuits that could require us to incur substantial costs defending against those lawsuits and divert the time and attention of our management.</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decline in the market price of our securities and the restatement of our previously issued financial results has resulted in private litigation that if results in judgments against us could have a material adverse impact on our results of operations and financial condition.</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subject to stockholder derivative litigation relating to certain of our previous public disclosures and may result in additional litigation. For additional discussion of this litigation, see Item 3. “Legal Proceedings” contained in this Form 10-K. Our management has been and may be required in the future to devote significant time and attention to this litigation, and this and any additional matters that arise could have a material adverse impact on our results of operations and financial condition as well as on our reputation. While we cannot estimate our potential exposure in these matters at this time, we have already incurred significant expense defending this litigation and expect to continue to need to incur significant expense in the defense.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Although we maintain insurance for claims of this nature, our insurance coverage does not apply in all circumstances and may be denied or insufficient to cover the costs related to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class action and stockholder derivative lawsuits. In addition, these matters or future lawsuits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pending legal proceedings could decrease customer demand for our services. As a result, the pending lawsuits and any future lawsuits involving us, or our officers or directors, could have a material adverse effect on our business, reputation, financial condition, results of operations, liquidity and the trading price of our common stock.</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Other than payment of dividends on our Series A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Other than the payment of dividends, either in-kind or in cash, on our Series A Preferred Stock in accordance with the Series A Certificate, we have not paid dividends on any of our classes of capital stock and we currently intend to retain our future earnings, if any, to fund the development and growth of our business, other than the payment of any dividends on our Series A Preferred Stock in accordance with the Series A Certificate. In addition, the terms of our current credit agreement and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20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majority of the stock to elect some directors;</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successor to a director whose term has expired will be elected to serve from the time of election and qualification until the third annual meeting following election;</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 created directorships, may be filled only by a majority vote of directors then in office;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stockholder meeting;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 meetings.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affirmative vote of the holders of at least two-thirds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 vote. 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These provisions may apply even if some stockholders may consider the transaction beneficial to them. 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lease approximately 120,000 square feet of office space for our corporate headquarters in Bridgewater, New Jersey. We also lease approximately 38,000 square feet of office space in Phoenix, Arizona and 72,000 square foot facility in Bangalore, India. In addition to the above office space, we lease offices in certain countries including Australia, France, Ireland, Germany, England, Italy and Japan and in various states in the United States including Colorado and Virginia. Lease terms for our locations expire in the years between 2020 and 2028. We believe that the facilities we now lease are sufficient to meet our needs through at least the next twelve months. However, we may require additional office space after that time or if our current business plans 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 discussion of our material pending legal proceedings that could impact our results of operations, financial condition or cash flows see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color w:val="auto"/>
        </w:rPr>
        <w:t>included in Part II, Item 8. “Notes to Consolidated Financial Statements” of this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common stock was traded and listed on The Nasdaq Global Select Market under the symbol “SNCR.”</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there were approximately 52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2020, the last reported sale price of our common stock as reported on The Nasdaq Global Select Market was $4.70 per share.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In addition, our ability to pay dividends is currently restricted by the terms of our Certificate of Designations of Series A Convertible Participating Perpetual Preferred Stock and our credit agreement with Citizens Bank, N.A. entered into in October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15, 2018, the Company issued to Silver Private Holdings I, LLC (“Silver”), an affiliate of Siris Capital Group, LLC (“Siris”) 185,000 shares of our newly issued Series A Preferred Stock, par value $0.0001 per share.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w:t>
      </w:r>
    </w:p>
    <w:p>
      <w:pPr>
        <w:spacing w:after="0" w:line="2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paid the following Preferred Dividends during the year ended December 31, 2020 and declared the following Preferred Dividends in the fourth quarter of fiscal year 2020:</w:t>
      </w:r>
    </w:p>
    <w:p>
      <w:pPr>
        <w:spacing w:after="0" w:line="1"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Quarter - paid 7,873 shares of preferred dividends in the form of shares of Series A Preferred Stock.</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Quarter - paid 8,158 shares of preferred dividends in the form of shares of Series A Preferred Stock.</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Quarter - paid 8,454 shares of preferred dividends in the form of shares of Series A Preferred Stock.</w:t>
      </w:r>
    </w:p>
    <w:p>
      <w:pPr>
        <w:spacing w:after="0" w:line="9" w:lineRule="exact"/>
        <w:rPr>
          <w:rFonts w:ascii="Arial" w:cs="Arial" w:eastAsia="Arial" w:hAnsi="Arial"/>
          <w:sz w:val="18"/>
          <w:szCs w:val="18"/>
          <w:color w:val="auto"/>
        </w:rPr>
      </w:pPr>
    </w:p>
    <w:p>
      <w:pPr>
        <w:ind w:left="660" w:firstLine="320"/>
        <w:spacing w:after="0" w:line="260" w:lineRule="auto"/>
        <w:tabs>
          <w:tab w:leader="none" w:pos="13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Fourth Quarter - paid 8,761 shares of preferred dividends in the form of shares of Series A Preferred Stock and declared 9,078 shares of preferred dividends payable on January 1, 2021.</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there were 250,432 shares of Series A Preferred Stock outstanding, including the 217,186 shares of Series A Preferred Stock outstanding as of December 31, 2019 and the issuance of 33,246 shares of Series A Preferred Stock as Preferred Dividends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2015 and December 31, 2020, with the cumulative total return of (i) the Nasdaq Computer Index and (ii) the Nasdaq Composite Index, over the same period. This graph assumes the investment of $100 on December 31, 2015 in our common stock, the Nasdaq Computer Index and the Nasdaq Composite Index, and assumes the reinvestment of dividends, if any. The graph assumes the initial value of our common stock on December 31, 2015 was the closing sales price of $35.23 per share.</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211455</wp:posOffset>
            </wp:positionV>
            <wp:extent cx="5254625"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63"/>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Synchronoss Technologies, Inc.</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3660" w:type="dxa"/>
            <w:vAlign w:val="bottom"/>
          </w:tcPr>
          <w:p>
            <w:pPr>
              <w:spacing w:after="0"/>
              <w:rPr>
                <w:sz w:val="20"/>
                <w:szCs w:val="20"/>
                <w:color w:val="auto"/>
              </w:rPr>
            </w:pPr>
            <w:r>
              <w:rPr>
                <w:rFonts w:ascii="Arial" w:cs="Arial" w:eastAsia="Arial" w:hAnsi="Arial"/>
                <w:sz w:val="16"/>
                <w:szCs w:val="16"/>
                <w:color w:val="auto"/>
              </w:rPr>
              <w:t>Nasdaq Composite Index</w:t>
            </w: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9"/>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Nasdaq Computer Index</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related notes and the “Management’s Discussion and Analysis of Financial Condition and Results of Operations” and other financial data included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K. The selected statements of operations and the selected balance sheet data are derived from our consolidated audited financial statements.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07"/>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(In thousands, except per share data)</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24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291,670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308,749</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325,839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402,361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426,294</w:t>
            </w: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(122,604)</w:t>
            </w: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Net loss from continuing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(194,224)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(93,869)</w:t>
            </w: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noncontrolling interests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w:t>
            </w: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Net loss from continuing operations attributable to Synchronoss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(78,666)</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6"/>
                <w:szCs w:val="16"/>
                <w:color w:val="auto"/>
              </w:rPr>
              <w:t>Net loss per share from Continuing operations*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6"/>
                <w:szCs w:val="16"/>
                <w:color w:val="auto"/>
              </w:rPr>
              <w:t>Net loss per share from Continuing operations*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2"/>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Excludes Net loss attributable to redeemable noncontrolling interests and Preferred stock dividend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07"/>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restricted cash and marketable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33,671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39,012</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144,748</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249,236</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226,913</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(10,499)</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50,690</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178,493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186,488</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482,255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532,023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703,255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965,411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1,054,351</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Lease financing obligation - long-term</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9,494</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11,183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12,450</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convertible debt, net of debt issuance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227,704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226,291</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12,500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12,500</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12,500</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25,280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25,280</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43,282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76,077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188,909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463,587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Recent Novel Coronavirus (COVID-19)</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disclosure discusses the actions the Company has taken in response to the COVID-19 crisis and the impacts that it has had on our business, as well as related known or expected trends.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COVID-19 was identified in China in late 2019 and has since spread throughout the world, including throughout the United States (U.S.). COVID-19 has resulted in authorities implementing numerous preventative measures to contain or mitigate the outbreak of the virus, such as travel bans and restrictions, limitations on business activity, quarantines, and shelter-in-place orders.</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restrictions and our responses to them are impacting our customers and their use of our products and services. In addition, governments have imposed a wide variety of consumer protection measures that limit how certain businesses, including TMT companies, can operate their businesses and interact with their customers. The crisis and governmental responses to the crisis have also resulted in a slowdown of global economic activity, which has impacted our customers. As a result, prior trends in our business may not be applicable to our operations during the pendency of the crisis.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impact of COVID-19 will depend significantly on the duration and potential cyclicality of the health crisis and the related public policy actions, additional initiatives we undertake in response to employee, market or regulatory needs or demands, the length and severity of the global economic slowdown, and whether and how our customers change their behaviors over the longer term. As a result, the demand for our products and services, as well as our overall results of operations, may be materially and adversely impacted by the pandemic for the duration of 2021 or longer, and we are unable to predict the duration or degree of such impact with any certainty.</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response to COVID-19, we have been executing our business continuity plans and evolving our operations to protect the safety of our employees while continuing to provide critical products and services to our customers. Some of the initiatives the Company has undertaken include:</w:t>
      </w:r>
    </w:p>
    <w:p>
      <w:pPr>
        <w:spacing w:after="0" w:line="173"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with our customers to continue to provide our products and services through the pandemic</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Enhancing our safety protocols including moving the majority of our employees to remote work arrangements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Adjusting business operations to address circumstances created by COVID-19</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effective governance and internal controls in a remote work environment</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crisis continues, we may revise our approach to these initiatives or take additional actions to meet the needs of our employees, customers and the Company and to continue to provide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most of our revenues on a per transaction or subscription basis, which is derived from contracts that extend up to 60 months from execution.</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top five customers accounted for 68.0%, 69.2% and 69.0% of net revenues for the years ended December 31, 2020, 2019 and 2018, respectively. Contracts with these customers typically run for three to five years. Of these customers,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Verizon accounted for more than 10% of the Company’s revenues in 2020, 2019, and 2018. The loss of Verizon as a customer would have a material negative impact on our company. However, we believe that the costs incurred and subscriber disruption by Verizon to replace Synchronoss’ solutions would be substantial.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the COVID-19 pandemic continues to develop, we are actively monitoring the global situation. The extent of the continuing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continue to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3"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we expect to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continue to expand our platforms into the converging TMT, MNO, and Digital spaces to enable connected devices to do more things across multiple networks, brands and communities. Our initiatives with AT&amp;T, Verizon, Sprint, British Telecom, Softbank and other CSPs continue to grow both with regard to our current business as well as our new product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offerings. We are also exploring additional opportunities through merger and acquisition activities to support our customer, product and geographic diversification strategies.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Consolidated Statements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years ended December 31, 2020, 2019 and 2018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60" w:type="dxa"/>
            <w:vAlign w:val="bottom"/>
            <w:gridSpan w:val="8"/>
            <w:shd w:val="clear" w:color="auto" w:fill="CCEEFF"/>
          </w:tcPr>
          <w:p>
            <w:pPr>
              <w:ind w:left="520"/>
              <w:spacing w:after="0"/>
              <w:rPr>
                <w:sz w:val="20"/>
                <w:szCs w:val="20"/>
                <w:color w:val="auto"/>
              </w:rPr>
            </w:pPr>
            <w:r>
              <w:rPr>
                <w:rFonts w:ascii="Arial" w:cs="Arial" w:eastAsia="Arial" w:hAnsi="Arial"/>
                <w:sz w:val="16"/>
                <w:szCs w:val="16"/>
                <w:b w:val="1"/>
                <w:bCs w:val="1"/>
                <w:color w:val="auto"/>
              </w:rPr>
              <w:t>Twelve Months Ended December 31,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2020 vs 2019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1"/>
              </w:rPr>
              <w:t>2019 vs 2018</w:t>
            </w:r>
          </w:p>
        </w:tc>
      </w:tr>
      <w:tr>
        <w:trPr>
          <w:trHeight w:val="207"/>
        </w:trPr>
        <w:tc>
          <w:tcPr>
            <w:tcW w:w="4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(17,090)</w:t>
            </w:r>
          </w:p>
        </w:tc>
      </w:tr>
      <w:tr>
        <w:trPr>
          <w:trHeight w:val="213"/>
        </w:trPr>
        <w:tc>
          <w:tcPr>
            <w:tcW w:w="4200" w:type="dxa"/>
            <w:vAlign w:val="bottom"/>
          </w:tcPr>
          <w:p>
            <w:pPr>
              <w:ind w:left="140"/>
              <w:spacing w:after="0"/>
              <w:rPr>
                <w:sz w:val="20"/>
                <w:szCs w:val="20"/>
                <w:color w:val="auto"/>
              </w:rPr>
            </w:pPr>
            <w:r>
              <w:rPr>
                <w:rFonts w:ascii="Arial" w:cs="Arial" w:eastAsia="Arial" w:hAnsi="Arial"/>
                <w:sz w:val="16"/>
                <w:szCs w:val="16"/>
                <w:color w:val="auto"/>
              </w:rPr>
              <w:t>Cost of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121,817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150,407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(8,395)</w:t>
            </w:r>
          </w:p>
        </w:tc>
      </w:tr>
      <w:tr>
        <w:trPr>
          <w:trHeight w:val="219"/>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r>
      <w:tr>
        <w:trPr>
          <w:trHeight w:val="213"/>
        </w:trPr>
        <w:tc>
          <w:tcPr>
            <w:tcW w:w="420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(9,341)</w:t>
            </w:r>
          </w:p>
        </w:tc>
      </w:tr>
      <w:tr>
        <w:trPr>
          <w:trHeight w:val="219"/>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(11,620)</w:t>
            </w:r>
          </w:p>
        </w:tc>
      </w:tr>
      <w:tr>
        <w:trPr>
          <w:trHeight w:val="21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(40,618)</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(73,578)</w:t>
            </w:r>
          </w:p>
        </w:tc>
      </w:tr>
      <w:tr>
        <w:trPr>
          <w:trHeight w:val="212"/>
        </w:trPr>
        <w:tc>
          <w:tcPr>
            <w:tcW w:w="420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(164,276)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59,666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56,488</w:t>
            </w:r>
          </w:p>
        </w:tc>
      </w:tr>
      <w:tr>
        <w:trPr>
          <w:trHeight w:val="21"/>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Cost of revenues excludes depreciation and amortization which are shown separately.</w:t>
      </w:r>
    </w:p>
    <w:p>
      <w:pPr>
        <w:spacing w:after="0" w:line="23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decreased $17.1 million to $291.7 million for the year ended December 31, 2020, compared to the same period in 2019. The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is due to:</w:t>
      </w:r>
    </w:p>
    <w:p>
      <w:pPr>
        <w:ind w:left="660" w:right="2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 $0.5 million decrease in </w:t>
      </w:r>
      <w:r>
        <w:rPr>
          <w:rFonts w:ascii="Arial" w:cs="Arial" w:eastAsia="Arial" w:hAnsi="Arial"/>
          <w:sz w:val="16"/>
          <w:szCs w:val="16"/>
          <w:b w:val="1"/>
          <w:bCs w:val="1"/>
          <w:color w:val="auto"/>
        </w:rPr>
        <w:t>Cloud</w:t>
      </w:r>
      <w:r>
        <w:rPr>
          <w:rFonts w:ascii="Arial" w:cs="Arial" w:eastAsia="Arial" w:hAnsi="Arial"/>
          <w:sz w:val="16"/>
          <w:szCs w:val="16"/>
          <w:color w:val="auto"/>
        </w:rPr>
        <w:t xml:space="preserve"> revenues is primarily due to the extension of a significant commercial arrangement which extended recognition of deferred revenue across the term of the new contract, partially offset by increased subscriber growth and professional services revenue.</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$2.3 million increase in </w:t>
      </w:r>
      <w:r>
        <w:rPr>
          <w:rFonts w:ascii="Arial" w:cs="Arial" w:eastAsia="Arial" w:hAnsi="Arial"/>
          <w:sz w:val="18"/>
          <w:szCs w:val="18"/>
          <w:b w:val="1"/>
          <w:bCs w:val="1"/>
          <w:color w:val="auto"/>
        </w:rPr>
        <w:t>Digital</w:t>
      </w:r>
      <w:r>
        <w:rPr>
          <w:rFonts w:ascii="Arial" w:cs="Arial" w:eastAsia="Arial" w:hAnsi="Arial"/>
          <w:sz w:val="18"/>
          <w:szCs w:val="18"/>
          <w:color w:val="auto"/>
        </w:rPr>
        <w:t xml:space="preserve"> revenues is primarily driven an uptick in subscription services partially offset by a reduction in professional service business.</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 $18.8 million decrease in </w:t>
      </w:r>
      <w:r>
        <w:rPr>
          <w:rFonts w:ascii="Arial" w:cs="Arial" w:eastAsia="Arial" w:hAnsi="Arial"/>
          <w:sz w:val="18"/>
          <w:szCs w:val="18"/>
          <w:b w:val="1"/>
          <w:bCs w:val="1"/>
          <w:color w:val="auto"/>
        </w:rPr>
        <w:t>Messaging</w:t>
      </w:r>
      <w:r>
        <w:rPr>
          <w:rFonts w:ascii="Arial" w:cs="Arial" w:eastAsia="Arial" w:hAnsi="Arial"/>
          <w:sz w:val="18"/>
          <w:szCs w:val="18"/>
          <w:color w:val="auto"/>
        </w:rPr>
        <w:t xml:space="preserve"> revenues was primarily driven by a significant 2019 non-recurring license and professional services revenue deal in advanced messaging. This revenue change was partially offset by favorable license renewals in 2020.</w:t>
      </w:r>
    </w:p>
    <w:p>
      <w:pPr>
        <w:spacing w:after="0" w:line="21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Net revenues decreased $17.1 million to $308.7 million for the year ended December 31, 2019, compared to the same period in 2018. The overall change is due to:</w:t>
      </w:r>
    </w:p>
    <w:p>
      <w:pPr>
        <w:spacing w:after="0" w:line="1" w:lineRule="exact"/>
        <w:rPr>
          <w:sz w:val="20"/>
          <w:szCs w:val="20"/>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$0.1 million increase in </w:t>
      </w:r>
      <w:r>
        <w:rPr>
          <w:rFonts w:ascii="Arial" w:cs="Arial" w:eastAsia="Arial" w:hAnsi="Arial"/>
          <w:sz w:val="18"/>
          <w:szCs w:val="18"/>
          <w:b w:val="1"/>
          <w:bCs w:val="1"/>
          <w:color w:val="auto"/>
        </w:rPr>
        <w:t>Cloud</w:t>
      </w:r>
      <w:r>
        <w:rPr>
          <w:rFonts w:ascii="Arial" w:cs="Arial" w:eastAsia="Arial" w:hAnsi="Arial"/>
          <w:sz w:val="18"/>
          <w:szCs w:val="18"/>
          <w:color w:val="auto"/>
        </w:rPr>
        <w:t xml:space="preserve"> revenues due to a decrease in transaction revenue of $3.4 million offset by an increase in subscription revenue of $2.8 million and an increase in professional services revenue of $0.7 million.</w:t>
      </w: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$45.6 million decrease in </w:t>
      </w:r>
      <w:r>
        <w:rPr>
          <w:rFonts w:ascii="Arial" w:cs="Arial" w:eastAsia="Arial" w:hAnsi="Arial"/>
          <w:sz w:val="18"/>
          <w:szCs w:val="18"/>
          <w:b w:val="1"/>
          <w:bCs w:val="1"/>
          <w:color w:val="auto"/>
        </w:rPr>
        <w:t>Digital Transformation</w:t>
      </w:r>
      <w:r>
        <w:rPr>
          <w:rFonts w:ascii="Arial" w:cs="Arial" w:eastAsia="Arial" w:hAnsi="Arial"/>
          <w:sz w:val="18"/>
          <w:szCs w:val="18"/>
          <w:color w:val="auto"/>
        </w:rPr>
        <w:t xml:space="preserve"> revenues is primarily driven by changes to the STIN business that led the Company to conclude that its collection of certain STIN receivables is no longer probable. In accordance with ASC 842, the portion of revenue that is no longer deemed collectible is reversed in the current period against revenue. Accordingly, the Company determined a contingency reserve is required, which was included as a reduction of revenue. The year over year change to STIN revenue was in excess of $34.6 million. The remaining change is primarily driven by a decline in business activity.</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Messaging</w:t>
      </w:r>
      <w:r>
        <w:rPr>
          <w:rFonts w:ascii="Arial" w:cs="Arial" w:eastAsia="Arial" w:hAnsi="Arial"/>
          <w:sz w:val="18"/>
          <w:szCs w:val="18"/>
          <w:color w:val="auto"/>
        </w:rPr>
        <w:t xml:space="preserve"> revenues of $28.4 million primarily due to a growth in advanced messaging in North America as well as the continued delivery of an advanced messaging solution to a customer in the Japanese market.</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$28.6 million to $121.8 million for the year ended December 31, 2020, compared to the same period in 2019.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attributable to the year over year reduction in revenue and the cost savings from strategic initiatives implemented in the year driven mainly by data center consolidation and operating expense savings.</w:t>
      </w:r>
    </w:p>
    <w:p>
      <w:pPr>
        <w:spacing w:after="0" w:line="2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revenues decreased $8.4 million to $150.4 million for the year ended December 31, 2019, compared to the same period in 2018. The 2019 decrease was primarily due to cost savings initiatives implemented in 2018 and continuing into 2019. These initiatives resulted in a decrease in cost of revenues driven mainly by data center consolidation and operating expense savings.</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increased $1.5 million to $77.0 million for the year ended December 31, 2020,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increase in 2020 is primarily related to the costs associated with the impairment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 of use assets. Excluding the impairment charges incurred in 2020, the research and development costs decreased year over year mainly as a result of executed cost savings initiatives to streamline our workforce and reduce vendor spend.</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 decreased $3.6 million to $75.6 million for the year ended December 31, 2019, compared to the same period in 2018. The decrease in 2019 is primarily due to the realization of our strategic efforts to reduce costs and refocus our resources on key strategic priorities. These efforts resulted in decreased personnel related costs including stock-based compensation expense.</w:t>
      </w:r>
    </w:p>
    <w:p>
      <w:pPr>
        <w:spacing w:after="0" w:line="18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$23.5 million to $89.3 million for the year ended December 31, 2020,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2019. The 2020 decrease was primarily attributable to significant cost cutting initiatives executed in year which included headcount reductions, reduced vendor spending and lower facility costs offset by impairments to our right of use assets.</w:t>
      </w:r>
    </w:p>
    <w:p>
      <w:pPr>
        <w:spacing w:after="0" w:line="2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 decreased $9.3 million to $112.8 million for the year ended December 31, 2019, compared to the same period in 2018. The 2019 decrease was primarily due to a net reduction in professional services and outside consulting fees incurred and lower telecommunication and facility costs offset by a right of use asset impairment.</w:t>
      </w:r>
    </w:p>
    <w:p>
      <w:pPr>
        <w:spacing w:after="0" w:line="20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$8.0 million, $0.8 million and $12.4 million for the years ended December 31, 2020, 2019 and 2018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2020 restructuring costs was primarily driven by our strategic cost savings initiatives to streamline our business operations and reduce headcount. 2019 restructuring costs were primarily related to employment termination costs as a result of the work-force reduction and facility consolidation plans. In prior years, we commenced separate plans designed to reduce operating costs and align our resources with our key strategic priorities, which resulted in work-force reductions and facility consolidations.</w:t>
      </w:r>
    </w:p>
    <w:p>
      <w:pPr>
        <w:spacing w:after="0" w:line="21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$33.4 million to $43.7 million for the year ended December 31, 2020,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2019. The 2020 decrease was primarily attributable to the expiration of amortizable acquired assets and a reduction in capital expenditures. These changes were partially offset by the increased amortization of capitalized software.</w:t>
      </w:r>
    </w:p>
    <w:p>
      <w:pPr>
        <w:spacing w:after="0" w:line="2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Depreciation and amortization expense decreased $40.6 million to $77.0 million for the year ended December 31, 2019, compared to the same period in 2018. The 2019 decrease was primarily attributable to the expiration of amortizable acquired assets, a reduction in capital expenditures, and the one-time Zentry, LLC (“Zentry”) impairment charge in 2018. These changes were partially offset by the increased amortization of capitalized software.</w:t>
      </w:r>
    </w:p>
    <w:p>
      <w:pPr>
        <w:spacing w:after="0" w:line="172"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$27.1 million in related income tax benefit and $2.2 million in related income tax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year ended December 31, 2020 and 2019, respectively. The effective tax rate was approximately 72.4% for the year ended December 31, 2020, which was higher than the U.S. federal statutory rate primarily due to the benefit of the CARES Act provision allowing for a 5 year carryback of Net Operating Losses arising in 2018, 2019 and 2020. The Company’s effective tax rate was approximately (2.1)% for the year ended December 31, 2019, which was lower than the U.S. federal statutory rate primarily due to pre-tax losses in jurisdictions where full valuation allowances have been recorded and in zero tax rate jurisdictions and permanent differences associated with U.S. Base Erosion and Anti Abuse Tax elections, offset by certain foreign jurisdictions projecting current income tax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December 31, 2020, our principal sources of liquidity have been cash provided by operations. Our cash and cash equivalents balance was $33.7 million at December 31, 2020. We anticipate that our principal uses of cash and cash equivalents will be to fund our business, including technology expansion and working capital.</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2020, our non-U.S. subsidiaries held approximately $6.2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existing cash, cash equivalents, credit facility, and our ability to manage working capital and expected positive cash flows generated from operations in combination with continued expense reductions will be sufficient to fund our operations for the next twelve months from the date of filing of this Annual Report on Form 10-K. However, as the impact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paid off the remaining carrying amount of the convertible senior notes on August 15, 2019. For further details,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12. Debt</w:t>
      </w:r>
      <w:r>
        <w:rPr>
          <w:rFonts w:ascii="Arial" w:cs="Arial" w:eastAsia="Arial" w:hAnsi="Arial"/>
          <w:sz w:val="18"/>
          <w:szCs w:val="18"/>
          <w:color w:val="auto"/>
        </w:rPr>
        <w:t xml:space="preserve"> of the Notes to Consolidated Financial Statements in Item 8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0.00%. In addition, on a quarterly basis, the Company is required to pay each lender under the Revolving Credit Facility a 0.2% commitment fee on the undrawn balance under the Revolving Credit Facility, which may be subject to adjustment based on the Company’s total leverage ratio.</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fiscal 2020, the Company drew the $10.0 million from our Revolving Credit Facility, which remains outstanding as of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costs and expenses incurred in connection with the Preferred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the Company to redeem each share of Series A Preferred Stock for cash in an amount equal to the sum of the current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December 31, 2020, the Liquidation Value and Redemption Value of the Preferred Shares was $243.1 million.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net cash flows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8"/>
          </w:tcPr>
          <w:p>
            <w:pPr>
              <w:ind w:left="500"/>
              <w:spacing w:after="0"/>
              <w:rPr>
                <w:sz w:val="20"/>
                <w:szCs w:val="20"/>
                <w:color w:val="auto"/>
              </w:rPr>
            </w:pPr>
            <w:r>
              <w:rPr>
                <w:rFonts w:ascii="Arial" w:cs="Arial" w:eastAsia="Arial" w:hAnsi="Arial"/>
                <w:sz w:val="18"/>
                <w:szCs w:val="18"/>
                <w:b w:val="1"/>
                <w:bCs w:val="1"/>
                <w:color w:val="auto"/>
              </w:rPr>
              <w:t>Twelve Months Ended December 31,</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2020 vs 2019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2019 vs 2018</w:t>
            </w: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(33,147)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0"/>
              </w:rPr>
              <w:t>63,952</w:t>
            </w: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w w:val="92"/>
              </w:rPr>
              <w:t>(33,716)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left="530"/>
              <w:spacing w:after="0"/>
              <w:rPr>
                <w:sz w:val="20"/>
                <w:szCs w:val="20"/>
                <w:color w:val="auto"/>
              </w:rPr>
            </w:pPr>
            <w:r>
              <w:rPr>
                <w:rFonts w:ascii="Arial" w:cs="Arial" w:eastAsia="Arial" w:hAnsi="Arial"/>
                <w:sz w:val="18"/>
                <w:szCs w:val="18"/>
                <w:color w:val="auto"/>
                <w:w w:val="90"/>
              </w:rPr>
              <w:t>86,659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131,248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(85,372)</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year ended December 31, 2020 was a $0.6 million of cash used by operating activities,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$32.6 million of cash provided by operating activities for the same period in 2019. The decrease of cash used by operating activities of $33.1 million was primarily due to favorable changes in cash earnings of $21.4 million offset by an unfavorable change in working capital of $70.2 million. The main driver of the unfavorable movement in working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was the continued run-off of the deferred revenue balance which is in line with our business as our customers shift away from larger prepayments of services.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flows from operating activities for the year ended December 31, 2019 was $32.6 million of cash provided by operating activities, as compared to $31.4 million of cash used by operating activities for the same period in 2018. The increase of cash provided by operating activities of $64.0 million was primarily due to favorable changes in cash earnings of $16.1 million, a $20.7 million tax refund and a favorable change in working capital of $27.1 million.</w:t>
      </w:r>
    </w:p>
    <w:p>
      <w:pPr>
        <w:spacing w:after="0" w:line="21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for the year ended December 31, 2020 was $14.3 million of cash used by investing activities,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$19.4 million in cash provided by investing activities during the same period in 2019. The cash used for investing in the current year was primarily related to the $16.7 million investment in capitalized software offset by the sale of certain IP address assets. The net decrease in cash from investing activities from the prior year mainly related to the net proceeds from the purchases and sales of marketable securities in the prior year that were not present in the current period.</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flows from investing activities for the year ended December 31, 2019 was $19.4 million of cash provided by investing activities, as compared to $67.3 million in cash used for investing activities during the same period in 2018. The 2019 cash provided from investing activities was driven by the sale of marketable securities offset by our continued investment in capitalized software. The increased spend in 2018 was due primarily to purchase marketable securities and fund the Honeybee acquisition.</w:t>
      </w:r>
    </w:p>
    <w:p>
      <w:pPr>
        <w:spacing w:after="0" w:line="2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for the year ended December 31, 2020 was $10.0 million of cash provided, as compared to $121.3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used by financing activities for the same period in 2019. The cash provided from investing activities was attributable to the $10.0 million drawdown from our Revolving Credit Facility. The net change in cash provided from financing activities from the prior year is primarily attributable to the cash provided from the Revolving Credit Facility offset by repayments for our Convertible Senior Notes in 2019.</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flows from financing activities for the year ended December 31, 2019 was $121.3 million use of cash, as compared to $35.9 million of cash used by financing activities for the same period in 2018. The cash used for financing activities was mainly attributable to the repayment of the convertible debt in August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6"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during 2020, 2019 and 2018. We do not expect the current rate of inflation to have a material impact on our business for the foreseeable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contingent consideration,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December 31, 2020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w w:val="89"/>
              </w:rPr>
              <w:t>Payments Due by Period</w:t>
            </w: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2025-2026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13,766</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28,273</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16,367</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10,594</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10,594</w:t>
            </w: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 represents customer delivery related purchase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Unrecognized tax positions are $3.3 million at December 31, 2020.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GAAP. The preparation of these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Significant accounting policies that we employ are presented in the Notes to our Consolidated Financial Statements in Item 8 </w:t>
      </w:r>
      <w:r>
        <w:rPr>
          <w:rFonts w:ascii="Arial" w:cs="Arial" w:eastAsia="Arial" w:hAnsi="Arial"/>
          <w:sz w:val="18"/>
          <w:szCs w:val="18"/>
          <w:i w:val="1"/>
          <w:iCs w:val="1"/>
          <w:color w:val="auto"/>
        </w:rPr>
        <w:t>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There were no significant changes in our critical accounting policies and estimates discussed in our Form 10-K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generates revenue from the delivery of a range of products, solutions and services for operators, enterprises, OEMs and technology providers. We offer services principally on a Transactional or Subscription basis (SaaS)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2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 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we maintain eight stock-based compensation plans. We utilize the Black-Scholes pricing model to determine the fair value of stock options on the dates of grant. Restricted stock awards are measured based on the fair market values of the underlying stock on the dates of grant. We recognize stock-based compensation over the requisite service period with an offsetting credit to additional paid-in capital.</w:t>
      </w:r>
    </w:p>
    <w:p>
      <w:pPr>
        <w:spacing w:after="0" w:line="19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For our performance restricted stock awards and units, we estimate the number of shares the recipient is to receive by applying a probability of achieving the performance goals. The actual number of shares the recipient receives is determined at the end of the performance period based on the results achieved versus goals based on our performance targets, such as revenue, EBITDA and Total Shareholder Return (TSR). Once the number of awards is determined, the compensation cost is fixed and continues to be recognized using straight line recognition over the requisite service period for each vesting tranche.</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the historical information of our stock. The average expected life was determined using historical stock option exercise activity. The risk-free interest rate is based on U.S. Treasury zero-coupon issues with a remaining term equal to the expected life assumed at the date of grant. We have never declared or paid cash dividends on our common equity and do not anticipate paying any cash dividends in the foreseeable future. Forfeitures are accounted for as they occur.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22, 2017, the U.S. government enacted TCJA. The TCJA made changes to the corporate tax rate, business-related deductions and taxation of foreign earnings, among others, that are generally effective for taxable years beginning after December 31, 2017.</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2017 and thereafter are subject to future examination by tax authorities.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the transition tax in the TCJA has removed U.S. federal taxes on distributions to the U.S. on a go forward basis,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business combinations in accordance with the acquisition method. The acquisition method of accounting requires that assets acquired, and liabilities assumed and any noncontrolling interest in the acquiree (if any), be recorded at their fair values on the date of a business acquisition. Our consolidated financial statements and results of operations reflect an acquired business from the completion date of the transaction.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judgments that we make in determining the estimated fair value assigned to each class of assets acquired and liabilities assumed, as well as asset lives, can materially impact net income in periods following a business combination. We generally use either the income, cost or market approach to aid in our conclusions of such fair values and asset lives. The income approach presumes that the value of an asset can be estimated by the net economic benefit to be received over the life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Each reporting period thereafter, we revalue these obligations and record increases or decreases in their fair value as an adjustment to net change in contingent consideration obligation within the Consolidated Statements of Operations. Changes in the fair value of the contingent consideration obligation can result from updates in the achievement of financial or other operational targets and changes to the weighted probability of achieving those future targets. Significant judgment is employed in determining the appropriateness of these assumptions as of the acquisition date and for each subsequent period. Accordingly, any change in the assumptions described above, could have a material impact on the amount of the net change in contingent consideration obligation that we record in any given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assets acquired, including other definite-lived intangible assets. Our policy is to perform an impairment test of goodwill at least annually, and more frequently if events or circumstances occurred that would indicate a reduced fair value in our reporting units could exist. Typically, we perform a qualitative assessment in the fourth quarter of the fiscal year to determine if it is more likely than not that the fair value of a reporting unit is less than its carrying value. As part of this qualitative assessment, we perform a quantitative assessment where necessary in substantiating our qualitative assessment.</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our qualitative assessment we make significant estimates, assumptions, and judgments, around the financial performance of the Company, changes in our share price, and forecasts of earnings, working capital requirements, and cash flows. We consider each reporting unit's historical results and operating trends as well as any strategic difference from our historical results when determining these assumptions.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determine that it is more likely than not that the fair value of a reporting unit is less than its carrying amount, including goodwill, we perform a quantitative goodwill impairment test. 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we recognize an impairment charge for the amount by which the carrying amount exceeds the reporting unit's fair value.</w:t>
      </w:r>
    </w:p>
    <w:p>
      <w:pPr>
        <w:spacing w:after="0" w:line="22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our 2020 impairment tests, the Company identified one reporting unit, Core. The Company performed a quantitative impairment assessment, as of October 1, 2020, for the Core reporting unit. The amounts below represent the results of our quantitative assessment.</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 the average of our fair values for purposes of our comparison between carrying value and fair value for the quantitative impairment test. The table below depicts the methods employed, assumptions used and percentage fair value in excess of carrying value.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6"/>
              </w:rPr>
              <w:t>2020 Impairment Test</w:t>
            </w: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3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Reporting Unit</w:t>
            </w:r>
          </w:p>
        </w:tc>
        <w:tc>
          <w:tcPr>
            <w:tcW w:w="134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rPr>
              <w:t>Discount Rate</w:t>
            </w:r>
          </w:p>
        </w:tc>
        <w:tc>
          <w:tcPr>
            <w:tcW w:w="14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5"/>
              </w:rPr>
              <w:t>Growth rate range</w:t>
            </w:r>
          </w:p>
        </w:tc>
        <w:tc>
          <w:tcPr>
            <w:tcW w:w="1560" w:type="dxa"/>
            <w:vAlign w:val="bottom"/>
          </w:tcPr>
          <w:p>
            <w:pPr>
              <w:jc w:val="center"/>
              <w:ind w:right="156"/>
              <w:spacing w:after="0" w:line="158" w:lineRule="exact"/>
              <w:rPr>
                <w:sz w:val="20"/>
                <w:szCs w:val="20"/>
                <w:color w:val="auto"/>
              </w:rPr>
            </w:pPr>
            <w:r>
              <w:rPr>
                <w:rFonts w:ascii="Arial" w:cs="Arial" w:eastAsia="Arial" w:hAnsi="Arial"/>
                <w:sz w:val="16"/>
                <w:szCs w:val="16"/>
                <w:b w:val="1"/>
                <w:bCs w:val="1"/>
                <w:color w:val="auto"/>
                <w:w w:val="94"/>
              </w:rPr>
              <w:t>Terminal Growth</w:t>
            </w: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Goodwill</w:t>
            </w:r>
          </w:p>
        </w:tc>
        <w:tc>
          <w:tcPr>
            <w:tcW w:w="2320" w:type="dxa"/>
            <w:vAlign w:val="bottom"/>
            <w:gridSpan w:val="3"/>
          </w:tcPr>
          <w:p>
            <w:pPr>
              <w:ind w:left="220"/>
              <w:spacing w:after="0" w:line="158" w:lineRule="exact"/>
              <w:rPr>
                <w:sz w:val="20"/>
                <w:szCs w:val="20"/>
                <w:color w:val="auto"/>
              </w:rPr>
            </w:pPr>
            <w:r>
              <w:rPr>
                <w:rFonts w:ascii="Arial" w:cs="Arial" w:eastAsia="Arial" w:hAnsi="Arial"/>
                <w:sz w:val="16"/>
                <w:szCs w:val="16"/>
                <w:b w:val="1"/>
                <w:bCs w:val="1"/>
                <w:color w:val="auto"/>
              </w:rPr>
              <w:t>Fair Value Exceeds</w:t>
            </w:r>
          </w:p>
        </w:tc>
        <w:tc>
          <w:tcPr>
            <w:tcW w:w="202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Fair Value method</w:t>
            </w:r>
          </w:p>
        </w:tc>
        <w:tc>
          <w:tcPr>
            <w:tcW w:w="0" w:type="dxa"/>
            <w:vAlign w:val="bottom"/>
          </w:tcPr>
          <w:p>
            <w:pPr>
              <w:spacing w:after="0"/>
              <w:rPr>
                <w:sz w:val="1"/>
                <w:szCs w:val="1"/>
                <w:color w:val="auto"/>
              </w:rPr>
            </w:pPr>
          </w:p>
        </w:tc>
      </w:tr>
      <w:tr>
        <w:trPr>
          <w:trHeight w:val="213"/>
        </w:trPr>
        <w:tc>
          <w:tcPr>
            <w:tcW w:w="13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560" w:type="dxa"/>
            <w:vAlign w:val="bottom"/>
          </w:tcPr>
          <w:p>
            <w:pPr>
              <w:jc w:val="center"/>
              <w:ind w:right="156"/>
              <w:spacing w:after="0"/>
              <w:rPr>
                <w:sz w:val="20"/>
                <w:szCs w:val="20"/>
                <w:color w:val="auto"/>
              </w:rPr>
            </w:pPr>
            <w:r>
              <w:rPr>
                <w:rFonts w:ascii="Arial" w:cs="Arial" w:eastAsia="Arial" w:hAnsi="Arial"/>
                <w:sz w:val="16"/>
                <w:szCs w:val="16"/>
                <w:b w:val="1"/>
                <w:bCs w:val="1"/>
                <w:color w:val="auto"/>
                <w:w w:val="92"/>
              </w:rPr>
              <w:t>Rate</w:t>
            </w:r>
          </w:p>
        </w:tc>
        <w:tc>
          <w:tcPr>
            <w:tcW w:w="1160" w:type="dxa"/>
            <w:vAlign w:val="bottom"/>
            <w:gridSpan w:val="2"/>
            <w:vMerge w:val="continue"/>
          </w:tcPr>
          <w:p>
            <w:pPr>
              <w:spacing w:after="0"/>
              <w:rPr>
                <w:sz w:val="18"/>
                <w:szCs w:val="18"/>
                <w:color w:val="auto"/>
              </w:rPr>
            </w:pPr>
          </w:p>
        </w:tc>
        <w:tc>
          <w:tcPr>
            <w:tcW w:w="2320" w:type="dxa"/>
            <w:vAlign w:val="bottom"/>
            <w:gridSpan w:val="3"/>
          </w:tcPr>
          <w:p>
            <w:pPr>
              <w:ind w:left="240"/>
              <w:spacing w:after="0"/>
              <w:rPr>
                <w:sz w:val="20"/>
                <w:szCs w:val="20"/>
                <w:color w:val="auto"/>
              </w:rPr>
            </w:pPr>
            <w:r>
              <w:rPr>
                <w:rFonts w:ascii="Arial" w:cs="Arial" w:eastAsia="Arial" w:hAnsi="Arial"/>
                <w:sz w:val="16"/>
                <w:szCs w:val="16"/>
                <w:b w:val="1"/>
                <w:bCs w:val="1"/>
                <w:color w:val="auto"/>
              </w:rPr>
              <w:t>Carrying Value by</w:t>
            </w: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Core</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2.0 - 13.0%</w:t>
            </w:r>
          </w:p>
        </w:tc>
        <w:tc>
          <w:tcPr>
            <w:tcW w:w="156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2.0 %$</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227,012</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8"/>
                <w:szCs w:val="18"/>
                <w:color w:val="auto"/>
                <w:w w:val="95"/>
              </w:rPr>
              <w:t>Income Approach, Market</w:t>
            </w:r>
          </w:p>
        </w:tc>
        <w:tc>
          <w:tcPr>
            <w:tcW w:w="0" w:type="dxa"/>
            <w:vAlign w:val="bottom"/>
          </w:tcPr>
          <w:p>
            <w:pPr>
              <w:spacing w:after="0"/>
              <w:rPr>
                <w:sz w:val="1"/>
                <w:szCs w:val="1"/>
                <w:color w:val="auto"/>
              </w:rPr>
            </w:pPr>
          </w:p>
        </w:tc>
      </w:tr>
      <w:tr>
        <w:trPr>
          <w:trHeight w:val="230"/>
        </w:trPr>
        <w:tc>
          <w:tcPr>
            <w:tcW w:w="13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Approach</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fair value of the reporting unit was estimated using a combination of the income approach, which incorporates the use of the discounted cash flow method, and the market approach, which incorporates the use of earnings and revenue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multiples based on market data. We generally applied an equal weighting to the income and market approaches for our analysis when both are applied.</w:t>
      </w:r>
    </w:p>
    <w:p>
      <w:pPr>
        <w:spacing w:after="0" w:line="2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income approach, we used projections, which require the use of significant estimates and assumptions specific to the reporting unit as well as those based on general economic conditions. Factors specific to each reporting unit include revenue and cost growth, profit margins, terminal value growth rates, capital expenditures projections, assumed tax rates, discount rates and other assumptions deemed reasonable by management.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market approach, we used judgment in identifying the relevant comparable-company market multiples. These estimates and assumptions may vary between each reporting unit depending on the facts and circumstances specific to that unit. If sufficient comparable data is not present, the market approach will not be employed. The discount rate for each reporting unit is influenced by general market conditions as well as factors specific to the reporting unit.</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21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 Summary of Significant Accounting Policies</w:t>
      </w:r>
      <w:r>
        <w:rPr>
          <w:rFonts w:ascii="Arial" w:cs="Arial" w:eastAsia="Arial" w:hAnsi="Arial"/>
          <w:sz w:val="18"/>
          <w:szCs w:val="18"/>
          <w:color w:val="auto"/>
        </w:rPr>
        <w:t xml:space="preserve"> of the Notes to Consolidated Financial Statements in Part II, Item 8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off-balance sheet arrangements as of December 31, 2020 and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December 31, 2020 and December 31, 2019 were invested in liquid money market accounts, certificates of deposit and government securities. All market-risk sensitive instruments were entered into for non-trading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and our revolving credit facility. A hypothetical 100 basis point movement in interest rates applicable to our cash and cash equivalents outstanding at December 31, 2020 would increase interest income by approximately $0.3 million on an annual basis. Borrowings under the revolving credit facility bear interest at a rate equal to, at our option, either (1) the arithmetic average of the LIBOR rate determined by reference to the costs of funds for U.S. dollar deposits for the interest period (one, three or six months (or 12 months if agreed to by all applicable Lenders)) as selected by us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0.00%.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Page No.</w:t>
            </w:r>
          </w:p>
        </w:tc>
      </w:tr>
      <w:tr>
        <w:trPr>
          <w:trHeight w:val="235"/>
        </w:trPr>
        <w:tc>
          <w:tcPr>
            <w:tcW w:w="9460" w:type="dxa"/>
            <w:vAlign w:val="bottom"/>
          </w:tcPr>
          <w:p>
            <w:pPr>
              <w:ind w:left="8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 of Independent Registered Public Accounting Firm</w:t>
              </w:r>
            </w:hyperlink>
          </w:p>
        </w:tc>
        <w:tc>
          <w:tcPr>
            <w:tcW w:w="178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230"/>
        </w:trPr>
        <w:tc>
          <w:tcPr>
            <w:tcW w:w="9460" w:type="dxa"/>
            <w:vAlign w:val="bottom"/>
          </w:tcPr>
          <w:p>
            <w:pPr>
              <w:ind w:left="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Balance Sheets as of December 31, 2020 and 2019</w:t>
              </w:r>
            </w:hyperlink>
          </w:p>
        </w:tc>
        <w:tc>
          <w:tcPr>
            <w:tcW w:w="17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29"/>
        </w:trPr>
        <w:tc>
          <w:tcPr>
            <w:tcW w:w="9460" w:type="dxa"/>
            <w:vAlign w:val="bottom"/>
          </w:tcPr>
          <w:p>
            <w:pPr>
              <w:ind w:left="8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Operations for the years ended December 31, 2020, 2019 and 2018</w:t>
              </w:r>
            </w:hyperlink>
          </w:p>
        </w:tc>
        <w:tc>
          <w:tcPr>
            <w:tcW w:w="178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30"/>
        </w:trPr>
        <w:tc>
          <w:tcPr>
            <w:tcW w:w="9460" w:type="dxa"/>
            <w:vAlign w:val="bottom"/>
          </w:tcPr>
          <w:p>
            <w:pPr>
              <w:ind w:left="8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Comprehensive (Loss) Income for the years ended December 31, 2020, 2019 and 2018</w:t>
              </w:r>
            </w:hyperlink>
          </w:p>
        </w:tc>
        <w:tc>
          <w:tcPr>
            <w:tcW w:w="17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29"/>
        </w:trPr>
        <w:tc>
          <w:tcPr>
            <w:tcW w:w="9460" w:type="dxa"/>
            <w:vAlign w:val="bottom"/>
          </w:tcPr>
          <w:p>
            <w:pPr>
              <w:ind w:left="8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Stockholders’ Equity for the years ended December 31, 2020, 2019 and 2018</w:t>
              </w:r>
            </w:hyperlink>
          </w:p>
        </w:tc>
        <w:tc>
          <w:tcPr>
            <w:tcW w:w="178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61</w:t>
              </w:r>
            </w:hyperlink>
          </w:p>
        </w:tc>
      </w:tr>
      <w:tr>
        <w:trPr>
          <w:trHeight w:val="229"/>
        </w:trPr>
        <w:tc>
          <w:tcPr>
            <w:tcW w:w="9460" w:type="dxa"/>
            <w:vAlign w:val="bottom"/>
          </w:tcPr>
          <w:p>
            <w:pPr>
              <w:ind w:left="8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Cash Flows for the years ended December 31, 2020, 2019 and 2018</w:t>
              </w:r>
            </w:hyperlink>
          </w:p>
        </w:tc>
        <w:tc>
          <w:tcPr>
            <w:tcW w:w="1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30"/>
        </w:trPr>
        <w:tc>
          <w:tcPr>
            <w:tcW w:w="9460" w:type="dxa"/>
            <w:vAlign w:val="bottom"/>
          </w:tcPr>
          <w:p>
            <w:pPr>
              <w:ind w:left="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Notes to Consolidated Financial Statements</w:t>
              </w:r>
            </w:hyperlink>
          </w:p>
        </w:tc>
        <w:tc>
          <w:tcPr>
            <w:tcW w:w="17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r>
        <w:trPr>
          <w:trHeight w:val="864"/>
        </w:trPr>
        <w:tc>
          <w:tcPr>
            <w:tcW w:w="9460" w:type="dxa"/>
            <w:vAlign w:val="bottom"/>
          </w:tcPr>
          <w:p>
            <w:pPr>
              <w:ind w:left="5540"/>
              <w:spacing w:after="0"/>
              <w:rPr>
                <w:sz w:val="20"/>
                <w:szCs w:val="20"/>
                <w:color w:val="auto"/>
              </w:rPr>
            </w:pPr>
            <w:r>
              <w:rPr>
                <w:rFonts w:ascii="Arial" w:cs="Arial" w:eastAsia="Arial" w:hAnsi="Arial"/>
                <w:sz w:val="18"/>
                <w:szCs w:val="18"/>
                <w:color w:val="auto"/>
              </w:rPr>
              <w:t>54</w:t>
            </w:r>
          </w:p>
        </w:tc>
        <w:tc>
          <w:tcPr>
            <w:tcW w:w="1780" w:type="dxa"/>
            <w:vAlign w:val="bottom"/>
          </w:tcPr>
          <w:p>
            <w:pPr>
              <w:spacing w:after="0"/>
              <w:rPr>
                <w:sz w:val="24"/>
                <w:szCs w:val="24"/>
                <w:color w:val="auto"/>
              </w:rPr>
            </w:pPr>
          </w:p>
        </w:tc>
      </w:tr>
      <w:tr>
        <w:trPr>
          <w:trHeight w:val="115"/>
        </w:trPr>
        <w:tc>
          <w:tcPr>
            <w:tcW w:w="94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Synchronoss Technologies, Inc. (the Company) as of December 31, 2020 and 2019, the related consolidated statements of operations, comprehensive (loss) income, stockholders’ equity and cash flows for each of the three years in the period ended December 31, 2020,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15,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5"/>
          <w:szCs w:val="15"/>
          <w:b w:val="1"/>
          <w:bCs w:val="1"/>
          <w:i w:val="1"/>
          <w:iCs w:val="1"/>
          <w:color w:val="auto"/>
        </w:rPr>
        <w:t>Subscription and license revenue– Identifying contracts, performance obligations and stand-alone selling price</w:t>
      </w:r>
    </w:p>
    <w:p>
      <w:pPr>
        <w:spacing w:after="0" w:line="84"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3. Revenue</w:t>
      </w:r>
      <w:r>
        <w:rPr>
          <w:rFonts w:ascii="Arial" w:cs="Arial" w:eastAsia="Arial" w:hAnsi="Arial"/>
          <w:sz w:val="16"/>
          <w:szCs w:val="16"/>
          <w:color w:val="auto"/>
        </w:rPr>
        <w:t xml:space="preserve"> of the financial statements, the Company recognized $230 million in subscription</w:t>
      </w:r>
    </w:p>
    <w:p>
      <w:pPr>
        <w:spacing w:after="0" w:line="12" w:lineRule="exact"/>
        <w:rPr>
          <w:sz w:val="20"/>
          <w:szCs w:val="20"/>
          <w:color w:val="auto"/>
        </w:rPr>
      </w:pPr>
    </w:p>
    <w:p>
      <w:pPr>
        <w:jc w:val="both"/>
        <w:ind w:left="1840" w:hanging="1819"/>
        <w:spacing w:after="0" w:line="251" w:lineRule="auto"/>
        <w:tabs>
          <w:tab w:leader="none" w:pos="182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and license revenue. The related revenue agreements frequently contain multiple performance obligations, and judgment is required to determine which performance obligations are distinct and accounted for separately. These agreements may also contain variable consideration in the form of tiered pricing, contractual minimums or discounts. Judgment is also required to estimate the total contract consideration and to allocate the consideration to each distinct performance obligation. Additionally, the Company enters into multiple agreements with the same customer, which may affect the identification of the contract, the performance obligations and the allocation of total contract consideration. Auditing the Company’s subscription and license revenue was complex and involved a high degree of judgment related to management’s identification of performance obligations and its estimate and allocation of contract consideration.</w:t>
      </w:r>
    </w:p>
    <w:p>
      <w:pPr>
        <w:spacing w:after="0" w:line="264"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7"/>
          <w:szCs w:val="17"/>
          <w:color w:val="auto"/>
        </w:rPr>
        <w:t>We obtained an understanding, evaluated the design and tested the operating effectiveness of internal controls</w:t>
      </w:r>
    </w:p>
    <w:p>
      <w:pPr>
        <w:spacing w:after="0" w:line="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7"/>
          <w:szCs w:val="17"/>
          <w:color w:val="auto"/>
        </w:rPr>
        <w:t>related to the Company’s process for recognizing subscription and license revenue, including controls over</w:t>
      </w:r>
    </w:p>
    <w:p>
      <w:pPr>
        <w:jc w:val="both"/>
        <w:ind w:left="1840" w:hanging="1819"/>
        <w:spacing w:after="0" w:line="271" w:lineRule="auto"/>
        <w:tabs>
          <w:tab w:leader="none" w:pos="182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management’s review of the significant judgments and estimates used in the identification of the contract, distinct performance obligations and the estimation and allocation of amounts to each performance obligation.</w:t>
      </w:r>
    </w:p>
    <w:p>
      <w:pPr>
        <w:spacing w:after="0" w:line="191" w:lineRule="exact"/>
        <w:rPr>
          <w:sz w:val="20"/>
          <w:szCs w:val="20"/>
          <w:color w:val="auto"/>
        </w:rPr>
      </w:pPr>
    </w:p>
    <w:p>
      <w:pPr>
        <w:jc w:val="both"/>
        <w:ind w:left="1840"/>
        <w:spacing w:after="0" w:line="255" w:lineRule="auto"/>
        <w:rPr>
          <w:sz w:val="20"/>
          <w:szCs w:val="20"/>
          <w:color w:val="auto"/>
        </w:rPr>
      </w:pPr>
      <w:r>
        <w:rPr>
          <w:rFonts w:ascii="Arial" w:cs="Arial" w:eastAsia="Arial" w:hAnsi="Arial"/>
          <w:sz w:val="17"/>
          <w:szCs w:val="17"/>
          <w:color w:val="auto"/>
        </w:rPr>
        <w:t xml:space="preserve">Our audit procedures also included, among others, reading a sample of customer contracts and evaluating management’s identification of the contract and the distinct performance obligations based on the terms of the arrangements and the Company’s accounting policies. To test the calculation of the amount of consideration allocated to each distinct performance obligation, we performed procedures to evaluate management’s judgments related to the allocation of consideration to each distinct performance obligation and performed sensitivity analyses to evaluate how these assumptions affect the amount of revenue recognized. We have also evaluated the adequacy of the Company’s disclosures included in </w:t>
      </w:r>
      <w:r>
        <w:rPr>
          <w:rFonts w:ascii="Arial" w:cs="Arial" w:eastAsia="Arial" w:hAnsi="Arial"/>
          <w:sz w:val="17"/>
          <w:szCs w:val="17"/>
          <w:i w:val="1"/>
          <w:iCs w:val="1"/>
          <w:color w:val="auto"/>
        </w:rPr>
        <w:t>Note 3. Revenue</w:t>
      </w:r>
      <w:r>
        <w:rPr>
          <w:rFonts w:ascii="Arial" w:cs="Arial" w:eastAsia="Arial" w:hAnsi="Arial"/>
          <w:sz w:val="17"/>
          <w:szCs w:val="17"/>
          <w:color w:val="auto"/>
        </w:rPr>
        <w:t>.</w:t>
      </w:r>
    </w:p>
    <w:p>
      <w:pPr>
        <w:spacing w:after="0" w:line="261" w:lineRule="exact"/>
        <w:rPr>
          <w:sz w:val="20"/>
          <w:szCs w:val="20"/>
          <w:color w:val="auto"/>
        </w:rPr>
      </w:pPr>
    </w:p>
    <w:p>
      <w:pPr>
        <w:ind w:left="1840"/>
        <w:spacing w:after="0"/>
        <w:rPr>
          <w:sz w:val="20"/>
          <w:szCs w:val="20"/>
          <w:color w:val="auto"/>
        </w:rPr>
      </w:pPr>
      <w:r>
        <w:rPr>
          <w:rFonts w:ascii="Arial" w:cs="Arial" w:eastAsia="Arial" w:hAnsi="Arial"/>
          <w:sz w:val="18"/>
          <w:szCs w:val="18"/>
          <w:b w:val="1"/>
          <w:bCs w:val="1"/>
          <w:i w:val="1"/>
          <w:iCs w:val="1"/>
          <w:color w:val="auto"/>
        </w:rPr>
        <w:t>Goodwill</w:t>
      </w:r>
    </w:p>
    <w:p>
      <w:pPr>
        <w:spacing w:after="0" w:line="50"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 xml:space="preserve">At December 31, 2020, the Company's goodwill balance was $232 million. As discussed in </w:t>
      </w:r>
      <w:r>
        <w:rPr>
          <w:rFonts w:ascii="Arial" w:cs="Arial" w:eastAsia="Arial" w:hAnsi="Arial"/>
          <w:sz w:val="16"/>
          <w:szCs w:val="16"/>
          <w:i w:val="1"/>
          <w:iCs w:val="1"/>
          <w:color w:val="auto"/>
        </w:rPr>
        <w:t>Note 9. Goodwill and</w:t>
      </w:r>
    </w:p>
    <w:p>
      <w:pPr>
        <w:spacing w:after="0" w:line="12" w:lineRule="exact"/>
        <w:rPr>
          <w:sz w:val="20"/>
          <w:szCs w:val="20"/>
          <w:color w:val="auto"/>
        </w:rPr>
      </w:pPr>
    </w:p>
    <w:p>
      <w:pPr>
        <w:jc w:val="both"/>
        <w:ind w:left="1840" w:hanging="1819"/>
        <w:spacing w:after="0" w:line="252" w:lineRule="auto"/>
        <w:tabs>
          <w:tab w:leader="none" w:pos="182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i w:val="1"/>
          <w:iCs w:val="1"/>
          <w:color w:val="auto"/>
        </w:rPr>
        <w:t xml:space="preserve">Intangibles </w:t>
      </w:r>
      <w:r>
        <w:rPr>
          <w:rFonts w:ascii="Arial" w:cs="Arial" w:eastAsia="Arial" w:hAnsi="Arial"/>
          <w:sz w:val="17"/>
          <w:szCs w:val="17"/>
          <w:color w:val="auto"/>
        </w:rPr>
        <w:t>of the consolidated financial statements, goodwill is tested for impairment at least annually on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1 at the reporting unit level. Auditing the Company's goodwill impairment test was complex due to the significant judgment required in determining the fair value of the reporting unit. In particular, the fair value estimate was sensitive to significant assumptions that require judgment, including revenue growth rates, free cash flow and operating expenses as a percentage of revenue that affect the amount and timing of future cash flows, long-term growth rates, and the weighted average cost of capital ("discount rate"), which are affected by factors such as general market conditions and recent operating performance.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5" w:right="1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Company's goodwill impairment review process. For example, we tested controls over management's review of the</w:t>
      </w:r>
    </w:p>
    <w:p>
      <w:pPr>
        <w:jc w:val="both"/>
        <w:ind w:left="1840" w:hanging="1819"/>
        <w:spacing w:after="0" w:line="239" w:lineRule="auto"/>
        <w:tabs>
          <w:tab w:leader="none" w:pos="182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valuation model and the significant assumptions, discussed above used to develop the prospective financial information. We also tested management's controls to validate the data used in the valuation was complete and accurate.</w:t>
      </w:r>
    </w:p>
    <w:p>
      <w:pPr>
        <w:spacing w:after="0" w:line="216" w:lineRule="exact"/>
        <w:rPr>
          <w:sz w:val="20"/>
          <w:szCs w:val="20"/>
          <w:color w:val="auto"/>
        </w:rPr>
      </w:pPr>
    </w:p>
    <w:p>
      <w:pPr>
        <w:jc w:val="both"/>
        <w:ind w:left="1840"/>
        <w:spacing w:after="0" w:line="270" w:lineRule="auto"/>
        <w:rPr>
          <w:sz w:val="20"/>
          <w:szCs w:val="20"/>
          <w:color w:val="auto"/>
        </w:rPr>
      </w:pPr>
      <w:r>
        <w:rPr>
          <w:rFonts w:ascii="Arial" w:cs="Arial" w:eastAsia="Arial" w:hAnsi="Arial"/>
          <w:sz w:val="16"/>
          <w:szCs w:val="16"/>
          <w:color w:val="auto"/>
        </w:rPr>
        <w:t xml:space="preserve">To test the estimated fair value of the Company's reporting unit, we performed audit procedures that included, among others, assessing the reasonableness of the methodologies used. We also compared the significant assumptions used by management to develop the prospective financial information to current industry and economic trends, analyst expectations, changes to the Company's business model, customer base or product mix and other relevant information. We assessed the historical accuracy of management's projections of future earnings by comparing the actual results to prior forecasts, and we performed analyses of significant assumptions to assess the impact of changes in the assumptions on the calculation of fair value. Further, we evaluated the revenue growth rates, free cash flow, operating expenses as a percentage of revenue and long term growth rates in comparison to the Company’s peers. We also involved our valuation specialists to assist with our evaluation of the methodology used by the Company and significant assumptions included in the fair value estimates. We have also evaluated the adequacy of the Company’s disclosures included in </w:t>
      </w:r>
      <w:r>
        <w:rPr>
          <w:rFonts w:ascii="Arial" w:cs="Arial" w:eastAsia="Arial" w:hAnsi="Arial"/>
          <w:sz w:val="16"/>
          <w:szCs w:val="16"/>
          <w:i w:val="1"/>
          <w:iCs w:val="1"/>
          <w:color w:val="auto"/>
        </w:rPr>
        <w:t>Note 9. Goodwill and Intangibles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5" w:right="1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(In thousands, except per share data)</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199"/>
        </w:trPr>
        <w:tc>
          <w:tcPr>
            <w:tcW w:w="7620" w:type="dxa"/>
            <w:vAlign w:val="bottom"/>
            <w:tcBorders>
              <w:top w:val="single" w:sz="8" w:color="CCEEFF"/>
            </w:tcBorders>
            <w:shd w:val="clear" w:color="auto" w:fill="CCEEFF"/>
          </w:tcPr>
          <w:p>
            <w:pPr>
              <w:ind w:left="350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restricted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39,001</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Marketable securities, current</w:t>
            </w:r>
          </w:p>
        </w:tc>
        <w:tc>
          <w:tcPr>
            <w:tcW w:w="1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65,863</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&amp; Other Current Assets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142,897</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Non-Current Assets: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53,965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222,969</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77,613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 Receivable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Other Assets, non-current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Total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389,126</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482,255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2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65,987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 current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65,858</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Debt, current</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153,396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Deferred revenues, non-current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21,941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Leases, non-current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60,976</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Redeemable noncontrolling interest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Series A Convertible Participating Perpetual Preferred Stock, $0.0001 par value; 10,000 shares authorized, 250</w:t>
            </w:r>
          </w:p>
        </w:tc>
        <w:tc>
          <w:tcPr>
            <w:tcW w:w="1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237,641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200,865</w:t>
            </w:r>
          </w:p>
        </w:tc>
        <w:tc>
          <w:tcPr>
            <w:tcW w:w="0" w:type="dxa"/>
            <w:vAlign w:val="bottom"/>
          </w:tcPr>
          <w:p>
            <w:pPr>
              <w:spacing w:after="0"/>
              <w:rPr>
                <w:sz w:val="1"/>
                <w:szCs w:val="1"/>
                <w:color w:val="auto"/>
              </w:rPr>
            </w:pPr>
          </w:p>
        </w:tc>
      </w:tr>
      <w:tr>
        <w:trPr>
          <w:trHeight w:val="125"/>
        </w:trPr>
        <w:tc>
          <w:tcPr>
            <w:tcW w:w="762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and 217 shares issued and outstanding at December 31, 2020 and December 31, 2019, respectively</w:t>
            </w:r>
          </w:p>
        </w:tc>
        <w:tc>
          <w:tcPr>
            <w:tcW w:w="140" w:type="dxa"/>
            <w:vAlign w:val="bottom"/>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6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Common stock, $0.0001 par value; 100,000 shares authorized, 51,177 and 51,704 shares issued; 44,015 and</w:t>
            </w:r>
          </w:p>
        </w:tc>
        <w:tc>
          <w:tcPr>
            <w:tcW w:w="1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25"/>
        </w:trPr>
        <w:tc>
          <w:tcPr>
            <w:tcW w:w="762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44,542 outstanding at December 31, 2020 and December 31, 2019, respectively</w:t>
            </w:r>
          </w:p>
        </w:tc>
        <w:tc>
          <w:tcPr>
            <w:tcW w:w="140" w:type="dxa"/>
            <w:vAlign w:val="bottom"/>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6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w w:val="95"/>
              </w:rPr>
              <w:t>Treasury stock, at cost (7,162 and 7,162 shares at December 31, 2020 and December 31, 2019, respectively)</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525,739</w:t>
            </w: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(28,213)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(33,261)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(334,319)</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76,077</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3620" w:right="3400" w:hanging="3612"/>
        <w:spacing w:after="0" w:line="696" w:lineRule="auto"/>
        <w:tabs>
          <w:tab w:leader="none" w:pos="2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7. Investments in Affiliates and Related Transactions</w:t>
      </w:r>
      <w:r>
        <w:rPr>
          <w:rFonts w:ascii="Arial" w:cs="Arial" w:eastAsia="Arial" w:hAnsi="Arial"/>
          <w:sz w:val="14"/>
          <w:szCs w:val="14"/>
          <w:color w:val="auto"/>
        </w:rPr>
        <w:t xml:space="preserve"> for related party transactions reflected in this account. See accompanying notes to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rPr>
              <w:t>Twelve Months Ended December 31,</w:t>
            </w:r>
          </w:p>
        </w:tc>
        <w:tc>
          <w:tcPr>
            <w:tcW w:w="98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325,839</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158,802</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77,043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75,568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79,172</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122,112</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12,375</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77,036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117,654</w:t>
            </w:r>
          </w:p>
        </w:tc>
      </w:tr>
      <w:tr>
        <w:trPr>
          <w:trHeight w:val="20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339,792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416,537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490,115</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(164,276)</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7,770</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Gain on extinguishment of debt</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(74,917)</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Equity method investment loss</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(28,600)</w:t>
            </w:r>
          </w:p>
        </w:tc>
      </w:tr>
      <w:tr>
        <w:trPr>
          <w:trHeight w:val="21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taxes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(101,293)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(263,174)</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17,894</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(245,280)</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Net income from discontinued operations, net of tax**</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18,288</w:t>
            </w:r>
          </w:p>
        </w:tc>
      </w:tr>
      <w:tr>
        <w:trPr>
          <w:trHeight w:val="21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(10,358)</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(103,467)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(226,992)</w:t>
            </w: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8,837</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dividend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(25,593)</w:t>
            </w:r>
          </w:p>
        </w:tc>
      </w:tr>
      <w:tr>
        <w:trPr>
          <w:trHeight w:val="183"/>
        </w:trPr>
        <w:tc>
          <w:tcPr>
            <w:tcW w:w="6760" w:type="dxa"/>
            <w:vAlign w:val="bottom"/>
          </w:tcPr>
          <w:p>
            <w:pPr>
              <w:ind w:left="20"/>
              <w:spacing w:after="0" w:line="183" w:lineRule="exact"/>
              <w:rPr>
                <w:sz w:val="20"/>
                <w:szCs w:val="20"/>
                <w:color w:val="auto"/>
              </w:rPr>
            </w:pPr>
            <w:r>
              <w:rPr>
                <w:rFonts w:ascii="Arial" w:cs="Arial" w:eastAsia="Arial" w:hAnsi="Arial"/>
                <w:sz w:val="16"/>
                <w:szCs w:val="16"/>
                <w:color w:val="auto"/>
              </w:rPr>
              <w:t>Net loss attributable to Synchronoss</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(48,683)</w:t>
            </w:r>
          </w:p>
        </w:tc>
        <w:tc>
          <w:tcPr>
            <w:tcW w:w="14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(136,727)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(243,748)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10"/>
        </w:trPr>
        <w:tc>
          <w:tcPr>
            <w:tcW w:w="67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09"/>
        </w:trPr>
        <w:tc>
          <w:tcPr>
            <w:tcW w:w="67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40,694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40,277</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Cost of revenues excludes depreciation and amortization which are shown separately.</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xml:space="preserve">See Note </w:t>
      </w:r>
      <w:r>
        <w:rPr>
          <w:rFonts w:ascii="Arial" w:cs="Arial" w:eastAsia="Arial" w:hAnsi="Arial"/>
          <w:sz w:val="14"/>
          <w:szCs w:val="14"/>
          <w:i w:val="1"/>
          <w:iCs w:val="1"/>
          <w:color w:val="auto"/>
        </w:rPr>
        <w:t>4. Acquisitions and Divestitures</w:t>
      </w:r>
      <w:r>
        <w:rPr>
          <w:rFonts w:ascii="Arial" w:cs="Arial" w:eastAsia="Arial" w:hAnsi="Arial"/>
          <w:sz w:val="14"/>
          <w:szCs w:val="14"/>
          <w:color w:val="auto"/>
        </w:rPr>
        <w:t xml:space="preserve"> for transactions classified as discontinued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5400" w:right="2580" w:hanging="2802"/>
        <w:spacing w:after="0" w:line="313" w:lineRule="auto"/>
        <w:rPr>
          <w:sz w:val="20"/>
          <w:szCs w:val="20"/>
          <w:color w:val="auto"/>
        </w:rPr>
      </w:pPr>
      <w:r>
        <w:rPr>
          <w:rFonts w:ascii="Arial" w:cs="Arial" w:eastAsia="Arial" w:hAnsi="Arial"/>
          <w:sz w:val="18"/>
          <w:szCs w:val="18"/>
          <w:b w:val="1"/>
          <w:bCs w:val="1"/>
          <w:color w:val="auto"/>
        </w:rPr>
        <w:t>CONSOLIDATED STATEMENTS OF COMPREHENSIVE (LOSS) INCOME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7"/>
          </w:tcPr>
          <w:p>
            <w:pPr>
              <w:jc w:val="right"/>
              <w:ind w:right="739"/>
              <w:spacing w:after="0"/>
              <w:rPr>
                <w:sz w:val="20"/>
                <w:szCs w:val="20"/>
                <w:color w:val="auto"/>
              </w:rPr>
            </w:pPr>
            <w:r>
              <w:rPr>
                <w:rFonts w:ascii="Arial" w:cs="Arial" w:eastAsia="Arial" w:hAnsi="Arial"/>
                <w:sz w:val="16"/>
                <w:szCs w:val="16"/>
                <w:b w:val="1"/>
                <w:bCs w:val="1"/>
                <w:color w:val="auto"/>
              </w:rPr>
              <w:t>Twelve Months Ended December 31,</w:t>
            </w:r>
          </w:p>
        </w:tc>
      </w:tr>
      <w:tr>
        <w:trPr>
          <w:trHeight w:val="210"/>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(226,992)</w:t>
            </w: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w:t>
            </w:r>
          </w:p>
        </w:tc>
      </w:tr>
      <w:tr>
        <w:trPr>
          <w:trHeight w:val="213"/>
        </w:trPr>
        <w:tc>
          <w:tcPr>
            <w:tcW w:w="7060" w:type="dxa"/>
            <w:vAlign w:val="bottom"/>
          </w:tcPr>
          <w:p>
            <w:pPr>
              <w:ind w:left="340"/>
              <w:spacing w:after="0"/>
              <w:rPr>
                <w:sz w:val="20"/>
                <w:szCs w:val="20"/>
                <w:color w:val="auto"/>
              </w:rPr>
            </w:pPr>
            <w:r>
              <w:rPr>
                <w:rFonts w:ascii="Arial" w:cs="Arial" w:eastAsia="Arial" w:hAnsi="Arial"/>
                <w:sz w:val="16"/>
                <w:szCs w:val="16"/>
                <w:color w:val="auto"/>
              </w:rPr>
              <w:t>Unrealized gain (loss) on available for sale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(loss) on inter-company foreign currency transactions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7"/>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(7,010)</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(234,002)</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Comprehensive (loss) income attributable to redeemable noncontrolling interests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8,837</w:t>
            </w: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(107,471)</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(225,165)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9"/>
                <w:szCs w:val="9"/>
                <w:b w:val="1"/>
                <w:bCs w:val="1"/>
                <w:color w:val="auto"/>
              </w:rPr>
              <w:t>Common Stock</w:t>
            </w:r>
          </w:p>
        </w:tc>
        <w:tc>
          <w:tcPr>
            <w:tcW w:w="100" w:type="dxa"/>
            <w:vAlign w:val="bottom"/>
            <w:gridSpan w:val="2"/>
          </w:tcPr>
          <w:p>
            <w:pPr>
              <w:spacing w:after="0"/>
              <w:rPr>
                <w:sz w:val="10"/>
                <w:szCs w:val="10"/>
                <w:color w:val="auto"/>
              </w:rPr>
            </w:pPr>
          </w:p>
        </w:tc>
        <w:tc>
          <w:tcPr>
            <w:tcW w:w="16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9"/>
                <w:szCs w:val="9"/>
                <w:b w:val="1"/>
                <w:bCs w:val="1"/>
                <w:color w:val="auto"/>
              </w:rPr>
              <w:t>Treasury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b w:val="1"/>
                <w:bCs w:val="1"/>
                <w:color w:val="auto"/>
                <w:w w:val="91"/>
              </w:rPr>
              <w:t>Accumulative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9"/>
                <w:szCs w:val="9"/>
                <w:b w:val="1"/>
                <w:bCs w:val="1"/>
                <w:color w:val="auto"/>
              </w:rPr>
              <w:t>Shares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9"/>
                <w:szCs w:val="9"/>
                <w:b w:val="1"/>
                <w:bCs w:val="1"/>
                <w:color w:val="auto"/>
              </w:rPr>
              <w:t>Amount</w:t>
            </w:r>
          </w:p>
        </w:tc>
        <w:tc>
          <w:tcPr>
            <w:tcW w:w="100" w:type="dxa"/>
            <w:vAlign w:val="bottom"/>
            <w:gridSpan w:val="2"/>
            <w:vMerge w:val="restart"/>
          </w:tcPr>
          <w:p>
            <w:pPr>
              <w:spacing w:after="0"/>
              <w:rPr>
                <w:sz w:val="7"/>
                <w:szCs w:val="7"/>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9"/>
                <w:szCs w:val="9"/>
                <w:b w:val="1"/>
                <w:bCs w:val="1"/>
                <w:color w:val="auto"/>
                <w:w w:val="92"/>
              </w:rPr>
              <w:t>Paid-In Capital</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w w:val="91"/>
              </w:rPr>
              <w:t>Stockholders'</w:t>
            </w:r>
          </w:p>
        </w:tc>
        <w:tc>
          <w:tcPr>
            <w:tcW w:w="0" w:type="dxa"/>
            <w:vAlign w:val="bottom"/>
          </w:tcPr>
          <w:p>
            <w:pPr>
              <w:spacing w:after="0"/>
              <w:rPr>
                <w:sz w:val="1"/>
                <w:szCs w:val="1"/>
                <w:color w:val="auto"/>
              </w:rPr>
            </w:pPr>
          </w:p>
        </w:tc>
      </w:tr>
      <w:tr>
        <w:trPr>
          <w:trHeight w:val="119"/>
        </w:trPr>
        <w:tc>
          <w:tcPr>
            <w:tcW w:w="40" w:type="dxa"/>
            <w:vAlign w:val="bottom"/>
            <w:tcBorders>
              <w:bottom w:val="single" w:sz="8" w:color="CCEEFF"/>
            </w:tcBorders>
          </w:tcPr>
          <w:p>
            <w:pPr>
              <w:spacing w:after="0"/>
              <w:rPr>
                <w:sz w:val="10"/>
                <w:szCs w:val="10"/>
                <w:color w:val="auto"/>
              </w:rPr>
            </w:pPr>
          </w:p>
        </w:tc>
        <w:tc>
          <w:tcPr>
            <w:tcW w:w="41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deficit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38"/>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52,028</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85"/>
              </w:rPr>
              <w:t>(5,060)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(105,584)</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597,553</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(23,373)</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(5,014)</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463,587</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Stock based compensation</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27,201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Issuance of restricted stock</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Preferred stock dividends</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(24,331)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Amortization of preferred stock issuance costs</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(1,262)</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(1,262)</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Retirement of treasury stock</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(3,893)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3,893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68,327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(68,327)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Treasury shares received in connection with PIPE Purchase Agreement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85"/>
              </w:rPr>
              <w:t>(5,995)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(44,830)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Net loss attributable to Synchronoss</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(218,155)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(218,155)</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Non-controlling interest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3,943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Total other comprehensive loss</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(7,059)</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(7,059)</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00"/>
              <w:spacing w:after="0"/>
              <w:rPr>
                <w:sz w:val="20"/>
                <w:szCs w:val="20"/>
                <w:color w:val="auto"/>
              </w:rPr>
            </w:pPr>
            <w:r>
              <w:rPr>
                <w:rFonts w:ascii="Arial" w:cs="Arial" w:eastAsia="Arial" w:hAnsi="Arial"/>
                <w:sz w:val="11"/>
                <w:szCs w:val="11"/>
                <w:color w:val="auto"/>
              </w:rPr>
              <w:t>ASC 606 revenue recognition implementation impact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(10,130)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Borders>
              <w:bottom w:val="single" w:sz="8" w:color="CCEEFF"/>
            </w:tcBorders>
            <w:shd w:val="clear" w:color="auto" w:fill="CCEEFF"/>
          </w:tcPr>
          <w:p>
            <w:pPr>
              <w:spacing w:after="0"/>
              <w:rPr>
                <w:sz w:val="14"/>
                <w:szCs w:val="14"/>
                <w:color w:val="auto"/>
              </w:rPr>
            </w:pPr>
          </w:p>
        </w:tc>
        <w:tc>
          <w:tcPr>
            <w:tcW w:w="4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Other</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49,836</w:t>
            </w:r>
          </w:p>
        </w:tc>
        <w:tc>
          <w:tcPr>
            <w:tcW w:w="120" w:type="dxa"/>
            <w:vAlign w:val="bottom"/>
            <w:gridSpan w:val="2"/>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center"/>
              <w:ind w:left="327"/>
              <w:spacing w:after="0"/>
              <w:rPr>
                <w:sz w:val="20"/>
                <w:szCs w:val="20"/>
                <w:color w:val="auto"/>
              </w:rPr>
            </w:pPr>
            <w:r>
              <w:rPr>
                <w:rFonts w:ascii="Arial" w:cs="Arial" w:eastAsia="Arial" w:hAnsi="Arial"/>
                <w:sz w:val="11"/>
                <w:szCs w:val="11"/>
                <w:color w:val="auto"/>
                <w:w w:val="85"/>
              </w:rPr>
              <w:t>(7,162)</w:t>
            </w:r>
          </w:p>
        </w:tc>
        <w:tc>
          <w:tcPr>
            <w:tcW w:w="10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(82,087)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534,673</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(30,383)</w:t>
            </w: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(233,299)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188,909</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407"/>
              <w:spacing w:after="0"/>
              <w:rPr>
                <w:sz w:val="20"/>
                <w:szCs w:val="20"/>
                <w:color w:val="auto"/>
              </w:rPr>
            </w:pPr>
            <w:r>
              <w:rPr>
                <w:rFonts w:ascii="Arial" w:cs="Arial" w:eastAsia="Arial" w:hAnsi="Arial"/>
                <w:sz w:val="9"/>
                <w:szCs w:val="9"/>
                <w:b w:val="1"/>
                <w:bCs w:val="1"/>
                <w:color w:val="auto"/>
              </w:rPr>
              <w:t>Common Stock</w:t>
            </w:r>
          </w:p>
        </w:tc>
        <w:tc>
          <w:tcPr>
            <w:tcW w:w="10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487"/>
              <w:spacing w:after="0"/>
              <w:rPr>
                <w:sz w:val="20"/>
                <w:szCs w:val="20"/>
                <w:color w:val="auto"/>
              </w:rPr>
            </w:pPr>
            <w:r>
              <w:rPr>
                <w:rFonts w:ascii="Arial" w:cs="Arial" w:eastAsia="Arial" w:hAnsi="Arial"/>
                <w:sz w:val="9"/>
                <w:szCs w:val="9"/>
                <w:b w:val="1"/>
                <w:bCs w:val="1"/>
                <w:color w:val="auto"/>
              </w:rPr>
              <w:t>Treasury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9"/>
                <w:szCs w:val="9"/>
                <w:b w:val="1"/>
                <w:bCs w:val="1"/>
                <w:color w:val="auto"/>
              </w:rPr>
              <w:t>Accumulative 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restart"/>
          </w:tcPr>
          <w:p>
            <w:pPr>
              <w:jc w:val="right"/>
              <w:ind w:right="187"/>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jc w:val="right"/>
              <w:ind w:right="127"/>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680" w:type="dxa"/>
            <w:vAlign w:val="bottom"/>
            <w:vMerge w:val="restart"/>
          </w:tcPr>
          <w:p>
            <w:pPr>
              <w:jc w:val="right"/>
              <w:ind w:right="207"/>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87"/>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Paid-In Capital</w:t>
            </w:r>
          </w:p>
        </w:tc>
        <w:tc>
          <w:tcPr>
            <w:tcW w:w="4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1" w:lineRule="exact"/>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4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9"/>
                <w:szCs w:val="9"/>
                <w:b w:val="1"/>
                <w:bCs w:val="1"/>
                <w:color w:val="auto"/>
                <w:w w:val="94"/>
              </w:rPr>
              <w:t>Income (Loss)</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7"/>
              <w:spacing w:after="0"/>
              <w:rPr>
                <w:sz w:val="20"/>
                <w:szCs w:val="20"/>
                <w:color w:val="auto"/>
              </w:rPr>
            </w:pPr>
            <w:r>
              <w:rPr>
                <w:rFonts w:ascii="Arial" w:cs="Arial" w:eastAsia="Arial" w:hAnsi="Arial"/>
                <w:sz w:val="9"/>
                <w:szCs w:val="9"/>
                <w:b w:val="1"/>
                <w:bCs w:val="1"/>
                <w:color w:val="auto"/>
              </w:rPr>
              <w:t>deficit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9"/>
                <w:szCs w:val="9"/>
                <w:b w:val="1"/>
                <w:bCs w:val="1"/>
                <w:color w:val="auto"/>
                <w:w w:val="94"/>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49,836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534,673</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(30,383)</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(233,299)</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188,909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Stock based compensation</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22,050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Arial" w:cs="Arial" w:eastAsia="Arial" w:hAnsi="Arial"/>
                <w:sz w:val="11"/>
                <w:szCs w:val="11"/>
                <w:color w:val="auto"/>
              </w:rPr>
              <w:t>22,050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1,863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Preferred stock dividends accrued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(29,877)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Issuance of common stock on exercise of options</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Adoption of new lease accounting standard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3,574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Arial" w:cs="Arial" w:eastAsia="Arial" w:hAnsi="Arial"/>
                <w:sz w:val="11"/>
                <w:szCs w:val="11"/>
                <w:color w:val="auto"/>
              </w:rPr>
              <w:t>3,574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Net loss attributable to Synchronoss</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(104,593)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Non-controlling interest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Arial" w:cs="Arial" w:eastAsia="Arial" w:hAnsi="Arial"/>
                <w:sz w:val="11"/>
                <w:szCs w:val="11"/>
                <w:color w:val="auto"/>
              </w:rPr>
              <w:t>1,126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4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(2,878)</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gridSpan w:val="2"/>
          </w:tcPr>
          <w:p>
            <w:pPr>
              <w:ind w:left="140"/>
              <w:spacing w:after="0"/>
              <w:rPr>
                <w:sz w:val="20"/>
                <w:szCs w:val="20"/>
                <w:color w:val="auto"/>
              </w:rPr>
            </w:pPr>
            <w:r>
              <w:rPr>
                <w:rFonts w:ascii="Arial" w:cs="Arial" w:eastAsia="Arial" w:hAnsi="Arial"/>
                <w:sz w:val="11"/>
                <w:szCs w:val="11"/>
                <w:color w:val="auto"/>
              </w:rPr>
              <w:t>Other</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327"/>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51,704</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6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525,739</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14"/>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(33,261)</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(334,319)</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76,077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4220" w:type="dxa"/>
            <w:vAlign w:val="bottom"/>
          </w:tcPr>
          <w:p>
            <w:pPr>
              <w:spacing w:after="0"/>
              <w:rPr>
                <w:sz w:val="10"/>
                <w:szCs w:val="10"/>
                <w:color w:val="auto"/>
              </w:rPr>
            </w:pPr>
          </w:p>
        </w:tc>
        <w:tc>
          <w:tcPr>
            <w:tcW w:w="154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640" w:type="dxa"/>
            <w:vAlign w:val="bottom"/>
            <w:tcBorders>
              <w:bottom w:val="single" w:sz="8" w:color="auto"/>
            </w:tcBorders>
            <w:gridSpan w:val="4"/>
          </w:tcPr>
          <w:p>
            <w:pPr>
              <w:ind w:left="52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2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1"/>
              </w:rPr>
              <w:t>Accumulative Other</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68"/>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1"/>
        </w:trPr>
        <w:tc>
          <w:tcPr>
            <w:tcW w:w="4220" w:type="dxa"/>
            <w:vAlign w:val="bottom"/>
          </w:tcPr>
          <w:p>
            <w:pPr>
              <w:spacing w:after="0"/>
              <w:rPr>
                <w:sz w:val="7"/>
                <w:szCs w:val="7"/>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7"/>
                <w:szCs w:val="7"/>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7"/>
                <w:szCs w:val="7"/>
                <w:color w:val="auto"/>
              </w:rPr>
            </w:pPr>
          </w:p>
        </w:tc>
        <w:tc>
          <w:tcPr>
            <w:tcW w:w="9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7"/>
                <w:szCs w:val="7"/>
                <w:color w:val="auto"/>
              </w:rPr>
            </w:pPr>
          </w:p>
        </w:tc>
        <w:tc>
          <w:tcPr>
            <w:tcW w:w="76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720" w:type="dxa"/>
            <w:vAlign w:val="bottom"/>
          </w:tcPr>
          <w:p>
            <w:pPr>
              <w:jc w:val="center"/>
              <w:ind w:right="48"/>
              <w:spacing w:after="0" w:line="81" w:lineRule="exact"/>
              <w:rPr>
                <w:sz w:val="20"/>
                <w:szCs w:val="20"/>
                <w:color w:val="auto"/>
              </w:rPr>
            </w:pPr>
            <w:r>
              <w:rPr>
                <w:rFonts w:ascii="Arial" w:cs="Arial" w:eastAsia="Arial" w:hAnsi="Arial"/>
                <w:sz w:val="9"/>
                <w:szCs w:val="9"/>
                <w:b w:val="1"/>
                <w:bCs w:val="1"/>
                <w:color w:val="auto"/>
                <w:w w:val="91"/>
              </w:rPr>
              <w:t>Stockholders'</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760" w:type="dxa"/>
            <w:vAlign w:val="bottom"/>
            <w:gridSpan w:val="2"/>
          </w:tcPr>
          <w:p>
            <w:pPr>
              <w:ind w:left="16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0"/>
                <w:szCs w:val="10"/>
                <w:color w:val="auto"/>
              </w:rPr>
            </w:pPr>
          </w:p>
        </w:tc>
        <w:tc>
          <w:tcPr>
            <w:tcW w:w="72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3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51,704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w w:val="91"/>
              </w:rPr>
              <w:t>(7,162)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w w:val="92"/>
              </w:rPr>
              <w:t>(82,087)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525,739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(33,261)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(334,319)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76,077</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1"/>
                <w:szCs w:val="11"/>
                <w:color w:val="auto"/>
              </w:rPr>
              <w:t>Stock 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11,246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11,246</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1"/>
                <w:szCs w:val="11"/>
                <w:color w:val="auto"/>
              </w:rPr>
              <w:t>Preferred stock dividends accrued</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(34,451)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(34,451)</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6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 attributable to Synchronoss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5,048</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1"/>
                <w:szCs w:val="11"/>
                <w:color w:val="auto"/>
              </w:rPr>
              <w:t>Adoption of new credit loss accounting standard</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(750)</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51,177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w w:val="91"/>
              </w:rPr>
              <w:t>(7,162)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1"/>
                <w:szCs w:val="11"/>
                <w:color w:val="auto"/>
                <w:w w:val="92"/>
              </w:rPr>
              <w:t>(82,087)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499,348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(28,213)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(345,771)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43,282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5"/>
              </w:rPr>
              <w:t>Twelve Months Ended December 31,</w:t>
            </w:r>
          </w:p>
        </w:tc>
        <w:tc>
          <w:tcPr>
            <w:tcW w:w="84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17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Net loss continuing operations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8"/>
              </w:rPr>
              <w:t>(10,358)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(103,467)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(245,280)</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Sale of discontinued operations, net of tax</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18,288</w:t>
            </w:r>
          </w:p>
        </w:tc>
      </w:tr>
      <w:tr>
        <w:trPr>
          <w:trHeight w:val="216"/>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42,672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77,037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97,092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Impairment of long-lived assets and capitalized software</w:t>
            </w:r>
          </w:p>
        </w:tc>
        <w:tc>
          <w:tcPr>
            <w:tcW w:w="8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11,462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financial instruments</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1,294</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extinguishment of debt</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Accrued PIK interest</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(7,037)</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Allowance for loan losses</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84,314</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Loss (earnings) from Equity method investments</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28,600</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Disposals of fixed assets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(Gain) loss on Disposals of intangible assets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bond premium</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11,137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27,604</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Cumulative adjustment to STI receivable</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impairment</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11,703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(21,521)</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(5,315)</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6,846</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8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(18,068)</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Deferred revenues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8"/>
              </w:rPr>
              <w:t>(43,200)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2,529</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8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(4,675)</w:t>
            </w: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32,583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(31,369)</w:t>
            </w:r>
          </w:p>
        </w:tc>
      </w:tr>
      <w:tr>
        <w:trPr>
          <w:trHeight w:val="219"/>
        </w:trPr>
        <w:tc>
          <w:tcPr>
            <w:tcW w:w="6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fixed assets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(11,656)</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Additions to capitalized software</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8"/>
              </w:rPr>
              <w:t>(16,665)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(14,372)</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intangible assets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Proceeds from the sale of intangibles</w:t>
            </w:r>
          </w:p>
        </w:tc>
        <w:tc>
          <w:tcPr>
            <w:tcW w:w="8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securities available for sale</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(36,789)</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Maturity of marketable securities available for sale</w:t>
            </w:r>
          </w:p>
        </w:tc>
        <w:tc>
          <w:tcPr>
            <w:tcW w:w="8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86,884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4,865</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investment</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Business acquired, net of cash</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(9,734)</w:t>
            </w:r>
          </w:p>
        </w:tc>
      </w:tr>
      <w:tr>
        <w:trPr>
          <w:trHeight w:val="18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(14,339)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19,377</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Share-based compensation-related proceeds, net of taxes paid on withholding shares</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on withholding shares</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Retirement of Convertible Senior Notes &amp; related costs</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(113,006)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(113,696)</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on revolving line of credit</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Repayment of revolving line of credit</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preferred stock</w:t>
            </w:r>
          </w:p>
        </w:tc>
        <w:tc>
          <w:tcPr>
            <w:tcW w:w="4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86,220</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Preferred dividend payment</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(7,075)</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capital obligations</w:t>
            </w:r>
          </w:p>
        </w:tc>
        <w:tc>
          <w:tcPr>
            <w:tcW w:w="4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9,991</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(121,257)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(35,885)</w:t>
            </w:r>
          </w:p>
        </w:tc>
      </w:tr>
      <w:tr>
        <w:trPr>
          <w:trHeight w:val="219"/>
        </w:trPr>
        <w:tc>
          <w:tcPr>
            <w:tcW w:w="6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Effect of exchange rate changes on cash</w:t>
            </w: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(1,729)</w:t>
            </w:r>
          </w:p>
        </w:tc>
      </w:tr>
      <w:tr>
        <w:trPr>
          <w:trHeight w:val="219"/>
        </w:trPr>
        <w:tc>
          <w:tcPr>
            <w:tcW w:w="69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(5,330)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(136,265)</w:t>
            </w: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39,001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109,860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246,125</w:t>
            </w:r>
          </w:p>
        </w:tc>
      </w:tr>
      <w:tr>
        <w:trPr>
          <w:trHeight w:val="186"/>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33,671</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39,001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109,860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income taxes</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6,138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22,549</w:t>
            </w:r>
          </w:p>
        </w:tc>
      </w:tr>
      <w:tr>
        <w:trPr>
          <w:trHeight w:val="186"/>
        </w:trPr>
        <w:tc>
          <w:tcPr>
            <w:tcW w:w="6940" w:type="dxa"/>
            <w:vAlign w:val="bottom"/>
          </w:tcPr>
          <w:p>
            <w:pPr>
              <w:ind w:left="220"/>
              <w:spacing w:after="0"/>
              <w:rPr>
                <w:sz w:val="20"/>
                <w:szCs w:val="20"/>
                <w:color w:val="auto"/>
              </w:rPr>
            </w:pPr>
            <w:r>
              <w:rPr>
                <w:rFonts w:ascii="Arial" w:cs="Arial" w:eastAsia="Arial" w:hAnsi="Arial"/>
                <w:sz w:val="14"/>
                <w:szCs w:val="14"/>
                <w:color w:val="auto"/>
              </w:rPr>
              <w:t>Cash refund for income taxes</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20,733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interest</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3,258</w:t>
            </w:r>
          </w:p>
        </w:tc>
      </w:tr>
      <w:tr>
        <w:trPr>
          <w:trHeight w:val="216"/>
        </w:trPr>
        <w:tc>
          <w:tcPr>
            <w:tcW w:w="6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2"/>
        </w:trPr>
        <w:tc>
          <w:tcPr>
            <w:tcW w:w="6940" w:type="dxa"/>
            <w:vAlign w:val="bottom"/>
          </w:tcPr>
          <w:p>
            <w:pPr>
              <w:ind w:left="220"/>
              <w:spacing w:after="0"/>
              <w:rPr>
                <w:sz w:val="20"/>
                <w:szCs w:val="20"/>
                <w:color w:val="auto"/>
              </w:rPr>
            </w:pPr>
            <w:r>
              <w:rPr>
                <w:rFonts w:ascii="Arial" w:cs="Arial" w:eastAsia="Arial" w:hAnsi="Arial"/>
                <w:sz w:val="14"/>
                <w:szCs w:val="14"/>
                <w:color w:val="auto"/>
              </w:rPr>
              <w:t>Paid in kind dividends on Series A Convertible Participating Perpetual Preferred Stock</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36,776</w:t>
            </w:r>
          </w:p>
        </w:tc>
        <w:tc>
          <w:tcPr>
            <w:tcW w:w="10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14,407</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7,075</w:t>
            </w:r>
          </w:p>
        </w:tc>
      </w:tr>
    </w:tbl>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Synchronoss Technologies, Inc. (“Synchronoss” or the “Company”) Digital, Cloud, Messaging and Total Network Management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15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White Label Personal Cloud: Cloud sync, backup, storage, device set up, content transfer and content engagement for user generated content.</w:t>
      </w:r>
    </w:p>
    <w:p>
      <w:pPr>
        <w:spacing w:after="0" w:line="46" w:lineRule="exact"/>
        <w:rPr>
          <w:rFonts w:ascii="Arial" w:cs="Arial" w:eastAsia="Arial" w:hAnsi="Arial"/>
          <w:sz w:val="16"/>
          <w:szCs w:val="16"/>
          <w:color w:val="auto"/>
        </w:rPr>
      </w:pPr>
    </w:p>
    <w:p>
      <w:pPr>
        <w:ind w:left="980" w:right="880" w:hanging="324"/>
        <w:spacing w:after="0" w:line="25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Messaging: White label consumer email solutions. Advanced, multi-channel messaging peer-to-peer (“P2P”) communications and application-to-person (“A2P”) commerce solutions.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Digital: Customer journey and workflow design, development, orchestration and experience management.</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Network Management (“TNM”)</w:t>
      </w:r>
      <w:r>
        <w:rPr>
          <w:rFonts w:ascii="Arial" w:cs="Arial" w:eastAsia="Arial" w:hAnsi="Arial"/>
          <w:sz w:val="18"/>
          <w:szCs w:val="18"/>
          <w:color w:val="008080"/>
        </w:rPr>
        <w:t>:</w:t>
      </w:r>
      <w:r>
        <w:rPr>
          <w:rFonts w:ascii="Arial" w:cs="Arial" w:eastAsia="Arial" w:hAnsi="Arial"/>
          <w:sz w:val="18"/>
          <w:szCs w:val="18"/>
          <w:color w:val="auto"/>
        </w:rPr>
        <w:t xml:space="preserve"> integrated application suite that designs, procures, manage</w:t>
      </w:r>
      <w:r>
        <w:rPr>
          <w:rFonts w:ascii="Arial" w:cs="Arial" w:eastAsia="Arial" w:hAnsi="Arial"/>
          <w:sz w:val="18"/>
          <w:szCs w:val="18"/>
          <w:color w:val="008080"/>
        </w:rPr>
        <w:t>s</w:t>
      </w:r>
      <w:r>
        <w:rPr>
          <w:rFonts w:ascii="Arial" w:cs="Arial" w:eastAsia="Arial" w:hAnsi="Arial"/>
          <w:sz w:val="18"/>
          <w:szCs w:val="18"/>
          <w:color w:val="auto"/>
        </w:rPr>
        <w:t xml:space="preserve"> and optimizes telecom network infrastructure.</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Synchronoss Digital Platform is a suite of technology, tools and solutions that includes digital experience creation and management, automated provisioning, artificial intelligence and financial analytics that service a broad swatch of TMT markets. The products equip customers with a toolkit of capabilities where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110"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6"/>
          <w:szCs w:val="16"/>
          <w:color w:val="auto"/>
        </w:rPr>
        <w:t>The Synchronoss Total Network Management application suite provides Operators with the tools and software to design their physical network, streamline their infrastructure purchases, and comprehensive network expense optimization and management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are many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year ended December 31, 2020,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1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5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Description</w:t>
            </w:r>
          </w:p>
        </w:tc>
        <w:tc>
          <w:tcPr>
            <w:tcW w:w="3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9"/>
              </w:rPr>
              <w:t>ASU 2016-13, ASU 2019-4</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6"/>
              </w:rPr>
              <w:t>In June 2016, the FASB issued ASU 2016-13 which replaces the incurred loss</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5"/>
              </w:rPr>
              <w:t>We adopted Topic 326 beginning on January 1, 2020</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5"/>
              </w:rPr>
              <w:t>Financial Instruments-Credit</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5"/>
              </w:rPr>
              <w:t>impairment methodology in current U.S. GAAP with a methodology that reflects</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6"/>
              </w:rPr>
              <w:t>using  the  modified  retrospective  approach  with  a</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Losses (Topic 326):</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1"/>
              </w:rPr>
              <w:t>expected credit losses and requires consideration of a broader range of reasonable</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7"/>
              </w:rPr>
              <w:t>cumulative  effect  adjustment  to  opening  retained</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Measurement of Credit</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4"/>
              </w:rPr>
              <w:t>and supportable information to inform credit loss estimates. The ASU is effective</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9"/>
              </w:rPr>
              <w:t>earnings recorded at the beginning of the period of</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Losses on Financial</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5"/>
              </w:rPr>
              <w:t>for public companies in annual periods beginning after December 15, 2019, and</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4"/>
              </w:rPr>
              <w:t>adoption. Upon adoption, we changed our impairment</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Instruments</w:t>
            </w: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w w:val="98"/>
              </w:rPr>
              <w:t>interim periods within those years. Early adoption is permitted beginning after</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rPr>
              <w:t>model to utilize a forward-looking current expected</w:t>
            </w:r>
          </w:p>
        </w:tc>
      </w:tr>
      <w:tr>
        <w:trPr>
          <w:trHeight w:val="162"/>
        </w:trPr>
        <w:tc>
          <w:tcPr>
            <w:tcW w:w="1960" w:type="dxa"/>
            <w:vAlign w:val="bottom"/>
          </w:tcPr>
          <w:p>
            <w:pPr>
              <w:spacing w:after="0"/>
              <w:rPr>
                <w:sz w:val="14"/>
                <w:szCs w:val="14"/>
                <w:color w:val="auto"/>
              </w:rPr>
            </w:pPr>
          </w:p>
        </w:tc>
        <w:tc>
          <w:tcPr>
            <w:tcW w:w="5460" w:type="dxa"/>
            <w:vAlign w:val="bottom"/>
          </w:tcPr>
          <w:p>
            <w:pPr>
              <w:ind w:left="80"/>
              <w:spacing w:after="0" w:line="162" w:lineRule="exact"/>
              <w:rPr>
                <w:sz w:val="20"/>
                <w:szCs w:val="20"/>
                <w:color w:val="auto"/>
              </w:rPr>
            </w:pPr>
            <w:r>
              <w:rPr>
                <w:rFonts w:ascii="Arial" w:cs="Arial" w:eastAsia="Arial" w:hAnsi="Arial"/>
                <w:sz w:val="16"/>
                <w:szCs w:val="16"/>
                <w:color w:val="auto"/>
              </w:rPr>
              <w:t>December 15, 2018 and interim periods within those years.</w:t>
            </w: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9"/>
              </w:rPr>
              <w:t>credit losses (CECL) model in place of the incurred</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5"/>
              </w:rPr>
              <w:t>loss methodology for financial instruments measured</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6"/>
              </w:rPr>
              <w:t>at amortized cost, including our accounts receivable.</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4"/>
              </w:rPr>
              <w:t>CECL estimates on accounts receivable are recorded</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9"/>
              </w:rPr>
              <w:t>as  general  and  administrative  expenses  on  our</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7"/>
              </w:rPr>
              <w:t>condensed consolidated statements of income. The</w:t>
            </w:r>
          </w:p>
        </w:tc>
      </w:tr>
      <w:tr>
        <w:trPr>
          <w:trHeight w:val="162"/>
        </w:trPr>
        <w:tc>
          <w:tcPr>
            <w:tcW w:w="1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80" w:type="dxa"/>
            <w:vAlign w:val="bottom"/>
          </w:tcPr>
          <w:p>
            <w:pPr>
              <w:ind w:left="80"/>
              <w:spacing w:after="0" w:line="162" w:lineRule="exact"/>
              <w:rPr>
                <w:sz w:val="20"/>
                <w:szCs w:val="20"/>
                <w:color w:val="auto"/>
              </w:rPr>
            </w:pPr>
            <w:r>
              <w:rPr>
                <w:rFonts w:ascii="Arial" w:cs="Arial" w:eastAsia="Arial" w:hAnsi="Arial"/>
                <w:sz w:val="16"/>
                <w:szCs w:val="16"/>
                <w:color w:val="auto"/>
                <w:w w:val="99"/>
              </w:rPr>
              <w:t>cumulative  effect  adjustment  from  adoption  was</w:t>
            </w:r>
          </w:p>
        </w:tc>
      </w:tr>
      <w:tr>
        <w:trPr>
          <w:trHeight w:val="206"/>
        </w:trPr>
        <w:tc>
          <w:tcPr>
            <w:tcW w:w="19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Arial" w:cs="Arial" w:eastAsia="Arial" w:hAnsi="Arial"/>
                <w:sz w:val="16"/>
                <w:szCs w:val="16"/>
                <w:color w:val="auto"/>
                <w:w w:val="98"/>
              </w:rPr>
              <w:t>immaterial to our consolidated financial statements.</w:t>
            </w:r>
          </w:p>
        </w:tc>
      </w:tr>
      <w:tr>
        <w:trPr>
          <w:trHeight w:val="172"/>
        </w:trPr>
        <w:tc>
          <w:tcPr>
            <w:tcW w:w="1960" w:type="dxa"/>
            <w:vAlign w:val="bottom"/>
          </w:tcPr>
          <w:p>
            <w:pPr>
              <w:ind w:left="20"/>
              <w:spacing w:after="0" w:line="171" w:lineRule="exact"/>
              <w:rPr>
                <w:sz w:val="20"/>
                <w:szCs w:val="20"/>
                <w:color w:val="auto"/>
              </w:rPr>
            </w:pPr>
            <w:r>
              <w:rPr>
                <w:rFonts w:ascii="Arial" w:cs="Arial" w:eastAsia="Arial" w:hAnsi="Arial"/>
                <w:sz w:val="16"/>
                <w:szCs w:val="16"/>
                <w:color w:val="auto"/>
                <w:w w:val="95"/>
              </w:rPr>
              <w:t>Date of adoption: January 1,</w:t>
            </w:r>
          </w:p>
        </w:tc>
        <w:tc>
          <w:tcPr>
            <w:tcW w:w="5460" w:type="dxa"/>
            <w:vAlign w:val="bottom"/>
          </w:tcPr>
          <w:p>
            <w:pPr>
              <w:spacing w:after="0"/>
              <w:rPr>
                <w:sz w:val="14"/>
                <w:szCs w:val="14"/>
                <w:color w:val="auto"/>
              </w:rPr>
            </w:pPr>
          </w:p>
        </w:tc>
        <w:tc>
          <w:tcPr>
            <w:tcW w:w="3680" w:type="dxa"/>
            <w:vAlign w:val="bottom"/>
          </w:tcPr>
          <w:p>
            <w:pPr>
              <w:spacing w:after="0"/>
              <w:rPr>
                <w:sz w:val="14"/>
                <w:szCs w:val="14"/>
                <w:color w:val="auto"/>
              </w:rPr>
            </w:pPr>
          </w:p>
        </w:tc>
      </w:tr>
      <w:tr>
        <w:trPr>
          <w:trHeight w:val="20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54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6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Description</w:t>
            </w:r>
          </w:p>
        </w:tc>
        <w:tc>
          <w:tcPr>
            <w:tcW w:w="2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Effect on the financial statements</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color w:val="auto"/>
              </w:rPr>
              <w:t>Update 2019-12 - Income</w:t>
            </w: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rPr>
              <w:t>The ASU removes the exception to the general principles in ASC 740, Income Taxes,</w:t>
            </w:r>
          </w:p>
        </w:tc>
        <w:tc>
          <w:tcPr>
            <w:tcW w:w="2960" w:type="dxa"/>
            <w:vAlign w:val="bottom"/>
          </w:tcPr>
          <w:p>
            <w:pPr>
              <w:ind w:left="60"/>
              <w:spacing w:after="0" w:line="162" w:lineRule="exact"/>
              <w:rPr>
                <w:sz w:val="20"/>
                <w:szCs w:val="20"/>
                <w:color w:val="auto"/>
              </w:rPr>
            </w:pPr>
            <w:r>
              <w:rPr>
                <w:rFonts w:ascii="Arial" w:cs="Arial" w:eastAsia="Arial" w:hAnsi="Arial"/>
                <w:sz w:val="16"/>
                <w:szCs w:val="16"/>
                <w:color w:val="auto"/>
                <w:w w:val="96"/>
              </w:rPr>
              <w:t>The Company continues to evaluate these</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color w:val="auto"/>
              </w:rPr>
              <w:t>Taxes (Topic 740)</w:t>
            </w: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4"/>
              </w:rPr>
              <w:t>associated with the incremental approach for intra-period tax allocation, accounting for basis</w:t>
            </w:r>
          </w:p>
        </w:tc>
        <w:tc>
          <w:tcPr>
            <w:tcW w:w="2960" w:type="dxa"/>
            <w:vAlign w:val="bottom"/>
          </w:tcPr>
          <w:p>
            <w:pPr>
              <w:ind w:left="60"/>
              <w:spacing w:after="0" w:line="162" w:lineRule="exact"/>
              <w:rPr>
                <w:sz w:val="20"/>
                <w:szCs w:val="20"/>
                <w:color w:val="auto"/>
              </w:rPr>
            </w:pPr>
            <w:r>
              <w:rPr>
                <w:rFonts w:ascii="Arial" w:cs="Arial" w:eastAsia="Arial" w:hAnsi="Arial"/>
                <w:sz w:val="16"/>
                <w:szCs w:val="16"/>
                <w:color w:val="auto"/>
              </w:rPr>
              <w:t>changes  and  does  not  anticipate  any</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color w:val="auto"/>
              </w:rPr>
              <w:t>Simplifying the Accounting</w:t>
            </w: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8"/>
              </w:rPr>
              <w:t>differences when there are ownership changes in foreign investments and interim-period</w:t>
            </w:r>
          </w:p>
        </w:tc>
        <w:tc>
          <w:tcPr>
            <w:tcW w:w="2960" w:type="dxa"/>
            <w:vAlign w:val="bottom"/>
          </w:tcPr>
          <w:p>
            <w:pPr>
              <w:ind w:left="60"/>
              <w:spacing w:after="0" w:line="162" w:lineRule="exact"/>
              <w:rPr>
                <w:sz w:val="20"/>
                <w:szCs w:val="20"/>
                <w:color w:val="auto"/>
              </w:rPr>
            </w:pPr>
            <w:r>
              <w:rPr>
                <w:rFonts w:ascii="Arial" w:cs="Arial" w:eastAsia="Arial" w:hAnsi="Arial"/>
                <w:sz w:val="16"/>
                <w:szCs w:val="16"/>
                <w:color w:val="auto"/>
              </w:rPr>
              <w:t>material   impact   on   the   Company’s</w:t>
            </w:r>
          </w:p>
        </w:tc>
      </w:tr>
      <w:tr>
        <w:trPr>
          <w:trHeight w:val="162"/>
        </w:trPr>
        <w:tc>
          <w:tcPr>
            <w:tcW w:w="1940" w:type="dxa"/>
            <w:vAlign w:val="bottom"/>
          </w:tcPr>
          <w:p>
            <w:pPr>
              <w:ind w:left="20"/>
              <w:spacing w:after="0" w:line="162" w:lineRule="exact"/>
              <w:rPr>
                <w:sz w:val="20"/>
                <w:szCs w:val="20"/>
                <w:color w:val="auto"/>
              </w:rPr>
            </w:pPr>
            <w:r>
              <w:rPr>
                <w:rFonts w:ascii="Arial" w:cs="Arial" w:eastAsia="Arial" w:hAnsi="Arial"/>
                <w:sz w:val="16"/>
                <w:szCs w:val="16"/>
                <w:color w:val="auto"/>
              </w:rPr>
              <w:t>for Income Taxes</w:t>
            </w: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3"/>
              </w:rPr>
              <w:t>income tax accounting for year-to-date losses that exceed anticipated losses. In addition, the</w:t>
            </w:r>
          </w:p>
        </w:tc>
        <w:tc>
          <w:tcPr>
            <w:tcW w:w="2960" w:type="dxa"/>
            <w:vAlign w:val="bottom"/>
          </w:tcPr>
          <w:p>
            <w:pPr>
              <w:ind w:left="60"/>
              <w:spacing w:after="0" w:line="162" w:lineRule="exact"/>
              <w:rPr>
                <w:sz w:val="20"/>
                <w:szCs w:val="20"/>
                <w:color w:val="auto"/>
              </w:rPr>
            </w:pPr>
            <w:r>
              <w:rPr>
                <w:rFonts w:ascii="Arial" w:cs="Arial" w:eastAsia="Arial" w:hAnsi="Arial"/>
                <w:sz w:val="16"/>
                <w:szCs w:val="16"/>
                <w:color w:val="auto"/>
                <w:w w:val="95"/>
              </w:rPr>
              <w:t>consolidated financial position or results of</w:t>
            </w:r>
          </w:p>
        </w:tc>
      </w:tr>
      <w:tr>
        <w:trPr>
          <w:trHeight w:val="162"/>
        </w:trPr>
        <w:tc>
          <w:tcPr>
            <w:tcW w:w="1940" w:type="dxa"/>
            <w:vAlign w:val="bottom"/>
          </w:tcPr>
          <w:p>
            <w:pPr>
              <w:spacing w:after="0"/>
              <w:rPr>
                <w:sz w:val="14"/>
                <w:szCs w:val="14"/>
                <w:color w:val="auto"/>
              </w:rPr>
            </w:pP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9"/>
              </w:rPr>
              <w:t>ASU improves the application of income tax related guidance and simplifies U.S. GAAP</w:t>
            </w:r>
          </w:p>
        </w:tc>
        <w:tc>
          <w:tcPr>
            <w:tcW w:w="2960" w:type="dxa"/>
            <w:vAlign w:val="bottom"/>
          </w:tcPr>
          <w:p>
            <w:pPr>
              <w:ind w:left="60"/>
              <w:spacing w:after="0" w:line="162" w:lineRule="exact"/>
              <w:rPr>
                <w:sz w:val="20"/>
                <w:szCs w:val="20"/>
                <w:color w:val="auto"/>
              </w:rPr>
            </w:pPr>
            <w:r>
              <w:rPr>
                <w:rFonts w:ascii="Arial" w:cs="Arial" w:eastAsia="Arial" w:hAnsi="Arial"/>
                <w:sz w:val="16"/>
                <w:szCs w:val="16"/>
                <w:color w:val="auto"/>
              </w:rPr>
              <w:t>operations upon adoption.</w:t>
            </w:r>
          </w:p>
        </w:tc>
      </w:tr>
      <w:tr>
        <w:trPr>
          <w:trHeight w:val="162"/>
        </w:trPr>
        <w:tc>
          <w:tcPr>
            <w:tcW w:w="1940" w:type="dxa"/>
            <w:vAlign w:val="bottom"/>
          </w:tcPr>
          <w:p>
            <w:pPr>
              <w:spacing w:after="0"/>
              <w:rPr>
                <w:sz w:val="14"/>
                <w:szCs w:val="14"/>
                <w:color w:val="auto"/>
              </w:rPr>
            </w:pP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8"/>
              </w:rPr>
              <w:t>when accounting for franchise taxes that are partially based on income, transactions with</w:t>
            </w:r>
          </w:p>
        </w:tc>
        <w:tc>
          <w:tcPr>
            <w:tcW w:w="29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3"/>
              </w:rPr>
              <w:t>government resulting in a step-up in tax basis goodwill, separate financial statements of legal</w:t>
            </w:r>
          </w:p>
        </w:tc>
        <w:tc>
          <w:tcPr>
            <w:tcW w:w="29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rPr>
              <w:t>entities not subject to tax, and enacted changes in tax laws in interim periods. Different</w:t>
            </w:r>
          </w:p>
        </w:tc>
        <w:tc>
          <w:tcPr>
            <w:tcW w:w="29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6280" w:type="dxa"/>
            <w:vAlign w:val="bottom"/>
          </w:tcPr>
          <w:p>
            <w:pPr>
              <w:ind w:left="100"/>
              <w:spacing w:after="0" w:line="162" w:lineRule="exact"/>
              <w:rPr>
                <w:sz w:val="20"/>
                <w:szCs w:val="20"/>
                <w:color w:val="auto"/>
              </w:rPr>
            </w:pPr>
            <w:r>
              <w:rPr>
                <w:rFonts w:ascii="Arial" w:cs="Arial" w:eastAsia="Arial" w:hAnsi="Arial"/>
                <w:sz w:val="16"/>
                <w:szCs w:val="16"/>
                <w:color w:val="auto"/>
                <w:w w:val="93"/>
              </w:rPr>
              <w:t>transition approaches, retrospective, modified retrospective, or prospective, will apply to each</w:t>
            </w:r>
          </w:p>
        </w:tc>
        <w:tc>
          <w:tcPr>
            <w:tcW w:w="2960" w:type="dxa"/>
            <w:vAlign w:val="bottom"/>
          </w:tcPr>
          <w:p>
            <w:pPr>
              <w:spacing w:after="0"/>
              <w:rPr>
                <w:sz w:val="14"/>
                <w:szCs w:val="14"/>
                <w:color w:val="auto"/>
              </w:rPr>
            </w:pPr>
          </w:p>
        </w:tc>
      </w:tr>
      <w:tr>
        <w:trPr>
          <w:trHeight w:val="206"/>
        </w:trPr>
        <w:tc>
          <w:tcPr>
            <w:tcW w:w="194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income tax simplification provision.</w:t>
            </w:r>
          </w:p>
        </w:tc>
        <w:tc>
          <w:tcPr>
            <w:tcW w:w="2960" w:type="dxa"/>
            <w:vAlign w:val="bottom"/>
          </w:tcPr>
          <w:p>
            <w:pPr>
              <w:spacing w:after="0"/>
              <w:rPr>
                <w:sz w:val="17"/>
                <w:szCs w:val="17"/>
                <w:color w:val="auto"/>
              </w:rPr>
            </w:pPr>
          </w:p>
        </w:tc>
      </w:tr>
      <w:tr>
        <w:trPr>
          <w:trHeight w:val="172"/>
        </w:trPr>
        <w:tc>
          <w:tcPr>
            <w:tcW w:w="1940" w:type="dxa"/>
            <w:vAlign w:val="bottom"/>
          </w:tcPr>
          <w:p>
            <w:pPr>
              <w:ind w:left="20"/>
              <w:spacing w:after="0" w:line="171" w:lineRule="exact"/>
              <w:rPr>
                <w:sz w:val="20"/>
                <w:szCs w:val="20"/>
                <w:color w:val="auto"/>
              </w:rPr>
            </w:pPr>
            <w:r>
              <w:rPr>
                <w:rFonts w:ascii="Arial" w:cs="Arial" w:eastAsia="Arial" w:hAnsi="Arial"/>
                <w:sz w:val="16"/>
                <w:szCs w:val="16"/>
                <w:color w:val="auto"/>
              </w:rPr>
              <w:t>Planned date of adoption:</w:t>
            </w:r>
          </w:p>
        </w:tc>
        <w:tc>
          <w:tcPr>
            <w:tcW w:w="62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9"/>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2021.</w:t>
            </w:r>
          </w:p>
        </w:tc>
        <w:tc>
          <w:tcPr>
            <w:tcW w:w="6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2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basis over remaining expected customer relationship period. Revenues are presented net of discounts, which are volume level driven.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reviews and update these estimates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When Performance Obligation is Typically</w:t>
            </w:r>
          </w:p>
        </w:tc>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When Payment is Typically Due</w:t>
            </w:r>
          </w:p>
        </w:tc>
        <w:tc>
          <w:tcPr>
            <w:tcW w:w="2740" w:type="dxa"/>
            <w:vAlign w:val="bottom"/>
          </w:tcPr>
          <w:p>
            <w:pPr>
              <w:ind w:left="20"/>
              <w:spacing w:after="0"/>
              <w:rPr>
                <w:sz w:val="20"/>
                <w:szCs w:val="20"/>
                <w:color w:val="auto"/>
              </w:rPr>
            </w:pPr>
            <w:r>
              <w:rPr>
                <w:rFonts w:ascii="Arial" w:cs="Arial" w:eastAsia="Arial" w:hAnsi="Arial"/>
                <w:sz w:val="14"/>
                <w:szCs w:val="14"/>
                <w:b w:val="1"/>
                <w:bCs w:val="1"/>
                <w:color w:val="auto"/>
                <w:w w:val="97"/>
              </w:rPr>
              <w:t>How Standalone Selling Price is Typically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gridSpan w:val="3"/>
            <w:vMerge w:val="continue"/>
          </w:tcPr>
          <w:p>
            <w:pPr>
              <w:spacing w:after="0"/>
              <w:rPr>
                <w:sz w:val="16"/>
                <w:szCs w:val="16"/>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Satisfied</w:t>
            </w:r>
          </w:p>
        </w:tc>
        <w:tc>
          <w:tcPr>
            <w:tcW w:w="2820" w:type="dxa"/>
            <w:vAlign w:val="bottom"/>
            <w:gridSpan w:val="2"/>
            <w:vMerge w:val="continue"/>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4"/>
        </w:trPr>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0"/>
              </w:rPr>
              <w:t>Software License</w:t>
            </w: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7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7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3"/>
          </w:tcPr>
          <w:p>
            <w:pPr>
              <w:ind w:left="120"/>
              <w:spacing w:after="0" w:line="135" w:lineRule="exact"/>
              <w:rPr>
                <w:sz w:val="20"/>
                <w:szCs w:val="20"/>
                <w:color w:val="auto"/>
              </w:rPr>
            </w:pPr>
            <w:r>
              <w:rPr>
                <w:rFonts w:ascii="Arial" w:cs="Arial" w:eastAsia="Arial" w:hAnsi="Arial"/>
                <w:sz w:val="14"/>
                <w:szCs w:val="14"/>
                <w:color w:val="auto"/>
              </w:rPr>
              <w:t>Software License</w:t>
            </w:r>
          </w:p>
        </w:tc>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Upon shipment or made available for</w:t>
            </w:r>
          </w:p>
        </w:tc>
        <w:tc>
          <w:tcPr>
            <w:tcW w:w="2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Within 90 days of delivery</w:t>
            </w:r>
          </w:p>
        </w:tc>
        <w:tc>
          <w:tcPr>
            <w:tcW w:w="2740" w:type="dxa"/>
            <w:vAlign w:val="bottom"/>
          </w:tcPr>
          <w:p>
            <w:pPr>
              <w:ind w:left="20"/>
              <w:spacing w:after="0" w:line="135" w:lineRule="exact"/>
              <w:rPr>
                <w:sz w:val="20"/>
                <w:szCs w:val="20"/>
                <w:color w:val="auto"/>
              </w:rPr>
            </w:pPr>
            <w:r>
              <w:rPr>
                <w:rFonts w:ascii="Arial" w:cs="Arial" w:eastAsia="Arial" w:hAnsi="Arial"/>
                <w:sz w:val="14"/>
                <w:szCs w:val="14"/>
                <w:color w:val="auto"/>
                <w:w w:val="95"/>
              </w:rPr>
              <w:t>Observable transactions or residual approach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download (point in time)</w:t>
            </w: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4"/>
                <w:szCs w:val="14"/>
                <w:color w:val="auto"/>
                <w:w w:val="99"/>
              </w:rPr>
              <w:t>when prices are highly variable or uncertain</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800" w:type="dxa"/>
            <w:vAlign w:val="bottom"/>
            <w:gridSpan w:val="3"/>
            <w:shd w:val="clear" w:color="auto" w:fill="CCEEFF"/>
          </w:tcPr>
          <w:p>
            <w:pPr>
              <w:ind w:left="120"/>
              <w:spacing w:after="0" w:line="139" w:lineRule="exact"/>
              <w:rPr>
                <w:sz w:val="20"/>
                <w:szCs w:val="20"/>
                <w:color w:val="auto"/>
              </w:rPr>
            </w:pPr>
            <w:r>
              <w:rPr>
                <w:rFonts w:ascii="Arial" w:cs="Arial" w:eastAsia="Arial" w:hAnsi="Arial"/>
                <w:sz w:val="14"/>
                <w:szCs w:val="14"/>
                <w:color w:val="auto"/>
              </w:rPr>
              <w:t>Software License with significant</w:t>
            </w:r>
          </w:p>
        </w:tc>
        <w:tc>
          <w:tcPr>
            <w:tcW w:w="2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Over the performance of the customization and</w:t>
            </w:r>
          </w:p>
        </w:tc>
        <w:tc>
          <w:tcPr>
            <w:tcW w:w="2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Within 90 days of services</w:t>
            </w:r>
          </w:p>
        </w:tc>
        <w:tc>
          <w:tcPr>
            <w:tcW w:w="27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Residual approach</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customization</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installation of the software (over time)</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being performed</w:t>
            </w:r>
          </w:p>
        </w:tc>
        <w:tc>
          <w:tcPr>
            <w:tcW w:w="2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40"/>
        <w:spacing w:after="0"/>
        <w:tabs>
          <w:tab w:leader="none" w:pos="2820" w:val="left"/>
        </w:tabs>
        <w:rPr>
          <w:sz w:val="20"/>
          <w:szCs w:val="20"/>
          <w:color w:val="auto"/>
        </w:rPr>
      </w:pPr>
      <w:r>
        <w:rPr>
          <w:rFonts w:ascii="Arial" w:cs="Arial" w:eastAsia="Arial" w:hAnsi="Arial"/>
          <w:sz w:val="14"/>
          <w:szCs w:val="14"/>
          <w:color w:val="auto"/>
        </w:rPr>
        <w:t>Hosting Services</w:t>
      </w:r>
      <w:r>
        <w:rPr>
          <w:sz w:val="20"/>
          <w:szCs w:val="20"/>
          <w:color w:val="auto"/>
        </w:rPr>
        <w:tab/>
      </w:r>
      <w:r>
        <w:rPr>
          <w:rFonts w:ascii="Arial" w:cs="Arial" w:eastAsia="Arial" w:hAnsi="Arial"/>
          <w:sz w:val="13"/>
          <w:szCs w:val="13"/>
          <w:color w:val="auto"/>
        </w:rPr>
        <w:t>As hosting services are provided (over time)</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Estimated using a cost-plus margin approach</w:t>
      </w:r>
    </w:p>
    <w:p>
      <w:pPr>
        <w:spacing w:after="0"/>
        <w:rPr>
          <w:sz w:val="20"/>
          <w:szCs w:val="20"/>
          <w:color w:val="auto"/>
        </w:rPr>
      </w:pPr>
      <w:r>
        <w:rPr>
          <w:rFonts w:ascii="Arial" w:cs="Arial" w:eastAsia="Arial" w:hAnsi="Arial"/>
          <w:sz w:val="14"/>
          <w:szCs w:val="14"/>
          <w:color w:val="auto"/>
        </w:rPr>
        <w:t>being provided</w:t>
      </w:r>
    </w:p>
    <w:p>
      <w:pPr>
        <w:spacing w:after="0" w:line="12" w:lineRule="exact"/>
        <w:rPr>
          <w:sz w:val="20"/>
          <w:szCs w:val="20"/>
          <w:color w:val="auto"/>
        </w:rPr>
      </w:pPr>
    </w:p>
    <w:p>
      <w:pPr>
        <w:sectPr>
          <w:pgSz w:w="11900" w:h="16838" w:orient="portrait"/>
          <w:cols w:equalWidth="0" w:num="2">
            <w:col w:w="5400" w:space="300"/>
            <w:col w:w="55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u w:val="single" w:color="auto"/>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55" w:lineRule="exact"/>
        <w:rPr>
          <w:sz w:val="20"/>
          <w:szCs w:val="20"/>
          <w:color w:val="auto"/>
        </w:rPr>
      </w:pPr>
    </w:p>
    <w:p>
      <w:pPr>
        <w:ind w:left="140"/>
        <w:spacing w:after="0"/>
        <w:tabs>
          <w:tab w:leader="none" w:pos="2820" w:val="left"/>
        </w:tabs>
        <w:rPr>
          <w:sz w:val="20"/>
          <w:szCs w:val="20"/>
          <w:color w:val="auto"/>
        </w:rPr>
      </w:pPr>
      <w:r>
        <w:rPr>
          <w:rFonts w:ascii="Arial" w:cs="Arial" w:eastAsia="Arial" w:hAnsi="Arial"/>
          <w:sz w:val="13"/>
          <w:szCs w:val="13"/>
          <w:color w:val="auto"/>
        </w:rPr>
        <w:t>Consulting</w:t>
      </w:r>
      <w:r>
        <w:rPr>
          <w:sz w:val="20"/>
          <w:szCs w:val="20"/>
          <w:color w:val="auto"/>
        </w:rPr>
        <w:tab/>
      </w:r>
      <w:r>
        <w:rPr>
          <w:rFonts w:ascii="Arial" w:cs="Arial" w:eastAsia="Arial" w:hAnsi="Arial"/>
          <w:sz w:val="13"/>
          <w:szCs w:val="13"/>
          <w:color w:val="auto"/>
        </w:rPr>
        <w:t>As work is performed (over time)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280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1"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shd w:val="clear" w:color="auto" w:fill="CCEEFF"/>
          </w:tcPr>
          <w:p>
            <w:pPr>
              <w:spacing w:after="0"/>
              <w:rPr>
                <w:sz w:val="13"/>
                <w:szCs w:val="13"/>
                <w:color w:val="auto"/>
              </w:rPr>
            </w:pPr>
          </w:p>
        </w:tc>
        <w:tc>
          <w:tcPr>
            <w:tcW w:w="2080" w:type="dxa"/>
            <w:vAlign w:val="bottom"/>
            <w:gridSpan w:val="3"/>
            <w:shd w:val="clear" w:color="auto" w:fill="CCEEFF"/>
          </w:tcPr>
          <w:p>
            <w:pPr>
              <w:ind w:left="120"/>
              <w:spacing w:after="0" w:line="156" w:lineRule="exact"/>
              <w:rPr>
                <w:sz w:val="20"/>
                <w:szCs w:val="20"/>
                <w:color w:val="auto"/>
              </w:rPr>
            </w:pPr>
            <w:r>
              <w:rPr>
                <w:rFonts w:ascii="Arial" w:cs="Arial" w:eastAsia="Arial" w:hAnsi="Arial"/>
                <w:sz w:val="14"/>
                <w:szCs w:val="14"/>
                <w:color w:val="auto"/>
              </w:rPr>
              <w:t>Customization</w:t>
            </w:r>
          </w:p>
        </w:tc>
        <w:tc>
          <w:tcPr>
            <w:tcW w:w="3480" w:type="dxa"/>
            <w:vAlign w:val="bottom"/>
            <w:shd w:val="clear" w:color="auto" w:fill="CCEEFF"/>
          </w:tcPr>
          <w:p>
            <w:pPr>
              <w:ind w:left="740"/>
              <w:spacing w:after="0" w:line="156" w:lineRule="exact"/>
              <w:rPr>
                <w:sz w:val="20"/>
                <w:szCs w:val="20"/>
                <w:color w:val="auto"/>
              </w:rPr>
            </w:pPr>
            <w:r>
              <w:rPr>
                <w:rFonts w:ascii="Arial" w:cs="Arial" w:eastAsia="Arial" w:hAnsi="Arial"/>
                <w:sz w:val="14"/>
                <w:szCs w:val="14"/>
                <w:color w:val="auto"/>
              </w:rPr>
              <w:t>SaaS: Over the remaining term of the SaaS</w:t>
            </w:r>
          </w:p>
        </w:tc>
        <w:tc>
          <w:tcPr>
            <w:tcW w:w="23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Within 90 days of services</w:t>
            </w:r>
          </w:p>
        </w:tc>
        <w:tc>
          <w:tcPr>
            <w:tcW w:w="3280" w:type="dxa"/>
            <w:vAlign w:val="bottom"/>
            <w:shd w:val="clear" w:color="auto" w:fill="CCEEFF"/>
          </w:tcPr>
          <w:p>
            <w:pPr>
              <w:ind w:left="560"/>
              <w:spacing w:after="0" w:line="156" w:lineRule="exact"/>
              <w:rPr>
                <w:sz w:val="20"/>
                <w:szCs w:val="20"/>
                <w:color w:val="auto"/>
              </w:rPr>
            </w:pPr>
            <w:r>
              <w:rPr>
                <w:rFonts w:ascii="Arial" w:cs="Arial" w:eastAsia="Arial" w:hAnsi="Arial"/>
                <w:sz w:val="14"/>
                <w:szCs w:val="14"/>
                <w:color w:val="auto"/>
              </w:rPr>
              <w:t>Observable transactions</w:t>
            </w:r>
          </w:p>
        </w:tc>
      </w:tr>
      <w:tr>
        <w:trPr>
          <w:trHeight w:val="182"/>
        </w:trPr>
        <w:tc>
          <w:tcPr>
            <w:tcW w:w="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agreement</w:t>
            </w:r>
          </w:p>
        </w:tc>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being performed</w:t>
            </w:r>
          </w:p>
        </w:tc>
        <w:tc>
          <w:tcPr>
            <w:tcW w:w="3280" w:type="dxa"/>
            <w:vAlign w:val="bottom"/>
            <w:shd w:val="clear" w:color="auto" w:fill="CCEEFF"/>
          </w:tcPr>
          <w:p>
            <w:pPr>
              <w:spacing w:after="0"/>
              <w:rPr>
                <w:sz w:val="15"/>
                <w:szCs w:val="15"/>
                <w:color w:val="auto"/>
              </w:rPr>
            </w:pPr>
          </w:p>
        </w:tc>
      </w:tr>
      <w:tr>
        <w:trPr>
          <w:trHeight w:val="223"/>
        </w:trPr>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License: Over the performance of the</w:t>
            </w:r>
          </w:p>
        </w:tc>
        <w:tc>
          <w:tcPr>
            <w:tcW w:w="238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r>
      <w:tr>
        <w:trPr>
          <w:trHeight w:val="135"/>
        </w:trPr>
        <w:tc>
          <w:tcPr>
            <w:tcW w:w="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80" w:type="dxa"/>
            <w:vAlign w:val="bottom"/>
            <w:shd w:val="clear" w:color="auto" w:fill="CCEEFF"/>
          </w:tcPr>
          <w:p>
            <w:pPr>
              <w:ind w:left="740"/>
              <w:spacing w:after="0" w:line="135" w:lineRule="exact"/>
              <w:rPr>
                <w:sz w:val="20"/>
                <w:szCs w:val="20"/>
                <w:color w:val="auto"/>
              </w:rPr>
            </w:pPr>
            <w:r>
              <w:rPr>
                <w:rFonts w:ascii="Arial" w:cs="Arial" w:eastAsia="Arial" w:hAnsi="Arial"/>
                <w:sz w:val="14"/>
                <w:szCs w:val="14"/>
                <w:color w:val="auto"/>
                <w:w w:val="97"/>
              </w:rPr>
              <w:t>customization and installation of the software</w:t>
            </w:r>
          </w:p>
        </w:tc>
        <w:tc>
          <w:tcPr>
            <w:tcW w:w="238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r>
      <w:tr>
        <w:trPr>
          <w:trHeight w:val="189"/>
        </w:trPr>
        <w:tc>
          <w:tcPr>
            <w:tcW w:w="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(over time)</w:t>
            </w:r>
          </w:p>
        </w:tc>
        <w:tc>
          <w:tcPr>
            <w:tcW w:w="238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Transaction Services</w:t>
            </w:r>
          </w:p>
        </w:tc>
        <w:tc>
          <w:tcPr>
            <w:tcW w:w="3480" w:type="dxa"/>
            <w:vAlign w:val="bottom"/>
          </w:tcPr>
          <w:p>
            <w:pPr>
              <w:ind w:left="740"/>
              <w:spacing w:after="0" w:line="149" w:lineRule="exact"/>
              <w:rPr>
                <w:sz w:val="20"/>
                <w:szCs w:val="20"/>
                <w:color w:val="auto"/>
              </w:rPr>
            </w:pPr>
            <w:r>
              <w:rPr>
                <w:rFonts w:ascii="Arial" w:cs="Arial" w:eastAsia="Arial" w:hAnsi="Arial"/>
                <w:sz w:val="14"/>
                <w:szCs w:val="14"/>
                <w:color w:val="auto"/>
              </w:rPr>
              <w:t>As transaction is processed (over time)</w:t>
            </w: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Within 90 days of transaction</w:t>
            </w:r>
          </w:p>
        </w:tc>
        <w:tc>
          <w:tcPr>
            <w:tcW w:w="3280" w:type="dxa"/>
            <w:vAlign w:val="bottom"/>
          </w:tcPr>
          <w:p>
            <w:pPr>
              <w:ind w:left="560"/>
              <w:spacing w:after="0" w:line="149" w:lineRule="exact"/>
              <w:rPr>
                <w:sz w:val="20"/>
                <w:szCs w:val="20"/>
                <w:color w:val="auto"/>
              </w:rPr>
            </w:pPr>
            <w:r>
              <w:rPr>
                <w:rFonts w:ascii="Arial" w:cs="Arial" w:eastAsia="Arial" w:hAnsi="Arial"/>
                <w:sz w:val="14"/>
                <w:szCs w:val="14"/>
                <w:color w:val="auto"/>
              </w:rPr>
              <w:t>Observable transactions</w:t>
            </w: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Subscription Services</w:t>
            </w:r>
          </w:p>
        </w:tc>
        <w:tc>
          <w:tcPr>
            <w:tcW w:w="34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140"/>
        <w:spacing w:after="0"/>
        <w:tabs>
          <w:tab w:leader="none" w:pos="2820" w:val="left"/>
        </w:tabs>
        <w:rPr>
          <w:sz w:val="20"/>
          <w:szCs w:val="20"/>
          <w:color w:val="auto"/>
        </w:rPr>
      </w:pPr>
      <w:r>
        <w:rPr>
          <w:rFonts w:ascii="Arial" w:cs="Arial" w:eastAsia="Arial" w:hAnsi="Arial"/>
          <w:sz w:val="14"/>
          <w:szCs w:val="14"/>
          <w:color w:val="auto"/>
        </w:rPr>
        <w:t>Customer Support</w:t>
      </w:r>
      <w:r>
        <w:rPr>
          <w:sz w:val="20"/>
          <w:szCs w:val="20"/>
          <w:color w:val="auto"/>
        </w:rPr>
        <w:tab/>
      </w:r>
      <w:r>
        <w:rPr>
          <w:rFonts w:ascii="Arial" w:cs="Arial" w:eastAsia="Arial" w:hAnsi="Arial"/>
          <w:sz w:val="12"/>
          <w:szCs w:val="12"/>
          <w:color w:val="auto"/>
        </w:rPr>
        <w:t>Ratably over the course of the support contract</w:t>
      </w:r>
    </w:p>
    <w:p>
      <w:pPr>
        <w:ind w:left="2840"/>
        <w:spacing w:after="0"/>
        <w:rPr>
          <w:sz w:val="20"/>
          <w:szCs w:val="20"/>
          <w:color w:val="auto"/>
        </w:rPr>
      </w:pPr>
      <w:r>
        <w:rPr>
          <w:rFonts w:ascii="Arial" w:cs="Arial" w:eastAsia="Arial" w:hAnsi="Arial"/>
          <w:sz w:val="14"/>
          <w:szCs w:val="14"/>
          <w:color w:val="auto"/>
        </w:rPr>
        <w:t>(over time)</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4"/>
          <w:szCs w:val="14"/>
          <w:color w:val="auto"/>
        </w:rPr>
        <w:t>Within 90 days of the start of the contract</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period</w:t>
      </w:r>
    </w:p>
    <w:p>
      <w:pPr>
        <w:spacing w:after="0" w:line="1" w:lineRule="exact"/>
        <w:rPr>
          <w:sz w:val="20"/>
          <w:szCs w:val="20"/>
          <w:color w:val="auto"/>
        </w:rPr>
      </w:pPr>
    </w:p>
    <w:p>
      <w:pPr>
        <w:sectPr>
          <w:pgSz w:w="11900" w:h="16838" w:orient="portrait"/>
          <w:cols w:equalWidth="0" w:num="2">
            <w:col w:w="5540" w:space="16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SaaS</w:t>
            </w:r>
          </w:p>
        </w:tc>
        <w:tc>
          <w:tcPr>
            <w:tcW w:w="3900" w:type="dxa"/>
            <w:vAlign w:val="bottom"/>
            <w:shd w:val="clear" w:color="auto" w:fill="CCEEFF"/>
          </w:tcPr>
          <w:p>
            <w:pPr>
              <w:ind w:left="1200"/>
              <w:spacing w:after="0" w:line="156" w:lineRule="exact"/>
              <w:rPr>
                <w:sz w:val="20"/>
                <w:szCs w:val="20"/>
                <w:color w:val="auto"/>
              </w:rPr>
            </w:pPr>
            <w:r>
              <w:rPr>
                <w:rFonts w:ascii="Arial" w:cs="Arial" w:eastAsia="Arial" w:hAnsi="Arial"/>
                <w:sz w:val="14"/>
                <w:szCs w:val="14"/>
                <w:color w:val="auto"/>
                <w:w w:val="94"/>
              </w:rPr>
              <w:t>Over the course of the SaaS service once the</w:t>
            </w:r>
          </w:p>
        </w:tc>
        <w:tc>
          <w:tcPr>
            <w:tcW w:w="234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Within 90 days of services</w:t>
            </w:r>
          </w:p>
        </w:tc>
        <w:tc>
          <w:tcPr>
            <w:tcW w:w="3360" w:type="dxa"/>
            <w:vAlign w:val="bottom"/>
            <w:shd w:val="clear" w:color="auto" w:fill="CCEEFF"/>
          </w:tcPr>
          <w:p>
            <w:pPr>
              <w:ind w:left="640"/>
              <w:spacing w:after="0" w:line="156" w:lineRule="exact"/>
              <w:rPr>
                <w:sz w:val="20"/>
                <w:szCs w:val="20"/>
                <w:color w:val="auto"/>
              </w:rPr>
            </w:pPr>
            <w:r>
              <w:rPr>
                <w:rFonts w:ascii="Arial" w:cs="Arial" w:eastAsia="Arial" w:hAnsi="Arial"/>
                <w:sz w:val="14"/>
                <w:szCs w:val="14"/>
                <w:color w:val="auto"/>
                <w:w w:val="96"/>
              </w:rPr>
              <w:t>Estimated using a cost-plus margin approach</w:t>
            </w:r>
          </w:p>
        </w:tc>
      </w:tr>
      <w:tr>
        <w:trPr>
          <w:trHeight w:val="135"/>
        </w:trPr>
        <w:tc>
          <w:tcPr>
            <w:tcW w:w="1640" w:type="dxa"/>
            <w:vAlign w:val="bottom"/>
            <w:shd w:val="clear" w:color="auto" w:fill="CCEEFF"/>
          </w:tcPr>
          <w:p>
            <w:pPr>
              <w:spacing w:after="0"/>
              <w:rPr>
                <w:sz w:val="11"/>
                <w:szCs w:val="11"/>
                <w:color w:val="auto"/>
              </w:rPr>
            </w:pPr>
          </w:p>
        </w:tc>
        <w:tc>
          <w:tcPr>
            <w:tcW w:w="3900" w:type="dxa"/>
            <w:vAlign w:val="bottom"/>
            <w:shd w:val="clear" w:color="auto" w:fill="CCEEFF"/>
          </w:tcPr>
          <w:p>
            <w:pPr>
              <w:ind w:left="1200"/>
              <w:spacing w:after="0" w:line="135" w:lineRule="exact"/>
              <w:rPr>
                <w:sz w:val="20"/>
                <w:szCs w:val="20"/>
                <w:color w:val="auto"/>
              </w:rPr>
            </w:pPr>
            <w:r>
              <w:rPr>
                <w:rFonts w:ascii="Arial" w:cs="Arial" w:eastAsia="Arial" w:hAnsi="Arial"/>
                <w:sz w:val="14"/>
                <w:szCs w:val="14"/>
                <w:color w:val="auto"/>
              </w:rPr>
              <w:t>system is available for use</w:t>
            </w:r>
          </w:p>
        </w:tc>
        <w:tc>
          <w:tcPr>
            <w:tcW w:w="234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being performed</w:t>
            </w:r>
          </w:p>
        </w:tc>
        <w:tc>
          <w:tcPr>
            <w:tcW w:w="3360" w:type="dxa"/>
            <w:vAlign w:val="bottom"/>
            <w:shd w:val="clear" w:color="auto" w:fill="CCEEFF"/>
          </w:tcPr>
          <w:p>
            <w:pPr>
              <w:spacing w:after="0"/>
              <w:rPr>
                <w:sz w:val="11"/>
                <w:szCs w:val="11"/>
                <w:color w:val="auto"/>
              </w:rPr>
            </w:pPr>
          </w:p>
        </w:tc>
      </w:tr>
      <w:tr>
        <w:trPr>
          <w:trHeight w:val="189"/>
        </w:trPr>
        <w:tc>
          <w:tcPr>
            <w:tcW w:w="1640" w:type="dxa"/>
            <w:vAlign w:val="bottom"/>
            <w:shd w:val="clear" w:color="auto" w:fill="CCEEFF"/>
          </w:tcPr>
          <w:p>
            <w:pPr>
              <w:spacing w:after="0"/>
              <w:rPr>
                <w:sz w:val="16"/>
                <w:szCs w:val="16"/>
                <w:color w:val="auto"/>
              </w:rPr>
            </w:pPr>
          </w:p>
        </w:tc>
        <w:tc>
          <w:tcPr>
            <w:tcW w:w="390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(over time)</w:t>
            </w:r>
          </w:p>
        </w:tc>
        <w:tc>
          <w:tcPr>
            <w:tcW w:w="234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represent billings to customers for services in advance of the performance of services, with revenues recognized as the services are rendered, and also include the fair value of deferred revenues recorded as a result of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Level Standards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2020, 2019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Software development costs are accounted for in accordance with either ASC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xml:space="preserve">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associated with the planning and designing phase of software development are classified as research and development costs and are expensed as incurred. The amounts capitalized include external direct costs of services used in developing internal-use software,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unamortized software development costs and amortization expense were as follows: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3"/>
        </w:trPr>
        <w:tc>
          <w:tcPr>
            <w:tcW w:w="6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6"/>
                <w:szCs w:val="16"/>
                <w:b w:val="1"/>
                <w:bCs w:val="1"/>
                <w:color w:val="auto"/>
              </w:rPr>
              <w:t>2018</w:t>
            </w: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color w:val="auto"/>
              </w:rPr>
              <w:t>Unamortized software development costs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28,512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17,490</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amortization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recognized impairment charges to its capitalized software intangible assets, of $0.9 million, nil and $0.5 million for the years ended December 31, 2020, 2019 and 2018, respectively. The Company includes these impairments within the depreciation and amortization in its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and accounts receivable. The Company maintains its cash and cash equivalents at several major financial institutions. The Company believes that concentration of credit risk with respect to accounts receivable is limited because of the creditworthiness of its major customers.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top five customers accounted for 68.0%, 69.2% and 69.0% of net revenues for the years ended December 31, 2020, 2019 and 2018, respectively. Contracts with these customers typically run for three to five years. Of these customers, Verizon accounted for more than 10% of the Company’s revenues in 2020,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at the date of acquisition to be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Accounts receivable include current notes, amounts billed to customers, claims, and unbilled revenue, which consists of amounts recognized as sales but not yet billed. Substantially all amounts of unbilled receivables are expected to be billed and collected in the subsequent year. The Company had unbilled receivable balances of $3.4 million and $5.1 million as of December 31, 2020 and 2019,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Customers are pooled based on sharing specific risk factors, including geographic location. Due to the short-term nature of such receivables, the estimated accounts receivable that may not be collected is based on aging of the accounts receivable balances.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our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timely basis, and balances are written off as they are determined to be uncollectible after all collection efforts have been exhausted. Estimates of potential credit losses are used to determine the allowance. It is based on assessment of anticipated payment and all other historical, current and future information that is reasonably available.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and Liabilities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includes disclosures of fair value information about financial instruments and liabilities, whether or not recognized on the Consolidated Balance Sheets, for which it is practicable to estimate that value. Due to their short-term nature, the carrying amounts reported in the financial statements approximate the fair value for cash and cash equivalents, marketable securities, accounts receivable and accounts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and Mandatorily Redeemable Financial Instruments</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in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in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 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 the carrying value of the noncontrolling interest to the greater of the estimated redemption value, which approximates fair value, at the end of each reporting period or the initial carrying amount.</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income attributable to NCIs reflects the portion of the net income (loss) of consolidated entities applicable to the NCI stockholders in the accompanying Consolidated Statements of Operations. The net income attributable to NCI is classified in the Consolidated Statements of Operations as part of consolidated net income and deducted from total consolidated net income to arrive at the net income attributable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business combinations in accordance with the acquisition method. The acquisition method of accounting requires that assets acquired, liabilities assumed and any noncontrolling interest in the acquiree (if any),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their fair values on the date of a business acquisition. The Company’s consolidated financial statements and results of operations reflect an acquired business from the completion date of the transaction.</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judgments that the Company makes in determining the estimated fair value assigned to each class of assets acquired and liabilities assumed, as well as asset lives, can materially impact net income in periods following a business combination. The Company generally uses either the income, cost or market approach to aid in its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ultimately selected is based on the characteristics of the asset and the availability of information.</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Each reporting period thereafter, the Company revalues these obligations and records increases or decreases in their fair value as an adjustment to net change in contingent consideration obligation within the Consolidated Statements of Operations. Changes in the fair value of the contingent consideration obligation can result from updates in the achievement of financial or other operational targets and changes to the weighted probability of achieving those future targets. Significant judgment is employed in determining the appropriateness of these assumptions as of the acquisition date and for each subsequent period. Accordingly, any change in the assumptions described above, could have a material impact on the amount of the net change in contingent consideration obligation that the Company records in any given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generally classifies a disposal transaction as discontinued operation in the consolidated financial statements when it qualifies as a component of the Company, meets the held for sale criteria, is disposed of by sale, or is disposed of other than by sale and it represents a strategic shift that has a major effect on the Company’s operations and financial results. Insignificant and non-strategic shifting divestitures are not classified within discontinued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 and Other Entities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 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 the primary beneficiary, the VIE is consolidated and the other party’s equity interest in the VIE is accounted for as a noncontrolling interest.</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assets acquired, including other definite-lived intangible assets. Goodwill is reviewed for impairment annually in the fourth quarter or when an interim triggering event has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occurred indicating potential impairment. The Company has concluded that it has two operating segments and one reportable segment because the aggregation criteria and the quantitative threshold test was met. The Company tests for goodwill impairment on each of its reporting units, which is at the operating segment or one level below the operating segment.</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Company’s qualitative assessment, the Company makes significant estimates, assumptions, and judgments, around the financial performance of the Company, changes in share price, and forecasts of earnings, working capital requirements, and cash flows. The Company considers each reporting unit's historical results and operating trends as well as any strategic difference from the Company’s historical results when determining these assumptions.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the Company recognizes an impairment charge for the amount by which the carrying amount exceeds the reporting unit's fair value.</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recorded a nil, nil and $9.1 million impairment charge on the Zentry joint venture for the years ended December 31, 2020, 2019 and 2018, respectively. For further details, see </w:t>
      </w:r>
      <w:r>
        <w:rPr>
          <w:rFonts w:ascii="Arial" w:cs="Arial" w:eastAsia="Arial" w:hAnsi="Arial"/>
          <w:sz w:val="18"/>
          <w:szCs w:val="18"/>
          <w:i w:val="1"/>
          <w:iCs w:val="1"/>
          <w:color w:val="auto"/>
        </w:rPr>
        <w:t>Note 9. Goodwill and Intangibles.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adopted Accounting Standards Codification Topic 842, Leases (ASC 842) on January 1, 2019. ASC 842 applies to a number of arrangements to which the Company is party whereby the Company acts as a lessee.</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19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lease, the Company must then determine:</w:t>
      </w:r>
    </w:p>
    <w:p>
      <w:pPr>
        <w:spacing w:after="0" w:line="252" w:lineRule="exact"/>
        <w:rPr>
          <w:sz w:val="20"/>
          <w:szCs w:val="20"/>
          <w:color w:val="auto"/>
        </w:rPr>
      </w:pPr>
    </w:p>
    <w:p>
      <w:pPr>
        <w:jc w:val="both"/>
        <w:ind w:left="660" w:firstLine="320"/>
        <w:spacing w:after="0" w:line="263" w:lineRule="auto"/>
        <w:tabs>
          <w:tab w:leader="none" w:pos="13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52" w:lineRule="exact"/>
        <w:rPr>
          <w:rFonts w:ascii="Arial" w:cs="Arial" w:eastAsia="Arial" w:hAnsi="Arial"/>
          <w:sz w:val="18"/>
          <w:szCs w:val="18"/>
          <w:color w:val="auto"/>
        </w:rPr>
      </w:pPr>
    </w:p>
    <w:p>
      <w:pPr>
        <w:jc w:val="both"/>
        <w:ind w:left="1300" w:firstLine="324"/>
        <w:spacing w:after="0" w:line="275"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203" w:lineRule="exact"/>
        <w:rPr>
          <w:rFonts w:ascii="Arial" w:cs="Arial" w:eastAsia="Arial" w:hAnsi="Arial"/>
          <w:sz w:val="18"/>
          <w:szCs w:val="18"/>
          <w:color w:val="auto"/>
        </w:rPr>
      </w:pPr>
    </w:p>
    <w:p>
      <w:pPr>
        <w:jc w:val="both"/>
        <w:ind w:left="1300" w:firstLine="324"/>
        <w:spacing w:after="0" w:line="301"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84" w:lineRule="exact"/>
        <w:rPr>
          <w:rFonts w:ascii="Arial" w:cs="Arial" w:eastAsia="Arial" w:hAnsi="Arial"/>
          <w:sz w:val="18"/>
          <w:szCs w:val="18"/>
          <w:color w:val="auto"/>
        </w:rPr>
      </w:pPr>
    </w:p>
    <w:p>
      <w:pPr>
        <w:jc w:val="both"/>
        <w:ind w:left="660" w:firstLine="320"/>
        <w:spacing w:after="0" w:line="311" w:lineRule="auto"/>
        <w:tabs>
          <w:tab w:leader="none" w:pos="1303"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Over the lease term, the Company generally increases it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finance leases, amortization expense and interest expense are recognized separately in the Consolidated Statements of Operations, with amortization expense generally recorded on a straight-line basis and interest expense recorded using the effective interest method. For operating leases, a single lease cost is generally recognized in the Consolidated Statements of Operations on a straight-line basis over the lease term. Lease costs for short-term leases not recognized in the Consolidated Balance Sheets are recognized in the Consolidated Statements of Operations and are expensed as incurred. Variable lease costs not initially included in the lease liability and ROU asset impairment charges are expensed as incurred.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December 22, 2017, the U.S. government enacted TCJA. The TCJA makes changes to the corporate tax rate, business-related deductions and taxation of foreign earnings, among others, that will generally be effective for taxable years beginning after December 31, 2017. While our accounting for the recorded impact of the TCJA is deemed to be complete as of December 31, 2020, these amounts are based on prevailing regulations and currently available information, and any additional guidance issued by the Internal Revenue Service (IRS) could impact our recorded amounts in future periods.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2016 and thereafter are subject to future examination by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the transition tax in the TCJA has removed U.S. federal taxes on distributions to the U.S. on a go forward basis,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Gains or losses resulting from transactions denominated in foreign currencies are included in other income or expense, within the Consolidated Statements of Operations and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1"/>
              </w:rPr>
              <w:t>Twelve Months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69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89"/>
              </w:rPr>
              <w:t>2018</w:t>
            </w:r>
          </w:p>
        </w:tc>
      </w:tr>
      <w:tr>
        <w:trPr>
          <w:trHeight w:val="22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foreign currency translations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4,234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EPS is computed based upon the weighted average number of common shares outstanding for the year, excluding amounts associated with restricted shares.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 maintains eight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utilizes the Black-Scholes pricing model to determine the fair value of stock options on the dates of grant. Restricted stock awards are measured based on the fair market values of the underlying stock on the dates of grant. The Company recognizes stock-based compensation over the requisite service period with an offsetting credit to additional paid-in capital.</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Company’s performance restricted stock awards,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 performance targets, such as revenues and earnings before interest, tax, depreciation and amortization (“EBITDA”) after certain adjustments. Once the number of awards is determined, the compensation cost is fixed and continues to be recognized using straight line recognition over the requisite service period for each vesting tranche.</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historical information of the Company’s stock. The average expected life was determined using historical stock option exercise activity. The risk-free interest rate is based on U.S. Treasury zero-coupon issues with a remaining term equal to the expected life assumed at the date of grant. The Company has never declared or paid cash dividends on the common or preferred equity and does not anticipate paying any cash dividends in the foreseeable future. Forfeitures are accounted for as they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5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Company’s chief operating decision</w:t>
      </w:r>
      <w:r>
        <w:rPr>
          <w:rFonts w:ascii="MS PGothic" w:cs="MS PGothic" w:eastAsia="MS PGothic" w:hAnsi="MS PGothic"/>
          <w:sz w:val="16"/>
          <w:szCs w:val="16"/>
          <w:color w:val="auto"/>
        </w:rPr>
        <w:t>‑</w:t>
      </w:r>
      <w:r>
        <w:rPr>
          <w:rFonts w:ascii="Arial" w:cs="Arial" w:eastAsia="Arial" w:hAnsi="Arial"/>
          <w:sz w:val="16"/>
          <w:szCs w:val="16"/>
          <w:color w:val="auto"/>
        </w:rPr>
        <w:t>maker is the Principal Executive Officer, who reviews financial information presented on a consolidated basis for purposes of making operating decisions. However, in assessing financial performance and allocating resources, the Company considers the markets in which it operates. The Company has determined that it currently operates in two business segments: (i) providing cloud solutions and software</w:t>
      </w:r>
      <w:r>
        <w:rPr>
          <w:rFonts w:ascii="MS PGothic" w:cs="MS PGothic" w:eastAsia="MS PGothic" w:hAnsi="MS PGothic"/>
          <w:sz w:val="16"/>
          <w:szCs w:val="16"/>
          <w:color w:val="auto"/>
        </w:rPr>
        <w:t>‑</w:t>
      </w:r>
      <w:r>
        <w:rPr>
          <w:rFonts w:ascii="Arial" w:cs="Arial" w:eastAsia="Arial" w:hAnsi="Arial"/>
          <w:sz w:val="16"/>
          <w:szCs w:val="16"/>
          <w:color w:val="auto"/>
        </w:rPr>
        <w:t>based activation for connected devices globally and (ii) enterprise solutions. Given the size of the Company’s enterprise segment, and the Company’s shift in focus toward the telecommunications, media and technology (“TMT”) market, the Company concluded that it has one reportable segment. Although the Company operates in North America, Europe and Asia</w:t>
      </w:r>
      <w:r>
        <w:rPr>
          <w:rFonts w:ascii="MS PGothic" w:cs="MS PGothic" w:eastAsia="MS PGothic" w:hAnsi="MS PGothic"/>
          <w:sz w:val="16"/>
          <w:szCs w:val="16"/>
          <w:color w:val="auto"/>
        </w:rPr>
        <w:t>‑</w:t>
      </w:r>
      <w:r>
        <w:rPr>
          <w:rFonts w:ascii="Arial" w:cs="Arial" w:eastAsia="Arial" w:hAnsi="Arial"/>
          <w:sz w:val="16"/>
          <w:szCs w:val="16"/>
          <w:color w:val="auto"/>
        </w:rPr>
        <w:t>Pacific a majority of the Company’s revenue and long-lived assets are in the U.S.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by geography are based on the billing addresses of the Company’s customers. The following tables set forth revenues and property and equipment, net by geographic area: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228,639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232,183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249,674</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325,839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50"/>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19,278</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w:t>
            </w: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39"/>
              <w:spacing w:after="0"/>
              <w:rPr>
                <w:sz w:val="20"/>
                <w:szCs w:val="20"/>
                <w:color w:val="auto"/>
              </w:rPr>
            </w:pPr>
            <w:r>
              <w:rPr>
                <w:rFonts w:ascii="Arial" w:cs="Arial" w:eastAsia="Arial" w:hAnsi="Arial"/>
                <w:sz w:val="14"/>
                <w:szCs w:val="14"/>
                <w:b w:val="1"/>
                <w:bCs w:val="1"/>
                <w:color w:val="auto"/>
                <w:w w:val="98"/>
              </w:rPr>
              <w:t>Twelve Months Ended December 31, 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12"/>
          </w:tcPr>
          <w:p>
            <w:pPr>
              <w:jc w:val="right"/>
              <w:ind w:right="59"/>
              <w:spacing w:after="0"/>
              <w:rPr>
                <w:sz w:val="20"/>
                <w:szCs w:val="20"/>
                <w:color w:val="auto"/>
              </w:rPr>
            </w:pPr>
            <w:r>
              <w:rPr>
                <w:rFonts w:ascii="Arial" w:cs="Arial" w:eastAsia="Arial" w:hAnsi="Arial"/>
                <w:sz w:val="14"/>
                <w:szCs w:val="14"/>
                <w:b w:val="1"/>
                <w:bCs w:val="1"/>
                <w:color w:val="auto"/>
              </w:rPr>
              <w:t>Twelve Months Ended December 31, 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49"/>
        </w:trPr>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Cloud</w:t>
            </w:r>
          </w:p>
        </w:tc>
        <w:tc>
          <w:tcPr>
            <w:tcW w:w="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12"/>
                <w:szCs w:val="12"/>
                <w:color w:val="auto"/>
              </w:rPr>
            </w:pPr>
          </w:p>
        </w:tc>
        <w:tc>
          <w:tcPr>
            <w:tcW w:w="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Cloud</w:t>
            </w:r>
          </w:p>
        </w:tc>
        <w:tc>
          <w:tcPr>
            <w:tcW w:w="200" w:type="dxa"/>
            <w:vAlign w:val="bottom"/>
          </w:tcPr>
          <w:p>
            <w:pPr>
              <w:spacing w:after="0"/>
              <w:rPr>
                <w:sz w:val="12"/>
                <w:szCs w:val="12"/>
                <w:color w:val="auto"/>
              </w:rPr>
            </w:pPr>
          </w:p>
        </w:tc>
        <w:tc>
          <w:tcPr>
            <w:tcW w:w="7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9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Geography</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2260" w:type="dxa"/>
            <w:vAlign w:val="bottom"/>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155,287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45,893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27,459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228,639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155,076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46,765</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 $</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30,342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232,183</w:t>
            </w:r>
          </w:p>
        </w:tc>
      </w:tr>
      <w:tr>
        <w:trPr>
          <w:trHeight w:val="219"/>
        </w:trPr>
        <w:tc>
          <w:tcPr>
            <w:tcW w:w="2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3,658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49,061</w:t>
            </w:r>
          </w:p>
        </w:tc>
      </w:tr>
      <w:tr>
        <w:trPr>
          <w:trHeight w:val="213"/>
        </w:trPr>
        <w:tc>
          <w:tcPr>
            <w:tcW w:w="2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6,888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5,687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14,644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27,219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color w:val="auto"/>
              </w:rPr>
              <w:t>7,620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3,379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16,506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27,505</w:t>
            </w:r>
          </w:p>
        </w:tc>
      </w:tr>
      <w:tr>
        <w:trPr>
          <w:trHeight w:val="212"/>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56,082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73,413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291,670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162,696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53,802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308,749</w:t>
            </w:r>
          </w:p>
        </w:tc>
      </w:tr>
      <w:tr>
        <w:trPr>
          <w:trHeight w:val="270"/>
        </w:trPr>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Line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3"/>
        </w:trPr>
        <w:tc>
          <w:tcPr>
            <w:tcW w:w="226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18,391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13,512</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16,741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48,644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14,939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16,576</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30,923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62,438</w:t>
            </w:r>
          </w:p>
        </w:tc>
      </w:tr>
      <w:tr>
        <w:trPr>
          <w:trHeight w:val="219"/>
        </w:trPr>
        <w:tc>
          <w:tcPr>
            <w:tcW w:w="2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6,690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12,296</w:t>
            </w:r>
          </w:p>
        </w:tc>
      </w:tr>
      <w:tr>
        <w:trPr>
          <w:trHeight w:val="213"/>
        </w:trPr>
        <w:tc>
          <w:tcPr>
            <w:tcW w:w="226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138,133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32,831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43,873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214,837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141,941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27,577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37,785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207,303</w:t>
            </w:r>
          </w:p>
        </w:tc>
      </w:tr>
      <w:tr>
        <w:trPr>
          <w:trHeight w:val="219"/>
        </w:trPr>
        <w:tc>
          <w:tcPr>
            <w:tcW w:w="2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15,142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2,959</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26,712</w:t>
            </w:r>
          </w:p>
        </w:tc>
      </w:tr>
      <w:tr>
        <w:trPr>
          <w:trHeight w:val="204"/>
        </w:trPr>
        <w:tc>
          <w:tcPr>
            <w:tcW w:w="226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162,175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56,082</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73,413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291,670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162,696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53,802</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92,251</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308,749</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7" w:lineRule="exact"/>
        <w:rPr>
          <w:sz w:val="20"/>
          <w:szCs w:val="20"/>
          <w:color w:val="auto"/>
        </w:rPr>
      </w:pPr>
    </w:p>
    <w:p>
      <w:pPr>
        <w:jc w:val="both"/>
        <w:ind w:left="340" w:hanging="332"/>
        <w:spacing w:after="0" w:line="251" w:lineRule="auto"/>
        <w:tabs>
          <w:tab w:leader="none" w:pos="329" w:val="left"/>
        </w:tabs>
        <w:numPr>
          <w:ilvl w:val="0"/>
          <w:numId w:val="30"/>
        </w:numPr>
        <w:rPr>
          <w:rFonts w:ascii="Arial" w:cs="Arial" w:eastAsia="Arial" w:hAnsi="Arial"/>
          <w:sz w:val="18"/>
          <w:szCs w:val="18"/>
          <w:color w:val="auto"/>
        </w:rPr>
      </w:pPr>
      <w:r>
        <w:rPr>
          <w:rFonts w:ascii="Arial" w:cs="Arial" w:eastAsia="Arial" w:hAnsi="Arial"/>
          <w:sz w:val="16"/>
          <w:szCs w:val="16"/>
          <w:color w:val="auto"/>
        </w:rPr>
        <w:t xml:space="preserve">In 2019, changes to the STIN business led the Company to conclude that its collection of certain STIN receivables is no longer probable. The Company has updated its collectability assessment in accordance with ASC 842 and concluded that a contingency reserve is required, which included a reduction of digital revenue in America in the amount $26.0 million. For further details, see </w:t>
      </w:r>
      <w:r>
        <w:rPr>
          <w:rFonts w:ascii="Arial" w:cs="Arial" w:eastAsia="Arial" w:hAnsi="Arial"/>
          <w:sz w:val="16"/>
          <w:szCs w:val="16"/>
          <w:i w:val="1"/>
          <w:iCs w:val="1"/>
          <w:color w:val="auto"/>
        </w:rPr>
        <w:t>7. Investments in Affiliates and Related Transactions</w:t>
      </w:r>
      <w:r>
        <w:rPr>
          <w:rFonts w:ascii="Arial" w:cs="Arial" w:eastAsia="Arial" w:hAnsi="Arial"/>
          <w:sz w:val="16"/>
          <w:szCs w:val="16"/>
          <w:color w:val="auto"/>
        </w:rPr>
        <w:t xml:space="preserve"> of the Notes to Consolidated Financial Statements of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its records revenue on a professional services engagement but are not entitled to bill until the Company achieves specified milestones. Contract asset balance at December 31, 2020 is $7.1 million.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Contract Liabilities*</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87,799</w:t>
            </w:r>
          </w:p>
        </w:tc>
        <w:tc>
          <w:tcPr>
            <w:tcW w:w="0" w:type="dxa"/>
            <w:vAlign w:val="bottom"/>
          </w:tcPr>
          <w:p>
            <w:pPr>
              <w:spacing w:after="0"/>
              <w:rPr>
                <w:sz w:val="1"/>
                <w:szCs w:val="1"/>
                <w:color w:val="auto"/>
              </w:rPr>
            </w:pPr>
          </w:p>
        </w:tc>
      </w:tr>
      <w:tr>
        <w:trPr>
          <w:trHeight w:val="229"/>
        </w:trPr>
        <w:tc>
          <w:tcPr>
            <w:tcW w:w="8780" w:type="dxa"/>
            <w:vAlign w:val="bottom"/>
          </w:tcPr>
          <w:p>
            <w:pPr>
              <w:ind w:left="260"/>
              <w:spacing w:after="0"/>
              <w:rPr>
                <w:sz w:val="20"/>
                <w:szCs w:val="20"/>
                <w:color w:val="auto"/>
              </w:rPr>
            </w:pPr>
            <w:r>
              <w:rPr>
                <w:rFonts w:ascii="Arial" w:cs="Arial" w:eastAsia="Arial" w:hAnsi="Arial"/>
                <w:sz w:val="18"/>
                <w:szCs w:val="18"/>
                <w:color w:val="auto"/>
              </w:rPr>
              <w:t>Revenue recognized in the period</w:t>
            </w: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(249,465)</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billed but not recognized as revenue</w:t>
            </w:r>
          </w:p>
        </w:tc>
        <w:tc>
          <w:tcPr>
            <w:tcW w:w="28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207,280</w:t>
            </w:r>
          </w:p>
        </w:tc>
        <w:tc>
          <w:tcPr>
            <w:tcW w:w="0" w:type="dxa"/>
            <w:vAlign w:val="bottom"/>
          </w:tcPr>
          <w:p>
            <w:pPr>
              <w:spacing w:after="0"/>
              <w:rPr>
                <w:sz w:val="1"/>
                <w:szCs w:val="1"/>
                <w:color w:val="auto"/>
              </w:rPr>
            </w:pP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Balance - December 31, 2020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45,614</w:t>
            </w:r>
          </w:p>
        </w:tc>
        <w:tc>
          <w:tcPr>
            <w:tcW w:w="0" w:type="dxa"/>
            <w:vAlign w:val="bottom"/>
          </w:tcPr>
          <w:p>
            <w:pPr>
              <w:spacing w:after="0"/>
              <w:rPr>
                <w:sz w:val="1"/>
                <w:szCs w:val="1"/>
                <w:color w:val="auto"/>
              </w:rPr>
            </w:pPr>
          </w:p>
        </w:tc>
      </w:tr>
      <w:tr>
        <w:trPr>
          <w:trHeight w:val="21"/>
        </w:trPr>
        <w:tc>
          <w:tcPr>
            <w:tcW w:w="8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spacing w:after="0"/>
              <w:rPr>
                <w:sz w:val="20"/>
                <w:szCs w:val="20"/>
                <w:color w:val="auto"/>
              </w:rPr>
            </w:pPr>
            <w:r>
              <w:rPr>
                <w:rFonts w:ascii="Arial" w:cs="Arial" w:eastAsia="Arial" w:hAnsi="Arial"/>
                <w:sz w:val="16"/>
                <w:szCs w:val="16"/>
                <w:color w:val="auto"/>
              </w:rPr>
              <w:t>*  Comprised of Deferred Revenue</w:t>
            </w:r>
          </w:p>
        </w:tc>
        <w:tc>
          <w:tcPr>
            <w:tcW w:w="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Revenues recognized during the year ended December 31, 2020 for performance obligations satisfied or partially satisfied in previous periods were immaterial.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The Company adopted Topic 606 on January 1, 2018 and capitalized $0.7 million in contract acquisition costs related to contracts that were not completed. For contracts that have a duration of less than one year, the Company follows a Topic 606 practical expedient and expenses these costs over the estimated customer life, because it does not pay commissions upon renewals that are commensurate with the initial contract. During the year ended December 31, 2020, the amount of amortization was $0.2 million and there was no impairment loss in relation to costs capitalized.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2020, the Company had $0.1 million of capitalized contract fulfillment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December 31, 2020. The Company has elected not to disclose transaction price allocated to remaining performance obligations for:</w:t>
      </w:r>
    </w:p>
    <w:p>
      <w:pPr>
        <w:spacing w:after="0" w:line="15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jc w:val="both"/>
        <w:ind w:left="660" w:right="20" w:hanging="328"/>
        <w:spacing w:after="0" w:line="25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spacing w:after="0" w:line="1"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third-party data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 aggregate amount of transaction price allocated to remaining performance obligations, other than those meeting the exclusion criteria above, was $280.4 million, of which approximately 70.19% is expected to be recognized as revenues within 2 years, and the remainder thereafter.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Honeybee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$9.7 million in cash at the time of closing and deferred consideration of $8.7 million to be paid over the next three years.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acquisition-related costs recognized during the year ended December 31, 2020, 2019, and 2018 including transaction costs such as legal, accounting, valuation and other professional services, were nil, nil, $0.1 million, respectively, and are included in selling, general and administrative expense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SNCR, LLC</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November 16, 2015, the Company formed a venture with Goldman Sachs (“Goldman”), referred to as SNCR, LLC in order to develop and deploy the Synchronoss Secure Mobility Suite, which would include integration of Synchronoss Workspace platform with Goldman's internally developed mobile security intellectual property to help provide a safe, secure mobile device environment that also effectively supports bring your own device (“BYOD”).</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2017, the Company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 resulting in the elimination of the Company’s associated noncontrolling interest balance and an increase to additional paid in capital balance of $12.8 million on the Company’s Consolidated Balance Sheet.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Credit Losses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ASU 2016-13 replaces the incurred loss impairment model with an expected credit loss impairment model for financial instruments, including trade receivables. The guidance requires entities to consider forward-looking information to estimate expected credit losses, resulting in earlier recognition of losses for receivables that are current or not yet due. Upon adoption, changes in the allowance were not material for the transition period starting January 1, 2020 through the year ended December 31, 2020.</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accounts receivable balance on the Company’s consolidated balance sheet as of December 31, 2020 was $47.8 million, net of $0.5 million of allowances. Changes in the allowance were not material for the year ended December 31, 2020. The following table provides a roll-forward of the allowance for credit losses that is deducted from the amortized cost basis of accounts receivable to present the net amount expected to be collected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9640" w:type="dxa"/>
            <w:vAlign w:val="bottom"/>
          </w:tcPr>
          <w:p>
            <w:pPr>
              <w:ind w:left="220"/>
              <w:spacing w:after="0"/>
              <w:rPr>
                <w:sz w:val="20"/>
                <w:szCs w:val="20"/>
                <w:color w:val="auto"/>
              </w:rPr>
            </w:pPr>
            <w:r>
              <w:rPr>
                <w:rFonts w:ascii="Arial" w:cs="Arial" w:eastAsia="Arial" w:hAnsi="Arial"/>
                <w:sz w:val="18"/>
                <w:szCs w:val="18"/>
                <w:color w:val="auto"/>
              </w:rPr>
              <w:t>Adjustment due to adoption of ASU 2016-13</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29"/>
        </w:trPr>
        <w:tc>
          <w:tcPr>
            <w:tcW w:w="9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period change for expected credit losses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connection with the PIK note referenced in </w:t>
      </w:r>
      <w:r>
        <w:rPr>
          <w:rFonts w:ascii="Arial" w:cs="Arial" w:eastAsia="Arial" w:hAnsi="Arial"/>
          <w:sz w:val="18"/>
          <w:szCs w:val="18"/>
          <w:i w:val="1"/>
          <w:iCs w:val="1"/>
          <w:color w:val="auto"/>
        </w:rPr>
        <w:t>Note 7. Investments in Affiliates and Related Transactions</w:t>
      </w:r>
      <w:r>
        <w:rPr>
          <w:rFonts w:ascii="Arial" w:cs="Arial" w:eastAsia="Arial" w:hAnsi="Arial"/>
          <w:sz w:val="18"/>
          <w:szCs w:val="18"/>
          <w:color w:val="auto"/>
        </w:rPr>
        <w:t xml:space="preserve"> , the company recorded a CECL adjustment of $1.4 million which offset the current year accretion of the interest of $1.4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16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0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00" w:type="dxa"/>
            <w:vAlign w:val="bottom"/>
            <w:shd w:val="clear" w:color="auto" w:fill="CCEEFF"/>
          </w:tcPr>
          <w:p>
            <w:pPr>
              <w:ind w:left="220"/>
              <w:spacing w:after="0" w:line="232"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3"/>
                <w:szCs w:val="23"/>
                <w:color w:val="auto"/>
                <w:vertAlign w:val="superscript"/>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vMerge w:val="continue"/>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Temporary equity</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2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91"/>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00" w:type="dxa"/>
            <w:vAlign w:val="bottom"/>
          </w:tcPr>
          <w:p>
            <w:pPr>
              <w:jc w:val="center"/>
              <w:spacing w:after="0"/>
              <w:rPr>
                <w:sz w:val="20"/>
                <w:szCs w:val="20"/>
                <w:color w:val="auto"/>
              </w:rPr>
            </w:pPr>
            <w:r>
              <w:rPr>
                <w:rFonts w:ascii="Arial" w:cs="Arial" w:eastAsia="Arial" w:hAnsi="Arial"/>
                <w:sz w:val="16"/>
                <w:szCs w:val="16"/>
                <w:b w:val="1"/>
                <w:bCs w:val="1"/>
                <w:color w:val="auto"/>
                <w:w w:val="83"/>
              </w:rPr>
              <w:t>Assets</w:t>
            </w: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00" w:type="dxa"/>
            <w:vAlign w:val="bottom"/>
            <w:shd w:val="clear" w:color="auto" w:fill="CCEEFF"/>
          </w:tcPr>
          <w:p>
            <w:pPr>
              <w:ind w:left="220"/>
              <w:spacing w:after="0" w:line="232"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35"/>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3"/>
                <w:szCs w:val="23"/>
                <w:color w:val="auto"/>
                <w:vertAlign w:val="superscript"/>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9"/>
              </w:rPr>
              <w:t>11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Liabilities</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35"/>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Temporary Equity</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35"/>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Cash equivalents primarily included money market funds.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Marketable securities are comprised of municipal bonds, certificates of deposit, corporate bonds, treasury bonds, and mutual funds.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Put arrangements held by the noncontrolling interests in certain of the Company’s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year ended December 31, 2020.</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marketable debt securities, unrealized gains and losses are reported as a component of accumulated other comprehensive income in stockholders’ equity. The cost of securities sold is based on the specific identification method. The Company evaluates investments with unrealized losses to determine if the losses are other than temporary. There were no unrealized losses as of December 31, 2020 and the Company has determined that the gross unrealized losses were temporary as of December 31, 2019.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marketable equity securities are mutual funds measured at fair value and classified within Level 2 in the fair value hierarchy. Unrealized gains and losses related to the Company’s marketable equity securities were recognized in other income (expense), net.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investments in marketable debt securities were immaterial at December 31, 2020 and 2019, respectively.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and December 31, 2019, the aggregate related fair value of investment with unrealized losses was approximately nil and nil respectively.</w:t>
      </w:r>
    </w:p>
    <w:p>
      <w:pPr>
        <w:sectPr>
          <w:pgSz w:w="11900" w:h="16838" w:orient="portrait"/>
          <w:cols w:equalWidth="0" w:num="1">
            <w:col w:w="11240"/>
          </w:cols>
          <w:pgMar w:left="320" w:top="125" w:right="33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the estimated fair value of investments in marketable equity securities, were as follows: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Mutual funds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Mutual funds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Realized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1167" w:hanging="1167"/>
        <w:spacing w:after="0"/>
        <w:tabs>
          <w:tab w:leader="none" w:pos="11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w:t>
      </w:r>
    </w:p>
    <w:p>
      <w:pPr>
        <w:spacing w:after="0" w:line="23" w:lineRule="exact"/>
        <w:rPr>
          <w:rFonts w:ascii="Arial" w:cs="Arial" w:eastAsia="Arial" w:hAnsi="Arial"/>
          <w:sz w:val="18"/>
          <w:szCs w:val="18"/>
          <w:color w:val="auto"/>
        </w:rPr>
      </w:pPr>
    </w:p>
    <w:p>
      <w:pPr>
        <w:ind w:left="116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1167" w:hanging="1167"/>
        <w:spacing w:after="0"/>
        <w:tabs>
          <w:tab w:leader="none" w:pos="11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9086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93" w:space="720"/>
            <w:col w:w="1427"/>
          </w:cols>
          <w:pgMar w:left="320" w:top="125"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Consolidated Balance Sheets.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year ended December 31, 2020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1000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10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redeemable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100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0"/>
        </w:trPr>
        <w:tc>
          <w:tcPr>
            <w:tcW w:w="10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Affiliates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Loan Receivable on the Consolidated balance sheet. No gain or loss was recognized as a result of the transaction. As of December 31, 2020, the Company reassessed the fair value of the note and there were no material changes.</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2020 and 2019, the Company recognized nil and $(6.9) million, respectively, in revenue related to Cloud Telephony and Support services, and nil and nil, respectively, in revenue related to all other services.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changes to the STIN business led the Company to conclude that its collection of certain STIN receivables was no longer probable. In accordance with ASC 842, the portion of revenue that is no longer deemed collectible is reversed in the current period against revenue. Accordingly, the Company determined a contingency reserve was required, which included a reduction of revenue in the amount $26.0 million in the third quarter of 2019. The impacts of this change are reflected in the STIN affiliate revenue and accounts receivable.</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STIN affiliate accounts receivable balances in the Consolidated Balance Sheet as of December 31, 2020 and December 31, 2019, were nil and $8.1 million, respectively. These amounts principally included revenues generated from the Cloud and Telephony Support Services agreement and pass-through of vendor expenses incurred during the transition and assignment of vendor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8200" w:type="dxa"/>
            <w:vAlign w:val="bottom"/>
          </w:tcPr>
          <w:p>
            <w:pPr>
              <w:ind w:left="300"/>
              <w:spacing w:after="0"/>
              <w:rPr>
                <w:sz w:val="20"/>
                <w:szCs w:val="20"/>
                <w:color w:val="auto"/>
              </w:rPr>
            </w:pPr>
            <w:r>
              <w:rPr>
                <w:rFonts w:ascii="Arial" w:cs="Arial" w:eastAsia="Arial" w:hAnsi="Arial"/>
                <w:sz w:val="18"/>
                <w:szCs w:val="18"/>
                <w:color w:val="auto"/>
              </w:rPr>
              <w:t>Property and equipment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214,880</w:t>
            </w:r>
          </w:p>
        </w:tc>
      </w:tr>
      <w:tr>
        <w:trPr>
          <w:trHeight w:val="229"/>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64,509</w:t>
            </w:r>
          </w:p>
        </w:tc>
      </w:tr>
      <w:tr>
        <w:trPr>
          <w:trHeight w:val="230"/>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w:t>
            </w:r>
          </w:p>
        </w:tc>
      </w:tr>
      <w:tr>
        <w:trPr>
          <w:trHeight w:val="229"/>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25,768</w:t>
            </w:r>
          </w:p>
        </w:tc>
      </w:tr>
      <w:tr>
        <w:trPr>
          <w:trHeight w:val="223"/>
        </w:trPr>
        <w:tc>
          <w:tcPr>
            <w:tcW w:w="40" w:type="dxa"/>
            <w:vAlign w:val="bottom"/>
          </w:tcPr>
          <w:p>
            <w:pPr>
              <w:spacing w:after="0"/>
              <w:rPr>
                <w:sz w:val="19"/>
                <w:szCs w:val="19"/>
                <w:color w:val="auto"/>
              </w:rPr>
            </w:pPr>
          </w:p>
        </w:tc>
        <w:tc>
          <w:tcPr>
            <w:tcW w:w="8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314,703</w:t>
            </w:r>
          </w:p>
        </w:tc>
      </w:tr>
      <w:tr>
        <w:trPr>
          <w:trHeight w:val="229"/>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(288,178)</w:t>
            </w:r>
          </w:p>
        </w:tc>
      </w:tr>
      <w:tr>
        <w:trPr>
          <w:trHeight w:val="248"/>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w:t>
            </w: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approximately $15.6 million, $43.5 million and $55.8 million for 2020, 2019, and 2018, respectively. Amortization of property and equipment recorded under capital leases are included in depreciation expense.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ind w:left="340"/>
              <w:spacing w:after="0"/>
              <w:rPr>
                <w:sz w:val="20"/>
                <w:szCs w:val="20"/>
                <w:color w:val="auto"/>
              </w:rPr>
            </w:pPr>
            <w:r>
              <w:rPr>
                <w:rFonts w:ascii="Arial" w:cs="Arial" w:eastAsia="Arial" w:hAnsi="Arial"/>
                <w:sz w:val="18"/>
                <w:szCs w:val="18"/>
                <w:color w:val="auto"/>
              </w:rPr>
              <w:t>The following table shows the adjustments to goodwill during 2020 and 2019:</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62"/>
        </w:trPr>
        <w:tc>
          <w:tcPr>
            <w:tcW w:w="9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224,899</w:t>
            </w:r>
          </w:p>
        </w:tc>
      </w:tr>
      <w:tr>
        <w:trPr>
          <w:trHeight w:val="230"/>
        </w:trPr>
        <w:tc>
          <w:tcPr>
            <w:tcW w:w="9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222,969</w:t>
            </w:r>
          </w:p>
        </w:tc>
      </w:tr>
      <w:tr>
        <w:trPr>
          <w:trHeight w:val="230"/>
        </w:trPr>
        <w:tc>
          <w:tcPr>
            <w:tcW w:w="9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232,771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When performing its annual impairment test, the Company compares the fair value of each reporting unit to its carrying amount with the fair values derived from the market approach the income approach. Under the market approach, the Company estimates fair value based on market multiples of revenue and earnings derived from comparable publicly-traded companies with similar operating and investment characteristics as the reporting unit. The Company weights the fair value derived from the market approach depending on the level of comparability of these publicly-traded companies to the reporting unit. When market comparables are not meaningful or not available, the Company estimates the fair value of a reporting unit using only the income approach. Under the income approach, the Company estimates the fair value of a reporting unit based on the present value of estimated future cash flows. The Company bases cash flow projections on management’s estimates of revenue growth rates and operating margins, taking into consideration industry and market conditions. The Company bases the discount rate on the weighted-average cost of capital adjusted for the relevant risk associated with business-specific characteristics and the uncertainty related to the reporting unit’s ability to execute on the projected cash flows.</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 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2020, 2019, and 2018 the Company recognized goodwill impairment charges of nil, nil, and $9.1 million, respectively. The Company recorded a $9.1 million impairment charge on the Zentry joint venture in 2018 as a result of various business changes to Zentry, which ultimately led the Company to sunset certain Zentry product offerings. The Company evaluated the impact of these business changes and determined that the future cash flows generated by the assets were not sufficient to support its recoverability and accordingly, the Company recognized an impairment charge for Zentry’s outstanding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intangible assets with definite lives consist primarily of technology, capitalized software, trade names, and customer lists and relationships. These intangible assets are being amortized on the straight-line method over the estimated useful lives of the assets. Amortization expense related to intangible assets for the years ended December 31, 2020, 2019 and 2018 was $27.0 million, $33.5 million and $41.3 million, respectively.</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recognized impairment charges to its intangible assets of $0.9 million, nil and $11.0 million for the years ended December 31, 2020, 2019 and 2018 respectively. The Company includes these impairments within depreciation and amortization in its Consolidated Statements of Operations. The 2018 impairment charge was incurred to the outstanding Zentry intangible assets for the same reasons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left="360" w:right="232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intangible assets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9"/>
              </w:rPr>
              <w:t>December 31, 2020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Customer lists and relationships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(101,468)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and patents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Trade name</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302,887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99,832</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(83,608)</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6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Customer lists and relationships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(86,555)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and patents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(2,450)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(196,199)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77,613</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0" w:type="dxa"/>
            <w:vAlign w:val="bottom"/>
          </w:tcPr>
          <w:p>
            <w:pPr>
              <w:spacing w:after="0"/>
              <w:rPr>
                <w:sz w:val="24"/>
                <w:szCs w:val="24"/>
                <w:color w:val="auto"/>
              </w:rPr>
            </w:pPr>
          </w:p>
        </w:tc>
        <w:tc>
          <w:tcPr>
            <w:tcW w:w="8120" w:type="dxa"/>
            <w:vAlign w:val="bottom"/>
            <w:gridSpan w:val="6"/>
          </w:tcPr>
          <w:p>
            <w:pPr>
              <w:ind w:left="280"/>
              <w:spacing w:after="0"/>
              <w:rPr>
                <w:sz w:val="20"/>
                <w:szCs w:val="20"/>
                <w:color w:val="auto"/>
              </w:rPr>
            </w:pPr>
            <w:r>
              <w:rPr>
                <w:rFonts w:ascii="Arial" w:cs="Arial" w:eastAsia="Arial" w:hAnsi="Arial"/>
                <w:sz w:val="18"/>
                <w:szCs w:val="18"/>
                <w:color w:val="auto"/>
              </w:rPr>
              <w:t>Estimated future amortization expense of its intangible assets for the next five years is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6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62,002</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31" w:lineRule="exact"/>
        <w:rPr>
          <w:sz w:val="20"/>
          <w:szCs w:val="20"/>
          <w:color w:val="auto"/>
        </w:rPr>
      </w:pPr>
    </w:p>
    <w:p>
      <w:pPr>
        <w:ind w:right="60" w:firstLine="8"/>
        <w:spacing w:after="0" w:line="277" w:lineRule="auto"/>
        <w:tabs>
          <w:tab w:leader="none" w:pos="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December 31, 2020, the Company had $7.6 million of capitalized software costs that are currently in the development stage. Amortization of these costs will begin once the software projects are complete and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26,507</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Accrued professional service fees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telecommunications and hosting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Accrued income taxes payable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4,063</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preferred dividend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65,987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 The Company does not have material sublease arrangements.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December 31, 2020 (in thousands):</w:t>
      </w:r>
    </w:p>
    <w:p>
      <w:pPr>
        <w:sectPr>
          <w:pgSz w:w="11900" w:h="16838" w:orient="portrait"/>
          <w:cols w:equalWidth="0" w:num="1">
            <w:col w:w="11240"/>
          </w:cols>
          <w:pgMar w:left="320" w:top="125" w:right="339" w:bottom="1440" w:gutter="0" w:footer="0" w:header="0"/>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Non-current operating lease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Amounts are included in Accrued Expenses on Consolidated Balance Sheets.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948" w:hanging="948"/>
        <w:spacing w:after="0"/>
        <w:tabs>
          <w:tab w:leader="none" w:pos="9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34,538</w:t>
      </w:r>
    </w:p>
    <w:p>
      <w:pPr>
        <w:spacing w:after="0" w:line="200" w:lineRule="exact"/>
        <w:rPr>
          <w:sz w:val="20"/>
          <w:szCs w:val="20"/>
          <w:color w:val="auto"/>
        </w:rPr>
      </w:pPr>
    </w:p>
    <w:p>
      <w:pPr>
        <w:spacing w:after="0" w:line="357" w:lineRule="exact"/>
        <w:rPr>
          <w:sz w:val="20"/>
          <w:szCs w:val="20"/>
          <w:color w:val="auto"/>
        </w:rPr>
      </w:pPr>
    </w:p>
    <w:p>
      <w:pPr>
        <w:ind w:left="948" w:hanging="948"/>
        <w:spacing w:after="0"/>
        <w:tabs>
          <w:tab w:leader="none" w:pos="9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10,078</w:t>
      </w:r>
    </w:p>
    <w:p>
      <w:pPr>
        <w:spacing w:after="0" w:line="57" w:lineRule="exact"/>
        <w:rPr>
          <w:rFonts w:ascii="Arial" w:cs="Arial" w:eastAsia="Arial" w:hAnsi="Arial"/>
          <w:sz w:val="15"/>
          <w:szCs w:val="15"/>
          <w:color w:val="auto"/>
        </w:rPr>
      </w:pPr>
    </w:p>
    <w:p>
      <w:pPr>
        <w:ind w:left="948"/>
        <w:spacing w:after="0"/>
        <w:rPr>
          <w:rFonts w:ascii="Arial" w:cs="Arial" w:eastAsia="Arial" w:hAnsi="Arial"/>
          <w:sz w:val="15"/>
          <w:szCs w:val="15"/>
          <w:color w:val="auto"/>
        </w:rPr>
      </w:pPr>
      <w:r>
        <w:rPr>
          <w:rFonts w:ascii="Arial" w:cs="Arial" w:eastAsia="Arial" w:hAnsi="Arial"/>
          <w:sz w:val="15"/>
          <w:szCs w:val="15"/>
          <w:color w:val="auto"/>
        </w:rPr>
        <w:t>44,126</w:t>
      </w:r>
    </w:p>
    <w:p>
      <w:pPr>
        <w:spacing w:after="0" w:line="70" w:lineRule="exact"/>
        <w:rPr>
          <w:sz w:val="20"/>
          <w:szCs w:val="20"/>
          <w:color w:val="auto"/>
        </w:rPr>
      </w:pPr>
    </w:p>
    <w:p>
      <w:pPr>
        <w:ind w:left="948" w:hanging="948"/>
        <w:spacing w:after="0"/>
        <w:tabs>
          <w:tab w:leader="none" w:pos="9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54,204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968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802" w:lineRule="exact"/>
        <w:rPr>
          <w:sz w:val="20"/>
          <w:szCs w:val="20"/>
          <w:color w:val="auto"/>
        </w:rPr>
      </w:pPr>
    </w:p>
    <w:p>
      <w:pPr>
        <w:sectPr>
          <w:pgSz w:w="11900" w:h="16838" w:orient="portrait"/>
          <w:cols w:equalWidth="0" w:num="2">
            <w:col w:w="8992" w:space="720"/>
            <w:col w:w="1528"/>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left="340" w:right="2340"/>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lease expense and sublease income for the year ended December 31, 2020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2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lease costs and income:</w:t>
            </w:r>
          </w:p>
        </w:tc>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10628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40"/>
        <w:spacing w:after="0" w:line="221" w:lineRule="auto"/>
        <w:rPr>
          <w:sz w:val="20"/>
          <w:szCs w:val="20"/>
          <w:color w:val="auto"/>
        </w:rPr>
      </w:pPr>
      <w:r>
        <w:rPr>
          <w:rFonts w:ascii="Arial" w:cs="Arial" w:eastAsia="Arial" w:hAnsi="Arial"/>
          <w:sz w:val="18"/>
          <w:szCs w:val="18"/>
          <w:color w:val="auto"/>
        </w:rPr>
        <w:t xml:space="preserve">Variable lease costs* </w:t>
      </w:r>
      <w:r>
        <w:rPr>
          <w:rFonts w:ascii="Arial" w:cs="Arial" w:eastAsia="Arial" w:hAnsi="Arial"/>
          <w:sz w:val="23"/>
          <w:szCs w:val="23"/>
          <w:color w:val="auto"/>
          <w:vertAlign w:val="superscript"/>
        </w:rPr>
        <w:t>(1)</w:t>
      </w:r>
    </w:p>
    <w:p>
      <w:pPr>
        <w:ind w:left="16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net lease cost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8"/>
          <w:szCs w:val="18"/>
          <w:color w:val="auto"/>
        </w:rPr>
        <w:t>6,487</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(3,888)</w:t>
      </w:r>
    </w:p>
    <w:p>
      <w:pPr>
        <w:spacing w:after="0" w:line="35" w:lineRule="exact"/>
        <w:rPr>
          <w:sz w:val="20"/>
          <w:szCs w:val="20"/>
          <w:color w:val="auto"/>
        </w:rPr>
      </w:pPr>
    </w:p>
    <w:p>
      <w:pPr>
        <w:ind w:left="1360" w:hanging="1353"/>
        <w:spacing w:after="0"/>
        <w:tabs>
          <w:tab w:leader="none" w:pos="1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14,593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12255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8580" w:space="720"/>
            <w:col w:w="1940"/>
          </w:cols>
          <w:pgMar w:left="320" w:top="125" w:right="339" w:bottom="1440" w:gutter="0" w:footer="0" w:header="0"/>
          <w:type w:val="continuous"/>
        </w:sectPr>
      </w:pPr>
    </w:p>
    <w:p>
      <w:pPr>
        <w:ind w:left="340" w:hanging="332"/>
        <w:spacing w:after="0" w:line="250" w:lineRule="auto"/>
        <w:tabs>
          <w:tab w:leader="none" w:pos="3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Consolidated Statements of Operations.</w:t>
      </w:r>
    </w:p>
    <w:p>
      <w:pPr>
        <w:spacing w:after="0" w:line="1" w:lineRule="exact"/>
        <w:rPr>
          <w:sz w:val="20"/>
          <w:szCs w:val="20"/>
          <w:color w:val="auto"/>
        </w:rPr>
      </w:pPr>
    </w:p>
    <w:p>
      <w:pPr>
        <w:jc w:val="both"/>
        <w:ind w:left="340" w:hanging="332"/>
        <w:spacing w:after="0" w:line="229" w:lineRule="auto"/>
        <w:tabs>
          <w:tab w:leader="none" w:pos="362"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As part of the Company’s in year cost savings initiatives, the Company closed certain office spaces and terminated various lease agreements. These actions resulted in a $5.4 million ROU asset impairment charge, which was determined by the present value of the forecasted future cash flows for the remaining lease term.</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the Company’s lease liabilities at December 31, 2020 for each of the five years subsequent to December 31, 2020 and thereafter, as well as a reconciliation of such undiscounted cash flows to the Company’s lease liabilities at December 31, 2020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0"/>
              </w:rPr>
              <w:t>Operating Leases</w:t>
            </w:r>
          </w:p>
        </w:tc>
      </w:tr>
      <w:tr>
        <w:trPr>
          <w:trHeight w:val="22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w:t>
            </w:r>
          </w:p>
        </w:tc>
      </w:t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11,220</w:t>
            </w:r>
          </w:p>
        </w:tc>
      </w:tr>
      <w:tr>
        <w:trPr>
          <w:trHeight w:val="229"/>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8,401</w:t>
            </w:r>
          </w:p>
        </w:tc>
      </w:tr>
      <w:tr>
        <w:trPr>
          <w:trHeight w:val="230"/>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r>
      <w:tr>
        <w:trPr>
          <w:trHeight w:val="229"/>
        </w:trPr>
        <w:tc>
          <w:tcPr>
            <w:tcW w:w="9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w:t>
            </w:r>
          </w:p>
        </w:tc>
      </w:tr>
      <w:tr>
        <w:trPr>
          <w:trHeight w:val="223"/>
        </w:trPr>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lease payments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r>
      <w:tr>
        <w:trPr>
          <w:trHeight w:val="230"/>
        </w:trPr>
        <w:tc>
          <w:tcPr>
            <w:tcW w:w="9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w:t>
            </w:r>
          </w:p>
        </w:tc>
      </w:tr>
      <w:tr>
        <w:trPr>
          <w:trHeight w:val="248"/>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weighted-average remaining lease term and weighted-average discount rates for the Company’s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900" w:type="dxa"/>
            <w:vAlign w:val="bottom"/>
            <w:shd w:val="clear" w:color="auto" w:fill="CCEEFF"/>
          </w:tcPr>
          <w:p>
            <w:pPr>
              <w:spacing w:after="0"/>
              <w:rPr>
                <w:sz w:val="19"/>
                <w:szCs w:val="19"/>
                <w:color w:val="auto"/>
              </w:rPr>
            </w:pPr>
          </w:p>
        </w:tc>
      </w:tr>
      <w:tr>
        <w:trPr>
          <w:trHeight w:val="229"/>
        </w:trPr>
        <w:tc>
          <w:tcPr>
            <w:tcW w:w="9280" w:type="dxa"/>
            <w:vAlign w:val="bottom"/>
          </w:tcPr>
          <w:p>
            <w:pPr>
              <w:ind w:left="12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0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9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the Company’s lease liabilities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42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13,181</w:t>
            </w:r>
          </w:p>
        </w:tc>
      </w:tr>
      <w:tr>
        <w:trPr>
          <w:trHeight w:val="230"/>
        </w:trPr>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arising from obtaining right-of-use assets</w:t>
            </w: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0.00%. In addition, on a quarterly basis, the Company is required to pay each lender under the Revolving Credit Facility a 0.2% commitment fee in respect of commitments under the Revolving Credit Facility, which may be subject to adjustment based on the Company’s total leverage ratio. The outstanding balance under the Revolving Credit Facility as of December 31, 2020 is $10.0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12, 2014, the Company issued $230.0 million aggregate principal amount of its 0.75% Convertible Senior Notes due in 2019 (the “2019 Notes”). The 2019 Notes were paid at maturity on August 15, 2019. The 2019 Notes bore an interest rate of 0.75% per annum payable semi-annually in arrears on February 15 and August 15 of each year. The Company accounted for the $230.0 million face value of the debt as a liability and capitalized approximately $7.1 million of financing fees, related to the issuance.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years ended December 31, 2020, 2019 and 2018, interest expense was $0.2 million, $0.4 million, and $1.6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w w:val="94"/>
              </w:rPr>
              <w:t>Twelve Months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9"/>
              </w:rPr>
              <w:t>Convertible Senior Notes</w:t>
            </w:r>
          </w:p>
        </w:tc>
        <w:tc>
          <w:tcPr>
            <w:tcW w:w="4460" w:type="dxa"/>
            <w:vAlign w:val="bottom"/>
            <w:tcBorders>
              <w:bottom w:val="single" w:sz="8" w:color="CCEEFF"/>
            </w:tcBorders>
            <w:gridSpan w:val="2"/>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on borrowings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20" w:type="dxa"/>
            <w:vAlign w:val="bottom"/>
          </w:tcPr>
          <w:p>
            <w:pPr>
              <w:spacing w:after="0"/>
              <w:rPr>
                <w:sz w:val="19"/>
                <w:szCs w:val="19"/>
                <w:color w:val="auto"/>
              </w:rPr>
            </w:pPr>
          </w:p>
        </w:tc>
        <w:tc>
          <w:tcPr>
            <w:tcW w:w="6400" w:type="dxa"/>
            <w:vAlign w:val="bottom"/>
            <w:gridSpan w:val="3"/>
          </w:tcPr>
          <w:p>
            <w:pPr>
              <w:ind w:left="200"/>
              <w:spacing w:after="0"/>
              <w:rPr>
                <w:sz w:val="20"/>
                <w:szCs w:val="20"/>
                <w:color w:val="auto"/>
              </w:rPr>
            </w:pPr>
            <w:r>
              <w:rPr>
                <w:rFonts w:ascii="Arial" w:cs="Arial" w:eastAsia="Arial" w:hAnsi="Arial"/>
                <w:sz w:val="18"/>
                <w:szCs w:val="18"/>
                <w:color w:val="auto"/>
              </w:rPr>
              <w:t>Additional interest on default</w:t>
            </w:r>
          </w:p>
        </w:tc>
        <w:tc>
          <w:tcPr>
            <w:tcW w:w="10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189"/>
        </w:trPr>
        <w:tc>
          <w:tcPr>
            <w:tcW w:w="20" w:type="dxa"/>
            <w:vAlign w:val="bottom"/>
            <w:shd w:val="clear" w:color="auto" w:fill="CCEEFF"/>
          </w:tcPr>
          <w:p>
            <w:pPr>
              <w:spacing w:after="0"/>
              <w:rPr>
                <w:sz w:val="16"/>
                <w:szCs w:val="16"/>
                <w:color w:val="auto"/>
              </w:rPr>
            </w:pPr>
          </w:p>
        </w:tc>
        <w:tc>
          <w:tcPr>
            <w:tcW w:w="64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2019 Revolving Credit Facility</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Commitment fee</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400" w:type="dxa"/>
            <w:vAlign w:val="bottom"/>
            <w:gridSpan w:val="3"/>
          </w:tcPr>
          <w:p>
            <w:pPr>
              <w:ind w:left="200"/>
              <w:spacing w:after="0"/>
              <w:rPr>
                <w:sz w:val="20"/>
                <w:szCs w:val="20"/>
                <w:color w:val="auto"/>
              </w:rPr>
            </w:pPr>
            <w:r>
              <w:rPr>
                <w:rFonts w:ascii="Arial" w:cs="Arial" w:eastAsia="Arial" w:hAnsi="Arial"/>
                <w:sz w:val="18"/>
                <w:szCs w:val="18"/>
                <w:color w:val="auto"/>
              </w:rPr>
              <w:t>Interest on borrowings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6"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6"/>
          <w:szCs w:val="16"/>
          <w:color w:val="auto"/>
        </w:rPr>
        <w:t>Mainly finance leases’ related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 /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years ended December 31,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ind w:left="40"/>
              <w:spacing w:after="0"/>
              <w:rPr>
                <w:sz w:val="20"/>
                <w:szCs w:val="20"/>
                <w:color w:val="auto"/>
              </w:rPr>
            </w:pPr>
            <w:r>
              <w:rPr>
                <w:rFonts w:ascii="Arial" w:cs="Arial" w:eastAsia="Arial" w:hAnsi="Arial"/>
                <w:sz w:val="13"/>
                <w:szCs w:val="13"/>
                <w:b w:val="1"/>
                <w:bCs w:val="1"/>
                <w:color w:val="auto"/>
                <w:w w:val="96"/>
              </w:rPr>
              <w:t>Balance at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Other comprehensive</w:t>
            </w: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Tax effect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Balance at December 31,</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30"/>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1"/>
              </w:rPr>
              <w:t>(loss) income</w:t>
            </w: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8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360" w:type="dxa"/>
            <w:vAlign w:val="bottom"/>
            <w:tcBorders>
              <w:top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(26,076)</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4"/>
                <w:szCs w:val="14"/>
                <w:color w:val="auto"/>
              </w:rPr>
              <w:t>Unrealized loss on intra-entity foreign currency transactions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holding gains (losses) on marketable debt securities</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60" w:type="dxa"/>
            <w:vAlign w:val="bottom"/>
          </w:tcPr>
          <w:p>
            <w:pPr>
              <w:ind w:left="24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gridSpan w:val="2"/>
          </w:tcPr>
          <w:p>
            <w:pPr>
              <w:jc w:val="right"/>
              <w:ind w:right="212"/>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6,009</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(28,213)</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Balance at 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Other comprehensive</w:t>
            </w: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Tax effect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Balance at December 31,</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(loss) income</w:t>
            </w: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8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(26,436)</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(28,204)</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4"/>
                <w:szCs w:val="14"/>
                <w:color w:val="auto"/>
              </w:rPr>
              <w:t>Unrealized income (loss) on intra-entity foreign currency transactions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(3,906)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holding gains (losses) on marketable debt securities</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83"/>
        </w:trPr>
        <w:tc>
          <w:tcPr>
            <w:tcW w:w="5060" w:type="dxa"/>
            <w:vAlign w:val="bottom"/>
          </w:tcPr>
          <w:p>
            <w:pPr>
              <w:ind w:left="2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(30,383)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(3,057)</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(33,261)</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Balance at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Other comprehensive</w:t>
            </w: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Tax effect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Balance at December 31,</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(loss) income</w:t>
            </w: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188"/>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(20,284)</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(6,152)</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(26,436)</w:t>
            </w:r>
          </w:p>
        </w:tc>
        <w:tc>
          <w:tcPr>
            <w:tcW w:w="0" w:type="dxa"/>
            <w:vAlign w:val="bottom"/>
          </w:tcPr>
          <w:p>
            <w:pPr>
              <w:spacing w:after="0"/>
              <w:rPr>
                <w:sz w:val="1"/>
                <w:szCs w:val="1"/>
                <w:color w:val="auto"/>
              </w:rPr>
            </w:pPr>
          </w:p>
        </w:tc>
      </w:tr>
      <w:tr>
        <w:trPr>
          <w:trHeight w:val="186"/>
        </w:trPr>
        <w:tc>
          <w:tcPr>
            <w:tcW w:w="5060" w:type="dxa"/>
            <w:vAlign w:val="bottom"/>
          </w:tcPr>
          <w:p>
            <w:pPr>
              <w:ind w:left="20"/>
              <w:spacing w:after="0"/>
              <w:rPr>
                <w:sz w:val="20"/>
                <w:szCs w:val="20"/>
                <w:color w:val="auto"/>
              </w:rPr>
            </w:pPr>
            <w:r>
              <w:rPr>
                <w:rFonts w:ascii="Arial" w:cs="Arial" w:eastAsia="Arial" w:hAnsi="Arial"/>
                <w:sz w:val="14"/>
                <w:szCs w:val="14"/>
                <w:color w:val="auto"/>
              </w:rPr>
              <w:t>Unrealized (loss) income on intra-entity foreign currency transactions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(3,085)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(3,906)</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holding gains (losses) on marketable debt securities</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3"/>
        </w:trPr>
        <w:tc>
          <w:tcPr>
            <w:tcW w:w="5060" w:type="dxa"/>
            <w:vAlign w:val="bottom"/>
          </w:tcPr>
          <w:p>
            <w:pPr>
              <w:ind w:left="2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(23,373)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(7,452)</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(30,383)</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Structure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 Company’s authorized capital stock was 110 million shares of stock with a par value of $0.0001, of which 100 million shares were designated as common stock and 10 million shares were designated as preferred stock. There were no significant changes to Company’s authorized capital stock and preferred stock during the year ended December 31, 2020.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4, 2016, the Company announced that the Board of Directors approved a share repurchase program under which the Company may repurchase up to $100.0 million of its outstanding common stock for 12 to 18 months following the announcement. In 2016, the Company repurchased approximately 1.3 million shares of the Company’s common stock under this program for an aggregate repurchase price of $40.0 million. There were no share repurchases subsequent to 2016. In 2018, in connection with execution of the Share Purchase Agreement, the Company received approximately 6.0 million shares of Synchronoss common stock, which have been recorded as Treasury shares as of December 31, 2020. Additionally, in 2018 the Company retired 3.9 million shares of Common Stock that were previously repurchased in prior years. Any related additional paid in capital and par values were removed from the Common Stock numbers.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2020, there were 250,432 shares of Series A Preferred Stock outstanding, including the initial issuance of 185,000 shares of Series A Preferred Stock and the issuance of 65,432 shares of Series A Preferred Stock as dividends.</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PIPE Purchase Agreement with Silver on February 15, 2018, Silver exercised its option to complete the Preferred Transaction. In connection with the issuance of the Series A Preferred Stock, the Company (i) filed the certificate of designations to its certificate of incorporation to establish the rights, preferences, privileges, qualifications, restrictions and limitations of the Series A Preferred Stock (the “Series A Certificate”) and (ii) entered into the Investor Rights Agreement setting forth certain registration, governance and preemptive rights of Silver with respect to Synchronoss. Pursuant to the PIPE Purchase Agreement, at the closing, the Company paid to Siris $5.0 million as a reimbursement of Silver’s reasonable costs and expenses incurred in connection with the Preferred Transaction. In connection with execution of the Preferred Transaction, Silver delivered 5,994,667 shares of Synchronoss common stock, which have been recorded as Treasury shares as of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December 31, 2020, the Liquidation Value and Redemption Value of the Preferred Shares was $243.1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2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summary of the Company’s Series A Convertible Participating Perpetual Preferred Stock balance at December 31, 2020 and changes during the year ended December 31, 2020, are presented below:</w:t>
      </w:r>
    </w:p>
    <w:p>
      <w:pPr>
        <w:spacing w:after="0" w:line="81"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Preferred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Amount</w:t>
            </w:r>
          </w:p>
        </w:tc>
      </w:tr>
      <w:tr>
        <w:trPr>
          <w:trHeight w:val="211"/>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200,865</w:t>
            </w:r>
          </w:p>
        </w:tc>
      </w:tr>
      <w:tr>
        <w:trPr>
          <w:trHeight w:val="213"/>
        </w:trPr>
        <w:tc>
          <w:tcPr>
            <w:tcW w:w="9300" w:type="dxa"/>
            <w:vAlign w:val="bottom"/>
            <w:gridSpan w:val="2"/>
          </w:tcPr>
          <w:p>
            <w:pPr>
              <w:ind w:left="140"/>
              <w:spacing w:after="0"/>
              <w:rPr>
                <w:sz w:val="20"/>
                <w:szCs w:val="20"/>
                <w:color w:val="auto"/>
              </w:rPr>
            </w:pPr>
            <w:r>
              <w:rPr>
                <w:rFonts w:ascii="Arial" w:cs="Arial" w:eastAsia="Arial" w:hAnsi="Arial"/>
                <w:sz w:val="16"/>
                <w:szCs w:val="16"/>
                <w:color w:val="auto"/>
              </w:rPr>
              <w:t>Amortization of preferred stock issuance costs</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216"/>
        </w:trPr>
        <w:tc>
          <w:tcPr>
            <w:tcW w:w="826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33,246</w:t>
            </w:r>
          </w:p>
        </w:tc>
      </w:tr>
      <w:tr>
        <w:trPr>
          <w:trHeight w:val="213"/>
        </w:trPr>
        <w:tc>
          <w:tcPr>
            <w:tcW w:w="9300" w:type="dxa"/>
            <w:vAlign w:val="bottom"/>
            <w:gridSpan w:val="2"/>
          </w:tcPr>
          <w:p>
            <w:pPr>
              <w:ind w:left="20"/>
              <w:spacing w:after="0"/>
              <w:rPr>
                <w:sz w:val="20"/>
                <w:szCs w:val="20"/>
                <w:color w:val="auto"/>
              </w:rPr>
            </w:pPr>
            <w:r>
              <w:rPr>
                <w:rFonts w:ascii="Arial" w:cs="Arial" w:eastAsia="Arial" w:hAnsi="Arial"/>
                <w:sz w:val="16"/>
                <w:szCs w:val="16"/>
                <w:color w:val="auto"/>
              </w:rPr>
              <w:t>Balance at December 31, 2020</w:t>
            </w:r>
          </w:p>
        </w:tc>
        <w:tc>
          <w:tcPr>
            <w:tcW w:w="4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237,641</w:t>
            </w:r>
          </w:p>
        </w:tc>
      </w:tr>
      <w:tr>
        <w:trPr>
          <w:trHeight w:val="21"/>
        </w:trPr>
        <w:tc>
          <w:tcPr>
            <w:tcW w:w="8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Company and Siris Capital Group, LLC (“Siris”) entered into an Advisory Services Agreement dated as of May 18, 2020 under which Siris may provide consulting and advisory services to the Company on operational, business, financial and strategic matters. Under the agreement, the Company agreed to pay Siris a fee of $110,000 per month for calendar year 2021, which fee increases by $10,000 a month in each successive calendar year during the term of the agreement. No payment of the fee is required until February 1, 2022 and the Company does not currently intend to pay any portion of the fee until this date. On February 1 of each calendar year commencing on February 1, 2022, the Company shall pay Siris 20% of the aggregate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amount of the fees with respect to the prior calendar year that were not previously paid. In addition, no later than 30 days following the date on which Silver and its affiliates, including Siris, collectively hold no shares of Series A Preferred Stock, the Company shall pay all fees with respect to the period from January 1, 2021 through the termination date of the agreement not previously paid. The Company shall also reimburse Siris for any pre-approved out-of-pocket expenses in connection with providing services under the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year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2015, the Company adopted the 2015 Equity Incentive Plan (the “2015 Plan”). The 2015 Plan replaces the Company’s prior 2000 Equity Incentive Plan (the “2000 Plan”) and the 2006 Equity Incentive Plan (the “2006 Plan”) (collectively, the “Plans”). Beginning March 2015, all awards were granted under the 2015 Plan. In addition, any awards that were previously granted under any prior Plans that terminate without issuance of shares, shall be eligible for issuance under the 2015 Plan.</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 Board of Directors administers the Plan and is responsible for determining the individuals to be granted options or shares, the number of options or shares each individual will receive, the price per share and the exercise period of each option.</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15, 2017, the Compensation Committee adopted the 2017 New Hire Equity Incentive Plan (“2017 New Hire Plan”), which is intended to be exempt from the stockholder approval requirements under the “inducement grant exception” provided by the Inducement Rule. The Committee authorized the issuance of up to 1.5 million Common Shares to new hires, with the purpose of promoting the long-term success of the Company and the creation of stockholder value by (a) 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New Hire Plan.</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significant changes to the Company’s Stock Plans during the year ended December 31, 2020. As of December 31, 2020, there were 1.5 million shares available for the grant or award under the Company’s 2015 Plan and 0.4 million shares available for the grant or award under the Company’s 2017 New Hire equity incentive Plan.</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December 31, 2020, the liability for such awards is approximately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2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11,137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27,604</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200" w:type="dxa"/>
            <w:vAlign w:val="bottom"/>
            <w:vMerge w:val="restart"/>
          </w:tcPr>
          <w:p>
            <w:pPr>
              <w:jc w:val="right"/>
              <w:ind w:right="630"/>
              <w:spacing w:after="0"/>
              <w:rPr>
                <w:sz w:val="20"/>
                <w:szCs w:val="20"/>
                <w:color w:val="auto"/>
              </w:rPr>
            </w:pPr>
            <w:r>
              <w:rPr>
                <w:rFonts w:ascii="Arial" w:cs="Arial" w:eastAsia="Arial" w:hAnsi="Arial"/>
                <w:sz w:val="18"/>
                <w:szCs w:val="18"/>
                <w:color w:val="auto"/>
              </w:rPr>
              <w:t>95</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Twelve Months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Cash Units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stock-based compensation before taxes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27,604</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December 31, 2020 was approximately $12.8 million. The expense is expected to be recognized over a weighted-average period of approximately 0.8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stock-based compensation cost related to unvested performance-based cash units as of December 31, 2020 was approximately $0.3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weighted-average period of approximately 1.6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Options that were granted under the Company’s 2000, 2006 and 2015 Plans generally vest 25% on the first-year anniversary of the date of grant plus an additional 1/48th for each month of continuous service thereafter.</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Options that were granted under the Company’s 2010 Plan generally vest 50% on the second-year anniversary and an additional 1/48th for each month of continuous service thereafter.</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Incentive options that were granted under the 2000 and 2006 Plans generally vest 25% on the first-year anniversary on the date of grant and an additional 1/48th for each month of continuous service thereafter.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year ended December 31, 2020.</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Twelve Months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(PSV) of the options</w:t>
            </w:r>
          </w:p>
        </w:tc>
        <w:tc>
          <w:tcPr>
            <w:tcW w:w="26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4.91</w:t>
            </w:r>
          </w:p>
        </w:tc>
      </w:tr>
      <w:tr>
        <w:trPr>
          <w:trHeight w:val="905"/>
        </w:trPr>
        <w:tc>
          <w:tcPr>
            <w:tcW w:w="4560" w:type="dxa"/>
            <w:vAlign w:val="bottom"/>
          </w:tcPr>
          <w:p>
            <w:pPr>
              <w:spacing w:after="0"/>
              <w:rPr>
                <w:sz w:val="24"/>
                <w:szCs w:val="24"/>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96</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260" w:type="dxa"/>
            <w:vAlign w:val="bottom"/>
          </w:tcPr>
          <w:p>
            <w:pPr>
              <w:spacing w:after="0"/>
              <w:rPr>
                <w:sz w:val="16"/>
                <w:szCs w:val="16"/>
                <w:color w:val="auto"/>
              </w:rPr>
            </w:pPr>
          </w:p>
        </w:tc>
        <w:tc>
          <w:tcPr>
            <w:tcW w:w="132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Weighted-Average</w:t>
            </w:r>
          </w:p>
        </w:tc>
        <w:tc>
          <w:tcPr>
            <w:tcW w:w="17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Remaining</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260" w:type="dxa"/>
            <w:vAlign w:val="bottom"/>
          </w:tcPr>
          <w:p>
            <w:pPr>
              <w:spacing w:after="0"/>
              <w:rPr>
                <w:sz w:val="14"/>
                <w:szCs w:val="14"/>
                <w:color w:val="auto"/>
              </w:rPr>
            </w:pPr>
          </w:p>
        </w:tc>
        <w:tc>
          <w:tcPr>
            <w:tcW w:w="132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500" w:type="dxa"/>
            <w:vAlign w:val="bottom"/>
            <w:gridSpan w:val="2"/>
            <w:vMerge w:val="continue"/>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 (Years)</w:t>
            </w:r>
          </w:p>
        </w:tc>
        <w:tc>
          <w:tcPr>
            <w:tcW w:w="260" w:type="dxa"/>
            <w:vAlign w:val="bottom"/>
          </w:tcPr>
          <w:p>
            <w:pPr>
              <w:spacing w:after="0"/>
              <w:rPr>
                <w:sz w:val="18"/>
                <w:szCs w:val="18"/>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788,413.19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Vested at December 31, 2020</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15.38</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total intrinsic value of stock options exercised during the year ended December 31, 2020 and 2019 was nil and $20.5 thousand, respectively. The total intrinsic value of stock options exercisable as of December 31, 2020 and 2019 was $1.5 thousand and $1.2 thousand,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stock awards (“Restricted Stock”) granted under the Company’s Plans generally vest 25% of the applicable shares on the first anniversary of the date of grant and thereafter an additional 1/16th for each three months of continuous service.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Generally, performance stock awards granted under the Company’s 2015 Plan vest at the end of a three-year period based on service and achievement of certain performance objectives determined by the Company’s Board of Directors.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year ended December 31, 2020.</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the Company’s unvested restricted stock at December 31, 2020, and changes during the year ended December 31, 2020, is presented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7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3"/>
        </w:trPr>
        <w:tc>
          <w:tcPr>
            <w:tcW w:w="7920" w:type="dxa"/>
            <w:vAlign w:val="bottom"/>
            <w:gridSpan w:val="2"/>
            <w:vMerge w:val="continue"/>
          </w:tcPr>
          <w:p>
            <w:pPr>
              <w:spacing w:after="0"/>
              <w:rPr>
                <w:sz w:val="18"/>
                <w:szCs w:val="18"/>
                <w:color w:val="auto"/>
              </w:rPr>
            </w:pP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Performance based cash units (PBCU) generally vest at the end of a three-year period based on service and achievement of certain performance objectives determined by the Company’s Board of Directors. The PBCU can be settled in cash or in equity as determined by the Compensation Committee.</w:t>
      </w:r>
    </w:p>
    <w:p>
      <w:pPr>
        <w:spacing w:after="0" w:line="1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performance-based cash units at December 31, 2020 and changes during the year ended December 31, 2020, is presented below:</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Unvested Cash Units</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Period end</w:t>
            </w:r>
          </w:p>
        </w:tc>
        <w:tc>
          <w:tcPr>
            <w:tcW w:w="0" w:type="dxa"/>
            <w:vAlign w:val="bottom"/>
          </w:tcPr>
          <w:p>
            <w:pPr>
              <w:spacing w:after="0"/>
              <w:rPr>
                <w:sz w:val="1"/>
                <w:szCs w:val="1"/>
                <w:color w:val="auto"/>
              </w:rPr>
            </w:pPr>
          </w:p>
        </w:tc>
      </w:tr>
      <w:tr>
        <w:trPr>
          <w:trHeight w:val="230"/>
        </w:trPr>
        <w:tc>
          <w:tcPr>
            <w:tcW w:w="7840" w:type="dxa"/>
            <w:vAlign w:val="bottom"/>
            <w:gridSpan w:val="2"/>
            <w:vMerge w:val="continue"/>
          </w:tcPr>
          <w:p>
            <w:pPr>
              <w:spacing w:after="0"/>
              <w:rPr>
                <w:sz w:val="19"/>
                <w:szCs w:val="19"/>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as well as the percentage achievement of the performance metrics at each reporting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Plan</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has a 401(k) plan (the “401(k) Plan”) covering all eligible employees. The 401(k) Plan allows for a discretionary employer match. The Company incurred and expensed $2.9 million, $2.6 million, and $2.2 million for the years ended December 31, 2020, 2019 and 2018, respectively, in 401(k) Plan match contributions.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continues to identify workforce optimization opportunities to better align the Company’s resources with its key strategic priorities.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December 31, 2020 and changes during the year ended December 31, 2020, are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Balance at</w:t>
            </w:r>
          </w:p>
        </w:tc>
        <w:tc>
          <w:tcPr>
            <w:tcW w:w="280" w:type="dxa"/>
            <w:vAlign w:val="bottom"/>
          </w:tcPr>
          <w:p>
            <w:pPr>
              <w:spacing w:after="0"/>
              <w:rPr>
                <w:sz w:val="15"/>
                <w:szCs w:val="1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Charges</w:t>
            </w:r>
          </w:p>
        </w:tc>
        <w:tc>
          <w:tcPr>
            <w:tcW w:w="260" w:type="dxa"/>
            <w:vAlign w:val="bottom"/>
          </w:tcPr>
          <w:p>
            <w:pPr>
              <w:spacing w:after="0"/>
              <w:rPr>
                <w:sz w:val="15"/>
                <w:szCs w:val="1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Payments</w:t>
            </w:r>
          </w:p>
        </w:tc>
        <w:tc>
          <w:tcPr>
            <w:tcW w:w="15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Other Adjustments</w:t>
            </w:r>
            <w:r>
              <w:rPr>
                <w:rFonts w:ascii="Arial" w:cs="Arial" w:eastAsia="Arial" w:hAnsi="Arial"/>
                <w:sz w:val="19"/>
                <w:szCs w:val="19"/>
                <w:b w:val="1"/>
                <w:bCs w:val="1"/>
                <w:color w:val="auto"/>
                <w:vertAlign w:val="superscript"/>
              </w:rPr>
              <w:t>1</w:t>
            </w: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w w:val="90"/>
              </w:rPr>
              <w:t>Balance at December</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December 31, 2019</w:t>
            </w: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57"/>
              <w:spacing w:after="0"/>
              <w:rPr>
                <w:sz w:val="20"/>
                <w:szCs w:val="20"/>
                <w:color w:val="auto"/>
              </w:rPr>
            </w:pPr>
            <w:r>
              <w:rPr>
                <w:rFonts w:ascii="Arial" w:cs="Arial" w:eastAsia="Arial" w:hAnsi="Arial"/>
                <w:sz w:val="15"/>
                <w:szCs w:val="15"/>
                <w:b w:val="1"/>
                <w:bCs w:val="1"/>
                <w:color w:val="auto"/>
              </w:rPr>
              <w:t>31, 2020</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Employment termination costs</w:t>
            </w: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non-cash adjustments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or (loss) from continuing operations before income taxes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Borders>
              <w:bottom w:val="single" w:sz="8" w:color="auto"/>
            </w:tcBorders>
          </w:tcPr>
          <w:p>
            <w:pPr>
              <w:spacing w:after="0"/>
              <w:rPr>
                <w:sz w:val="18"/>
                <w:szCs w:val="18"/>
                <w:color w:val="auto"/>
              </w:rPr>
            </w:pPr>
          </w:p>
        </w:tc>
      </w:tr>
      <w:tr>
        <w:trPr>
          <w:trHeight w:val="226"/>
        </w:trPr>
        <w:tc>
          <w:tcPr>
            <w:tcW w:w="6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(216,589)</w:t>
            </w:r>
          </w:p>
        </w:tc>
      </w:tr>
      <w:tr>
        <w:trPr>
          <w:trHeight w:val="22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(46,585)</w:t>
            </w: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7100" w:type="dxa"/>
            <w:vAlign w:val="bottom"/>
            <w:gridSpan w:val="2"/>
          </w:tcPr>
          <w:p>
            <w:pPr>
              <w:ind w:left="340"/>
              <w:spacing w:after="0"/>
              <w:rPr>
                <w:sz w:val="20"/>
                <w:szCs w:val="20"/>
                <w:color w:val="auto"/>
              </w:rPr>
            </w:pPr>
            <w:r>
              <w:rPr>
                <w:rFonts w:ascii="Arial" w:cs="Arial" w:eastAsia="Arial" w:hAnsi="Arial"/>
                <w:sz w:val="18"/>
                <w:szCs w:val="18"/>
                <w:color w:val="auto"/>
                <w:w w:val="92"/>
              </w:rPr>
              <w:t>The components of income tax (expense) benefit from continuing operations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5"/>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Borders>
              <w:bottom w:val="single" w:sz="8" w:color="auto"/>
            </w:tcBorders>
          </w:tcPr>
          <w:p>
            <w:pPr>
              <w:spacing w:after="0"/>
              <w:rPr>
                <w:sz w:val="24"/>
                <w:szCs w:val="24"/>
                <w:color w:val="auto"/>
              </w:rPr>
            </w:pPr>
          </w:p>
        </w:tc>
      </w:tr>
      <w:tr>
        <w:trPr>
          <w:trHeight w:val="226"/>
        </w:trPr>
        <w:tc>
          <w:tcPr>
            <w:tcW w:w="6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19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3,163</w:t>
            </w:r>
          </w:p>
        </w:tc>
      </w:tr>
      <w:tr>
        <w:trPr>
          <w:trHeight w:val="229"/>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6740" w:type="dxa"/>
            <w:vAlign w:val="bottom"/>
          </w:tcPr>
          <w:p>
            <w:pPr>
              <w:ind w:left="260"/>
              <w:spacing w:after="0"/>
              <w:rPr>
                <w:sz w:val="20"/>
                <w:szCs w:val="20"/>
                <w:color w:val="auto"/>
              </w:rPr>
            </w:pPr>
            <w:r>
              <w:rPr>
                <w:rFonts w:ascii="Arial" w:cs="Arial" w:eastAsia="Arial" w:hAnsi="Arial"/>
                <w:sz w:val="16"/>
                <w:szCs w:val="16"/>
                <w:color w:val="auto"/>
              </w:rPr>
              <w:t>Foreign</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6"/>
                <w:szCs w:val="16"/>
                <w:color w:val="auto"/>
              </w:rPr>
              <w:t>Federal</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6,729</w:t>
            </w:r>
          </w:p>
        </w:tc>
      </w:tr>
      <w:tr>
        <w:trPr>
          <w:trHeight w:val="229"/>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6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recognized approximately $27.1 million in related income tax benefit and $2.2 million in related income tax provision during the year ended December 31, 2020 and 2019, respectively. The effective tax rate was approximately 72.4% for the year ended December 31, 2020, which was higher than the U.S. federal statutory rate primarily due to the benefit of the CARES Act provision allowing for a 5 year carryback of Net Operating Losses arising in 2018, 2019 and 2020. The Company’s effective tax rate was approximately (2.1)% for the year ended December 31, 2019, which was lower than the U.S. federal statutory rate primarily due to pre-tax losses in jurisdictions where full valuation allowances have been recorded and in zero tax rate jurisdictions and permanent differences associated with U.S. Base Erosion and Anti Abuse Tax elections, offset by certain foreign jurisdictions projecting current income tax expense.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Reconciliations of the statutory tax rates and the effective tax rates from continuing operations for the years ended December 31, 2020, 2019 and 2018 are as follows:</w:t>
      </w:r>
    </w:p>
    <w:p>
      <w:pPr>
        <w:spacing w:after="0" w:line="117"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Statutory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rates different than statutory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Minority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Bad Debt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Basis Differences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Other permanent differences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Change in valuation allowance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Acquisitions and foreign tax residency changes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Investment in JV</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Global Intangible Low-Taxed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Base Erosion Anti-Abuse Tax and Related Elections</w:t>
            </w:r>
          </w:p>
        </w:tc>
        <w:tc>
          <w:tcPr>
            <w:tcW w:w="5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NOL Carryback and Other Refund Claims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400" w:type="dxa"/>
            <w:vAlign w:val="bottom"/>
            <w:gridSpan w:val="2"/>
          </w:tcPr>
          <w:p>
            <w:pPr>
              <w:ind w:left="360"/>
              <w:spacing w:after="0"/>
              <w:rPr>
                <w:sz w:val="20"/>
                <w:szCs w:val="20"/>
                <w:color w:val="auto"/>
              </w:rPr>
            </w:pPr>
            <w:r>
              <w:rPr>
                <w:rFonts w:ascii="Arial" w:cs="Arial" w:eastAsia="Arial" w:hAnsi="Arial"/>
                <w:sz w:val="18"/>
                <w:szCs w:val="18"/>
                <w:color w:val="auto"/>
              </w:rPr>
              <w:t>Effective tax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72.4 %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6"/>
                <w:szCs w:val="16"/>
                <w:b w:val="1"/>
                <w:bCs w:val="1"/>
                <w:color w:val="auto"/>
              </w:rPr>
              <w:t>As of December 31,</w:t>
            </w:r>
          </w:p>
        </w:tc>
      </w:tr>
      <w:tr>
        <w:trPr>
          <w:trHeight w:val="226"/>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12,943</w:t>
            </w: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Bad debts reserve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9,291</w:t>
            </w: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Federal net operating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7,969</w:t>
            </w: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net operating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Foreign net operating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9,401</w:t>
            </w: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Capital loss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Basis difference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Installment sale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r>
      <w:tr>
        <w:trPr>
          <w:trHeight w:val="229"/>
        </w:trPr>
        <w:tc>
          <w:tcPr>
            <w:tcW w:w="8260" w:type="dxa"/>
            <w:vAlign w:val="bottom"/>
          </w:tcPr>
          <w:p>
            <w:pPr>
              <w:ind w:left="260"/>
              <w:spacing w:after="0"/>
              <w:rPr>
                <w:sz w:val="20"/>
                <w:szCs w:val="20"/>
                <w:color w:val="auto"/>
              </w:rPr>
            </w:pPr>
            <w:r>
              <w:rPr>
                <w:rFonts w:ascii="Arial" w:cs="Arial" w:eastAsia="Arial" w:hAnsi="Arial"/>
                <w:sz w:val="18"/>
                <w:szCs w:val="18"/>
                <w:color w:val="auto"/>
              </w:rPr>
              <w:t>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r>
      <w:tr>
        <w:trPr>
          <w:trHeight w:val="223"/>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87,225</w:t>
            </w:r>
          </w:p>
        </w:tc>
      </w:tr>
      <w:tr>
        <w:trPr>
          <w:trHeight w:val="237"/>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Basis difference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(9,593)</w:t>
            </w: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(15,558)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deferred income tax (liabilities)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has federal and state income tax net operating loss (“NOL”) carryforwards of $42.3 million and $116.3 million, respectively, including NOL carryforwards which will expire at various dates from 2023 through 2039, and NOL carryforwards which do not expire. The Company also has foreign NOL carryforwards in various jurisdictions of $112.3 million that have various carryforward periods. Such NOL carryforwards expire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jc w:val="right"/>
              <w:ind w:right="690"/>
              <w:spacing w:after="0"/>
              <w:rPr>
                <w:sz w:val="20"/>
                <w:szCs w:val="20"/>
                <w:color w:val="auto"/>
              </w:rPr>
            </w:pPr>
            <w:r>
              <w:rPr>
                <w:rFonts w:ascii="Arial" w:cs="Arial" w:eastAsia="Arial" w:hAnsi="Arial"/>
                <w:sz w:val="18"/>
                <w:szCs w:val="18"/>
                <w:b w:val="1"/>
                <w:bCs w:val="1"/>
                <w:color w:val="auto"/>
              </w:rPr>
              <w:t>NOL carryforward</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2023 - 2038</w:t>
            </w:r>
          </w:p>
        </w:tc>
        <w:tc>
          <w:tcPr>
            <w:tcW w:w="44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159,194</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w:t>
            </w:r>
          </w:p>
        </w:tc>
        <w:tc>
          <w:tcPr>
            <w:tcW w:w="4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107,474</w:t>
            </w:r>
          </w:p>
        </w:tc>
      </w:tr>
      <w:tr>
        <w:trPr>
          <w:trHeight w:val="248"/>
        </w:trPr>
        <w:tc>
          <w:tcPr>
            <w:tcW w:w="8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incorporates assumptions including the amount of future state, federal and foreign pretax operating income, the reversal of temporary differences, and the implementation of feasible and prudent tax-</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planning strategies. These assumptions require significant judgment about the forecasts of future taxable income and are consistent with the plans and estimates the Company is using to manage the underlying businesses.</w:t>
      </w:r>
    </w:p>
    <w:p>
      <w:pPr>
        <w:spacing w:after="0" w:line="19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7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 The valuation allowance increased by $1.6 million and decreased by $7.7 million during the years ended December 31, 2020 and December 31, 2019, respectively. The increase in tax year ended December 31, 2020 is primarily related to NOL and tax credits generated during the period and a decrease in deferred tax liabilities, partially offset by decreases in other deferred tax assets due to current year activity. The decrease in tax year ended December 31, 2019 is primarily related to utilization of NOL carryforwards.</w:t>
      </w:r>
    </w:p>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As of December 31, 2020, the Company’s tax years for 2017 through 2020 are subject to examination by the tax authorities. With few exceptions, as of December 31, 2020, the Company is no longer subject to U.S. federal, state, local, or foreign examinations by tax authorities for years before 2016. Due to the amended returns filed to carryback NOLs under the CARES Act, U.S. federal tax returns for years 2013 – 2016 remain subject to future examination by the tax authorities. Additionally, to the extent we utilize our NOL carryforwards in the future, the tax years in which the attribute was generated may still be adjusted upon examination by the tax authorities in the future period when the attribute is utilized.</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is currently under income tax examinations in Illinois for the tax years 2014 through 2015, Colorado for tax years 2014 through 2017, and Massachusetts for the tax years 2015 through 2017. The Company does not believe that the results of this audit will have a material effect on its financial position or results of operations.</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2017, the TCJA included a transition tax based on undistributed, untaxed foreign earnings analyzed in aggregate. The final analysis performed by the Company resulted in an overall untaxed deficit and no transition tax. In addition, no income taxes have been provided for any remaining undistributed foreign earnings not subject to the transition tax, or any additional outside basis difference inherent in these entities, as these amounts continue to be indefinitely reinvested in foreign operations. Should the Company decide to repatriate the foreign earnings, it would need to adjust its income tax provision in the period it determined that the earnings will no longer be indefinitely invested outside the United States. Due to the timing and circumstances of repatriation of such earnings, if any, it is not practicable to determine the unrecognized deferred tax liability relating to such amounts.</w:t>
      </w:r>
    </w:p>
    <w:p>
      <w:pPr>
        <w:spacing w:after="0" w:line="19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340"/>
              <w:spacing w:after="0"/>
              <w:rPr>
                <w:sz w:val="20"/>
                <w:szCs w:val="20"/>
                <w:color w:val="auto"/>
              </w:rPr>
            </w:pPr>
            <w:r>
              <w:rPr>
                <w:rFonts w:ascii="Arial" w:cs="Arial" w:eastAsia="Arial" w:hAnsi="Arial"/>
                <w:sz w:val="18"/>
                <w:szCs w:val="18"/>
                <w:color w:val="auto"/>
              </w:rPr>
              <w:t>A reconciliation of the amounts of unrecognized tax benefits excluding interest, are as follows: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48"/>
        </w:trPr>
        <w:tc>
          <w:tcPr>
            <w:tcW w:w="9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at December 31, 2017</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r>
      <w:tr>
        <w:trPr>
          <w:trHeight w:val="229"/>
        </w:trPr>
        <w:tc>
          <w:tcPr>
            <w:tcW w:w="9800" w:type="dxa"/>
            <w:vAlign w:val="bottom"/>
          </w:tcPr>
          <w:p>
            <w:pPr>
              <w:ind w:left="260"/>
              <w:spacing w:after="0"/>
              <w:rPr>
                <w:sz w:val="20"/>
                <w:szCs w:val="20"/>
                <w:color w:val="auto"/>
              </w:rPr>
            </w:pPr>
            <w:r>
              <w:rPr>
                <w:rFonts w:ascii="Arial" w:cs="Arial" w:eastAsia="Arial" w:hAnsi="Arial"/>
                <w:sz w:val="18"/>
                <w:szCs w:val="18"/>
                <w:color w:val="auto"/>
              </w:rPr>
              <w:t>Decrease for tax positions taken during prior year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Increases related to acquired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60"/>
              <w:spacing w:after="0"/>
              <w:rPr>
                <w:sz w:val="20"/>
                <w:szCs w:val="20"/>
                <w:color w:val="auto"/>
              </w:rPr>
            </w:pPr>
            <w:r>
              <w:rPr>
                <w:rFonts w:ascii="Arial" w:cs="Arial" w:eastAsia="Arial" w:hAnsi="Arial"/>
                <w:sz w:val="18"/>
                <w:szCs w:val="18"/>
                <w:color w:val="auto"/>
              </w:rPr>
              <w:t>Reduction due to lapse of applicable statute of limitations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(2,657)</w:t>
            </w:r>
          </w:p>
        </w:tc>
      </w:tr>
      <w:tr>
        <w:trPr>
          <w:trHeight w:val="230"/>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Decreases related to divested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Increases for tax positions of current period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9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 at December 31, 2018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29"/>
        </w:trPr>
        <w:tc>
          <w:tcPr>
            <w:tcW w:w="9800" w:type="dxa"/>
            <w:vAlign w:val="bottom"/>
          </w:tcPr>
          <w:p>
            <w:pPr>
              <w:ind w:left="260"/>
              <w:spacing w:after="0"/>
              <w:rPr>
                <w:sz w:val="20"/>
                <w:szCs w:val="20"/>
                <w:color w:val="auto"/>
              </w:rPr>
            </w:pPr>
            <w:r>
              <w:rPr>
                <w:rFonts w:ascii="Arial" w:cs="Arial" w:eastAsia="Arial" w:hAnsi="Arial"/>
                <w:sz w:val="18"/>
                <w:szCs w:val="18"/>
                <w:color w:val="auto"/>
              </w:rPr>
              <w:t>Increase for tax positions taken during prior year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Increases related to acquired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tcPr>
          <w:p>
            <w:pPr>
              <w:ind w:left="260"/>
              <w:spacing w:after="0"/>
              <w:rPr>
                <w:sz w:val="20"/>
                <w:szCs w:val="20"/>
                <w:color w:val="auto"/>
              </w:rPr>
            </w:pPr>
            <w:r>
              <w:rPr>
                <w:rFonts w:ascii="Arial" w:cs="Arial" w:eastAsia="Arial" w:hAnsi="Arial"/>
                <w:sz w:val="18"/>
                <w:szCs w:val="18"/>
                <w:color w:val="auto"/>
              </w:rPr>
              <w:t>Increases and (decreases) related to Lapse of Statute of Limitations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Decreases related to divested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Increases for tax positions of current period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at December 31, 2019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r>
      <w:tr>
        <w:trPr>
          <w:trHeight w:val="229"/>
        </w:trPr>
        <w:tc>
          <w:tcPr>
            <w:tcW w:w="9800" w:type="dxa"/>
            <w:vAlign w:val="bottom"/>
          </w:tcPr>
          <w:p>
            <w:pPr>
              <w:ind w:left="240"/>
              <w:spacing w:after="0"/>
              <w:rPr>
                <w:sz w:val="20"/>
                <w:szCs w:val="20"/>
                <w:color w:val="auto"/>
              </w:rPr>
            </w:pPr>
            <w:r>
              <w:rPr>
                <w:rFonts w:ascii="Arial" w:cs="Arial" w:eastAsia="Arial" w:hAnsi="Arial"/>
                <w:sz w:val="18"/>
                <w:szCs w:val="18"/>
                <w:color w:val="auto"/>
              </w:rPr>
              <w:t>Increase for tax positions taken during prior year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acquired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40"/>
              <w:spacing w:after="0"/>
              <w:rPr>
                <w:sz w:val="20"/>
                <w:szCs w:val="20"/>
                <w:color w:val="auto"/>
              </w:rPr>
            </w:pPr>
            <w:r>
              <w:rPr>
                <w:rFonts w:ascii="Arial" w:cs="Arial" w:eastAsia="Arial" w:hAnsi="Arial"/>
                <w:sz w:val="18"/>
                <w:szCs w:val="18"/>
                <w:color w:val="auto"/>
              </w:rPr>
              <w:t>Increases and (decreases) related to Lapse of Statute of Limitations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Decreases related to divested entities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Increases (decreases) for tax positions of current period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at December 31, 2020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Included in the balance of unrecognized tax benefits as of the years ended December 31, 2020 and 2019, are $2.7 million and $2.8 million, respectively, of tax benefits that, if recognized, would affect the effective tax rate.</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interest and penalties, if any, related to unrecognized tax benefits in interest expense. The liability for unrecognized tax benefits excludes accrued interest of $0.3 million, $0.3 million and $0.4 million, for the years ended December 31, 2020, 2019 and 2018, respectively. The Company believes that it is reasonably possible that approximately $1.1 million of its currently unrecognized tax benefits primarily related to research and development credits, which are individually insignificant, may be recognized by the end of 2021 as a result of a lapse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Common Share (“EPS”)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w w:val="97"/>
              </w:rPr>
              <w:t>Twelve Months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 - Basic:</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Preferred stock dividend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Synchronoss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(262,036)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loss attributable to Synchronoss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Numerator - Diluted: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from continuing operations attributable to Synchronoss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Income effect for interest on convertible debt, net of tax</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 adjusted for the convertible debt</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(262,036)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loss attributable to Synchronoss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(243,748)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Dilutive effect of:</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Shares from assumed conversion of convertible debt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Shares from assumed conversion of preferred stock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Options and unvested restricted shares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Anti-dilutive stock options excluded</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Unvested shares of restricted stock awards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jc w:val="right"/>
              <w:ind w:right="4430"/>
              <w:spacing w:after="0"/>
              <w:rPr>
                <w:sz w:val="20"/>
                <w:szCs w:val="20"/>
                <w:color w:val="auto"/>
              </w:rPr>
            </w:pPr>
            <w:r>
              <w:rPr>
                <w:rFonts w:ascii="Arial" w:cs="Arial" w:eastAsia="Arial" w:hAnsi="Arial"/>
                <w:sz w:val="18"/>
                <w:szCs w:val="18"/>
                <w:color w:val="auto"/>
                <w:w w:val="89"/>
              </w:rPr>
              <w:t>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4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hanging="332"/>
        <w:spacing w:after="0" w:line="215" w:lineRule="auto"/>
        <w:tabs>
          <w:tab w:leader="none" w:pos="244"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The calculation does not include the effect of assumed conversion of convertible debt of 0, 1,288,292 and 3,972,939 shares for the year ended December 31, 2020, 2019 and 2018, respectively; which is based on 18.8072 shares per $1,000 principal amount of the Senior Convertible Notes.</w:t>
      </w:r>
    </w:p>
    <w:p>
      <w:pPr>
        <w:spacing w:after="0" w:line="1" w:lineRule="exact"/>
        <w:rPr>
          <w:rFonts w:ascii="Arial" w:cs="Arial" w:eastAsia="Arial" w:hAnsi="Arial"/>
          <w:sz w:val="21"/>
          <w:szCs w:val="21"/>
          <w:color w:val="auto"/>
          <w:vertAlign w:val="superscript"/>
        </w:rPr>
      </w:pPr>
    </w:p>
    <w:p>
      <w:pPr>
        <w:ind w:left="260" w:hanging="252"/>
        <w:spacing w:after="0" w:line="219" w:lineRule="auto"/>
        <w:tabs>
          <w:tab w:leader="none" w:pos="2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calculation does not include the effect of assumed conversion of preferred stock of 13,202,267, 11,383,105 and 9,312,528 shares for the year ended December 31,</w:t>
      </w:r>
    </w:p>
    <w:p>
      <w:pPr>
        <w:ind w:left="340" w:right="20"/>
        <w:spacing w:after="0" w:line="246" w:lineRule="auto"/>
        <w:rPr>
          <w:sz w:val="20"/>
          <w:szCs w:val="20"/>
          <w:color w:val="auto"/>
        </w:rPr>
      </w:pPr>
      <w:r>
        <w:rPr>
          <w:rFonts w:ascii="Arial" w:cs="Arial" w:eastAsia="Arial" w:hAnsi="Arial"/>
          <w:sz w:val="16"/>
          <w:szCs w:val="16"/>
          <w:color w:val="auto"/>
        </w:rPr>
        <w:t>2020, 2019 and 2018 respectively; which is based on 55.5556 shares per $1,000 principal amount of the preferred stock, because the effect would have been anti– dilutive.</w:t>
      </w:r>
    </w:p>
    <w:p>
      <w:pPr>
        <w:spacing w:after="0" w:line="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w:t>
      </w:r>
      <w:r>
        <w:rPr>
          <w:rFonts w:ascii="Arial" w:cs="Arial" w:eastAsia="Arial" w:hAnsi="Arial"/>
          <w:sz w:val="16"/>
          <w:szCs w:val="16"/>
          <w:b w:val="1"/>
          <w:bCs w:val="1"/>
          <w:i w:val="1"/>
          <w:iCs w:val="1"/>
          <w:color w:val="auto"/>
        </w:rPr>
        <w:t>ote</w:t>
      </w:r>
      <w:r>
        <w:rPr>
          <w:rFonts w:ascii="Arial" w:cs="Arial" w:eastAsia="Arial" w:hAnsi="Arial"/>
          <w:sz w:val="16"/>
          <w:szCs w:val="16"/>
          <w:color w:val="auto"/>
        </w:rPr>
        <w:t xml:space="preserve"> </w:t>
      </w:r>
      <w:r>
        <w:rPr>
          <w:rFonts w:ascii="Arial" w:cs="Arial" w:eastAsia="Arial" w:hAnsi="Arial"/>
          <w:sz w:val="16"/>
          <w:szCs w:val="16"/>
          <w:i w:val="1"/>
          <w:iCs w:val="1"/>
          <w:color w:val="auto"/>
        </w:rPr>
        <w:t>4. Acquisitions and Divestitures</w:t>
      </w:r>
      <w:r>
        <w:rPr>
          <w:rFonts w:ascii="Arial" w:cs="Arial" w:eastAsia="Arial" w:hAnsi="Arial"/>
          <w:sz w:val="16"/>
          <w:szCs w:val="16"/>
          <w:color w:val="auto"/>
        </w:rPr>
        <w:t xml:space="preserve"> for transactions classified as discontinued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agreements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office space, automobiles, office equipment and co-location services under non-cancelable agreements that expire at various dates, with the latest expiration in 2028.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annual future minimum payments under non-cancelable agreements as of December 31,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Non-cancelable agreements</w:t>
            </w:r>
          </w:p>
        </w:tc>
      </w:tr>
      <w:tr>
        <w:trPr>
          <w:trHeight w:val="226"/>
        </w:trPr>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29"/>
        </w:trPr>
        <w:tc>
          <w:tcPr>
            <w:tcW w:w="8920" w:type="dxa"/>
            <w:vAlign w:val="bottom"/>
          </w:tcPr>
          <w:p>
            <w:pPr>
              <w:ind w:left="1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11,942</w:t>
            </w:r>
          </w:p>
        </w:tc>
      </w:tr>
      <w:tr>
        <w:trPr>
          <w:trHeight w:val="230"/>
        </w:trPr>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r>
      <w:tr>
        <w:trPr>
          <w:trHeight w:val="229"/>
        </w:trPr>
        <w:tc>
          <w:tcPr>
            <w:tcW w:w="8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2024 and thereafter</w:t>
            </w: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21,994</w:t>
            </w:r>
          </w:p>
        </w:tc>
      </w:tr>
      <w:tr>
        <w:trPr>
          <w:trHeight w:val="248"/>
        </w:trPr>
        <w:tc>
          <w:tcPr>
            <w:tcW w:w="8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Legal Matters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allowing lead plaintiff to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 October 4, 2019, the defendants moved to dismiss the second amended complaint in</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its entirety. On May 29, 2020, the court granted in part and denied in part defendants’ motion to dismiss the second amended complaint, without prejudice. Plaintiff filed its motion for class certification on October 30, 2020, which motion remains pending. The Company believes that the asserted claims lack</w:t>
      </w:r>
    </w:p>
    <w:p>
      <w:pPr>
        <w:jc w:val="both"/>
        <w:spacing w:after="0" w:line="263" w:lineRule="auto"/>
        <w:rPr>
          <w:sz w:val="20"/>
          <w:szCs w:val="20"/>
          <w:color w:val="auto"/>
        </w:rPr>
      </w:pPr>
      <w:r>
        <w:rPr>
          <w:rFonts w:ascii="Arial" w:cs="Arial" w:eastAsia="Arial" w:hAnsi="Arial"/>
          <w:sz w:val="18"/>
          <w:szCs w:val="18"/>
          <w:color w:val="auto"/>
        </w:rPr>
        <w:t>merit and intends to defend against all of the claims vigorously.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15, 2017, October 24, 2017, October 27, 2017 and October 30, 2017, Company shareholders filed derivative lawsuits against certain of the Company’s current and former officers and directors and the Company (as nominal defendant) in the United States District Court for the District of New Jersey (the “Derivative Suits”). On May 24, 2018, the Court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 the defendants filed a motion for reconsideration respecting the only claim to survive the motion to dismiss. On June 12, 2020, 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duties and unjust enrichment. The amended complaint’s allegations relate to substantially the same facts as those underlying the Securities Law Action described above. Plaintiff seeks unspecified damages and for the Company to take steps to improve its corporate governance and internal procedures. On September 11, 2020, the defendants filed a motion to dismiss the amended complaint, which remains pending before the Court.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our financial position or results of operations.</w:t>
      </w:r>
    </w:p>
    <w:p>
      <w:pPr>
        <w:spacing w:after="0" w:line="20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our financial position or results of operations.</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June 11, 2020 and June 12, 2020, Company shareholders filed derivative lawsuits against certain of the Company’s current and former officers and directors and the Company (as nominal defendant) in the United States District Court for the District of New Jersey (the “Demand Refused Derivative Complaints”). The Demand Refused Derivative Complaints allege claims related to breaches of fiduciary duty, unjust enrichment, and alleged violations of securities laws. The complaints’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On October 20, 2020, the Court consolidated the actions and appointed co-lead plaintiffs. On December 4, 2020, co-lead plaintiffs filed a consolidated amended complaint. On February 3, 2021, the defendants filed motions to dismiss the amended complaint, which remain pending before the Court.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December 31, 2020, the Company paid in-kind the accrued Preferred Dividends of $9.1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Additional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Other Income (expense), net included in the 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Twelve Months Ended December 31,</w:t>
            </w:r>
          </w:p>
        </w:tc>
        <w:tc>
          <w:tcPr>
            <w:tcW w:w="1000" w:type="dxa"/>
            <w:vAlign w:val="bottom"/>
            <w:tcBorders>
              <w:bottom w:val="single" w:sz="8" w:color="auto"/>
            </w:tcBorders>
          </w:tcPr>
          <w:p>
            <w:pPr>
              <w:spacing w:after="0"/>
              <w:rPr>
                <w:sz w:val="16"/>
                <w:szCs w:val="16"/>
                <w:color w:val="auto"/>
              </w:rPr>
            </w:pPr>
          </w:p>
        </w:tc>
      </w:tr>
      <w:tr>
        <w:trPr>
          <w:trHeight w:val="213"/>
        </w:trPr>
        <w:tc>
          <w:tcPr>
            <w:tcW w:w="67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6"/>
        </w:trPr>
        <w:tc>
          <w:tcPr>
            <w:tcW w:w="67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PIK Note impairment </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(84,314)</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r>
      <w:tr>
        <w:trPr>
          <w:trHeight w:val="229"/>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Remeasurement gain (loss) on financial instrument </w:t>
            </w:r>
            <w:r>
              <w:rPr>
                <w:rFonts w:ascii="Arial" w:cs="Arial" w:eastAsia="Arial" w:hAnsi="Arial"/>
                <w:sz w:val="23"/>
                <w:szCs w:val="23"/>
                <w:color w:val="auto"/>
                <w:vertAlign w:val="superscript"/>
              </w:rPr>
              <w:t>(4)</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3,849</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Tax credit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Investment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Government refunds </w:t>
            </w:r>
            <w:r>
              <w:rPr>
                <w:rFonts w:ascii="Arial" w:cs="Arial" w:eastAsia="Arial" w:hAnsi="Arial"/>
                <w:sz w:val="23"/>
                <w:szCs w:val="23"/>
                <w:color w:val="auto"/>
                <w:vertAlign w:val="superscript"/>
              </w:rPr>
              <w:t>(7)</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(8)</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3"/>
                <w:szCs w:val="23"/>
                <w:color w:val="auto"/>
                <w:vertAlign w:val="superscript"/>
              </w:rPr>
              <w:t>(9)</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3"/>
        </w:trPr>
        <w:tc>
          <w:tcPr>
            <w:tcW w:w="674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(74,917)</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Fair value of foreign exchange gains and losses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PIK Note impairment on the troubled debt restructuring</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Legal settlement of $4.2 million and $0.3 million IP settlement from third parties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Remeasurement of gain/loss on Mandatorily Redeemable Put option for common shares held by Siris.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VOX Acquisition R&amp;D Tax Credit.</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gain on sale on the Company’s cost investment in Clarity, Money Inc.</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government and tax refunds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gain on sale on the Company’s IP addresses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Represents an aggregate of individually immaterial transactions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right="6260" w:hanging="332"/>
        <w:spacing w:after="0" w:line="531" w:lineRule="auto"/>
        <w:tabs>
          <w:tab w:leader="none" w:pos="28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Quarterly Results of Operations (Unaudited) </w:t>
      </w:r>
      <w:r>
        <w:rPr>
          <w:rFonts w:ascii="Arial" w:cs="Arial" w:eastAsia="Arial" w:hAnsi="Arial"/>
          <w:sz w:val="16"/>
          <w:szCs w:val="16"/>
          <w:color w:val="auto"/>
        </w:rPr>
        <w:t>Quarterly results of operations for 2020 and 2019 are as follows:</w:t>
      </w:r>
    </w:p>
    <w:tbl>
      <w:tblPr>
        <w:tblLayout w:type="fixed"/>
        <w:tblInd w:w="2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6"/>
                <w:szCs w:val="16"/>
                <w:b w:val="1"/>
                <w:bCs w:val="1"/>
                <w:color w:val="auto"/>
                <w:w w:val="95"/>
              </w:rPr>
              <w:t>Quarter Ended</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07"/>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December 31,</w:t>
            </w:r>
          </w:p>
        </w:tc>
      </w:tr>
      <w:tr>
        <w:trPr>
          <w:trHeight w:val="212"/>
        </w:trPr>
        <w:tc>
          <w:tcPr>
            <w:tcW w:w="4320" w:type="dxa"/>
            <w:vAlign w:val="bottom"/>
            <w:tcBorders>
              <w:bottom w:val="single" w:sz="8" w:color="CCEEFF"/>
            </w:tcBorders>
          </w:tcPr>
          <w:p>
            <w:pPr>
              <w:ind w:left="2000"/>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6"/>
                <w:szCs w:val="16"/>
                <w:b w:val="1"/>
                <w:bCs w:val="1"/>
                <w:color w:val="auto"/>
                <w:w w:val="90"/>
              </w:rPr>
              <w:t>(In thousands,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2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69,377</w:t>
            </w:r>
          </w:p>
        </w:tc>
      </w:tr>
      <w:tr>
        <w:trPr>
          <w:trHeight w:val="257"/>
        </w:trPr>
        <w:tc>
          <w:tcPr>
            <w:tcW w:w="4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Synchronoss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EPS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xml:space="preserve">Net loss from Continuing operations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78"/>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(0.26)</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29"/>
        </w:trPr>
        <w:tc>
          <w:tcPr>
            <w:tcW w:w="4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loss from Continuing operations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04"/>
        </w:trPr>
        <w:tc>
          <w:tcPr>
            <w:tcW w:w="4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5"/>
              </w:rPr>
              <w:t>December 31,</w:t>
            </w:r>
          </w:p>
        </w:tc>
      </w:tr>
      <w:tr>
        <w:trPr>
          <w:trHeight w:val="223"/>
        </w:trPr>
        <w:tc>
          <w:tcPr>
            <w:tcW w:w="4320" w:type="dxa"/>
            <w:vAlign w:val="bottom"/>
            <w:tcBorders>
              <w:bottom w:val="single" w:sz="8" w:color="CCEEFF"/>
            </w:tcBorders>
          </w:tcPr>
          <w:p>
            <w:pPr>
              <w:ind w:left="198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90,588</w:t>
            </w:r>
          </w:p>
        </w:tc>
      </w:tr>
      <w:tr>
        <w:trPr>
          <w:trHeight w:val="257"/>
        </w:trPr>
        <w:tc>
          <w:tcPr>
            <w:tcW w:w="4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(5,940)</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Synchronoss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EPS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xml:space="preserve">Net loss from Continuing operations </w:t>
            </w:r>
            <w:r>
              <w:rPr>
                <w:rFonts w:ascii="Arial" w:cs="Arial" w:eastAsia="Arial" w:hAnsi="Arial"/>
                <w:sz w:val="23"/>
                <w:szCs w:val="23"/>
                <w:color w:val="auto"/>
                <w:vertAlign w:val="superscript"/>
              </w:rPr>
              <w:t>(1)</w:t>
            </w:r>
          </w:p>
        </w:tc>
        <w:tc>
          <w:tcPr>
            <w:tcW w:w="260" w:type="dxa"/>
            <w:vAlign w:val="bottom"/>
          </w:tcPr>
          <w:p>
            <w:pPr>
              <w:jc w:val="right"/>
              <w:ind w:right="98"/>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4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loss from Continuing operations </w:t>
            </w:r>
            <w:r>
              <w:rPr>
                <w:rFonts w:ascii="Arial" w:cs="Arial" w:eastAsia="Arial" w:hAnsi="Arial"/>
                <w:sz w:val="23"/>
                <w:szCs w:val="23"/>
                <w:color w:val="auto"/>
                <w:vertAlign w:val="superscript"/>
              </w:rPr>
              <w:t>(1)</w:t>
            </w:r>
          </w:p>
        </w:tc>
        <w:tc>
          <w:tcPr>
            <w:tcW w:w="260" w:type="dxa"/>
            <w:vAlign w:val="bottom"/>
          </w:tcPr>
          <w:p>
            <w:pPr>
              <w:jc w:val="right"/>
              <w:ind w:right="98"/>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0"/>
          <w:szCs w:val="20"/>
          <w:color w:val="auto"/>
        </w:rPr>
      </w:pPr>
    </w:p>
    <w:p>
      <w:pPr>
        <w:jc w:val="both"/>
        <w:ind w:left="340" w:hanging="332"/>
        <w:spacing w:after="0" w:line="232" w:lineRule="auto"/>
        <w:tabs>
          <w:tab w:leader="none" w:pos="32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Per common share amounts for the quarters and full year have been calculated separately. Accordingly, quarterly amounts do not add to the annual amount because of differences in the number of weighted-average common shares outstanding during each period which results principally from the effect of issuing shares of the Company’s common stock and options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disclosure controls and procedures (as defined in Rule 13a-15(e) or Rule 15d-15(e) under the Exchange Act) that are designed to ensure that information required to be disclosed by us in reports that we file under the Exchange Act is recorded, processed, summarized, and reported within the time periods specified in the SEC’s rules and forms and that such information required to be disclosed by us in reports that we file under the Exchange Act is accumulated and communicated to our management, including our Chief Executive Officer, or CEO, and our Chief Financial Officer, or CFO, to allow timely decisions regarding required disclosure. Management, with the participation of our CEO and CFO, performed an evaluation of the effectiveness of our disclosure controls and procedures as of December 31, 2020. Based on that evaluation, our CEO and CFO concluded that our disclosure controls and procedures were effective as of December 31,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Rule 15d-15(f) under the Exchange Act). Under the supervision and with the participation of our management, including our CEO and CFO, we conducted an evaluation of the effectiveness of our internal control over financial reporting based on the framework in Internal Control-Integrated Framework issued by the Committee of Sponsoring Organizations of the Treadway Commission (2013 Framework). Based on that evaluation, our management concluded that our internal control over financial reporting was effective as of December 31, 2020 to provide reasonable assurance regarding the reliability of financial reporting and the preparation of consolidated financial statements for external reporting purposes in accordance with GAAP.</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our consolidated financial statements included in this Annual Report on Form 10-K, audited the effectiveness of our internal control over financial reporting as of December 31, 2020. Ernst &amp; Young LLP has issued their report which is included elsewhere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completed an implementation of a new enterprise resource planning, or ERP, system during the first quarter of 2020. The ERP system replaced or enhanced certain internal financial, operating and other systems that are critical to our business operations. The ERP implementation affected the processes that constitute our internal control over financial reporting. Management has taken steps to ensure that appropriate controls were designed and implemented as the new ERP system was implemented.</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With the exception of the ERP implementation described above, there were no changes in our internal control over financial reporting (as defined in Rule 13a-15(f) and Rule 15d-15(f) under the Exchange Act) identified in connection with the evaluation of our controls performed during the year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have audited Synchronoss Technologies, Inc.’s internal control over financial reporting as of December 31, 2020, based on criteria established in Internal Control—Integrated Framework issued by the Committee of Sponsoring Organizations of the Treadway Commission (2013 framework) (the COSO criteria). In our opinion, Synchronoss Technologies, Inc. (the Company) maintained, in all material respects, effective internal control over financial reporting as of December 31, 2020, based on the COSO criteria.</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(loss) income, stockholders’ equity and cash flows for each of the three years in the period ended December 31, 2020, and the related notes and financial statements listed in the Index at Item 15(a)(2) and our report dated March 15, 2021 expressed an unqualified opinion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8" w:lineRule="exact"/>
        <w:rPr>
          <w:sz w:val="20"/>
          <w:szCs w:val="20"/>
          <w:color w:val="auto"/>
        </w:rPr>
      </w:pPr>
    </w:p>
    <w:p>
      <w:pPr>
        <w:ind w:left="660" w:hanging="328"/>
        <w:spacing w:after="0" w:line="277"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Identification of Directors. Information concerning the directors of Synchronoss is set forth under the heading “Election of Directors” in the Synchronoss Proxy Statement for the 2021 Annual Meeting of Stockholders and is incorporated herein by reference.</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Audit Committee Financial Expert. Information concerning Synchronoss’ audit committee financial expert is set forth under the heading “Audit Committee” in the Synchronoss Proxy Statement for the 2021 Annual Meeting of Stockholders and is incorporated herein by reference.</w:t>
      </w:r>
    </w:p>
    <w:p>
      <w:pPr>
        <w:spacing w:after="0" w:line="150" w:lineRule="exact"/>
        <w:rPr>
          <w:rFonts w:ascii="Arial" w:cs="Arial" w:eastAsia="Arial" w:hAnsi="Arial"/>
          <w:sz w:val="16"/>
          <w:szCs w:val="16"/>
          <w:color w:val="auto"/>
        </w:rPr>
      </w:pPr>
    </w:p>
    <w:p>
      <w:pPr>
        <w:ind w:left="660" w:hanging="328"/>
        <w:spacing w:after="0" w:line="308" w:lineRule="auto"/>
        <w:tabs>
          <w:tab w:leader="none" w:pos="65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Identification of the Audit Committee. Information concerning the audit committee of Synchronoss is set forth under the heading “Audit Committee” in the Synchronoss Proxy Statement for the 2021 Annual Meeting of Stockholders and is incorporated herein by reference.</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Delinquent Section 16(a) Reports. Information concerning non-compliance, if any, with beneficial ownership reporting requirements is set forth under the caption “Delinquent Section 16(a) Reports” in the Synchronoss Proxy Statement for the 2021 Annual Meeting of Stockholders and is incorporated herein by reference.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about our Executive Officers. Information concerning the executive officers of Synchronoss is set forth under the heading “Information about our Executive Officers” in the Synchronoss Proxy Statement for the 2021 Annual Meeting of Stockholders and is incorporated herein by reference.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Code of Ethics. Information concerning the Synchronoss Code of Business Conduct is set forth under the caption “Code of Business Conduct” in the Synchronoss Proxy Statement for the 2021 Annual Meeting of Stockholders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concerning executive compensation is set forth under the headings “Compensation of Executive Officers” and “Securities Authorized for Issuance Under Equity Compensation Plans” in the Synchronoss Proxy Statement for the 2021 Annual Meeting of Stockholders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2020 Annual Meeting of Stockholders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concerning certain relationships and related transactions is set forth under the heading “Certain Related Party Transactions” in the Synchronoss Proxy Statement for the 2021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2021 Annual Meeting of Stockholders and is incorporated herein by reference.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20" w:type="dxa"/>
            <w:vAlign w:val="bottom"/>
          </w:tcPr>
          <w:p>
            <w:pPr>
              <w:jc w:val="right"/>
              <w:ind w:right="5130"/>
              <w:spacing w:after="0"/>
              <w:rPr>
                <w:sz w:val="20"/>
                <w:szCs w:val="20"/>
                <w:color w:val="auto"/>
              </w:rPr>
            </w:pPr>
            <w:r>
              <w:rPr>
                <w:rFonts w:ascii="Arial" w:cs="Arial" w:eastAsia="Arial" w:hAnsi="Arial"/>
                <w:sz w:val="18"/>
                <w:szCs w:val="18"/>
                <w:b w:val="1"/>
                <w:bCs w:val="1"/>
                <w:color w:val="auto"/>
              </w:rPr>
              <w:t>PART IV</w:t>
            </w:r>
          </w:p>
        </w:tc>
      </w:tr>
      <w:tr>
        <w:trPr>
          <w:trHeight w:val="378"/>
        </w:trPr>
        <w:tc>
          <w:tcPr>
            <w:tcW w:w="478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w:t>
            </w:r>
          </w:p>
        </w:tc>
        <w:tc>
          <w:tcPr>
            <w:tcW w:w="64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4740" w:type="dxa"/>
            <w:vAlign w:val="bottom"/>
            <w:gridSpan w:val="7"/>
          </w:tcPr>
          <w:p>
            <w:pPr>
              <w:ind w:left="300"/>
              <w:spacing w:after="0"/>
              <w:rPr>
                <w:sz w:val="20"/>
                <w:szCs w:val="20"/>
                <w:color w:val="auto"/>
              </w:rPr>
            </w:pPr>
            <w:r>
              <w:rPr>
                <w:rFonts w:ascii="Arial" w:cs="Arial" w:eastAsia="Arial" w:hAnsi="Arial"/>
                <w:sz w:val="18"/>
                <w:szCs w:val="18"/>
                <w:color w:val="auto"/>
              </w:rPr>
              <w:t>(a)(1) Financial Statements:</w:t>
            </w:r>
          </w:p>
        </w:tc>
        <w:tc>
          <w:tcPr>
            <w:tcW w:w="6420" w:type="dxa"/>
            <w:vAlign w:val="bottom"/>
          </w:tcPr>
          <w:p>
            <w:pPr>
              <w:spacing w:after="0"/>
              <w:rPr>
                <w:sz w:val="24"/>
                <w:szCs w:val="24"/>
                <w:color w:val="auto"/>
              </w:rPr>
            </w:pPr>
          </w:p>
        </w:tc>
      </w:tr>
      <w:tr>
        <w:trPr>
          <w:trHeight w:val="350"/>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Arial" w:cs="Arial" w:eastAsia="Arial" w:hAnsi="Arial"/>
                <w:sz w:val="18"/>
                <w:szCs w:val="18"/>
                <w:b w:val="1"/>
                <w:bCs w:val="1"/>
                <w:color w:val="auto"/>
              </w:rPr>
              <w:t>Page No.</w:t>
            </w:r>
          </w:p>
        </w:tc>
      </w:tr>
      <w:tr>
        <w:trPr>
          <w:trHeight w:val="229"/>
        </w:trPr>
        <w:tc>
          <w:tcPr>
            <w:tcW w:w="40" w:type="dxa"/>
            <w:vAlign w:val="bottom"/>
          </w:tcPr>
          <w:p>
            <w:pPr>
              <w:spacing w:after="0"/>
              <w:rPr>
                <w:sz w:val="19"/>
                <w:szCs w:val="19"/>
                <w:color w:val="auto"/>
              </w:rPr>
            </w:pPr>
          </w:p>
        </w:tc>
        <w:tc>
          <w:tcPr>
            <w:tcW w:w="4740" w:type="dxa"/>
            <w:vAlign w:val="bottom"/>
            <w:gridSpan w:val="7"/>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 of Independent Registered Public Accounting Firm</w:t>
              </w:r>
            </w:hyperlink>
          </w:p>
        </w:tc>
        <w:tc>
          <w:tcPr>
            <w:tcW w:w="642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190"/>
        </w:trPr>
        <w:tc>
          <w:tcPr>
            <w:tcW w:w="40" w:type="dxa"/>
            <w:vAlign w:val="bottom"/>
          </w:tcPr>
          <w:p>
            <w:pPr>
              <w:spacing w:after="0"/>
              <w:rPr>
                <w:sz w:val="16"/>
                <w:szCs w:val="16"/>
                <w:color w:val="auto"/>
              </w:rPr>
            </w:pPr>
          </w:p>
        </w:tc>
        <w:tc>
          <w:tcPr>
            <w:tcW w:w="210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Consolidated Balance Sheets</w:t>
            </w:r>
          </w:p>
        </w:tc>
        <w:tc>
          <w:tcPr>
            <w:tcW w:w="2640" w:type="dxa"/>
            <w:vAlign w:val="bottom"/>
            <w:gridSpan w:val="6"/>
          </w:tcPr>
          <w:p>
            <w:pPr>
              <w:spacing w:after="0"/>
              <w:rPr>
                <w:sz w:val="16"/>
                <w:szCs w:val="16"/>
                <w:color w:val="auto"/>
              </w:rPr>
            </w:pPr>
          </w:p>
        </w:tc>
        <w:tc>
          <w:tcPr>
            <w:tcW w:w="6420" w:type="dxa"/>
            <w:vAlign w:val="bottom"/>
          </w:tcPr>
          <w:p>
            <w:pPr>
              <w:jc w:val="right"/>
              <w:spacing w:after="0" w:line="190" w:lineRule="exact"/>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09"/>
        </w:trPr>
        <w:tc>
          <w:tcPr>
            <w:tcW w:w="40" w:type="dxa"/>
            <w:vAlign w:val="bottom"/>
          </w:tcPr>
          <w:p>
            <w:pPr>
              <w:spacing w:after="0"/>
              <w:rPr>
                <w:sz w:val="18"/>
                <w:szCs w:val="18"/>
                <w:color w:val="auto"/>
              </w:rPr>
            </w:pPr>
          </w:p>
        </w:tc>
        <w:tc>
          <w:tcPr>
            <w:tcW w:w="2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Operations</w:t>
            </w:r>
          </w:p>
        </w:tc>
        <w:tc>
          <w:tcPr>
            <w:tcW w:w="1920" w:type="dxa"/>
            <w:vAlign w:val="bottom"/>
            <w:gridSpan w:val="4"/>
          </w:tcPr>
          <w:p>
            <w:pPr>
              <w:spacing w:after="0"/>
              <w:rPr>
                <w:sz w:val="18"/>
                <w:szCs w:val="18"/>
                <w:color w:val="auto"/>
              </w:rPr>
            </w:pPr>
          </w:p>
        </w:tc>
        <w:tc>
          <w:tcPr>
            <w:tcW w:w="64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10"/>
        </w:trPr>
        <w:tc>
          <w:tcPr>
            <w:tcW w:w="40" w:type="dxa"/>
            <w:vAlign w:val="bottom"/>
          </w:tcPr>
          <w:p>
            <w:pPr>
              <w:spacing w:after="0"/>
              <w:rPr>
                <w:sz w:val="18"/>
                <w:szCs w:val="18"/>
                <w:color w:val="auto"/>
              </w:rPr>
            </w:pPr>
          </w:p>
        </w:tc>
        <w:tc>
          <w:tcPr>
            <w:tcW w:w="474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64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09"/>
        </w:trPr>
        <w:tc>
          <w:tcPr>
            <w:tcW w:w="4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68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64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61</w:t>
              </w:r>
            </w:hyperlink>
          </w:p>
        </w:tc>
      </w:tr>
      <w:tr>
        <w:trPr>
          <w:trHeight w:val="210"/>
        </w:trPr>
        <w:tc>
          <w:tcPr>
            <w:tcW w:w="4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Cash Flows</w:t>
            </w:r>
          </w:p>
        </w:tc>
        <w:tc>
          <w:tcPr>
            <w:tcW w:w="1860" w:type="dxa"/>
            <w:vAlign w:val="bottom"/>
            <w:gridSpan w:val="3"/>
          </w:tcPr>
          <w:p>
            <w:pPr>
              <w:spacing w:after="0"/>
              <w:rPr>
                <w:sz w:val="18"/>
                <w:szCs w:val="18"/>
                <w:color w:val="auto"/>
              </w:rPr>
            </w:pPr>
          </w:p>
        </w:tc>
        <w:tc>
          <w:tcPr>
            <w:tcW w:w="642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09"/>
        </w:trPr>
        <w:tc>
          <w:tcPr>
            <w:tcW w:w="40" w:type="dxa"/>
            <w:vAlign w:val="bottom"/>
          </w:tcPr>
          <w:p>
            <w:pPr>
              <w:spacing w:after="0"/>
              <w:rPr>
                <w:sz w:val="18"/>
                <w:szCs w:val="18"/>
                <w:color w:val="auto"/>
              </w:rPr>
            </w:pPr>
          </w:p>
        </w:tc>
        <w:tc>
          <w:tcPr>
            <w:tcW w:w="21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Notes to Financial Statements</w:t>
            </w:r>
          </w:p>
        </w:tc>
        <w:tc>
          <w:tcPr>
            <w:tcW w:w="2580" w:type="dxa"/>
            <w:vAlign w:val="bottom"/>
            <w:gridSpan w:val="5"/>
          </w:tcPr>
          <w:p>
            <w:pPr>
              <w:spacing w:after="0"/>
              <w:rPr>
                <w:sz w:val="18"/>
                <w:szCs w:val="18"/>
                <w:color w:val="auto"/>
              </w:rPr>
            </w:pPr>
          </w:p>
        </w:tc>
        <w:tc>
          <w:tcPr>
            <w:tcW w:w="642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Schedule for the years ended December 31, 2020, 2019, 2018:</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II—Valuation and Qualifying Accounts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pacing w:after="0" w:line="136"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 w:lineRule="exact"/>
        <w:rPr>
          <w:sz w:val="20"/>
          <w:szCs w:val="20"/>
          <w:color w:val="auto"/>
        </w:rPr>
      </w:pPr>
    </w:p>
    <w:p>
      <w:pPr>
        <w:ind w:left="860"/>
        <w:spacing w:after="0" w:line="161"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3.1</w:t>
      </w:r>
      <w:r>
        <w:rPr>
          <w:sz w:val="20"/>
          <w:szCs w:val="20"/>
          <w:color w:val="auto"/>
        </w:rPr>
        <w:tab/>
      </w:r>
      <w:hyperlink r:id="rId144">
        <w:r>
          <w:rPr>
            <w:rFonts w:ascii="Arial" w:cs="Arial" w:eastAsia="Arial" w:hAnsi="Arial"/>
            <w:sz w:val="13"/>
            <w:szCs w:val="13"/>
            <w:u w:val="single" w:color="auto"/>
            <w:color w:val="0000FF"/>
          </w:rPr>
          <w:t>Restated Certificate of Incorporation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28" w:lineRule="exact"/>
        <w:rPr>
          <w:sz w:val="20"/>
          <w:szCs w:val="20"/>
          <w:color w:val="auto"/>
        </w:rPr>
      </w:pPr>
    </w:p>
    <w:p>
      <w:pPr>
        <w:ind w:left="860"/>
        <w:spacing w:after="0" w:line="161"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145">
        <w:r>
          <w:rPr>
            <w:rFonts w:ascii="Arial" w:cs="Arial" w:eastAsia="Arial" w:hAnsi="Arial"/>
            <w:sz w:val="13"/>
            <w:szCs w:val="13"/>
            <w:u w:val="single" w:color="auto"/>
            <w:color w:val="0000FF"/>
          </w:rPr>
          <w:t>Amended and Restated Bylaws of the Registrant,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r>
          <w:rPr>
            <w:rFonts w:ascii="Arial" w:cs="Arial" w:eastAsia="Arial" w:hAnsi="Arial"/>
            <w:sz w:val="13"/>
            <w:szCs w:val="13"/>
            <w:color w:val="0000FF"/>
          </w:rPr>
          <w:t>.</w:t>
        </w:r>
      </w:hyperlink>
    </w:p>
    <w:p>
      <w:pPr>
        <w:spacing w:after="0" w:line="28" w:lineRule="exact"/>
        <w:rPr>
          <w:sz w:val="20"/>
          <w:szCs w:val="20"/>
          <w:color w:val="auto"/>
        </w:rPr>
      </w:pPr>
    </w:p>
    <w:p>
      <w:pPr>
        <w:jc w:val="both"/>
        <w:ind w:left="1220" w:right="40" w:hanging="36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3.3</w:t>
      </w:r>
      <w:r>
        <w:rPr>
          <w:sz w:val="20"/>
          <w:szCs w:val="20"/>
          <w:color w:val="auto"/>
        </w:rPr>
        <w:tab/>
      </w:r>
      <w:hyperlink r:id="rId146">
        <w:r>
          <w:rPr>
            <w:rFonts w:ascii="Arial" w:cs="Arial" w:eastAsia="Arial" w:hAnsi="Arial"/>
            <w:sz w:val="14"/>
            <w:szCs w:val="14"/>
            <w:u w:val="single" w:color="auto"/>
            <w:color w:val="0000FF"/>
          </w:rPr>
          <w:t>Amendment No. 1 to Amended and Restated Bylaws of Registration, incorporated by reference to Exhibit 3.2 to the Registrant’s Current Report on Form 8-K filed on</w:t>
        </w:r>
      </w:hyperlink>
      <w:r>
        <w:rPr>
          <w:rFonts w:ascii="Arial" w:cs="Arial" w:eastAsia="Arial" w:hAnsi="Arial"/>
          <w:sz w:val="14"/>
          <w:szCs w:val="14"/>
          <w:u w:val="single" w:color="auto"/>
          <w:color w:val="0000FF"/>
        </w:rPr>
        <w:t xml:space="preserve"> </w:t>
      </w:r>
      <w:hyperlink r:id="rId146">
        <w:r>
          <w:rPr>
            <w:rFonts w:ascii="Arial" w:cs="Arial" w:eastAsia="Arial" w:hAnsi="Arial"/>
            <w:sz w:val="14"/>
            <w:szCs w:val="14"/>
            <w:u w:val="single" w:color="auto"/>
            <w:color w:val="0000FF"/>
          </w:rPr>
          <w:t>February 20, 2018.</w:t>
        </w:r>
      </w:hyperlink>
    </w:p>
    <w:p>
      <w:pPr>
        <w:spacing w:after="0" w:line="7" w:lineRule="exact"/>
        <w:rPr>
          <w:sz w:val="20"/>
          <w:szCs w:val="20"/>
          <w:color w:val="auto"/>
        </w:rPr>
      </w:pPr>
    </w:p>
    <w:p>
      <w:pPr>
        <w:jc w:val="both"/>
        <w:ind w:left="1220" w:right="60" w:hanging="36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3.4</w:t>
      </w:r>
      <w:r>
        <w:rPr>
          <w:sz w:val="20"/>
          <w:szCs w:val="20"/>
          <w:color w:val="auto"/>
        </w:rPr>
        <w:tab/>
      </w:r>
      <w:hyperlink r:id="rId147">
        <w:r>
          <w:rPr>
            <w:rFonts w:ascii="Arial" w:cs="Arial" w:eastAsia="Arial" w:hAnsi="Arial"/>
            <w:sz w:val="14"/>
            <w:szCs w:val="14"/>
            <w:u w:val="single" w:color="auto"/>
            <w:color w:val="0000FF"/>
          </w:rPr>
          <w:t>Certificate of Designations of Series A Convertible Participating Perpetual Preferred Stock, incorporated by reference to Exhibit 3.1 to the Registrant’s Current Report on</w:t>
        </w:r>
      </w:hyperlink>
      <w:r>
        <w:rPr>
          <w:rFonts w:ascii="Arial" w:cs="Arial" w:eastAsia="Arial" w:hAnsi="Arial"/>
          <w:sz w:val="14"/>
          <w:szCs w:val="14"/>
          <w:u w:val="single" w:color="auto"/>
          <w:color w:val="0000FF"/>
        </w:rPr>
        <w:t xml:space="preserve"> </w:t>
      </w:r>
      <w:hyperlink r:id="rId147">
        <w:r>
          <w:rPr>
            <w:rFonts w:ascii="Arial" w:cs="Arial" w:eastAsia="Arial" w:hAnsi="Arial"/>
            <w:sz w:val="14"/>
            <w:szCs w:val="14"/>
            <w:u w:val="single" w:color="auto"/>
            <w:color w:val="0000FF"/>
          </w:rPr>
          <w:t>Form 8-K filed on February 20, 2018.</w:t>
        </w:r>
      </w:hyperlink>
    </w:p>
    <w:p>
      <w:pPr>
        <w:spacing w:after="0" w:line="7" w:lineRule="exact"/>
        <w:rPr>
          <w:sz w:val="20"/>
          <w:szCs w:val="20"/>
          <w:color w:val="auto"/>
        </w:rPr>
      </w:pPr>
    </w:p>
    <w:p>
      <w:pPr>
        <w:ind w:left="86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148">
        <w:r>
          <w:rPr>
            <w:rFonts w:ascii="Arial" w:cs="Arial" w:eastAsia="Arial" w:hAnsi="Arial"/>
            <w:sz w:val="13"/>
            <w:szCs w:val="13"/>
            <w:u w:val="single" w:color="auto"/>
            <w:color w:val="0000FF"/>
          </w:rPr>
          <w:t>Reference is made to Exhibits 3.1, 3.2, 3.3 and 3.4</w:t>
        </w:r>
      </w:hyperlink>
    </w:p>
    <w:p>
      <w:pPr>
        <w:spacing w:after="0" w:line="28" w:lineRule="exact"/>
        <w:rPr>
          <w:sz w:val="20"/>
          <w:szCs w:val="20"/>
          <w:color w:val="auto"/>
        </w:rPr>
      </w:pPr>
    </w:p>
    <w:p>
      <w:pPr>
        <w:jc w:val="both"/>
        <w:ind w:left="1220" w:right="60" w:hanging="368"/>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4.2</w:t>
      </w:r>
      <w:r>
        <w:rPr>
          <w:sz w:val="20"/>
          <w:szCs w:val="20"/>
          <w:color w:val="auto"/>
        </w:rPr>
        <w:tab/>
      </w:r>
      <w:hyperlink r:id="rId149">
        <w:r>
          <w:rPr>
            <w:rFonts w:ascii="Arial" w:cs="Arial" w:eastAsia="Arial" w:hAnsi="Arial"/>
            <w:sz w:val="14"/>
            <w:szCs w:val="14"/>
            <w:u w:val="single" w:color="auto"/>
            <w:color w:val="0000FF"/>
          </w:rPr>
          <w:t>Amended and Restated Investors Rights Agreement, dated December 22, 2000, by and among the Registrant, certain stockholders and the investors listed on the signature</w:t>
        </w:r>
      </w:hyperlink>
      <w:r>
        <w:rPr>
          <w:rFonts w:ascii="Arial" w:cs="Arial" w:eastAsia="Arial" w:hAnsi="Arial"/>
          <w:sz w:val="14"/>
          <w:szCs w:val="14"/>
          <w:u w:val="single" w:color="auto"/>
          <w:color w:val="0000FF"/>
        </w:rPr>
        <w:t xml:space="preserve"> </w:t>
      </w:r>
      <w:hyperlink r:id="rId149">
        <w:r>
          <w:rPr>
            <w:rFonts w:ascii="Arial" w:cs="Arial" w:eastAsia="Arial" w:hAnsi="Arial"/>
            <w:sz w:val="14"/>
            <w:szCs w:val="14"/>
            <w:u w:val="single" w:color="auto"/>
            <w:color w:val="0000FF"/>
          </w:rPr>
          <w:t>pages thereto,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jc w:val="both"/>
        <w:ind w:left="1220" w:right="60" w:hanging="368"/>
        <w:spacing w:after="0" w:line="151"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150">
        <w:r>
          <w:rPr>
            <w:rFonts w:ascii="Arial" w:cs="Arial" w:eastAsia="Arial" w:hAnsi="Arial"/>
            <w:sz w:val="14"/>
            <w:szCs w:val="14"/>
            <w:u w:val="single" w:color="auto"/>
            <w:color w:val="0000FF"/>
          </w:rPr>
          <w:t>Amendment No. 1 to Synchronoss Technologies, Inc. Amended and Restated Investors Rights Agreement, dated April 27, 2001, by and among the Registrant, certain</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stockholders and the investors listed on the signature pages thereto,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8" w:lineRule="exact"/>
        <w:rPr>
          <w:rFonts w:ascii="Arial" w:cs="Arial" w:eastAsia="Arial" w:hAnsi="Arial"/>
          <w:sz w:val="14"/>
          <w:szCs w:val="14"/>
          <w:u w:val="single" w:color="auto"/>
          <w:color w:val="0000FF"/>
        </w:rPr>
      </w:pPr>
    </w:p>
    <w:p>
      <w:pPr>
        <w:jc w:val="both"/>
        <w:ind w:left="1220" w:right="60" w:hanging="368"/>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4.4</w:t>
      </w:r>
      <w:r>
        <w:rPr>
          <w:sz w:val="20"/>
          <w:szCs w:val="20"/>
          <w:color w:val="auto"/>
        </w:rPr>
        <w:tab/>
      </w:r>
      <w:hyperlink r:id="rId151">
        <w:r>
          <w:rPr>
            <w:rFonts w:ascii="Arial" w:cs="Arial" w:eastAsia="Arial" w:hAnsi="Arial"/>
            <w:sz w:val="14"/>
            <w:szCs w:val="14"/>
            <w:u w:val="single" w:color="auto"/>
            <w:color w:val="0000FF"/>
          </w:rPr>
          <w:t>Registration Rights Agreement, dated November 13, 2000, by and among the Registrant and the investors listed on the signature pages thereto, incorporated by reference to</w:t>
        </w:r>
      </w:hyperlink>
      <w:r>
        <w:rPr>
          <w:rFonts w:ascii="Arial" w:cs="Arial" w:eastAsia="Arial" w:hAnsi="Arial"/>
          <w:sz w:val="14"/>
          <w:szCs w:val="14"/>
          <w:u w:val="single" w:color="auto"/>
          <w:color w:val="0000FF"/>
        </w:rPr>
        <w:t xml:space="preserve"> </w:t>
      </w:r>
      <w:hyperlink r:id="rId151">
        <w:r>
          <w:rPr>
            <w:rFonts w:ascii="Arial" w:cs="Arial" w:eastAsia="Arial" w:hAnsi="Arial"/>
            <w:sz w:val="14"/>
            <w:szCs w:val="14"/>
            <w:u w:val="single" w:color="auto"/>
            <w:color w:val="0000FF"/>
          </w:rPr>
          <w:t>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jc w:val="both"/>
        <w:ind w:left="1220" w:right="40" w:hanging="368"/>
        <w:spacing w:after="0" w:line="159"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152">
        <w:r>
          <w:rPr>
            <w:rFonts w:ascii="Arial" w:cs="Arial" w:eastAsia="Arial" w:hAnsi="Arial"/>
            <w:sz w:val="13"/>
            <w:szCs w:val="13"/>
            <w:u w:val="single" w:color="auto"/>
            <w:color w:val="0000FF"/>
          </w:rPr>
          <w:t>Amendment No. 1 to Synchronoss Technologies, Inc. Registration Rights Agreement, dated May 21, 2001, by and among the Registrant, certain stockholders listed on the</w:t>
        </w:r>
      </w:hyperlink>
      <w:r>
        <w:rPr>
          <w:rFonts w:ascii="Arial" w:cs="Arial" w:eastAsia="Arial" w:hAnsi="Arial"/>
          <w:sz w:val="13"/>
          <w:szCs w:val="13"/>
          <w:u w:val="single" w:color="auto"/>
          <w:color w:val="0000FF"/>
        </w:rPr>
        <w:t xml:space="preserve"> </w:t>
      </w:r>
      <w:hyperlink r:id="rId152">
        <w:r>
          <w:rPr>
            <w:rFonts w:ascii="Arial" w:cs="Arial" w:eastAsia="Arial" w:hAnsi="Arial"/>
            <w:sz w:val="13"/>
            <w:szCs w:val="13"/>
            <w:u w:val="single" w:color="auto"/>
            <w:color w:val="0000FF"/>
          </w:rPr>
          <w:t>signature pages thereto and Silicon Valley Bank,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hyperlink>
    </w:p>
    <w:p>
      <w:pPr>
        <w:spacing w:after="0" w:line="8" w:lineRule="exact"/>
        <w:rPr>
          <w:sz w:val="20"/>
          <w:szCs w:val="20"/>
          <w:color w:val="auto"/>
        </w:rPr>
      </w:pPr>
    </w:p>
    <w:p>
      <w:pPr>
        <w:ind w:left="86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153">
        <w:r>
          <w:rPr>
            <w:rFonts w:ascii="Arial" w:cs="Arial" w:eastAsia="Arial" w:hAnsi="Arial"/>
            <w:sz w:val="13"/>
            <w:szCs w:val="13"/>
            <w:u w:val="single" w:color="auto"/>
            <w:color w:val="0000FF"/>
          </w:rPr>
          <w:t>Form of Common Stock Certificate, incorporated by reference to Registrant’s Registration Statement on Form S-1 (Commission File No. 333-132080)</w:t>
        </w:r>
      </w:hyperlink>
    </w:p>
    <w:p>
      <w:pPr>
        <w:spacing w:after="0" w:line="28" w:lineRule="exact"/>
        <w:rPr>
          <w:sz w:val="20"/>
          <w:szCs w:val="20"/>
          <w:color w:val="auto"/>
        </w:rPr>
      </w:pPr>
    </w:p>
    <w:p>
      <w:pPr>
        <w:ind w:left="86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4.7</w:t>
      </w:r>
      <w:r>
        <w:rPr>
          <w:sz w:val="20"/>
          <w:szCs w:val="20"/>
          <w:color w:val="auto"/>
        </w:rPr>
        <w:tab/>
      </w:r>
      <w:hyperlink r:id="rId154">
        <w:r>
          <w:rPr>
            <w:rFonts w:ascii="Arial" w:cs="Arial" w:eastAsia="Arial" w:hAnsi="Arial"/>
            <w:sz w:val="13"/>
            <w:szCs w:val="13"/>
            <w:u w:val="single" w:color="auto"/>
            <w:color w:val="0000FF"/>
          </w:rPr>
          <w:t>Form of Indenture for Convertible Senior Notes, incorporated by reference to Registrant’s Registration Statement on Form S-3 (Commission File No. 333-197871)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 w:lineRule="exact"/>
        <w:rPr>
          <w:sz w:val="20"/>
          <w:szCs w:val="20"/>
          <w:color w:val="auto"/>
        </w:rPr>
      </w:pPr>
    </w:p>
    <w:p>
      <w:pPr>
        <w:ind w:left="1220" w:hanging="36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4.8</w:t>
      </w:r>
      <w:r>
        <w:rPr>
          <w:sz w:val="20"/>
          <w:szCs w:val="20"/>
          <w:color w:val="auto"/>
        </w:rPr>
        <w:tab/>
      </w:r>
      <w:hyperlink r:id="rId157">
        <w:r>
          <w:rPr>
            <w:rFonts w:ascii="Arial" w:cs="Arial" w:eastAsia="Arial" w:hAnsi="Arial"/>
            <w:sz w:val="14"/>
            <w:szCs w:val="14"/>
            <w:u w:val="single" w:color="auto"/>
            <w:color w:val="0000FF"/>
          </w:rPr>
          <w:t>Investor Rights Agreement by and between Synchronoss Technologies, Inc. and Silver Private Holdings I, LLC dated as of February 15, 2018, incorporated by reference to</w:t>
        </w:r>
      </w:hyperlink>
      <w:r>
        <w:rPr>
          <w:rFonts w:ascii="Arial" w:cs="Arial" w:eastAsia="Arial" w:hAnsi="Arial"/>
          <w:sz w:val="14"/>
          <w:szCs w:val="14"/>
          <w:u w:val="single" w:color="auto"/>
          <w:color w:val="0000FF"/>
        </w:rPr>
        <w:t xml:space="preserve"> </w:t>
      </w:r>
      <w:hyperlink r:id="rId157">
        <w:r>
          <w:rPr>
            <w:rFonts w:ascii="Arial" w:cs="Arial" w:eastAsia="Arial" w:hAnsi="Arial"/>
            <w:sz w:val="14"/>
            <w:szCs w:val="14"/>
            <w:u w:val="single" w:color="auto"/>
            <w:color w:val="0000FF"/>
          </w:rPr>
          <w:t>Exhibit 4.1 to the Registrant’s Current Report on Form 8-K filed on February 20, 2018.</w:t>
        </w:r>
      </w:hyperlink>
    </w:p>
    <w:p>
      <w:pPr>
        <w:spacing w:after="0" w:line="7" w:lineRule="exact"/>
        <w:rPr>
          <w:sz w:val="20"/>
          <w:szCs w:val="20"/>
          <w:color w:val="auto"/>
        </w:rPr>
      </w:pPr>
    </w:p>
    <w:p>
      <w:pPr>
        <w:ind w:left="1220" w:right="20" w:hanging="368"/>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4.9</w:t>
      </w:r>
      <w:r>
        <w:rPr>
          <w:sz w:val="20"/>
          <w:szCs w:val="20"/>
          <w:color w:val="auto"/>
        </w:rPr>
        <w:tab/>
      </w:r>
      <w:hyperlink r:id="rId158">
        <w:r>
          <w:rPr>
            <w:rFonts w:ascii="Arial" w:cs="Arial" w:eastAsia="Arial" w:hAnsi="Arial"/>
            <w:sz w:val="14"/>
            <w:szCs w:val="14"/>
            <w:u w:val="single" w:color="auto"/>
            <w:color w:val="0000FF"/>
          </w:rPr>
          <w:t>Description of Securities Registered under Section 12 of the Securities Exchange Act of 1934, incorporated by reference to Registrant’s 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w:t>
        </w:r>
      </w:hyperlink>
      <w:r>
        <w:rPr>
          <w:rFonts w:ascii="Arial" w:cs="Arial" w:eastAsia="Arial" w:hAnsi="Arial"/>
          <w:sz w:val="14"/>
          <w:szCs w:val="14"/>
          <w:u w:val="single" w:color="auto"/>
          <w:color w:val="0000FF"/>
        </w:rPr>
        <w:t xml:space="preserve"> </w:t>
      </w:r>
      <w:hyperlink r:id="rId158">
        <w:r>
          <w:rPr>
            <w:rFonts w:ascii="Arial" w:cs="Arial" w:eastAsia="Arial" w:hAnsi="Arial"/>
            <w:sz w:val="14"/>
            <w:szCs w:val="14"/>
            <w:u w:val="single" w:color="auto"/>
            <w:color w:val="0000FF"/>
          </w:rPr>
          <w:t>the year ended December 31, 2019</w:t>
        </w:r>
      </w:hyperlink>
    </w:p>
    <w:p>
      <w:pPr>
        <w:spacing w:after="0" w:line="7" w:lineRule="exact"/>
        <w:rPr>
          <w:sz w:val="20"/>
          <w:szCs w:val="20"/>
          <w:color w:val="auto"/>
        </w:rPr>
      </w:pPr>
    </w:p>
    <w:p>
      <w:pPr>
        <w:ind w:left="1220" w:hanging="440"/>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r:id="rId159">
        <w:r>
          <w:rPr>
            <w:rFonts w:ascii="Arial" w:cs="Arial" w:eastAsia="Arial" w:hAnsi="Arial"/>
            <w:sz w:val="14"/>
            <w:szCs w:val="14"/>
            <w:u w:val="single" w:color="auto"/>
            <w:color w:val="0000FF"/>
          </w:rPr>
          <w:t>Form of Indemnification Agreement between the Registrant and each of its directors and executive officers, incorporated by reference to Registrant’s Registration Statement</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1220" w:right="20" w:hanging="440"/>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r:id="rId160">
        <w:r>
          <w:rPr>
            <w:rFonts w:ascii="Arial" w:cs="Arial" w:eastAsia="Arial" w:hAnsi="Arial"/>
            <w:sz w:val="14"/>
            <w:szCs w:val="14"/>
            <w:u w:val="single" w:color="auto"/>
            <w:color w:val="0000FF"/>
          </w:rPr>
          <w:t>Synchronoss Technologies, Inc. 2000 Stock Plan and forms of agreements thereunder,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1220" w:right="20" w:hanging="440"/>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161">
        <w:r>
          <w:rPr>
            <w:rFonts w:ascii="Arial" w:cs="Arial" w:eastAsia="Arial" w:hAnsi="Arial"/>
            <w:sz w:val="14"/>
            <w:szCs w:val="14"/>
            <w:u w:val="single" w:color="auto"/>
            <w:color w:val="0000FF"/>
          </w:rPr>
          <w:t>Amendment No. 1 to Synchronoss Technologies, Inc. 2000 Stock Plan,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78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10.4</w:t>
      </w:r>
      <w:r>
        <w:rPr>
          <w:sz w:val="20"/>
          <w:szCs w:val="20"/>
          <w:color w:val="auto"/>
        </w:rPr>
        <w:tab/>
      </w:r>
      <w:hyperlink r:id="rId162">
        <w:r>
          <w:rPr>
            <w:rFonts w:ascii="Arial" w:cs="Arial" w:eastAsia="Arial" w:hAnsi="Arial"/>
            <w:sz w:val="12"/>
            <w:szCs w:val="12"/>
            <w:u w:val="single" w:color="auto"/>
            <w:color w:val="0000FF"/>
          </w:rPr>
          <w:t>2006 Equity Incentive Plan, as amended and restated, incorporated by reference to Registrant’s Schedule 14A dated April 8, 2010.</w:t>
        </w:r>
      </w:hyperlink>
    </w:p>
    <w:p>
      <w:pPr>
        <w:spacing w:after="0" w:line="28" w:lineRule="exact"/>
        <w:rPr>
          <w:sz w:val="20"/>
          <w:szCs w:val="20"/>
          <w:color w:val="auto"/>
        </w:rPr>
      </w:pPr>
    </w:p>
    <w:p>
      <w:pPr>
        <w:ind w:left="720"/>
        <w:spacing w:after="0" w:line="161"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10.4.1</w:t>
      </w:r>
      <w:r>
        <w:rPr>
          <w:sz w:val="20"/>
          <w:szCs w:val="20"/>
          <w:color w:val="auto"/>
        </w:rPr>
        <w:tab/>
      </w:r>
      <w:hyperlink r:id="rId163">
        <w:r>
          <w:rPr>
            <w:rFonts w:ascii="Arial" w:cs="Arial" w:eastAsia="Arial" w:hAnsi="Arial"/>
            <w:sz w:val="13"/>
            <w:szCs w:val="13"/>
            <w:u w:val="single" w:color="auto"/>
            <w:color w:val="0000FF"/>
          </w:rPr>
          <w:t>2010 New Hire Equity Incentive Plan,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8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168745).</w:t>
        </w:r>
      </w:hyperlink>
    </w:p>
    <w:p>
      <w:pPr>
        <w:spacing w:after="0" w:line="28" w:lineRule="exact"/>
        <w:rPr>
          <w:sz w:val="20"/>
          <w:szCs w:val="20"/>
          <w:color w:val="auto"/>
        </w:rPr>
      </w:pPr>
    </w:p>
    <w:p>
      <w:pPr>
        <w:jc w:val="right"/>
        <w:ind w:right="1740"/>
        <w:spacing w:after="0" w:line="161" w:lineRule="exact"/>
        <w:tabs>
          <w:tab w:leader="none" w:pos="9960" w:val="left"/>
        </w:tabs>
        <w:rPr>
          <w:rFonts w:ascii="Arial" w:cs="Arial" w:eastAsia="Arial" w:hAnsi="Arial"/>
          <w:sz w:val="13"/>
          <w:szCs w:val="13"/>
          <w:u w:val="single" w:color="auto"/>
          <w:color w:val="0000FF"/>
        </w:rPr>
      </w:pPr>
      <w:r>
        <w:rPr>
          <w:rFonts w:ascii="Arial" w:cs="Arial" w:eastAsia="Arial" w:hAnsi="Arial"/>
          <w:sz w:val="14"/>
          <w:szCs w:val="14"/>
          <w:color w:val="auto"/>
        </w:rPr>
        <w:t>10.4.2</w:t>
      </w:r>
      <w:r>
        <w:rPr>
          <w:sz w:val="20"/>
          <w:szCs w:val="20"/>
          <w:color w:val="auto"/>
        </w:rPr>
        <w:tab/>
      </w:r>
      <w:hyperlink r:id="rId164">
        <w:r>
          <w:rPr>
            <w:rFonts w:ascii="Arial" w:cs="Arial" w:eastAsia="Arial" w:hAnsi="Arial"/>
            <w:sz w:val="13"/>
            <w:szCs w:val="13"/>
            <w:u w:val="single" w:color="auto"/>
            <w:color w:val="0000FF"/>
          </w:rPr>
          <w:t>2015 Equity Incentive Plan,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8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204311).</w:t>
        </w:r>
      </w:hyperlink>
    </w:p>
    <w:p>
      <w:pPr>
        <w:spacing w:after="0" w:line="28" w:lineRule="exact"/>
        <w:rPr>
          <w:sz w:val="20"/>
          <w:szCs w:val="20"/>
          <w:color w:val="auto"/>
        </w:rPr>
      </w:pPr>
    </w:p>
    <w:p>
      <w:pPr>
        <w:jc w:val="right"/>
        <w:ind w:right="1740"/>
        <w:spacing w:after="0" w:line="161" w:lineRule="exact"/>
        <w:tabs>
          <w:tab w:leader="none" w:pos="9960" w:val="left"/>
        </w:tabs>
        <w:rPr>
          <w:rFonts w:ascii="Arial" w:cs="Arial" w:eastAsia="Arial" w:hAnsi="Arial"/>
          <w:sz w:val="12"/>
          <w:szCs w:val="12"/>
          <w:u w:val="single" w:color="auto"/>
          <w:color w:val="0000FF"/>
        </w:rPr>
      </w:pPr>
      <w:r>
        <w:rPr>
          <w:rFonts w:ascii="Arial" w:cs="Arial" w:eastAsia="Arial" w:hAnsi="Arial"/>
          <w:sz w:val="14"/>
          <w:szCs w:val="14"/>
          <w:color w:val="auto"/>
        </w:rPr>
        <w:t>10.5</w:t>
      </w:r>
      <w:r>
        <w:rPr>
          <w:sz w:val="20"/>
          <w:szCs w:val="20"/>
          <w:color w:val="auto"/>
        </w:rPr>
        <w:tab/>
      </w:r>
      <w:hyperlink r:id="rId165">
        <w:r>
          <w:rPr>
            <w:rFonts w:ascii="Arial" w:cs="Arial" w:eastAsia="Arial" w:hAnsi="Arial"/>
            <w:sz w:val="12"/>
            <w:szCs w:val="12"/>
            <w:u w:val="single" w:color="auto"/>
            <w:color w:val="0000FF"/>
          </w:rPr>
          <w:t>Employee Stock Purchase Plan, incorporated by reference to Registrant’s Annual Report on Form 10</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K for the year ended December 31, 2011</w:t>
        </w:r>
        <w:r>
          <w:rPr>
            <w:rFonts w:ascii="Arial" w:cs="Arial" w:eastAsia="Arial" w:hAnsi="Arial"/>
            <w:sz w:val="12"/>
            <w:szCs w:val="12"/>
            <w:color w:val="0000FF"/>
          </w:rPr>
          <w:t>.</w:t>
        </w:r>
      </w:hyperlink>
    </w:p>
    <w:p>
      <w:pPr>
        <w:spacing w:after="0" w:line="28" w:lineRule="exact"/>
        <w:rPr>
          <w:sz w:val="20"/>
          <w:szCs w:val="20"/>
          <w:color w:val="auto"/>
        </w:rPr>
      </w:pPr>
    </w:p>
    <w:p>
      <w:pPr>
        <w:ind w:left="1220" w:right="20" w:hanging="440"/>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166">
        <w:r>
          <w:rPr>
            <w:rFonts w:ascii="Arial" w:cs="Arial" w:eastAsia="Arial" w:hAnsi="Arial"/>
            <w:sz w:val="14"/>
            <w:szCs w:val="14"/>
            <w:u w:val="single" w:color="auto"/>
            <w:color w:val="0000FF"/>
          </w:rPr>
          <w:t>Lease Agreement between the Registrant and Wells Reit-Bridgewater NJ, LLC for the premises located at 200 Crossing Boulevard, Bridgewater, New Jersey, dated as of</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October 27, 2011, incorporated by reference to Registrant’s 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2011.</w:t>
        </w:r>
      </w:hyperlink>
    </w:p>
    <w:p>
      <w:pPr>
        <w:spacing w:after="0" w:line="7" w:lineRule="exact"/>
        <w:rPr>
          <w:sz w:val="20"/>
          <w:szCs w:val="20"/>
          <w:color w:val="auto"/>
        </w:rPr>
      </w:pPr>
    </w:p>
    <w:p>
      <w:pPr>
        <w:jc w:val="both"/>
        <w:ind w:left="1220" w:right="20" w:hanging="466"/>
        <w:spacing w:after="0" w:line="159"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10.7‡</w:t>
      </w:r>
      <w:r>
        <w:rPr>
          <w:sz w:val="20"/>
          <w:szCs w:val="20"/>
          <w:color w:val="auto"/>
        </w:rPr>
        <w:tab/>
      </w:r>
      <w:hyperlink r:id="rId167">
        <w:r>
          <w:rPr>
            <w:rFonts w:ascii="Arial" w:cs="Arial" w:eastAsia="Arial" w:hAnsi="Arial"/>
            <w:sz w:val="14"/>
            <w:szCs w:val="14"/>
            <w:u w:val="single" w:color="auto"/>
            <w:color w:val="0000FF"/>
          </w:rPr>
          <w:t>Cingular Master Services Agreement, effective September 1, 2005 by and between the Registrant and Cingular Wireless LLC, incorporated by reference to Registrant’s</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2008.</w:t>
        </w:r>
      </w:hyperlink>
    </w:p>
    <w:p>
      <w:pPr>
        <w:spacing w:after="0" w:line="7" w:lineRule="exact"/>
        <w:rPr>
          <w:sz w:val="20"/>
          <w:szCs w:val="20"/>
          <w:color w:val="auto"/>
        </w:rPr>
      </w:pPr>
    </w:p>
    <w:p>
      <w:pPr>
        <w:jc w:val="both"/>
        <w:ind w:left="1220" w:right="20" w:hanging="466"/>
        <w:spacing w:after="0" w:line="151"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10.8‡</w:t>
      </w:r>
      <w:r>
        <w:rPr>
          <w:sz w:val="20"/>
          <w:szCs w:val="20"/>
          <w:color w:val="auto"/>
        </w:rPr>
        <w:tab/>
      </w:r>
      <w:hyperlink r:id="rId168">
        <w:r>
          <w:rPr>
            <w:rFonts w:ascii="Arial" w:cs="Arial" w:eastAsia="Arial" w:hAnsi="Arial"/>
            <w:sz w:val="13"/>
            <w:szCs w:val="13"/>
            <w:u w:val="single" w:color="auto"/>
            <w:color w:val="0000FF"/>
          </w:rPr>
          <w:t>Subordinate Material and Services Agreement No. SG021306.S.025 by and between the Registrant and AT&amp;T Services, Inc. dated as of August 1, 2013, incorporated by</w:t>
        </w:r>
      </w:hyperlink>
      <w:r>
        <w:rPr>
          <w:rFonts w:ascii="Arial" w:cs="Arial" w:eastAsia="Arial" w:hAnsi="Arial"/>
          <w:sz w:val="13"/>
          <w:szCs w:val="13"/>
          <w:u w:val="single" w:color="auto"/>
          <w:color w:val="0000FF"/>
        </w:rPr>
        <w:t xml:space="preserve"> </w:t>
      </w:r>
      <w:hyperlink r:id="rId168">
        <w:r>
          <w:rPr>
            <w:rFonts w:ascii="Arial" w:cs="Arial" w:eastAsia="Arial" w:hAnsi="Arial"/>
            <w:sz w:val="13"/>
            <w:szCs w:val="13"/>
            <w:u w:val="single" w:color="auto"/>
            <w:color w:val="0000FF"/>
          </w:rPr>
          <w:t>reference to Registrant’s Annual Report on Form 10-K for the year ended December 31, 2013, including order numbers SG021306.S.025.S.001, SG021306.S.025.S.002,</w:t>
        </w:r>
      </w:hyperlink>
      <w:r>
        <w:rPr>
          <w:rFonts w:ascii="Arial" w:cs="Arial" w:eastAsia="Arial" w:hAnsi="Arial"/>
          <w:sz w:val="13"/>
          <w:szCs w:val="13"/>
          <w:u w:val="single" w:color="auto"/>
          <w:color w:val="0000FF"/>
        </w:rPr>
        <w:t xml:space="preserve"> </w:t>
      </w:r>
      <w:hyperlink r:id="rId168">
        <w:r>
          <w:rPr>
            <w:rFonts w:ascii="Arial" w:cs="Arial" w:eastAsia="Arial" w:hAnsi="Arial"/>
            <w:sz w:val="13"/>
            <w:szCs w:val="13"/>
            <w:u w:val="single" w:color="auto"/>
            <w:color w:val="0000FF"/>
          </w:rPr>
          <w:t>SG021306.S.025.S.003 and SG021306.S.025.S.004, incorporated by reference to Registrant’s Quarterly Report on Form 10</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Q/A for the quarter ended September 30, 2013.</w:t>
        </w:r>
      </w:hyperlink>
    </w:p>
    <w:p>
      <w:pPr>
        <w:spacing w:after="0" w:line="7" w:lineRule="exact"/>
        <w:rPr>
          <w:rFonts w:ascii="Arial" w:cs="Arial" w:eastAsia="Arial" w:hAnsi="Arial"/>
          <w:sz w:val="13"/>
          <w:szCs w:val="13"/>
          <w:u w:val="single" w:color="auto"/>
          <w:color w:val="0000FF"/>
        </w:rPr>
      </w:pPr>
    </w:p>
    <w:p>
      <w:pPr>
        <w:jc w:val="both"/>
        <w:ind w:left="1220" w:hanging="466"/>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169">
        <w:r>
          <w:rPr>
            <w:rFonts w:ascii="Arial" w:cs="Arial" w:eastAsia="Arial" w:hAnsi="Arial"/>
            <w:sz w:val="14"/>
            <w:szCs w:val="14"/>
            <w:u w:val="single" w:color="auto"/>
            <w:color w:val="0000FF"/>
          </w:rPr>
          <w:t>Amendment 1 effective as of January 1, 2016 to Subordinate Material and Services Agreement No. SG021306.S.025 by and between the Registrant and AT&amp;T Services,</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Inc., incorporated by reference to Exhibit 10.9.1 to the Registrant’s Annual Report on Form 10-K for the year ended December 31, 2016.</w:t>
        </w:r>
      </w:hyperlink>
    </w:p>
    <w:p>
      <w:pPr>
        <w:spacing w:after="0" w:line="7" w:lineRule="exact"/>
        <w:rPr>
          <w:sz w:val="20"/>
          <w:szCs w:val="20"/>
          <w:color w:val="auto"/>
        </w:rPr>
      </w:pPr>
    </w:p>
    <w:p>
      <w:pPr>
        <w:jc w:val="both"/>
        <w:ind w:left="1220" w:right="20" w:hanging="53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170">
        <w:r>
          <w:rPr>
            <w:rFonts w:ascii="Arial" w:cs="Arial" w:eastAsia="Arial" w:hAnsi="Arial"/>
            <w:sz w:val="14"/>
            <w:szCs w:val="14"/>
            <w:u w:val="single" w:color="auto"/>
            <w:color w:val="0000FF"/>
          </w:rPr>
          <w:t>Order No.SG021306.S.025.S.007 effective as of January 1, 2016 by and between the Registrant and AT&amp;T Services, Inc., incorporated by reference to Exhibit 10.9.2 to the</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Registrant’s Annual Report on Form 10-K for the year ended December 31, 2016.</w:t>
        </w:r>
      </w:hyperlink>
    </w:p>
    <w:p>
      <w:pPr>
        <w:spacing w:after="0" w:line="7" w:lineRule="exact"/>
        <w:rPr>
          <w:sz w:val="20"/>
          <w:szCs w:val="20"/>
          <w:color w:val="auto"/>
        </w:rPr>
      </w:pPr>
    </w:p>
    <w:p>
      <w:pPr>
        <w:jc w:val="both"/>
        <w:ind w:left="1220" w:hanging="533"/>
        <w:spacing w:after="0" w:line="224"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10.11‡</w:t>
      </w:r>
      <w:r>
        <w:rPr>
          <w:sz w:val="20"/>
          <w:szCs w:val="20"/>
          <w:color w:val="auto"/>
        </w:rPr>
        <w:tab/>
      </w:r>
      <w:hyperlink r:id="rId169">
        <w:r>
          <w:rPr>
            <w:rFonts w:ascii="Arial" w:cs="Arial" w:eastAsia="Arial" w:hAnsi="Arial"/>
            <w:sz w:val="14"/>
            <w:szCs w:val="14"/>
            <w:u w:val="single" w:color="auto"/>
            <w:color w:val="0000FF"/>
          </w:rPr>
          <w:t>Amendment No. 1 effective as of January 1, 2016 to Order No. SG021306.S.025.S.001 dated as of August 1, 2013 by and between the Registrant and AT&amp;T Services, Inc.</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together with Amended and Restated Order No. SG021306.S.025.S.001, incorporated by reference to Exhibit 10.9.3 to the Registrant’s Annual Report on Form 10-K for the</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year ended December 31, 2016.</w:t>
        </w:r>
      </w:hyperlink>
    </w:p>
    <w:p>
      <w:pPr>
        <w:spacing w:after="0" w:line="8" w:lineRule="exact"/>
        <w:rPr>
          <w:rFonts w:ascii="Arial" w:cs="Arial" w:eastAsia="Arial" w:hAnsi="Arial"/>
          <w:sz w:val="14"/>
          <w:szCs w:val="14"/>
          <w:u w:val="single" w:color="auto"/>
          <w:color w:val="0000FF"/>
        </w:rPr>
      </w:pPr>
    </w:p>
    <w:p>
      <w:pPr>
        <w:jc w:val="both"/>
        <w:ind w:left="1220" w:hanging="538"/>
        <w:spacing w:after="0" w:line="224"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10.12‡</w:t>
      </w:r>
      <w:r>
        <w:rPr>
          <w:sz w:val="20"/>
          <w:szCs w:val="20"/>
          <w:color w:val="auto"/>
        </w:rPr>
        <w:tab/>
      </w:r>
      <w:hyperlink r:id="rId171">
        <w:r>
          <w:rPr>
            <w:rFonts w:ascii="Arial" w:cs="Arial" w:eastAsia="Arial" w:hAnsi="Arial"/>
            <w:sz w:val="14"/>
            <w:szCs w:val="14"/>
            <w:u w:val="single" w:color="auto"/>
            <w:color w:val="0000FF"/>
          </w:rPr>
          <w:t>Amendment No. 2 effective as of January 1, 2016 to Order No. SG021306.S.025.S.002 dated as of August 1, 2013 by and between the Registrant and AT&amp;T Services, Inc.,</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together with Amended and Restated Order No. SG021306.S.025.S.002, incorporated by reference to Exhibit 10.9.4 to the Registrant’s Annual Report on Form 10-K for the</w:t>
        </w:r>
      </w:hyperlink>
      <w:r>
        <w:rPr>
          <w:rFonts w:ascii="Arial" w:cs="Arial" w:eastAsia="Arial" w:hAnsi="Arial"/>
          <w:sz w:val="14"/>
          <w:szCs w:val="14"/>
          <w:u w:val="single" w:color="auto"/>
          <w:color w:val="0000FF"/>
        </w:rPr>
        <w:t xml:space="preserve"> </w:t>
      </w:r>
      <w:hyperlink r:id="rId171">
        <w:r>
          <w:rPr>
            <w:rFonts w:ascii="Arial" w:cs="Arial" w:eastAsia="Arial" w:hAnsi="Arial"/>
            <w:sz w:val="14"/>
            <w:szCs w:val="14"/>
            <w:u w:val="single" w:color="auto"/>
            <w:color w:val="0000FF"/>
          </w:rPr>
          <w:t>year ended December 31, 2016.</w:t>
        </w:r>
      </w:hyperlink>
    </w:p>
    <w:p>
      <w:pPr>
        <w:ind w:left="68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10.13‡</w:t>
      </w:r>
      <w:r>
        <w:rPr>
          <w:sz w:val="20"/>
          <w:szCs w:val="20"/>
          <w:color w:val="auto"/>
        </w:rPr>
        <w:tab/>
      </w:r>
      <w:hyperlink r:id="rId172">
        <w:r>
          <w:rPr>
            <w:rFonts w:ascii="Arial" w:cs="Arial" w:eastAsia="Arial" w:hAnsi="Arial"/>
            <w:sz w:val="13"/>
            <w:szCs w:val="13"/>
            <w:u w:val="single" w:color="auto"/>
            <w:color w:val="0000FF"/>
          </w:rPr>
          <w:t>Amendment No. 3 effective as of January 1, 2016 to Order No. SG021306.S.025.S.003 dated as of August 1, 2013 by and between the Registrant and AT&amp;T Services, Inc.</w:t>
        </w:r>
      </w:hyperlink>
    </w:p>
    <w:p>
      <w:pPr>
        <w:ind w:left="1220"/>
        <w:spacing w:after="0"/>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incorporated by reference to Exhibit 10.9.5 to the Registrant’s Annual Report on Form 10-K for the year ended December 31, 2016.</w:t>
        </w:r>
      </w:hyperlink>
    </w:p>
    <w:p>
      <w:pPr>
        <w:spacing w:after="0" w:line="16" w:lineRule="exact"/>
        <w:rPr>
          <w:rFonts w:ascii="Arial" w:cs="Arial" w:eastAsia="Arial" w:hAnsi="Arial"/>
          <w:sz w:val="14"/>
          <w:szCs w:val="14"/>
          <w:u w:val="single" w:color="auto"/>
          <w:color w:val="0000FF"/>
        </w:rPr>
      </w:pPr>
    </w:p>
    <w:p>
      <w:pPr>
        <w:jc w:val="both"/>
        <w:ind w:left="1220" w:hanging="538"/>
        <w:spacing w:after="0" w:line="224"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173">
        <w:r>
          <w:rPr>
            <w:rFonts w:ascii="Arial" w:cs="Arial" w:eastAsia="Arial" w:hAnsi="Arial"/>
            <w:sz w:val="14"/>
            <w:szCs w:val="14"/>
            <w:u w:val="single" w:color="auto"/>
            <w:color w:val="0000FF"/>
          </w:rPr>
          <w:t>Amendment No. 4 effective as of January 1, 2016 to Order No. SG021306.S.025.S.003 dated as of August 1, 2013 by and between the Registrant and AT&amp;T Services, Inc.,</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together with Amended and Restated Order No. SG021306.S.025.S.003, incorporated by reference to Exhibit 10.9.6 to the Registrant’s Annual Report on Form 10-K for the</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year ended December 31, 2016.</w:t>
        </w:r>
      </w:hyperlink>
    </w:p>
    <w:p>
      <w:pPr>
        <w:spacing w:after="0" w:line="8" w:lineRule="exact"/>
        <w:rPr>
          <w:rFonts w:ascii="Arial" w:cs="Arial" w:eastAsia="Arial" w:hAnsi="Arial"/>
          <w:sz w:val="14"/>
          <w:szCs w:val="14"/>
          <w:u w:val="single" w:color="auto"/>
          <w:color w:val="0000FF"/>
        </w:rPr>
      </w:pPr>
    </w:p>
    <w:p>
      <w:pPr>
        <w:jc w:val="both"/>
        <w:ind w:left="1220" w:hanging="538"/>
        <w:spacing w:after="0" w:line="224"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174">
        <w:r>
          <w:rPr>
            <w:rFonts w:ascii="Arial" w:cs="Arial" w:eastAsia="Arial" w:hAnsi="Arial"/>
            <w:sz w:val="14"/>
            <w:szCs w:val="14"/>
            <w:u w:val="single" w:color="auto"/>
            <w:color w:val="0000FF"/>
          </w:rPr>
          <w:t>Amendment No. 5 effective as of January 1, 2016 to Order No. SG021306.S.025.S.004 dated as of August 1, 2013 by and between the Registrant and AT&amp;T Services, Inc.</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together with Amended and Restated Order No. SG021306.S.025.S.004, incorporated by reference to Exhibit 10.9.7 to the Registrant’s Annual Report on Form 10-K for the</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year ended December 31, 2016.</w:t>
        </w:r>
      </w:hyperlink>
    </w:p>
    <w:p>
      <w:pPr>
        <w:spacing w:after="0" w:line="8" w:lineRule="exact"/>
        <w:rPr>
          <w:rFonts w:ascii="Arial" w:cs="Arial" w:eastAsia="Arial" w:hAnsi="Arial"/>
          <w:sz w:val="14"/>
          <w:szCs w:val="14"/>
          <w:u w:val="single" w:color="auto"/>
          <w:color w:val="0000FF"/>
        </w:rPr>
      </w:pPr>
    </w:p>
    <w:p>
      <w:pPr>
        <w:jc w:val="both"/>
        <w:ind w:left="1220" w:hanging="538"/>
        <w:spacing w:after="0" w:line="236" w:lineRule="auto"/>
        <w:tabs>
          <w:tab w:leader="none" w:pos="1200" w:val="left"/>
        </w:tabs>
        <w:rPr>
          <w:rFonts w:ascii="Arial" w:cs="Arial" w:eastAsia="Arial" w:hAnsi="Arial"/>
          <w:sz w:val="14"/>
          <w:szCs w:val="14"/>
          <w:color w:val="0000FF"/>
        </w:rPr>
      </w:pPr>
      <w:r>
        <w:rPr>
          <w:rFonts w:ascii="Arial" w:cs="Arial" w:eastAsia="Arial" w:hAnsi="Arial"/>
          <w:sz w:val="14"/>
          <w:szCs w:val="14"/>
          <w:color w:val="auto"/>
        </w:rPr>
        <w:t>10.16†</w:t>
      </w:r>
      <w:r>
        <w:rPr>
          <w:sz w:val="20"/>
          <w:szCs w:val="20"/>
          <w:color w:val="auto"/>
        </w:rPr>
        <w:tab/>
      </w:r>
      <w:hyperlink r:id="rId175">
        <w:r>
          <w:rPr>
            <w:rFonts w:ascii="Arial" w:cs="Arial" w:eastAsia="Arial" w:hAnsi="Arial"/>
            <w:sz w:val="14"/>
            <w:szCs w:val="14"/>
            <w:u w:val="single" w:color="auto"/>
            <w:color w:val="0000FF"/>
          </w:rPr>
          <w:t>Employment Agreement dated as of April 27, 2017 between the Registrant and Stephen G. Waldis, incorporated by reference to Exhibit 10</w:t>
        </w:r>
        <w:r>
          <w:rPr>
            <w:rFonts w:ascii="Arial" w:cs="Arial" w:eastAsia="Arial" w:hAnsi="Arial"/>
            <w:sz w:val="14"/>
            <w:szCs w:val="14"/>
            <w:color w:val="0000FF"/>
          </w:rPr>
          <w:t>.</w:t>
        </w:r>
        <w:r>
          <w:rPr>
            <w:rFonts w:ascii="Arial" w:cs="Arial" w:eastAsia="Arial" w:hAnsi="Arial"/>
            <w:sz w:val="14"/>
            <w:szCs w:val="14"/>
            <w:u w:val="single" w:color="auto"/>
            <w:color w:val="0000FF"/>
          </w:rPr>
          <w:t xml:space="preserve">4 </w:t>
        </w:r>
        <w:r>
          <w:rPr>
            <w:rFonts w:ascii="Arial" w:cs="Arial" w:eastAsia="Arial" w:hAnsi="Arial"/>
            <w:sz w:val="14"/>
            <w:szCs w:val="14"/>
            <w:color w:val="0000FF"/>
          </w:rPr>
          <w:t>to the Registrant’s Quarterly</w:t>
        </w:r>
      </w:hyperlink>
      <w:r>
        <w:rPr>
          <w:rFonts w:ascii="Arial" w:cs="Arial" w:eastAsia="Arial" w:hAnsi="Arial"/>
          <w:sz w:val="14"/>
          <w:szCs w:val="14"/>
          <w:u w:val="single" w:color="auto"/>
          <w:color w:val="0000FF"/>
        </w:rPr>
        <w:t xml:space="preserve"> </w:t>
      </w:r>
      <w:hyperlink r:id="rId175">
        <w:r>
          <w:rPr>
            <w:rFonts w:ascii="Arial" w:cs="Arial" w:eastAsia="Arial" w:hAnsi="Arial"/>
            <w:sz w:val="14"/>
            <w:szCs w:val="14"/>
            <w:u w:val="single" w:color="auto"/>
            <w:color w:val="0000FF"/>
          </w:rPr>
          <w:t>Report on Form 10-Q for the quarter ended June</w:t>
        </w:r>
        <w:r>
          <w:rPr>
            <w:rFonts w:ascii="Arial" w:cs="Arial" w:eastAsia="Arial" w:hAnsi="Arial"/>
            <w:sz w:val="14"/>
            <w:szCs w:val="14"/>
            <w:color w:val="0000FF"/>
          </w:rPr>
          <w:t xml:space="preserve"> 30, 20</w:t>
        </w:r>
        <w:r>
          <w:rPr>
            <w:rFonts w:ascii="Arial" w:cs="Arial" w:eastAsia="Arial" w:hAnsi="Arial"/>
            <w:sz w:val="14"/>
            <w:szCs w:val="14"/>
            <w:u w:val="single" w:color="auto"/>
            <w:color w:val="0000FF"/>
          </w:rPr>
          <w:t>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6021070</wp:posOffset>
            </wp:positionH>
            <wp:positionV relativeFrom="paragraph">
              <wp:posOffset>-102870</wp:posOffset>
            </wp:positionV>
            <wp:extent cx="1085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jc w:val="both"/>
        <w:ind w:left="1220" w:hanging="53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177">
        <w:r>
          <w:rPr>
            <w:rFonts w:ascii="Arial" w:cs="Arial" w:eastAsia="Arial" w:hAnsi="Arial"/>
            <w:sz w:val="14"/>
            <w:szCs w:val="14"/>
            <w:u w:val="single" w:color="auto"/>
            <w:color w:val="0000FF"/>
          </w:rPr>
          <w:t xml:space="preserve">Tier One Executive Employment Plan effective March 24, </w:t>
        </w:r>
        <w:r>
          <w:rPr>
            <w:rFonts w:ascii="Arial" w:cs="Arial" w:eastAsia="Arial" w:hAnsi="Arial"/>
            <w:sz w:val="14"/>
            <w:szCs w:val="14"/>
            <w:color w:val="0000FF"/>
          </w:rPr>
          <w:t>2017</w:t>
        </w:r>
        <w:r>
          <w:rPr>
            <w:rFonts w:ascii="Arial" w:cs="Arial" w:eastAsia="Arial" w:hAnsi="Arial"/>
            <w:sz w:val="14"/>
            <w:szCs w:val="14"/>
            <w:u w:val="single" w:color="auto"/>
            <w:color w:val="0000FF"/>
          </w:rPr>
          <w:t xml:space="preserve">, incorporated by reference to Exhibit 10.5 to the Registrant’s Quarterly Report on Form 10-Q for the </w:t>
        </w:r>
        <w:r>
          <w:rPr>
            <w:rFonts w:ascii="Arial" w:cs="Arial" w:eastAsia="Arial" w:hAnsi="Arial"/>
            <w:sz w:val="14"/>
            <w:szCs w:val="14"/>
            <w:color w:val="0000FF"/>
          </w:rPr>
          <w:t>quar</w:t>
        </w:r>
        <w:r>
          <w:rPr>
            <w:rFonts w:ascii="Arial" w:cs="Arial" w:eastAsia="Arial" w:hAnsi="Arial"/>
            <w:sz w:val="14"/>
            <w:szCs w:val="14"/>
            <w:u w:val="single" w:color="auto"/>
            <w:color w:val="0000FF"/>
          </w:rPr>
          <w:t>ter</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ended June 30, 2018.</w:t>
        </w:r>
      </w:hyperlink>
    </w:p>
    <w:p>
      <w:pPr>
        <w:spacing w:after="0" w:line="7" w:lineRule="exact"/>
        <w:rPr>
          <w:sz w:val="20"/>
          <w:szCs w:val="20"/>
          <w:color w:val="auto"/>
        </w:rPr>
      </w:pPr>
    </w:p>
    <w:p>
      <w:pPr>
        <w:jc w:val="both"/>
        <w:ind w:left="1220" w:right="20" w:hanging="538"/>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178">
        <w:r>
          <w:rPr>
            <w:rFonts w:ascii="Arial" w:cs="Arial" w:eastAsia="Arial" w:hAnsi="Arial"/>
            <w:sz w:val="14"/>
            <w:szCs w:val="14"/>
            <w:u w:val="single" w:color="auto"/>
            <w:color w:val="0000FF"/>
          </w:rPr>
          <w:t>Executive Employment Letter dated as of August 9, 2018 between the Registrant and David Clark, incorporated by reference to Exhibit 10.4 to the Registrant’s Quarterly</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Report on Form 10-Q for the quarter ended September 30, 2018 filed on November 9, 2018.</w:t>
        </w:r>
      </w:hyperlink>
    </w:p>
    <w:p>
      <w:pPr>
        <w:spacing w:after="0" w:line="7" w:lineRule="exact"/>
        <w:rPr>
          <w:sz w:val="20"/>
          <w:szCs w:val="20"/>
          <w:color w:val="auto"/>
        </w:rPr>
      </w:pPr>
    </w:p>
    <w:p>
      <w:pPr>
        <w:ind w:left="72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10.19</w:t>
      </w:r>
      <w:r>
        <w:rPr>
          <w:sz w:val="20"/>
          <w:szCs w:val="20"/>
          <w:color w:val="auto"/>
        </w:rPr>
        <w:tab/>
      </w:r>
      <w:hyperlink r:id="rId179">
        <w:r>
          <w:rPr>
            <w:rFonts w:ascii="Arial" w:cs="Arial" w:eastAsia="Arial" w:hAnsi="Arial"/>
            <w:sz w:val="13"/>
            <w:szCs w:val="13"/>
            <w:u w:val="single" w:color="auto"/>
            <w:color w:val="0000FF"/>
          </w:rPr>
          <w:t>2017 New Hire Equity Incentive Plan, incorporated by reference to Exhibit 10.1 to the Registrant’s Current Report on Form 8-K filed on December 21, 2017.</w:t>
        </w:r>
      </w:hyperlink>
    </w:p>
    <w:p>
      <w:pPr>
        <w:spacing w:after="0" w:line="28" w:lineRule="exact"/>
        <w:rPr>
          <w:sz w:val="20"/>
          <w:szCs w:val="20"/>
          <w:color w:val="auto"/>
        </w:rPr>
      </w:pPr>
    </w:p>
    <w:p>
      <w:pPr>
        <w:jc w:val="both"/>
        <w:ind w:left="1220" w:right="20" w:hanging="512"/>
        <w:spacing w:after="0" w:line="236"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180">
        <w:r>
          <w:rPr>
            <w:rFonts w:ascii="Arial" w:cs="Arial" w:eastAsia="Arial" w:hAnsi="Arial"/>
            <w:sz w:val="14"/>
            <w:szCs w:val="14"/>
            <w:u w:val="single" w:color="auto"/>
            <w:color w:val="0000FF"/>
          </w:rPr>
          <w:t>Application Service Provider Agreement retroactively effective as of April 1, 2013 by and between the Registrant and Verizon Sourcing LLC, incorporated by reference to</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Exhibit 10.12 to the Registrant’s Quarterly Report on Form 10-Q for the quarter ended June 30, 2018 filed on August 9, 2018.</w:t>
        </w:r>
      </w:hyperlink>
    </w:p>
    <w:p>
      <w:pPr>
        <w:spacing w:after="0" w:line="7" w:lineRule="exact"/>
        <w:rPr>
          <w:sz w:val="20"/>
          <w:szCs w:val="20"/>
          <w:color w:val="auto"/>
        </w:rPr>
      </w:pPr>
    </w:p>
    <w:p>
      <w:pPr>
        <w:jc w:val="both"/>
        <w:ind w:left="1220" w:hanging="512"/>
        <w:spacing w:after="0" w:line="224"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181">
        <w:r>
          <w:rPr>
            <w:rFonts w:ascii="Arial" w:cs="Arial" w:eastAsia="Arial" w:hAnsi="Arial"/>
            <w:sz w:val="14"/>
            <w:szCs w:val="14"/>
            <w:u w:val="single" w:color="auto"/>
            <w:color w:val="0000FF"/>
          </w:rPr>
          <w:t>Change Request No 8 effective January 1, 2018 to SOW No. 1 Application Service Provider Agreement effective as of April 1, 2013 by and between the Registrant and</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Verizon Sourcing LLC, incorporated by reference to Exhibit 10.13 to the Registrant’s Quarterly Report on Form 10-Q for the quarter ended June 30, 2018 filed on August 9,</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2018.</w:t>
        </w:r>
      </w:hyperlink>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322" w:lineRule="exact"/>
        <w:rPr>
          <w:rFonts w:ascii="Arial" w:cs="Arial" w:eastAsia="Arial" w:hAnsi="Arial"/>
          <w:sz w:val="14"/>
          <w:szCs w:val="14"/>
          <w:u w:val="single" w:color="auto"/>
          <w:color w:val="0000FF"/>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148"/>
        </w:trPr>
        <w:tc>
          <w:tcPr>
            <w:tcW w:w="11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10.22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100" w:type="dxa"/>
            <w:vAlign w:val="bottom"/>
            <w:tcBorders>
              <w:top w:val="single" w:sz="8" w:color="auto"/>
            </w:tcBorders>
            <w:gridSpan w:val="13"/>
          </w:tcPr>
          <w:p>
            <w:pPr>
              <w:spacing w:after="0" w:line="148" w:lineRule="exact"/>
              <w:rPr>
                <w:rFonts w:ascii="Arial" w:cs="Arial" w:eastAsia="Arial" w:hAnsi="Arial"/>
                <w:sz w:val="14"/>
                <w:szCs w:val="14"/>
                <w:color w:val="0000FF"/>
                <w:w w:val="94"/>
              </w:rPr>
            </w:pPr>
            <w:hyperlink r:id="rId183">
              <w:r>
                <w:rPr>
                  <w:rFonts w:ascii="Arial" w:cs="Arial" w:eastAsia="Arial" w:hAnsi="Arial"/>
                  <w:sz w:val="14"/>
                  <w:szCs w:val="14"/>
                  <w:color w:val="0000FF"/>
                  <w:w w:val="94"/>
                </w:rPr>
                <w:t>Credit Agreement dated as of October 4, 2019 among Synchronoss Technologies, Inc. as the Borrower, the Lenders Party hereto, and Citizens Bank, N.A., as Administrative</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6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183">
              <w:r>
                <w:rPr>
                  <w:rFonts w:ascii="Arial" w:cs="Arial" w:eastAsia="Arial" w:hAnsi="Arial"/>
                  <w:sz w:val="13"/>
                  <w:szCs w:val="13"/>
                  <w:color w:val="0000FF"/>
                </w:rPr>
                <w:t>Agent Citizens Bank, N.A as Sole Lead Arranger and Sole Bookrunner, incorporated by reference to Exhibit 10.23 to the Registrant’s Annual Report on Form 10-K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7"/>
              </w:rPr>
            </w:pPr>
            <w:hyperlink r:id="rId183">
              <w:r>
                <w:rPr>
                  <w:rFonts w:ascii="Arial" w:cs="Arial" w:eastAsia="Arial" w:hAnsi="Arial"/>
                  <w:sz w:val="13"/>
                  <w:szCs w:val="13"/>
                  <w:color w:val="0000FF"/>
                  <w:w w:val="97"/>
                </w:rPr>
                <w:t>year ended December 31, 2019.</w:t>
              </w:r>
            </w:hyperlink>
          </w:p>
        </w:tc>
        <w:tc>
          <w:tcPr>
            <w:tcW w:w="8200" w:type="dxa"/>
            <w:vAlign w:val="bottom"/>
            <w:tcBorders>
              <w:top w:val="single" w:sz="8" w:color="0000FF"/>
            </w:tcBorders>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10.23‡</w:t>
            </w:r>
          </w:p>
        </w:tc>
        <w:tc>
          <w:tcPr>
            <w:tcW w:w="20" w:type="dxa"/>
            <w:vAlign w:val="bottom"/>
          </w:tcPr>
          <w:p>
            <w:pPr>
              <w:spacing w:after="0"/>
              <w:rPr>
                <w:sz w:val="14"/>
                <w:szCs w:val="14"/>
                <w:color w:val="auto"/>
              </w:rPr>
            </w:pPr>
          </w:p>
        </w:tc>
        <w:tc>
          <w:tcPr>
            <w:tcW w:w="10100" w:type="dxa"/>
            <w:vAlign w:val="bottom"/>
            <w:gridSpan w:val="13"/>
          </w:tcPr>
          <w:p>
            <w:pPr>
              <w:spacing w:after="0"/>
              <w:rPr>
                <w:rFonts w:ascii="Arial" w:cs="Arial" w:eastAsia="Arial" w:hAnsi="Arial"/>
                <w:sz w:val="14"/>
                <w:szCs w:val="14"/>
                <w:color w:val="0000FF"/>
                <w:w w:val="97"/>
              </w:rPr>
            </w:pPr>
            <w:hyperlink r:id="rId184">
              <w:r>
                <w:rPr>
                  <w:rFonts w:ascii="Arial" w:cs="Arial" w:eastAsia="Arial" w:hAnsi="Arial"/>
                  <w:sz w:val="14"/>
                  <w:szCs w:val="14"/>
                  <w:color w:val="0000FF"/>
                  <w:w w:val="97"/>
                </w:rPr>
                <w:t>Change Request No 12 effective August 7, 2020 to SOW No.1 Application Service Provider Agreement effective as of April 1, 2013 by and between the Registrant and</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Verizon Sourcing LLC., incorporated by reference to Exhibit 10.2 to the Registrant’s Quarterly Report on Form 10-Q for the quarter ended September 30, 2020 filed on</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0000FF"/>
            </w:tcBorders>
          </w:tcPr>
          <w:p>
            <w:pPr>
              <w:spacing w:after="0" w:line="115" w:lineRule="exact"/>
              <w:rPr>
                <w:rFonts w:ascii="Arial" w:cs="Arial" w:eastAsia="Arial" w:hAnsi="Arial"/>
                <w:sz w:val="13"/>
                <w:szCs w:val="13"/>
                <w:color w:val="0000FF"/>
                <w:w w:val="99"/>
              </w:rPr>
            </w:pPr>
            <w:hyperlink r:id="rId184">
              <w:r>
                <w:rPr>
                  <w:rFonts w:ascii="Arial" w:cs="Arial" w:eastAsia="Arial" w:hAnsi="Arial"/>
                  <w:sz w:val="13"/>
                  <w:szCs w:val="13"/>
                  <w:color w:val="0000FF"/>
                  <w:w w:val="99"/>
                </w:rPr>
                <w:t>November 9, 2020.</w:t>
              </w:r>
            </w:hyperlink>
          </w:p>
        </w:tc>
        <w:tc>
          <w:tcPr>
            <w:tcW w:w="896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3"/>
          </w:tcPr>
          <w:p>
            <w:pPr>
              <w:spacing w:after="0"/>
              <w:rPr>
                <w:rFonts w:ascii="Arial" w:cs="Arial" w:eastAsia="Arial" w:hAnsi="Arial"/>
                <w:sz w:val="14"/>
                <w:szCs w:val="14"/>
                <w:color w:val="0000FF"/>
                <w:w w:val="95"/>
              </w:rPr>
            </w:pPr>
            <w:hyperlink r:id="rId185">
              <w:r>
                <w:rPr>
                  <w:rFonts w:ascii="Arial" w:cs="Arial" w:eastAsia="Arial" w:hAnsi="Arial"/>
                  <w:sz w:val="14"/>
                  <w:szCs w:val="14"/>
                  <w:color w:val="0000FF"/>
                  <w:w w:val="95"/>
                </w:rPr>
                <w:t>Synchronoss Technologies, Inc. 2015 Equity Incentive Plan, as amended and restated as of April 4, 2019, incorporated by reference to Registrant’s Registration Statement</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on Form S</w:t>
              </w:r>
              <w:r>
                <w:rPr>
                  <w:rFonts w:ascii="MS PGothic" w:cs="MS PGothic" w:eastAsia="MS PGothic" w:hAnsi="MS PGothic"/>
                  <w:sz w:val="13"/>
                  <w:szCs w:val="13"/>
                  <w:color w:val="0000FF"/>
                </w:rPr>
                <w:t>‑</w:t>
              </w:r>
              <w:r>
                <w:rPr>
                  <w:rFonts w:ascii="Arial" w:cs="Arial" w:eastAsia="Arial" w:hAnsi="Arial"/>
                  <w:sz w:val="13"/>
                  <w:szCs w:val="13"/>
                  <w:color w:val="0000FF"/>
                </w:rPr>
                <w:t>8 (Commission File No. 333-237276) filed March 19, 2020.</w:t>
              </w:r>
            </w:hyperlink>
          </w:p>
        </w:tc>
        <w:tc>
          <w:tcPr>
            <w:tcW w:w="5900" w:type="dxa"/>
            <w:vAlign w:val="bottom"/>
            <w:tcBorders>
              <w:top w:val="single" w:sz="8" w:color="0000FF"/>
            </w:tcBorders>
            <w:gridSpan w:val="4"/>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98"/>
        </w:trPr>
        <w:tc>
          <w:tcPr>
            <w:tcW w:w="11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3"/>
          </w:tcPr>
          <w:p>
            <w:pPr>
              <w:spacing w:after="0"/>
              <w:rPr>
                <w:rFonts w:ascii="Arial" w:cs="Arial" w:eastAsia="Arial" w:hAnsi="Arial"/>
                <w:sz w:val="14"/>
                <w:szCs w:val="14"/>
                <w:u w:val="single" w:color="auto"/>
                <w:color w:val="0000FF"/>
                <w:w w:val="95"/>
              </w:rPr>
            </w:pPr>
            <w:hyperlink r:id="rId186">
              <w:r>
                <w:rPr>
                  <w:rFonts w:ascii="Arial" w:cs="Arial" w:eastAsia="Arial" w:hAnsi="Arial"/>
                  <w:sz w:val="14"/>
                  <w:szCs w:val="14"/>
                  <w:u w:val="single" w:color="auto"/>
                  <w:color w:val="0000FF"/>
                  <w:w w:val="95"/>
                </w:rPr>
                <w:t>List of subsidiaries, incorporated by reference to Exhibit 21.1 to the Registrant’s Annual Report on Form 10-K for the year ended December 31, 2017 filed on July 2, 2018.</w:t>
              </w:r>
            </w:hyperlink>
          </w:p>
        </w:tc>
      </w:tr>
      <w:tr>
        <w:trPr>
          <w:trHeight w:val="189"/>
        </w:trPr>
        <w:tc>
          <w:tcPr>
            <w:tcW w:w="11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3"/>
          </w:tcPr>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Consent of Ernst &amp; Young, LLP, Independent Registered Public Accounting Firm.</w:t>
              </w:r>
            </w:hyperlink>
          </w:p>
        </w:tc>
      </w:tr>
      <w:tr>
        <w:trPr>
          <w:trHeight w:val="189"/>
        </w:trPr>
        <w:tc>
          <w:tcPr>
            <w:tcW w:w="110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3"/>
          </w:tcPr>
          <w:p>
            <w:pPr>
              <w:spacing w:after="0" w:line="161" w:lineRule="exact"/>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Certification of Principal Executive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tc>
      </w:tr>
      <w:tr>
        <w:trPr>
          <w:trHeight w:val="189"/>
        </w:trPr>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3"/>
          </w:tcPr>
          <w:p>
            <w:pPr>
              <w:spacing w:after="0" w:line="161" w:lineRule="exact"/>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Certification of Principal Financial Officer pursuant to Rule 13a</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14(a) of the Exchange Act, as adopted pursuant to section 302 of the Sarbanes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Oxley Act of 2002</w:t>
              </w:r>
            </w:hyperlink>
          </w:p>
        </w:tc>
      </w:tr>
      <w:tr>
        <w:trPr>
          <w:trHeight w:val="160"/>
        </w:trPr>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13"/>
          </w:tcPr>
          <w:p>
            <w:pPr>
              <w:spacing w:after="0" w:line="161" w:lineRule="exact"/>
              <w:rPr>
                <w:rFonts w:ascii="Arial" w:cs="Arial" w:eastAsia="Arial" w:hAnsi="Arial"/>
                <w:sz w:val="14"/>
                <w:szCs w:val="14"/>
                <w:color w:val="0000FF"/>
                <w:w w:val="96"/>
              </w:rPr>
            </w:pPr>
            <w:hyperlink w:anchor="page122">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w:anchor="page122">
              <w:r>
                <w:rPr>
                  <w:rFonts w:ascii="Arial" w:cs="Arial" w:eastAsia="Arial" w:hAnsi="Arial"/>
                  <w:sz w:val="13"/>
                  <w:szCs w:val="13"/>
                  <w:color w:val="0000FF"/>
                </w:rPr>
                <w:t>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w:t>
              </w:r>
            </w:hyperlink>
          </w:p>
        </w:tc>
        <w:tc>
          <w:tcPr>
            <w:tcW w:w="830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3"/>
          </w:tcPr>
          <w:p>
            <w:pPr>
              <w:spacing w:after="0" w:line="161" w:lineRule="exact"/>
              <w:rPr>
                <w:rFonts w:ascii="Arial" w:cs="Arial" w:eastAsia="Arial" w:hAnsi="Arial"/>
                <w:sz w:val="14"/>
                <w:szCs w:val="14"/>
                <w:color w:val="0000FF"/>
                <w:w w:val="96"/>
              </w:rPr>
            </w:pPr>
            <w:hyperlink w:anchor="page123">
              <w:r>
                <w:rPr>
                  <w:rFonts w:ascii="Arial" w:cs="Arial" w:eastAsia="Arial" w:hAnsi="Arial"/>
                  <w:sz w:val="14"/>
                  <w:szCs w:val="14"/>
                  <w:color w:val="0000FF"/>
                  <w:w w:val="96"/>
                </w:rPr>
                <w:t>Certification of Principal Financial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7"/>
          </w:tcPr>
          <w:p>
            <w:pPr>
              <w:spacing w:after="0" w:line="115" w:lineRule="exact"/>
              <w:rPr>
                <w:rFonts w:ascii="Arial" w:cs="Arial" w:eastAsia="Arial" w:hAnsi="Arial"/>
                <w:sz w:val="13"/>
                <w:szCs w:val="13"/>
                <w:color w:val="0000FF"/>
              </w:rPr>
            </w:pPr>
            <w:hyperlink w:anchor="page123">
              <w:r>
                <w:rPr>
                  <w:rFonts w:ascii="Arial" w:cs="Arial" w:eastAsia="Arial" w:hAnsi="Arial"/>
                  <w:sz w:val="13"/>
                  <w:szCs w:val="13"/>
                  <w:color w:val="0000FF"/>
                </w:rPr>
                <w:t>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w:t>
              </w:r>
            </w:hyperlink>
          </w:p>
        </w:tc>
        <w:tc>
          <w:tcPr>
            <w:tcW w:w="120" w:type="dxa"/>
            <w:vAlign w:val="bottom"/>
            <w:gridSpan w:val="6"/>
          </w:tcPr>
          <w:p>
            <w:pPr>
              <w:spacing w:after="0"/>
              <w:rPr>
                <w:sz w:val="10"/>
                <w:szCs w:val="10"/>
                <w:color w:val="auto"/>
              </w:rPr>
            </w:pPr>
          </w:p>
        </w:tc>
      </w:tr>
      <w:tr>
        <w:trPr>
          <w:trHeight w:val="197"/>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7"/>
                <w:szCs w:val="17"/>
                <w:color w:val="auto"/>
              </w:rPr>
            </w:pPr>
          </w:p>
        </w:tc>
        <w:tc>
          <w:tcPr>
            <w:tcW w:w="164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XBRL Instance Document</w:t>
            </w:r>
          </w:p>
        </w:tc>
        <w:tc>
          <w:tcPr>
            <w:tcW w:w="8460" w:type="dxa"/>
            <w:vAlign w:val="bottom"/>
            <w:gridSpan w:val="11"/>
          </w:tcPr>
          <w:p>
            <w:pPr>
              <w:spacing w:after="0"/>
              <w:rPr>
                <w:sz w:val="17"/>
                <w:szCs w:val="17"/>
                <w:color w:val="auto"/>
              </w:rPr>
            </w:pP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color w:val="auto"/>
              </w:rPr>
              <w:t>XBRL Schema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color w:val="auto"/>
              </w:rPr>
              <w:t>XBRL Calculation Linkbase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color w:val="auto"/>
              </w:rPr>
              <w:t>XBRL Labels Linkbase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6"/>
                <w:szCs w:val="16"/>
                <w:color w:val="auto"/>
              </w:rPr>
            </w:pPr>
          </w:p>
        </w:tc>
        <w:tc>
          <w:tcPr>
            <w:tcW w:w="10100" w:type="dxa"/>
            <w:vAlign w:val="bottom"/>
            <w:gridSpan w:val="13"/>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Compensation Arrangement.</w:t>
      </w:r>
    </w:p>
    <w:p>
      <w:pPr>
        <w:spacing w:after="0" w:line="1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Confidential treatment has been granted with respect to certain provisions of this exhibit.</w:t>
      </w:r>
    </w:p>
    <w:p>
      <w:pPr>
        <w:spacing w:after="0" w:line="104" w:lineRule="exact"/>
        <w:rPr>
          <w:sz w:val="20"/>
          <w:szCs w:val="20"/>
          <w:color w:val="auto"/>
        </w:rPr>
      </w:pPr>
    </w:p>
    <w:p>
      <w:pPr>
        <w:jc w:val="both"/>
        <w:ind w:left="340" w:hanging="332"/>
        <w:spacing w:after="0" w:line="373" w:lineRule="auto"/>
        <w:tabs>
          <w:tab w:leader="none" w:pos="43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This certification is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98" w:lineRule="exact"/>
        <w:rPr>
          <w:sz w:val="20"/>
          <w:szCs w:val="20"/>
          <w:color w:val="auto"/>
        </w:rPr>
      </w:pPr>
    </w:p>
    <w:p>
      <w:pPr>
        <w:ind w:left="340" w:right="9680" w:hanging="8"/>
        <w:spacing w:after="0" w:line="638" w:lineRule="auto"/>
        <w:tabs>
          <w:tab w:leader="none" w:pos="658"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Exhibits. See (a)(3) above.</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b w:val="1"/>
                <w:bCs w:val="1"/>
                <w:color w:val="auto"/>
              </w:rPr>
              <w:t>SCHEDULE II—VALUATION AND QUALIFYING ACCOUNTS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December 31, 2020, 2019, 2018</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Beginning</w:t>
            </w:r>
          </w:p>
        </w:tc>
        <w:tc>
          <w:tcPr>
            <w:tcW w:w="300" w:type="dxa"/>
            <w:vAlign w:val="bottom"/>
          </w:tcPr>
          <w:p>
            <w:pPr>
              <w:spacing w:after="0"/>
              <w:rPr>
                <w:sz w:val="24"/>
                <w:szCs w:val="24"/>
                <w:color w:val="auto"/>
              </w:rPr>
            </w:pPr>
          </w:p>
        </w:tc>
        <w:tc>
          <w:tcPr>
            <w:tcW w:w="11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Additions</w:t>
            </w:r>
          </w:p>
        </w:tc>
        <w:tc>
          <w:tcPr>
            <w:tcW w:w="280" w:type="dxa"/>
            <w:vAlign w:val="bottom"/>
          </w:tcPr>
          <w:p>
            <w:pPr>
              <w:spacing w:after="0"/>
              <w:rPr>
                <w:sz w:val="24"/>
                <w:szCs w:val="24"/>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89"/>
              </w:rPr>
              <w:t>Reductions</w:t>
            </w: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w w:val="90"/>
              </w:rPr>
              <w:t>Ending Balance</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Balance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jc w:val="right"/>
              <w:ind w:right="503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(2,218)</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(8,780)</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30"/>
        </w:trPr>
        <w:tc>
          <w:tcPr>
            <w:tcW w:w="5620" w:type="dxa"/>
            <w:vAlign w:val="bottom"/>
          </w:tcPr>
          <w:p>
            <w:pPr>
              <w:jc w:val="right"/>
              <w:ind w:right="5030"/>
              <w:spacing w:after="0"/>
              <w:rPr>
                <w:sz w:val="20"/>
                <w:szCs w:val="20"/>
                <w:color w:val="auto"/>
              </w:rPr>
            </w:pPr>
            <w:r>
              <w:rPr>
                <w:rFonts w:ascii="Arial" w:cs="Arial" w:eastAsia="Arial" w:hAnsi="Arial"/>
                <w:sz w:val="18"/>
                <w:szCs w:val="18"/>
                <w:color w:val="auto"/>
              </w:rPr>
              <w:t>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3,107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13,982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(12,490)</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620"/>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Beginning</w:t>
            </w:r>
          </w:p>
        </w:tc>
        <w:tc>
          <w:tcPr>
            <w:tcW w:w="300" w:type="dxa"/>
            <w:vAlign w:val="bottom"/>
          </w:tcPr>
          <w:p>
            <w:pPr>
              <w:spacing w:after="0"/>
              <w:rPr>
                <w:sz w:val="24"/>
                <w:szCs w:val="24"/>
                <w:color w:val="auto"/>
              </w:rPr>
            </w:pPr>
          </w:p>
        </w:tc>
        <w:tc>
          <w:tcPr>
            <w:tcW w:w="11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Additions</w:t>
            </w:r>
          </w:p>
        </w:tc>
        <w:tc>
          <w:tcPr>
            <w:tcW w:w="280" w:type="dxa"/>
            <w:vAlign w:val="bottom"/>
          </w:tcPr>
          <w:p>
            <w:pPr>
              <w:spacing w:after="0"/>
              <w:rPr>
                <w:sz w:val="24"/>
                <w:szCs w:val="24"/>
                <w:color w:val="auto"/>
              </w:rPr>
            </w:pP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89"/>
              </w:rPr>
              <w:t>Reductions</w:t>
            </w: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w w:val="90"/>
              </w:rPr>
              <w:t>Ending Balance</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Balance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jc w:val="right"/>
              <w:ind w:right="503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73,346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7,402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(5,787)</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74,961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81,064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(11,561)</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73,346</w:t>
            </w:r>
          </w:p>
        </w:tc>
        <w:tc>
          <w:tcPr>
            <w:tcW w:w="0" w:type="dxa"/>
            <w:vAlign w:val="bottom"/>
          </w:tcPr>
          <w:p>
            <w:pPr>
              <w:spacing w:after="0"/>
              <w:rPr>
                <w:sz w:val="1"/>
                <w:szCs w:val="1"/>
                <w:color w:val="auto"/>
              </w:rPr>
            </w:pPr>
          </w:p>
        </w:tc>
      </w:tr>
      <w:tr>
        <w:trPr>
          <w:trHeight w:val="230"/>
        </w:trPr>
        <w:tc>
          <w:tcPr>
            <w:tcW w:w="5620" w:type="dxa"/>
            <w:vAlign w:val="bottom"/>
          </w:tcPr>
          <w:p>
            <w:pPr>
              <w:jc w:val="right"/>
              <w:ind w:right="5030"/>
              <w:spacing w:after="0"/>
              <w:rPr>
                <w:sz w:val="20"/>
                <w:szCs w:val="20"/>
                <w:color w:val="auto"/>
              </w:rPr>
            </w:pPr>
            <w:r>
              <w:rPr>
                <w:rFonts w:ascii="Arial" w:cs="Arial" w:eastAsia="Arial" w:hAnsi="Arial"/>
                <w:sz w:val="18"/>
                <w:szCs w:val="18"/>
                <w:color w:val="auto"/>
              </w:rPr>
              <w:t>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32,523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49,610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8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SYNCHRONOSS TECHNOLOGIES, INC.</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14605</wp:posOffset>
            </wp:positionV>
            <wp:extent cx="2588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Jeff Miller</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(Principal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905"/>
        </w:trPr>
        <w:tc>
          <w:tcPr>
            <w:tcW w:w="2720" w:type="dxa"/>
            <w:vAlign w:val="bottom"/>
          </w:tcPr>
          <w:p>
            <w:pPr>
              <w:ind w:left="60"/>
              <w:spacing w:after="0"/>
              <w:rPr>
                <w:sz w:val="20"/>
                <w:szCs w:val="20"/>
                <w:color w:val="auto"/>
              </w:rPr>
            </w:pPr>
            <w:r>
              <w:rPr>
                <w:rFonts w:ascii="Arial" w:cs="Arial" w:eastAsia="Arial" w:hAnsi="Arial"/>
                <w:sz w:val="18"/>
                <w:szCs w:val="18"/>
                <w:b w:val="1"/>
                <w:bCs w:val="1"/>
                <w:color w:val="auto"/>
              </w:rPr>
              <w:t>Signature</w:t>
            </w:r>
          </w:p>
        </w:tc>
        <w:tc>
          <w:tcPr>
            <w:tcW w:w="4000" w:type="dxa"/>
            <w:vAlign w:val="bottom"/>
          </w:tcPr>
          <w:p>
            <w:pPr>
              <w:ind w:left="1020"/>
              <w:spacing w:after="0"/>
              <w:rPr>
                <w:sz w:val="20"/>
                <w:szCs w:val="20"/>
                <w:color w:val="auto"/>
              </w:rPr>
            </w:pPr>
            <w:r>
              <w:rPr>
                <w:rFonts w:ascii="Arial" w:cs="Arial" w:eastAsia="Arial" w:hAnsi="Arial"/>
                <w:sz w:val="18"/>
                <w:szCs w:val="18"/>
                <w:b w:val="1"/>
                <w:bCs w:val="1"/>
                <w:color w:val="auto"/>
              </w:rPr>
              <w:t>Title</w:t>
            </w:r>
          </w:p>
        </w:tc>
        <w:tc>
          <w:tcPr>
            <w:tcW w:w="1900" w:type="dxa"/>
            <w:vAlign w:val="bottom"/>
          </w:tcPr>
          <w:p>
            <w:pPr>
              <w:ind w:left="760"/>
              <w:spacing w:after="0"/>
              <w:rPr>
                <w:sz w:val="20"/>
                <w:szCs w:val="20"/>
                <w:color w:val="auto"/>
              </w:rPr>
            </w:pPr>
            <w:r>
              <w:rPr>
                <w:rFonts w:ascii="Arial" w:cs="Arial" w:eastAsia="Arial" w:hAnsi="Arial"/>
                <w:sz w:val="18"/>
                <w:szCs w:val="18"/>
                <w:b w:val="1"/>
                <w:bCs w:val="1"/>
                <w:color w:val="auto"/>
              </w:rPr>
              <w:t>Date</w:t>
            </w: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Jeff Miller</w:t>
            </w:r>
          </w:p>
        </w:tc>
        <w:tc>
          <w:tcPr>
            <w:tcW w:w="4000" w:type="dxa"/>
            <w:vAlign w:val="bottom"/>
          </w:tcPr>
          <w:p>
            <w:pPr>
              <w:ind w:left="1020"/>
              <w:spacing w:after="0"/>
              <w:rPr>
                <w:sz w:val="20"/>
                <w:szCs w:val="20"/>
                <w:color w:val="auto"/>
              </w:rPr>
            </w:pPr>
            <w:r>
              <w:rPr>
                <w:rFonts w:ascii="Arial" w:cs="Arial" w:eastAsia="Arial" w:hAnsi="Arial"/>
                <w:sz w:val="18"/>
                <w:szCs w:val="18"/>
                <w:color w:val="auto"/>
              </w:rPr>
              <w:t>Chief Executive Officer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Jeff Miller</w:t>
            </w:r>
          </w:p>
        </w:tc>
        <w:tc>
          <w:tcPr>
            <w:tcW w:w="4000" w:type="dxa"/>
            <w:vAlign w:val="bottom"/>
          </w:tcPr>
          <w:p>
            <w:pPr>
              <w:ind w:left="1020"/>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David Clark</w:t>
            </w:r>
          </w:p>
        </w:tc>
        <w:tc>
          <w:tcPr>
            <w:tcW w:w="4000" w:type="dxa"/>
            <w:vAlign w:val="bottom"/>
          </w:tcPr>
          <w:p>
            <w:pPr>
              <w:ind w:left="102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176"/>
        </w:trPr>
        <w:tc>
          <w:tcPr>
            <w:tcW w:w="2720" w:type="dxa"/>
            <w:vAlign w:val="bottom"/>
          </w:tcPr>
          <w:p>
            <w:pPr>
              <w:ind w:left="60"/>
              <w:spacing w:after="0" w:line="176" w:lineRule="exact"/>
              <w:rPr>
                <w:sz w:val="20"/>
                <w:szCs w:val="20"/>
                <w:color w:val="auto"/>
              </w:rPr>
            </w:pPr>
            <w:r>
              <w:rPr>
                <w:rFonts w:ascii="Arial" w:cs="Arial" w:eastAsia="Arial" w:hAnsi="Arial"/>
                <w:sz w:val="18"/>
                <w:szCs w:val="18"/>
                <w:color w:val="auto"/>
              </w:rPr>
              <w:t>David Clark</w:t>
            </w:r>
          </w:p>
        </w:tc>
        <w:tc>
          <w:tcPr>
            <w:tcW w:w="4000" w:type="dxa"/>
            <w:vAlign w:val="bottom"/>
          </w:tcPr>
          <w:p>
            <w:pPr>
              <w:ind w:left="1020"/>
              <w:spacing w:after="0" w:line="176" w:lineRule="exact"/>
              <w:rPr>
                <w:sz w:val="20"/>
                <w:szCs w:val="20"/>
                <w:color w:val="auto"/>
              </w:rPr>
            </w:pPr>
            <w:r>
              <w:rPr>
                <w:rFonts w:ascii="Arial" w:cs="Arial" w:eastAsia="Arial" w:hAnsi="Arial"/>
                <w:sz w:val="18"/>
                <w:szCs w:val="18"/>
                <w:color w:val="auto"/>
              </w:rPr>
              <w:t>(Principal Financial Officer)</w:t>
            </w:r>
          </w:p>
        </w:tc>
        <w:tc>
          <w:tcPr>
            <w:tcW w:w="1900" w:type="dxa"/>
            <w:vAlign w:val="bottom"/>
          </w:tcPr>
          <w:p>
            <w:pPr>
              <w:spacing w:after="0"/>
              <w:rPr>
                <w:sz w:val="15"/>
                <w:szCs w:val="15"/>
                <w:color w:val="auto"/>
              </w:rPr>
            </w:pPr>
          </w:p>
        </w:tc>
      </w:tr>
      <w:tr>
        <w:trPr>
          <w:trHeight w:val="230"/>
        </w:trPr>
        <w:tc>
          <w:tcPr>
            <w:tcW w:w="2720" w:type="dxa"/>
            <w:vAlign w:val="bottom"/>
          </w:tcPr>
          <w:p>
            <w:pPr>
              <w:spacing w:after="0"/>
              <w:rPr>
                <w:sz w:val="20"/>
                <w:szCs w:val="20"/>
                <w:color w:val="auto"/>
              </w:rPr>
            </w:pPr>
          </w:p>
        </w:tc>
        <w:tc>
          <w:tcPr>
            <w:tcW w:w="4000" w:type="dxa"/>
            <w:vAlign w:val="bottom"/>
          </w:tcPr>
          <w:p>
            <w:pPr>
              <w:ind w:left="1020"/>
              <w:spacing w:after="0"/>
              <w:rPr>
                <w:sz w:val="20"/>
                <w:szCs w:val="20"/>
                <w:color w:val="auto"/>
              </w:rPr>
            </w:pPr>
            <w:r>
              <w:rPr>
                <w:rFonts w:ascii="Arial" w:cs="Arial" w:eastAsia="Arial" w:hAnsi="Arial"/>
                <w:sz w:val="18"/>
                <w:szCs w:val="18"/>
                <w:color w:val="auto"/>
              </w:rPr>
              <w:t>(Principal Accounting Officer)</w:t>
            </w:r>
          </w:p>
        </w:tc>
        <w:tc>
          <w:tcPr>
            <w:tcW w:w="1900" w:type="dxa"/>
            <w:vAlign w:val="bottom"/>
          </w:tcPr>
          <w:p>
            <w:pPr>
              <w:spacing w:after="0"/>
              <w:rPr>
                <w:sz w:val="20"/>
                <w:szCs w:val="20"/>
                <w:color w:val="auto"/>
              </w:rPr>
            </w:pPr>
          </w:p>
        </w:tc>
      </w:tr>
      <w:tr>
        <w:trPr>
          <w:trHeight w:val="498"/>
        </w:trPr>
        <w:tc>
          <w:tcPr>
            <w:tcW w:w="2720" w:type="dxa"/>
            <w:vAlign w:val="bottom"/>
          </w:tcPr>
          <w:p>
            <w:pPr>
              <w:ind w:left="60"/>
              <w:spacing w:after="0"/>
              <w:rPr>
                <w:sz w:val="20"/>
                <w:szCs w:val="20"/>
                <w:color w:val="auto"/>
              </w:rPr>
            </w:pPr>
            <w:r>
              <w:rPr>
                <w:rFonts w:ascii="Arial" w:cs="Arial" w:eastAsia="Arial" w:hAnsi="Arial"/>
                <w:sz w:val="18"/>
                <w:szCs w:val="18"/>
                <w:color w:val="auto"/>
              </w:rPr>
              <w:t>/s/ Stephen Waldis</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Stephen Waldis</w:t>
            </w:r>
          </w:p>
        </w:tc>
        <w:tc>
          <w:tcPr>
            <w:tcW w:w="4000" w:type="dxa"/>
            <w:vAlign w:val="bottom"/>
          </w:tcPr>
          <w:p>
            <w:pPr>
              <w:ind w:left="1020"/>
              <w:spacing w:after="0"/>
              <w:rPr>
                <w:sz w:val="20"/>
                <w:szCs w:val="20"/>
                <w:color w:val="auto"/>
              </w:rPr>
            </w:pPr>
            <w:r>
              <w:rPr>
                <w:rFonts w:ascii="Arial" w:cs="Arial" w:eastAsia="Arial" w:hAnsi="Arial"/>
                <w:sz w:val="18"/>
                <w:szCs w:val="18"/>
                <w:color w:val="auto"/>
              </w:rPr>
              <w:t>Executive Chairman</w:t>
            </w: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Laurie L. Harris</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Laurie L. Harris</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Kristin S. Rinne</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Kristin S. Rinne</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Mohan Gyani</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Mohan Gyani</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Robert Aqualina</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Robert Aqualina</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Frank Baker</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Frank Baker</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Peter Berger</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Peter Berger</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William J. Cadogan</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William J. Cadogan</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99"/>
        </w:trPr>
        <w:tc>
          <w:tcPr>
            <w:tcW w:w="2720" w:type="dxa"/>
            <w:vAlign w:val="bottom"/>
          </w:tcPr>
          <w:p>
            <w:pPr>
              <w:ind w:left="60"/>
              <w:spacing w:after="0"/>
              <w:rPr>
                <w:sz w:val="20"/>
                <w:szCs w:val="20"/>
                <w:color w:val="auto"/>
              </w:rPr>
            </w:pPr>
            <w:r>
              <w:rPr>
                <w:rFonts w:ascii="Arial" w:cs="Arial" w:eastAsia="Arial" w:hAnsi="Arial"/>
                <w:sz w:val="18"/>
                <w:szCs w:val="18"/>
                <w:color w:val="auto"/>
              </w:rPr>
              <w:t>/s/ Thomas J. Hopkins</w:t>
            </w:r>
          </w:p>
        </w:tc>
        <w:tc>
          <w:tcPr>
            <w:tcW w:w="4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60"/>
              <w:spacing w:after="0"/>
              <w:rPr>
                <w:sz w:val="20"/>
                <w:szCs w:val="20"/>
                <w:color w:val="auto"/>
              </w:rPr>
            </w:pPr>
            <w:r>
              <w:rPr>
                <w:rFonts w:ascii="Arial" w:cs="Arial" w:eastAsia="Arial" w:hAnsi="Arial"/>
                <w:sz w:val="18"/>
                <w:szCs w:val="18"/>
                <w:color w:val="auto"/>
                <w:w w:val="89"/>
              </w:rPr>
              <w:t>March 15, 2021</w:t>
            </w:r>
          </w:p>
        </w:tc>
      </w:tr>
      <w:tr>
        <w:trPr>
          <w:trHeight w:val="230"/>
        </w:trPr>
        <w:tc>
          <w:tcPr>
            <w:tcW w:w="2720" w:type="dxa"/>
            <w:vAlign w:val="bottom"/>
          </w:tcPr>
          <w:p>
            <w:pPr>
              <w:ind w:left="60"/>
              <w:spacing w:after="0"/>
              <w:rPr>
                <w:sz w:val="20"/>
                <w:szCs w:val="20"/>
                <w:color w:val="auto"/>
              </w:rPr>
            </w:pPr>
            <w:r>
              <w:rPr>
                <w:rFonts w:ascii="Arial" w:cs="Arial" w:eastAsia="Arial" w:hAnsi="Arial"/>
                <w:sz w:val="18"/>
                <w:szCs w:val="18"/>
                <w:color w:val="auto"/>
              </w:rPr>
              <w:t>Thomas J. Hopkins</w:t>
            </w: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139"/>
          </w:cols>
          <w:pgMar w:left="320" w:top="125"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83" w:lineRule="exact"/>
        <w:rPr>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333-136088) pertaining to the 2006 Equity Incentive Plan of Synchronoss Technologies, Inc.,</w:t>
      </w:r>
    </w:p>
    <w:p>
      <w:pPr>
        <w:spacing w:after="0" w:line="1" w:lineRule="exact"/>
        <w:rPr>
          <w:rFonts w:ascii="Arial" w:cs="Arial" w:eastAsia="Arial" w:hAnsi="Arial"/>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333-167000) pertaining to the 2006 Equity Incentive Plan of Synchronoss Technologies, Inc.,</w:t>
      </w:r>
    </w:p>
    <w:p>
      <w:pPr>
        <w:spacing w:after="0" w:line="1" w:lineRule="exact"/>
        <w:rPr>
          <w:rFonts w:ascii="Arial" w:cs="Arial" w:eastAsia="Arial" w:hAnsi="Arial"/>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333-168745) pertaining to the 2010 New Hire Equity Incentive Plan of Synchronoss Technologies, Inc.,</w:t>
      </w:r>
    </w:p>
    <w:p>
      <w:pPr>
        <w:spacing w:after="0" w:line="1" w:lineRule="exact"/>
        <w:rPr>
          <w:rFonts w:ascii="Arial" w:cs="Arial" w:eastAsia="Arial" w:hAnsi="Arial"/>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333-179544) pertaining to the Employee Stock Purchase Plan of Synchronoss Technologies, Inc.,</w:t>
      </w:r>
    </w:p>
    <w:p>
      <w:pPr>
        <w:spacing w:after="0" w:line="1" w:lineRule="exact"/>
        <w:rPr>
          <w:rFonts w:ascii="Arial" w:cs="Arial" w:eastAsia="Arial" w:hAnsi="Arial"/>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333-188939) pertaining to the 2006 Equity Incentive Plan of Synchronoss Technologies, Inc.,</w:t>
      </w:r>
    </w:p>
    <w:p>
      <w:pPr>
        <w:spacing w:after="0" w:line="1" w:lineRule="exact"/>
        <w:rPr>
          <w:rFonts w:ascii="Arial" w:cs="Arial" w:eastAsia="Arial" w:hAnsi="Arial"/>
          <w:sz w:val="20"/>
          <w:szCs w:val="20"/>
          <w:color w:val="auto"/>
        </w:rPr>
      </w:pPr>
    </w:p>
    <w:p>
      <w:pPr>
        <w:ind w:left="900" w:hanging="487"/>
        <w:spacing w:after="0" w:line="281" w:lineRule="auto"/>
        <w:tabs>
          <w:tab w:leader="none" w:pos="888"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S-8 No. 333-204311) pertaining to the 2015 Equity Incentive Plan of Synchronoss Technologies, Inc.,</w:t>
      </w:r>
    </w:p>
    <w:p>
      <w:pPr>
        <w:spacing w:after="0" w:line="1" w:lineRule="exact"/>
        <w:rPr>
          <w:rFonts w:ascii="Arial" w:cs="Arial" w:eastAsia="Arial" w:hAnsi="Arial"/>
          <w:sz w:val="20"/>
          <w:szCs w:val="20"/>
          <w:color w:val="auto"/>
        </w:rPr>
      </w:pPr>
    </w:p>
    <w:p>
      <w:pPr>
        <w:ind w:left="880" w:hanging="467"/>
        <w:spacing w:after="0"/>
        <w:tabs>
          <w:tab w:leader="none" w:pos="8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Registration Statement (Form S-3 No. 333-248133) of Synchronoss Technologies, Inc., and</w:t>
      </w:r>
    </w:p>
    <w:p>
      <w:pPr>
        <w:spacing w:after="0" w:line="40" w:lineRule="exact"/>
        <w:rPr>
          <w:rFonts w:ascii="Arial" w:cs="Arial" w:eastAsia="Arial" w:hAnsi="Arial"/>
          <w:sz w:val="20"/>
          <w:szCs w:val="20"/>
          <w:color w:val="auto"/>
        </w:rPr>
      </w:pPr>
    </w:p>
    <w:p>
      <w:pPr>
        <w:ind w:left="900" w:hanging="487"/>
        <w:spacing w:after="0" w:line="363" w:lineRule="auto"/>
        <w:tabs>
          <w:tab w:leader="none" w:pos="8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333-230539) pertaining to the Synchronoss Technologies, Inc. 2017 New Hire Equity Incentive Plan, Glenn Lurie Inducement Awards and Synchronoss Technologies, Inc. Employee Stock Purchase Plan;</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of our reports dated March 15, 2021, with respect to the consolidated financial statements of Synchronoss Technologies, Inc. and the effectiveness of internal control over financial reporting of Synchronoss Technologies, Inc. included in this Annual Report (Form 10-K) of Synchronoss Technologies, Inc.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rPr>
          <w:sz w:val="20"/>
          <w:szCs w:val="20"/>
          <w:color w:val="auto"/>
        </w:rPr>
      </w:pPr>
      <w:r>
        <w:rPr>
          <w:rFonts w:ascii="Arial" w:cs="Arial" w:eastAsia="Arial" w:hAnsi="Arial"/>
          <w:sz w:val="20"/>
          <w:szCs w:val="20"/>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9"/>
          <w:szCs w:val="9"/>
          <w:color w:val="808080"/>
        </w:rPr>
        <w:t>A member firm of Ernst &amp; Young Global Limited</w:t>
      </w:r>
    </w:p>
    <w:p>
      <w:pPr>
        <w:sectPr>
          <w:pgSz w:w="11900" w:h="16838" w:orient="portrait"/>
          <w:cols w:equalWidth="0" w:num="1">
            <w:col w:w="11240"/>
          </w:cols>
          <w:pgMar w:left="320" w:top="61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Jeff Miller</w:t>
      </w:r>
      <w:r>
        <w:rPr>
          <w:rFonts w:ascii="Arial" w:cs="Arial" w:eastAsia="Arial" w:hAnsi="Arial"/>
          <w:sz w:val="18"/>
          <w:szCs w:val="18"/>
          <w:color w:val="auto"/>
        </w:rPr>
        <w:t>, certify that:</w:t>
      </w:r>
    </w:p>
    <w:p>
      <w:pPr>
        <w:spacing w:after="0" w:line="229"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31750</wp:posOffset>
            </wp:positionV>
            <wp:extent cx="30346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Jeff Miller</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31750</wp:posOffset>
            </wp:positionV>
            <wp:extent cx="2674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David Clark</w:t>
      </w:r>
    </w:p>
    <w:p>
      <w:pPr>
        <w:spacing w:after="0" w:line="7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connection with the Annual Report on Form 10-K of Synchronoss Technologies, Inc. (the “Company”) for the year ended December 31, 2020,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30518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Jeff Miller</w:t>
      </w:r>
    </w:p>
    <w:p>
      <w:pPr>
        <w:spacing w:after="0" w:line="7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Chief Executive Officer</w:t>
      </w: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Synchronoss Technologies, Inc. (the “Company”) for the year ended December 31, 2020,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31750</wp:posOffset>
            </wp:positionV>
            <wp:extent cx="2588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David Clark</w:t>
      </w:r>
    </w:p>
    <w:p>
      <w:pPr>
        <w:spacing w:after="0" w:line="7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Chief Financial Officer</w:t>
      </w: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lvl w:ilvl="1">
      <w:lvlJc w:val="left"/>
      <w:lvlText w:val="\endash "/>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24"/>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76" Type="http://schemas.openxmlformats.org/officeDocument/2006/relationships/image" Target="media/image139.png"/><Relationship Id="rId182"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44" Type="http://schemas.openxmlformats.org/officeDocument/2006/relationships/hyperlink" Target="http://www.sec.gov/Archives/edgar/data/1131554/000095012306005985/y15440a2exv3w2.txt" TargetMode="External"/><Relationship Id="rId145" Type="http://schemas.openxmlformats.org/officeDocument/2006/relationships/hyperlink" Target="http://www.sec.gov/Archives/edgar/data/1131554/000095012306005985/y15440a2exv3w4.txt" TargetMode="External"/><Relationship Id="rId146" Type="http://schemas.openxmlformats.org/officeDocument/2006/relationships/hyperlink" Target="http://www.sec.gov/Archives/edgar/data/1131554/000110465918010721/a18-6289_1ex3d2.htm" TargetMode="External"/><Relationship Id="rId147" Type="http://schemas.openxmlformats.org/officeDocument/2006/relationships/hyperlink" Target="http://www.sec.gov/Archives/edgar/data/1131554/000110465918010721/a18-6289_1ex3d1.htm" TargetMode="External"/><Relationship Id="rId148" Type="http://schemas.openxmlformats.org/officeDocument/2006/relationships/hyperlink" Target="http://www.sec.gov/Archives/edgar/data/1131554/000095012306002345/y15440exv3w1.txt" TargetMode="External"/><Relationship Id="rId149" Type="http://schemas.openxmlformats.org/officeDocument/2006/relationships/hyperlink" Target="http://www.sec.gov/Archives/edgar/data/1131554/000095012306002345/y15440exv4w3.txt" TargetMode="External"/><Relationship Id="rId150" Type="http://schemas.openxmlformats.org/officeDocument/2006/relationships/hyperlink" Target="http://www.sec.gov/Archives/edgar/data/1131554/000095012306002345/y15440exv4w4.txt" TargetMode="External"/><Relationship Id="rId151" Type="http://schemas.openxmlformats.org/officeDocument/2006/relationships/hyperlink" Target="http://www.sec.gov/Archives/edgar/data/1131554/000095012306002345/y15440exv4w5.txt" TargetMode="External"/><Relationship Id="rId152" Type="http://schemas.openxmlformats.org/officeDocument/2006/relationships/hyperlink" Target="http://www.sec.gov/Archives/edgar/data/1131554/000095012306002345/y15440exv4w6.txt" TargetMode="External"/><Relationship Id="rId153" Type="http://schemas.openxmlformats.org/officeDocument/2006/relationships/hyperlink" Target="http://www.sec.gov/Archives/edgar/data/1131554/000095012306007587/y15440a4exv4w2.htm" TargetMode="External"/><Relationship Id="rId154" Type="http://schemas.openxmlformats.org/officeDocument/2006/relationships/hyperlink" Target="http://www.sec.gov/Archives/edgar/data/1131554/000104746914006661/a2221016zex-4_8.htm" TargetMode="External"/><Relationship Id="rId157" Type="http://schemas.openxmlformats.org/officeDocument/2006/relationships/hyperlink" Target="http://www.sec.gov/Archives/edgar/data/1131554/000110465918010721/a18-6289_1ex4d1.htm" TargetMode="External"/><Relationship Id="rId158" Type="http://schemas.openxmlformats.org/officeDocument/2006/relationships/hyperlink" Target="https://www.sec.gov/Archives/edgar/data/1131554/000113155420000025/sncr-123119ex49.htm" TargetMode="External"/><Relationship Id="rId159" Type="http://schemas.openxmlformats.org/officeDocument/2006/relationships/hyperlink" Target="http://www.sec.gov/Archives/edgar/data/1131554/000095012306005985/y15440a2exv10w1.txt" TargetMode="External"/><Relationship Id="rId160" Type="http://schemas.openxmlformats.org/officeDocument/2006/relationships/hyperlink" Target="http://www.sec.gov/Archives/edgar/data/1131554/000095012306002345/y15440exv10w2.txt" TargetMode="External"/><Relationship Id="rId161" Type="http://schemas.openxmlformats.org/officeDocument/2006/relationships/hyperlink" Target="http://www.sec.gov/Archives/edgar/data/1131554/000095012306005985/y15440a2exv10w3.txt" TargetMode="External"/><Relationship Id="rId162" Type="http://schemas.openxmlformats.org/officeDocument/2006/relationships/hyperlink" Target="http://www.sec.gov/Archives/edgar/data/1131554/000095012310033268/w77948def14a.htm" TargetMode="External"/><Relationship Id="rId163" Type="http://schemas.openxmlformats.org/officeDocument/2006/relationships/hyperlink" Target="http://www.sec.gov/Archives/edgar/data/1131554/000095012310076039/c04665exv10w4a.htm" TargetMode="External"/><Relationship Id="rId164" Type="http://schemas.openxmlformats.org/officeDocument/2006/relationships/hyperlink" Target="http://www.sec.gov/Archives/edgar/data/1131554/000155837015000957/sncr-20150519ex991458f9f.htm" TargetMode="External"/><Relationship Id="rId165" Type="http://schemas.openxmlformats.org/officeDocument/2006/relationships/hyperlink" Target="http://www.sec.gov/Archives/edgar/data/1131554/000104746912001638/a2207384zex-10_5.htm" TargetMode="External"/><Relationship Id="rId166" Type="http://schemas.openxmlformats.org/officeDocument/2006/relationships/hyperlink" Target="http://www.sec.gov/Archives/edgar/data/1131554/000104746912001638/a2207384zex-10_10.htm" TargetMode="External"/><Relationship Id="rId167" Type="http://schemas.openxmlformats.org/officeDocument/2006/relationships/hyperlink" Target="http://www.sec.gov/Archives/edgar/data/1131554/000095012306004687/y15440a1exv10w10.txt" TargetMode="External"/><Relationship Id="rId168" Type="http://schemas.openxmlformats.org/officeDocument/2006/relationships/hyperlink" Target="http://www.sec.gov/Archives/edgar/data/1131554/000110465913081193/a13-19478_1ex10d9d1.htm" TargetMode="External"/><Relationship Id="rId169" Type="http://schemas.openxmlformats.org/officeDocument/2006/relationships/hyperlink" Target="http://www.sec.gov/Archives/edgar/data/1131554/000113155416000033/sncr-20151231ex1091e4f3b.htm" TargetMode="External"/><Relationship Id="rId170" Type="http://schemas.openxmlformats.org/officeDocument/2006/relationships/hyperlink" Target="http://www.sec.gov/Archives/edgar/data/1131554/000113155416000033/sncr-20151231ex1092ff2ca.htm" TargetMode="External"/><Relationship Id="rId171" Type="http://schemas.openxmlformats.org/officeDocument/2006/relationships/hyperlink" Target="http://www.sec.gov/Archives/edgar/data/1131554/000113155416000033/sncr-20151231ex1093e2081.htm" TargetMode="External"/><Relationship Id="rId172" Type="http://schemas.openxmlformats.org/officeDocument/2006/relationships/hyperlink" Target="http://www.sec.gov/Archives/edgar/data/1131554/000113155416000033/sncr-20151231ex109512fbd.htm" TargetMode="External"/><Relationship Id="rId173" Type="http://schemas.openxmlformats.org/officeDocument/2006/relationships/hyperlink" Target="http://www.sec.gov/Archives/edgar/data/1131554/000113155416000033/sncr-20151231ex109472495.htm" TargetMode="External"/><Relationship Id="rId174" Type="http://schemas.openxmlformats.org/officeDocument/2006/relationships/hyperlink" Target="http://www.sec.gov/Archives/edgar/data/1131554/000113155416000033/sncr-20151231ex1097062e5.htm" TargetMode="External"/><Relationship Id="rId175" Type="http://schemas.openxmlformats.org/officeDocument/2006/relationships/hyperlink" Target="http://www.sec.gov/Archives/edgar/data/1131554/000113155418000060/sncr-063018ex104.htm" TargetMode="External"/><Relationship Id="rId177" Type="http://schemas.openxmlformats.org/officeDocument/2006/relationships/hyperlink" Target="http://www.sec.gov/Archives/edgar/data/1131554/000113155418000060/sncr-063018ex105.htm" TargetMode="External"/><Relationship Id="rId178" Type="http://schemas.openxmlformats.org/officeDocument/2006/relationships/hyperlink" Target="http://www.sec.gov/Archives/edgar/data/1131554/000113155418000083/sncr-093018ex104.htm" TargetMode="External"/><Relationship Id="rId179" Type="http://schemas.openxmlformats.org/officeDocument/2006/relationships/hyperlink" Target="http://www.sec.gov/Archives/edgar/data/1131554/000110465917074626/a17-28588_1ex10d1.htm" TargetMode="External"/><Relationship Id="rId180" Type="http://schemas.openxmlformats.org/officeDocument/2006/relationships/hyperlink" Target="http://www.sec.gov/Archives/edgar/data/1131554/000113155418000049/sncr123117ex1024a.htm" TargetMode="External"/><Relationship Id="rId181" Type="http://schemas.openxmlformats.org/officeDocument/2006/relationships/hyperlink" Target="http://www.sec.gov/Archives/edgar/data/1131554/000113155418000049/sncr123117ex1025a.htm" TargetMode="External"/><Relationship Id="rId183" Type="http://schemas.openxmlformats.org/officeDocument/2006/relationships/hyperlink" Target="https://www.sec.gov/Archives/edgar/data/1131554/000113155420000025/sncr-123119ex10232019credi.htm" TargetMode="External"/><Relationship Id="rId184" Type="http://schemas.openxmlformats.org/officeDocument/2006/relationships/hyperlink" Target="https://www.sec.gov/Archives/edgar/data/1131554/000113155420000088/verizonexhibit.htm" TargetMode="External"/><Relationship Id="rId185" Type="http://schemas.openxmlformats.org/officeDocument/2006/relationships/hyperlink" Target="https://www.sec.gov/Archives/edgar/data/1131554/000113155420000028/exhibit101.htm" TargetMode="External"/><Relationship Id="rId186" Type="http://schemas.openxmlformats.org/officeDocument/2006/relationships/hyperlink" Target="http://www.sec.gov/Archives/edgar/data/1131554/000113155418000049/sncr-123117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2021-03-16T05:30:50Z</dcterms:created>
  <dcterms:modified xsi:type="dcterms:W3CDTF">2021-03-16T05:30:50Z</dcterms:modified>
</cp:coreProperties>
</file>