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560070</wp:posOffset>
            </wp:positionV>
            <wp:extent cx="71177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UNITED STATES</w:t>
      </w:r>
    </w:p>
    <w:p>
      <w:pPr>
        <w:spacing w:after="0" w:line="24"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6" w:lineRule="exact"/>
        <w:rPr>
          <w:sz w:val="24"/>
          <w:szCs w:val="24"/>
          <w:color w:val="auto"/>
        </w:rPr>
      </w:pPr>
    </w:p>
    <w:p>
      <w:pPr>
        <w:ind w:left="1000" w:hanging="575"/>
        <w:spacing w:after="0"/>
        <w:tabs>
          <w:tab w:leader="none" w:pos="10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1020" w:hanging="582"/>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to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001-40574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40" w:type="dxa"/>
            <w:vAlign w:val="bottom"/>
          </w:tcPr>
          <w:p>
            <w:pPr>
              <w:jc w:val="center"/>
              <w:ind w:left="980"/>
              <w:spacing w:after="0"/>
              <w:rPr>
                <w:sz w:val="20"/>
                <w:szCs w:val="20"/>
                <w:color w:val="auto"/>
              </w:rPr>
            </w:pPr>
            <w:r>
              <w:rPr>
                <w:rFonts w:ascii="Arial" w:cs="Arial" w:eastAsia="Arial" w:hAnsi="Arial"/>
                <w:sz w:val="16"/>
                <w:szCs w:val="16"/>
                <w:b w:val="1"/>
                <w:bCs w:val="1"/>
                <w:color w:val="auto"/>
                <w:w w:val="91"/>
              </w:rPr>
              <w:t>Delaware</w:t>
            </w:r>
          </w:p>
        </w:tc>
        <w:tc>
          <w:tcPr>
            <w:tcW w:w="2860" w:type="dxa"/>
            <w:vAlign w:val="bottom"/>
          </w:tcPr>
          <w:p>
            <w:pPr>
              <w:spacing w:after="0"/>
              <w:rPr>
                <w:sz w:val="18"/>
                <w:szCs w:val="18"/>
                <w:color w:val="auto"/>
              </w:rPr>
            </w:pPr>
          </w:p>
        </w:tc>
        <w:tc>
          <w:tcPr>
            <w:tcW w:w="3820" w:type="dxa"/>
            <w:vAlign w:val="bottom"/>
          </w:tcPr>
          <w:p>
            <w:pPr>
              <w:jc w:val="right"/>
              <w:ind w:right="2360"/>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8"/>
        </w:trPr>
        <w:tc>
          <w:tcPr>
            <w:tcW w:w="4540" w:type="dxa"/>
            <w:vAlign w:val="bottom"/>
          </w:tcPr>
          <w:p>
            <w:pPr>
              <w:jc w:val="center"/>
              <w:ind w:left="1000"/>
              <w:spacing w:after="0" w:line="168" w:lineRule="exact"/>
              <w:rPr>
                <w:sz w:val="20"/>
                <w:szCs w:val="20"/>
                <w:color w:val="auto"/>
              </w:rPr>
            </w:pPr>
            <w:r>
              <w:rPr>
                <w:rFonts w:ascii="Arial" w:cs="Arial" w:eastAsia="Arial" w:hAnsi="Arial"/>
                <w:sz w:val="16"/>
                <w:szCs w:val="16"/>
                <w:color w:val="auto"/>
                <w:w w:val="92"/>
              </w:rPr>
              <w:t>(State or other jurisdiction of</w:t>
            </w:r>
          </w:p>
        </w:tc>
        <w:tc>
          <w:tcPr>
            <w:tcW w:w="2860" w:type="dxa"/>
            <w:vAlign w:val="bottom"/>
          </w:tcPr>
          <w:p>
            <w:pPr>
              <w:spacing w:after="0"/>
              <w:rPr>
                <w:sz w:val="14"/>
                <w:szCs w:val="14"/>
                <w:color w:val="auto"/>
              </w:rPr>
            </w:pPr>
          </w:p>
        </w:tc>
        <w:tc>
          <w:tcPr>
            <w:tcW w:w="3820" w:type="dxa"/>
            <w:vAlign w:val="bottom"/>
          </w:tcPr>
          <w:p>
            <w:pPr>
              <w:jc w:val="center"/>
              <w:ind w:right="1740"/>
              <w:spacing w:after="0" w:line="168" w:lineRule="exact"/>
              <w:rPr>
                <w:sz w:val="20"/>
                <w:szCs w:val="20"/>
                <w:color w:val="auto"/>
              </w:rPr>
            </w:pPr>
            <w:r>
              <w:rPr>
                <w:rFonts w:ascii="Arial" w:cs="Arial" w:eastAsia="Arial" w:hAnsi="Arial"/>
                <w:sz w:val="16"/>
                <w:szCs w:val="16"/>
                <w:color w:val="auto"/>
                <w:w w:val="91"/>
              </w:rPr>
              <w:t>(I.R.S. Employer</w:t>
            </w:r>
          </w:p>
        </w:tc>
        <w:tc>
          <w:tcPr>
            <w:tcW w:w="0" w:type="dxa"/>
            <w:vAlign w:val="bottom"/>
          </w:tcPr>
          <w:p>
            <w:pPr>
              <w:spacing w:after="0"/>
              <w:rPr>
                <w:sz w:val="1"/>
                <w:szCs w:val="1"/>
                <w:color w:val="auto"/>
              </w:rPr>
            </w:pPr>
          </w:p>
        </w:tc>
      </w:tr>
      <w:tr>
        <w:trPr>
          <w:trHeight w:val="204"/>
        </w:trPr>
        <w:tc>
          <w:tcPr>
            <w:tcW w:w="4540" w:type="dxa"/>
            <w:vAlign w:val="bottom"/>
          </w:tcPr>
          <w:p>
            <w:pPr>
              <w:jc w:val="center"/>
              <w:ind w:left="980"/>
              <w:spacing w:after="0"/>
              <w:rPr>
                <w:sz w:val="20"/>
                <w:szCs w:val="20"/>
                <w:color w:val="auto"/>
              </w:rPr>
            </w:pPr>
            <w:r>
              <w:rPr>
                <w:rFonts w:ascii="Arial" w:cs="Arial" w:eastAsia="Arial" w:hAnsi="Arial"/>
                <w:sz w:val="16"/>
                <w:szCs w:val="16"/>
                <w:color w:val="auto"/>
                <w:w w:val="92"/>
              </w:rPr>
              <w:t>incorporation or organization)</w:t>
            </w:r>
          </w:p>
        </w:tc>
        <w:tc>
          <w:tcPr>
            <w:tcW w:w="2860" w:type="dxa"/>
            <w:vAlign w:val="bottom"/>
          </w:tcPr>
          <w:p>
            <w:pPr>
              <w:spacing w:after="0"/>
              <w:rPr>
                <w:sz w:val="17"/>
                <w:szCs w:val="17"/>
                <w:color w:val="auto"/>
              </w:rPr>
            </w:pPr>
          </w:p>
        </w:tc>
        <w:tc>
          <w:tcPr>
            <w:tcW w:w="3820" w:type="dxa"/>
            <w:vAlign w:val="bottom"/>
          </w:tcPr>
          <w:p>
            <w:pPr>
              <w:jc w:val="center"/>
              <w:ind w:right="174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165"/>
        </w:trPr>
        <w:tc>
          <w:tcPr>
            <w:tcW w:w="4540" w:type="dxa"/>
            <w:vAlign w:val="bottom"/>
          </w:tcPr>
          <w:p>
            <w:pPr>
              <w:jc w:val="center"/>
              <w:ind w:left="980"/>
              <w:spacing w:after="0" w:line="165" w:lineRule="exact"/>
              <w:rPr>
                <w:sz w:val="20"/>
                <w:szCs w:val="20"/>
                <w:color w:val="auto"/>
              </w:rPr>
            </w:pPr>
            <w:r>
              <w:rPr>
                <w:rFonts w:ascii="Arial" w:cs="Arial" w:eastAsia="Arial" w:hAnsi="Arial"/>
                <w:sz w:val="16"/>
                <w:szCs w:val="16"/>
                <w:b w:val="1"/>
                <w:bCs w:val="1"/>
                <w:color w:val="auto"/>
                <w:w w:val="90"/>
              </w:rPr>
              <w:t>200 Crossing Boulevard, 3rd Floor</w:t>
            </w:r>
          </w:p>
        </w:tc>
        <w:tc>
          <w:tcPr>
            <w:tcW w:w="2860" w:type="dxa"/>
            <w:vAlign w:val="bottom"/>
          </w:tcPr>
          <w:p>
            <w:pPr>
              <w:spacing w:after="0"/>
              <w:rPr>
                <w:sz w:val="14"/>
                <w:szCs w:val="14"/>
                <w:color w:val="auto"/>
              </w:rPr>
            </w:pPr>
          </w:p>
        </w:tc>
        <w:tc>
          <w:tcPr>
            <w:tcW w:w="3820" w:type="dxa"/>
            <w:vAlign w:val="bottom"/>
            <w:vMerge w:val="restart"/>
          </w:tcPr>
          <w:p>
            <w:pPr>
              <w:jc w:val="right"/>
              <w:ind w:right="2540"/>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8"/>
        </w:trPr>
        <w:tc>
          <w:tcPr>
            <w:tcW w:w="4540" w:type="dxa"/>
            <w:vAlign w:val="bottom"/>
          </w:tcPr>
          <w:p>
            <w:pPr>
              <w:jc w:val="center"/>
              <w:ind w:left="1000"/>
              <w:spacing w:after="0"/>
              <w:rPr>
                <w:sz w:val="20"/>
                <w:szCs w:val="20"/>
                <w:color w:val="auto"/>
              </w:rPr>
            </w:pPr>
            <w:r>
              <w:rPr>
                <w:rFonts w:ascii="Arial" w:cs="Arial" w:eastAsia="Arial" w:hAnsi="Arial"/>
                <w:sz w:val="16"/>
                <w:szCs w:val="16"/>
                <w:b w:val="1"/>
                <w:bCs w:val="1"/>
                <w:color w:val="auto"/>
                <w:w w:val="89"/>
              </w:rPr>
              <w:t>Bridgewater, New Jersey</w:t>
            </w:r>
          </w:p>
        </w:tc>
        <w:tc>
          <w:tcPr>
            <w:tcW w:w="286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jc w:val="center"/>
              <w:ind w:left="1000"/>
              <w:spacing w:after="0"/>
              <w:rPr>
                <w:sz w:val="20"/>
                <w:szCs w:val="20"/>
                <w:color w:val="auto"/>
              </w:rPr>
            </w:pPr>
            <w:r>
              <w:rPr>
                <w:rFonts w:ascii="Arial" w:cs="Arial" w:eastAsia="Arial" w:hAnsi="Arial"/>
                <w:sz w:val="16"/>
                <w:szCs w:val="16"/>
                <w:color w:val="auto"/>
                <w:w w:val="92"/>
              </w:rPr>
              <w:t>(Address of principal executive offices)</w:t>
            </w:r>
          </w:p>
        </w:tc>
        <w:tc>
          <w:tcPr>
            <w:tcW w:w="2860" w:type="dxa"/>
            <w:vAlign w:val="bottom"/>
          </w:tcPr>
          <w:p>
            <w:pPr>
              <w:spacing w:after="0"/>
              <w:rPr>
                <w:sz w:val="18"/>
                <w:szCs w:val="18"/>
                <w:color w:val="auto"/>
              </w:rPr>
            </w:pPr>
          </w:p>
        </w:tc>
        <w:tc>
          <w:tcPr>
            <w:tcW w:w="3820" w:type="dxa"/>
            <w:vAlign w:val="bottom"/>
          </w:tcPr>
          <w:p>
            <w:pPr>
              <w:jc w:val="center"/>
              <w:ind w:right="172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461"/>
        </w:trPr>
        <w:tc>
          <w:tcPr>
            <w:tcW w:w="4540" w:type="dxa"/>
            <w:vAlign w:val="bottom"/>
          </w:tcPr>
          <w:p>
            <w:pPr>
              <w:spacing w:after="0"/>
              <w:rPr>
                <w:sz w:val="24"/>
                <w:szCs w:val="24"/>
                <w:color w:val="auto"/>
              </w:rPr>
            </w:pPr>
          </w:p>
        </w:tc>
        <w:tc>
          <w:tcPr>
            <w:tcW w:w="2860" w:type="dxa"/>
            <w:vAlign w:val="bottom"/>
          </w:tcPr>
          <w:p>
            <w:pPr>
              <w:jc w:val="center"/>
              <w:ind w:right="620"/>
              <w:spacing w:after="0"/>
              <w:rPr>
                <w:sz w:val="20"/>
                <w:szCs w:val="20"/>
                <w:color w:val="auto"/>
              </w:rPr>
            </w:pPr>
            <w:r>
              <w:rPr>
                <w:rFonts w:ascii="Arial" w:cs="Arial" w:eastAsia="Arial" w:hAnsi="Arial"/>
                <w:sz w:val="16"/>
                <w:szCs w:val="16"/>
                <w:b w:val="1"/>
                <w:bCs w:val="1"/>
                <w:color w:val="auto"/>
                <w:w w:val="91"/>
              </w:rPr>
              <w:t>(866) 620-3940</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00" w:type="dxa"/>
            <w:vAlign w:val="bottom"/>
            <w:gridSpan w:val="2"/>
          </w:tcPr>
          <w:p>
            <w:pPr>
              <w:jc w:val="center"/>
              <w:ind w:left="3740"/>
              <w:spacing w:after="0"/>
              <w:rPr>
                <w:sz w:val="20"/>
                <w:szCs w:val="20"/>
                <w:color w:val="auto"/>
              </w:rPr>
            </w:pPr>
            <w:r>
              <w:rPr>
                <w:rFonts w:ascii="Arial" w:cs="Arial" w:eastAsia="Arial" w:hAnsi="Arial"/>
                <w:sz w:val="16"/>
                <w:szCs w:val="16"/>
                <w:color w:val="auto"/>
                <w:w w:val="89"/>
              </w:rPr>
              <w:t>(Registrant’s telephone number, including area code)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5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860" w:type="dxa"/>
            <w:vAlign w:val="bottom"/>
            <w:tcBorders>
              <w:bottom w:val="single" w:sz="8" w:color="auto"/>
            </w:tcBorders>
          </w:tcPr>
          <w:p>
            <w:pPr>
              <w:jc w:val="center"/>
              <w:ind w:right="620"/>
              <w:spacing w:after="0"/>
              <w:rPr>
                <w:sz w:val="20"/>
                <w:szCs w:val="20"/>
                <w:color w:val="auto"/>
              </w:rPr>
            </w:pPr>
            <w:r>
              <w:rPr>
                <w:rFonts w:ascii="Arial" w:cs="Arial" w:eastAsia="Arial" w:hAnsi="Arial"/>
                <w:sz w:val="16"/>
                <w:szCs w:val="16"/>
                <w:color w:val="auto"/>
                <w:w w:val="91"/>
              </w:rPr>
              <w:t>Trading Symbol(s)</w:t>
            </w:r>
          </w:p>
        </w:tc>
        <w:tc>
          <w:tcPr>
            <w:tcW w:w="3820" w:type="dxa"/>
            <w:vAlign w:val="bottom"/>
            <w:tcBorders>
              <w:bottom w:val="single" w:sz="8" w:color="auto"/>
            </w:tcBorders>
          </w:tcPr>
          <w:p>
            <w:pPr>
              <w:jc w:val="center"/>
              <w:ind w:right="720"/>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203"/>
        </w:trPr>
        <w:tc>
          <w:tcPr>
            <w:tcW w:w="4540" w:type="dxa"/>
            <w:vAlign w:val="bottom"/>
          </w:tcPr>
          <w:p>
            <w:pPr>
              <w:jc w:val="center"/>
              <w:spacing w:after="0"/>
              <w:rPr>
                <w:sz w:val="20"/>
                <w:szCs w:val="20"/>
                <w:color w:val="auto"/>
              </w:rPr>
            </w:pPr>
            <w:r>
              <w:rPr>
                <w:rFonts w:ascii="Arial" w:cs="Arial" w:eastAsia="Arial" w:hAnsi="Arial"/>
                <w:sz w:val="16"/>
                <w:szCs w:val="16"/>
                <w:color w:val="auto"/>
                <w:w w:val="90"/>
              </w:rPr>
              <w:t>Common Stock, $.0001 par value</w:t>
            </w:r>
          </w:p>
        </w:tc>
        <w:tc>
          <w:tcPr>
            <w:tcW w:w="2860" w:type="dxa"/>
            <w:vAlign w:val="bottom"/>
          </w:tcPr>
          <w:p>
            <w:pPr>
              <w:jc w:val="center"/>
              <w:ind w:right="640"/>
              <w:spacing w:after="0"/>
              <w:rPr>
                <w:sz w:val="20"/>
                <w:szCs w:val="20"/>
                <w:color w:val="auto"/>
              </w:rPr>
            </w:pPr>
            <w:r>
              <w:rPr>
                <w:rFonts w:ascii="Arial" w:cs="Arial" w:eastAsia="Arial" w:hAnsi="Arial"/>
                <w:sz w:val="16"/>
                <w:szCs w:val="16"/>
                <w:color w:val="auto"/>
                <w:w w:val="92"/>
              </w:rPr>
              <w:t>SNCR</w:t>
            </w:r>
          </w:p>
        </w:tc>
        <w:tc>
          <w:tcPr>
            <w:tcW w:w="3820" w:type="dxa"/>
            <w:vAlign w:val="bottom"/>
          </w:tcPr>
          <w:p>
            <w:pPr>
              <w:jc w:val="center"/>
              <w:ind w:right="720"/>
              <w:spacing w:after="0"/>
              <w:rPr>
                <w:sz w:val="20"/>
                <w:szCs w:val="20"/>
                <w:color w:val="auto"/>
              </w:rPr>
            </w:pPr>
            <w:r>
              <w:rPr>
                <w:rFonts w:ascii="Arial" w:cs="Arial" w:eastAsia="Arial" w:hAnsi="Arial"/>
                <w:sz w:val="16"/>
                <w:szCs w:val="16"/>
                <w:color w:val="auto"/>
                <w:w w:val="92"/>
              </w:rPr>
              <w:t>The Nasdaq Stock Market, LLC</w:t>
            </w:r>
          </w:p>
        </w:tc>
        <w:tc>
          <w:tcPr>
            <w:tcW w:w="0" w:type="dxa"/>
            <w:vAlign w:val="bottom"/>
          </w:tcPr>
          <w:p>
            <w:pPr>
              <w:spacing w:after="0"/>
              <w:rPr>
                <w:sz w:val="1"/>
                <w:szCs w:val="1"/>
                <w:color w:val="auto"/>
              </w:rPr>
            </w:pPr>
          </w:p>
        </w:tc>
      </w:tr>
      <w:tr>
        <w:trPr>
          <w:trHeight w:val="213"/>
        </w:trPr>
        <w:tc>
          <w:tcPr>
            <w:tcW w:w="4540" w:type="dxa"/>
            <w:vAlign w:val="bottom"/>
          </w:tcPr>
          <w:p>
            <w:pPr>
              <w:jc w:val="center"/>
              <w:spacing w:after="0"/>
              <w:rPr>
                <w:sz w:val="20"/>
                <w:szCs w:val="20"/>
                <w:color w:val="auto"/>
              </w:rPr>
            </w:pPr>
            <w:r>
              <w:rPr>
                <w:rFonts w:ascii="Arial" w:cs="Arial" w:eastAsia="Arial" w:hAnsi="Arial"/>
                <w:sz w:val="16"/>
                <w:szCs w:val="16"/>
                <w:color w:val="auto"/>
                <w:w w:val="89"/>
              </w:rPr>
              <w:t>8.375% Senior Notes due 2026</w:t>
            </w:r>
          </w:p>
        </w:tc>
        <w:tc>
          <w:tcPr>
            <w:tcW w:w="2860" w:type="dxa"/>
            <w:vAlign w:val="bottom"/>
          </w:tcPr>
          <w:p>
            <w:pPr>
              <w:jc w:val="center"/>
              <w:ind w:right="660"/>
              <w:spacing w:after="0"/>
              <w:rPr>
                <w:sz w:val="20"/>
                <w:szCs w:val="20"/>
                <w:color w:val="auto"/>
              </w:rPr>
            </w:pPr>
            <w:r>
              <w:rPr>
                <w:rFonts w:ascii="Arial" w:cs="Arial" w:eastAsia="Arial" w:hAnsi="Arial"/>
                <w:sz w:val="16"/>
                <w:szCs w:val="16"/>
                <w:color w:val="auto"/>
                <w:w w:val="95"/>
              </w:rPr>
              <w:t>SNCRL</w:t>
            </w:r>
          </w:p>
        </w:tc>
        <w:tc>
          <w:tcPr>
            <w:tcW w:w="3820" w:type="dxa"/>
            <w:vAlign w:val="bottom"/>
          </w:tcPr>
          <w:p>
            <w:pPr>
              <w:jc w:val="center"/>
              <w:ind w:right="720"/>
              <w:spacing w:after="0"/>
              <w:rPr>
                <w:sz w:val="20"/>
                <w:szCs w:val="20"/>
                <w:color w:val="auto"/>
              </w:rPr>
            </w:pPr>
            <w:r>
              <w:rPr>
                <w:rFonts w:ascii="Arial" w:cs="Arial" w:eastAsia="Arial" w:hAnsi="Arial"/>
                <w:sz w:val="16"/>
                <w:szCs w:val="16"/>
                <w:color w:val="auto"/>
                <w:w w:val="92"/>
              </w:rPr>
              <w:t>The Nasdaq Stock Market, LLC</w:t>
            </w:r>
          </w:p>
        </w:tc>
        <w:tc>
          <w:tcPr>
            <w:tcW w:w="0" w:type="dxa"/>
            <w:vAlign w:val="bottom"/>
          </w:tcPr>
          <w:p>
            <w:pPr>
              <w:spacing w:after="0"/>
              <w:rPr>
                <w:sz w:val="1"/>
                <w:szCs w:val="1"/>
                <w:color w:val="auto"/>
              </w:rPr>
            </w:pPr>
          </w:p>
        </w:tc>
      </w:tr>
    </w:tbl>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120015</wp:posOffset>
            </wp:positionV>
            <wp:extent cx="2372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2680"/>
        <w:spacing w:after="0" w:line="23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7" w:lineRule="exact"/>
        <w:rPr>
          <w:sz w:val="24"/>
          <w:szCs w:val="24"/>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20"/>
        <w:spacing w:after="0" w:line="322" w:lineRule="exact"/>
        <w:tabs>
          <w:tab w:leader="none" w:pos="2280" w:val="left"/>
          <w:tab w:leader="none" w:pos="4440" w:val="left"/>
          <w:tab w:leader="none" w:pos="6580" w:val="left"/>
          <w:tab w:leader="none" w:pos="90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28"/>
          <w:szCs w:val="28"/>
          <w:color w:val="auto"/>
          <w:vertAlign w:val="subscript"/>
        </w:rPr>
        <w:t xml:space="preserve">Accelerated filer </w:t>
      </w: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866775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 w:lineRule="exact"/>
        <w:rPr>
          <w:sz w:val="20"/>
          <w:szCs w:val="20"/>
          <w:color w:val="auto"/>
        </w:rPr>
      </w:pPr>
    </w:p>
    <w:p>
      <w:pPr>
        <w:jc w:val="both"/>
        <w:spacing w:after="0" w:line="214"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201" w:lineRule="exact"/>
        <w:rPr>
          <w:sz w:val="20"/>
          <w:szCs w:val="20"/>
          <w:color w:val="auto"/>
        </w:rPr>
      </w:pPr>
    </w:p>
    <w:p>
      <w:pPr>
        <w:jc w:val="both"/>
        <w:ind w:right="20"/>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333333"/>
        </w:rPr>
        <w:t>☐</w:t>
      </w:r>
    </w:p>
    <w:p>
      <w:pPr>
        <w:spacing w:after="0" w:line="211"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w:t>
      </w:r>
      <w:r>
        <w:rPr>
          <w:rFonts w:ascii="MS PGothic" w:cs="MS PGothic" w:eastAsia="MS PGothic" w:hAnsi="MS PGothic"/>
          <w:sz w:val="17"/>
          <w:szCs w:val="17"/>
          <w:color w:val="333333"/>
        </w:rPr>
        <w: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aggregate market value of the common stock held by non-affiliates of the Registrant as of June 30, 2022, the last business day of the Registrant’s last completed second quarter, based upon the closing price of the common stock as reported by The Nasdaq Stock Market on such date was approximately $85.2 million. Shares of common stock held by each executive officer,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As of March 14, 2023, a total of 90,811,698 shares of the Registrant’s common stock were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exhibit index as required by Item 601(a) of Regulation S-K is included in Item 15 of Part IV of this report on Form 10-K.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45" w:lineRule="exact"/>
        <w:rPr>
          <w:sz w:val="20"/>
          <w:szCs w:val="20"/>
          <w:color w:val="auto"/>
        </w:rPr>
      </w:pPr>
    </w:p>
    <w:p>
      <w:pPr>
        <w:jc w:val="both"/>
        <w:spacing w:after="0" w:line="197" w:lineRule="exact"/>
        <w:rPr>
          <w:sz w:val="20"/>
          <w:szCs w:val="20"/>
          <w:color w:val="auto"/>
        </w:rPr>
      </w:pPr>
      <w:r>
        <w:rPr>
          <w:rFonts w:ascii="Arial" w:cs="Arial" w:eastAsia="Arial" w:hAnsi="Arial"/>
          <w:sz w:val="15"/>
          <w:szCs w:val="15"/>
          <w:color w:val="auto"/>
        </w:rPr>
        <w:t>Information required by Part III (Items 10, 11, 12, 13 and 14) is incorporated by reference to portions of the Registrant’s definitive Proxy Statement for its 2023 Annual Meeting of Stockholders (the “Proxy Statement”), which is to be filed pursuant to Regulation 14A within 120 days after the end of the Registrant’s fiscal year ended December 31, 2022. Except as expressly incorporated by reference, the Proxy Statement shall not be deemed to be a part of this report on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683895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88265</wp:posOffset>
            </wp:positionV>
            <wp:extent cx="7092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113665</wp:posOffset>
            </wp:positionV>
            <wp:extent cx="7092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30"/>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9"/>
        </w:trPr>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8"/>
              </w:rPr>
              <w:t>SYNCHRONOSS TECHNOLOGIES,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20" w:type="dxa"/>
            <w:vAlign w:val="bottom"/>
            <w:gridSpan w:val="10"/>
          </w:tcPr>
          <w:p>
            <w:pPr>
              <w:jc w:val="center"/>
              <w:ind w:right="3440"/>
              <w:spacing w:after="0"/>
              <w:rPr>
                <w:sz w:val="20"/>
                <w:szCs w:val="20"/>
                <w:color w:val="auto"/>
              </w:rPr>
            </w:pPr>
            <w:r>
              <w:rPr>
                <w:rFonts w:ascii="Arial" w:cs="Arial" w:eastAsia="Arial" w:hAnsi="Arial"/>
                <w:sz w:val="18"/>
                <w:szCs w:val="18"/>
                <w:b w:val="1"/>
                <w:bCs w:val="1"/>
                <w:color w:val="auto"/>
              </w:rPr>
              <w:t>FORM 10-K INDEX</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60" w:type="dxa"/>
            <w:vAlign w:val="bottom"/>
            <w:gridSpan w:val="5"/>
          </w:tcPr>
          <w:p>
            <w:pPr>
              <w:spacing w:after="0"/>
              <w:rPr>
                <w:sz w:val="20"/>
                <w:szCs w:val="20"/>
                <w:color w:val="auto"/>
              </w:rPr>
            </w:pPr>
            <w:r>
              <w:rPr>
                <w:rFonts w:ascii="Arial" w:cs="Arial" w:eastAsia="Arial" w:hAnsi="Arial"/>
                <w:sz w:val="18"/>
                <w:szCs w:val="18"/>
                <w:b w:val="1"/>
                <w:bCs w:val="1"/>
                <w:color w:val="auto"/>
              </w:rPr>
              <w:t>Page No.</w:t>
            </w:r>
          </w:p>
        </w:tc>
      </w:tr>
      <w:tr>
        <w:trPr>
          <w:trHeight w:val="167"/>
        </w:trPr>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0000FF"/>
            </w:tcBorders>
          </w:tcPr>
          <w:p>
            <w:pPr>
              <w:jc w:val="center"/>
              <w:spacing w:after="0" w:line="168" w:lineRule="exact"/>
              <w:rPr>
                <w:sz w:val="20"/>
                <w:szCs w:val="20"/>
                <w:color w:val="auto"/>
              </w:rPr>
            </w:pPr>
            <w:r>
              <w:rPr>
                <w:rFonts w:ascii="Arial" w:cs="Arial" w:eastAsia="Arial" w:hAnsi="Arial"/>
                <w:sz w:val="18"/>
                <w:szCs w:val="18"/>
                <w:color w:val="0000FF"/>
                <w:w w:val="92"/>
              </w:rPr>
              <w:t>PART I</w:t>
            </w:r>
          </w:p>
        </w:tc>
        <w:tc>
          <w:tcPr>
            <w:tcW w:w="4400" w:type="dxa"/>
            <w:vAlign w:val="bottom"/>
            <w:gridSpan w:val="7"/>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Business</w:t>
            </w:r>
          </w:p>
        </w:tc>
        <w:tc>
          <w:tcPr>
            <w:tcW w:w="180" w:type="dxa"/>
            <w:vAlign w:val="bottom"/>
            <w:gridSpan w:val="2"/>
          </w:tcPr>
          <w:p>
            <w:pPr>
              <w:spacing w:after="0"/>
              <w:rPr>
                <w:sz w:val="20"/>
                <w:szCs w:val="20"/>
                <w:color w:val="auto"/>
              </w:rPr>
            </w:pPr>
            <w:r>
              <w:rPr>
                <w:rFonts w:ascii="Arial" w:cs="Arial" w:eastAsia="Arial" w:hAnsi="Arial"/>
                <w:sz w:val="18"/>
                <w:szCs w:val="18"/>
                <w:color w:val="0000FF"/>
              </w:rPr>
              <w:t>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1A.</w:t>
            </w:r>
          </w:p>
        </w:tc>
        <w:tc>
          <w:tcPr>
            <w:tcW w:w="932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4"/>
                <w:szCs w:val="14"/>
                <w:color w:val="0000FF"/>
                <w:w w:val="75"/>
              </w:rPr>
              <w:t>1B.</w:t>
            </w:r>
          </w:p>
        </w:tc>
        <w:tc>
          <w:tcPr>
            <w:tcW w:w="600" w:type="dxa"/>
            <w:vAlign w:val="bottom"/>
            <w:gridSpan w:val="2"/>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260" w:type="dxa"/>
            <w:vAlign w:val="bottom"/>
            <w:gridSpan w:val="3"/>
          </w:tcPr>
          <w:p>
            <w:pPr>
              <w:spacing w:after="0"/>
              <w:rPr>
                <w:sz w:val="20"/>
                <w:szCs w:val="20"/>
                <w:color w:val="auto"/>
              </w:rPr>
            </w:pPr>
            <w:r>
              <w:rPr>
                <w:rFonts w:ascii="Arial" w:cs="Arial" w:eastAsia="Arial" w:hAnsi="Arial"/>
                <w:sz w:val="18"/>
                <w:szCs w:val="18"/>
                <w:color w:val="0000FF"/>
              </w:rPr>
              <w:t>41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Properties</w:t>
            </w:r>
          </w:p>
        </w:tc>
        <w:tc>
          <w:tcPr>
            <w:tcW w:w="260" w:type="dxa"/>
            <w:vAlign w:val="bottom"/>
            <w:gridSpan w:val="3"/>
          </w:tcPr>
          <w:p>
            <w:pPr>
              <w:spacing w:after="0"/>
              <w:rPr>
                <w:sz w:val="20"/>
                <w:szCs w:val="20"/>
                <w:color w:val="auto"/>
              </w:rPr>
            </w:pPr>
            <w:r>
              <w:rPr>
                <w:rFonts w:ascii="Arial" w:cs="Arial" w:eastAsia="Arial" w:hAnsi="Arial"/>
                <w:sz w:val="18"/>
                <w:szCs w:val="18"/>
                <w:color w:val="0000FF"/>
              </w:rPr>
              <w:t>41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Legal Proceedings</w:t>
            </w:r>
          </w:p>
        </w:tc>
        <w:tc>
          <w:tcPr>
            <w:tcW w:w="260" w:type="dxa"/>
            <w:vAlign w:val="bottom"/>
            <w:gridSpan w:val="3"/>
          </w:tcPr>
          <w:p>
            <w:pPr>
              <w:spacing w:after="0"/>
              <w:rPr>
                <w:sz w:val="20"/>
                <w:szCs w:val="20"/>
                <w:color w:val="auto"/>
              </w:rPr>
            </w:pPr>
            <w:r>
              <w:rPr>
                <w:rFonts w:ascii="Arial" w:cs="Arial" w:eastAsia="Arial" w:hAnsi="Arial"/>
                <w:sz w:val="18"/>
                <w:szCs w:val="18"/>
                <w:color w:val="0000FF"/>
              </w:rPr>
              <w:t>41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260" w:type="dxa"/>
            <w:vAlign w:val="bottom"/>
            <w:gridSpan w:val="3"/>
          </w:tcPr>
          <w:p>
            <w:pPr>
              <w:spacing w:after="0"/>
              <w:rPr>
                <w:sz w:val="20"/>
                <w:szCs w:val="20"/>
                <w:color w:val="auto"/>
              </w:rPr>
            </w:pPr>
            <w:r>
              <w:rPr>
                <w:rFonts w:ascii="Arial" w:cs="Arial" w:eastAsia="Arial" w:hAnsi="Arial"/>
                <w:sz w:val="18"/>
                <w:szCs w:val="18"/>
                <w:color w:val="0000FF"/>
              </w:rPr>
              <w:t>41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gridSpan w:val="9"/>
          </w:tcPr>
          <w:p>
            <w:pPr>
              <w:jc w:val="center"/>
              <w:ind w:right="4380"/>
              <w:spacing w:after="0"/>
              <w:rPr>
                <w:sz w:val="20"/>
                <w:szCs w:val="20"/>
                <w:color w:val="auto"/>
              </w:rPr>
            </w:pPr>
            <w:r>
              <w:rPr>
                <w:rFonts w:ascii="Arial" w:cs="Arial" w:eastAsia="Arial" w:hAnsi="Arial"/>
                <w:sz w:val="18"/>
                <w:szCs w:val="18"/>
                <w:color w:val="0000FF"/>
                <w:w w:val="91"/>
              </w:rPr>
              <w:t>PART II</w:t>
            </w: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260" w:type="dxa"/>
            <w:vAlign w:val="bottom"/>
            <w:gridSpan w:val="3"/>
          </w:tcPr>
          <w:p>
            <w:pPr>
              <w:spacing w:after="0"/>
              <w:rPr>
                <w:sz w:val="20"/>
                <w:szCs w:val="20"/>
                <w:color w:val="auto"/>
              </w:rPr>
            </w:pPr>
            <w:r>
              <w:rPr>
                <w:rFonts w:ascii="Arial" w:cs="Arial" w:eastAsia="Arial" w:hAnsi="Arial"/>
                <w:sz w:val="18"/>
                <w:szCs w:val="18"/>
                <w:color w:val="0000FF"/>
              </w:rPr>
              <w:t>42</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Selected Financial Data</w:t>
            </w:r>
          </w:p>
        </w:tc>
        <w:tc>
          <w:tcPr>
            <w:tcW w:w="260" w:type="dxa"/>
            <w:vAlign w:val="bottom"/>
            <w:gridSpan w:val="3"/>
          </w:tcPr>
          <w:p>
            <w:pPr>
              <w:spacing w:after="0"/>
              <w:rPr>
                <w:sz w:val="20"/>
                <w:szCs w:val="20"/>
                <w:color w:val="auto"/>
              </w:rPr>
            </w:pPr>
            <w:r>
              <w:rPr>
                <w:rFonts w:ascii="Arial" w:cs="Arial" w:eastAsia="Arial" w:hAnsi="Arial"/>
                <w:sz w:val="18"/>
                <w:szCs w:val="18"/>
                <w:color w:val="0000FF"/>
              </w:rPr>
              <w:t>45</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60" w:type="dxa"/>
            <w:vAlign w:val="bottom"/>
            <w:gridSpan w:val="3"/>
          </w:tcPr>
          <w:p>
            <w:pPr>
              <w:spacing w:after="0"/>
              <w:rPr>
                <w:sz w:val="20"/>
                <w:szCs w:val="20"/>
                <w:color w:val="auto"/>
              </w:rPr>
            </w:pPr>
            <w:r>
              <w:rPr>
                <w:rFonts w:ascii="Arial" w:cs="Arial" w:eastAsia="Arial" w:hAnsi="Arial"/>
                <w:sz w:val="18"/>
                <w:szCs w:val="18"/>
                <w:color w:val="0000FF"/>
              </w:rPr>
              <w:t>45</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7A.</w:t>
            </w:r>
          </w:p>
        </w:tc>
        <w:tc>
          <w:tcPr>
            <w:tcW w:w="9320" w:type="dxa"/>
            <w:vAlign w:val="bottom"/>
            <w:gridSpan w:val="2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0" w:type="dxa"/>
            <w:vAlign w:val="bottom"/>
            <w:gridSpan w:val="3"/>
          </w:tcPr>
          <w:p>
            <w:pPr>
              <w:spacing w:after="0"/>
              <w:rPr>
                <w:sz w:val="20"/>
                <w:szCs w:val="20"/>
                <w:color w:val="auto"/>
              </w:rPr>
            </w:pPr>
            <w:r>
              <w:rPr>
                <w:rFonts w:ascii="Arial" w:cs="Arial" w:eastAsia="Arial" w:hAnsi="Arial"/>
                <w:sz w:val="18"/>
                <w:szCs w:val="18"/>
                <w:color w:val="0000FF"/>
              </w:rPr>
              <w:t>55</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Financial Statements and Supplementary Data</w:t>
            </w:r>
          </w:p>
        </w:tc>
        <w:tc>
          <w:tcPr>
            <w:tcW w:w="260" w:type="dxa"/>
            <w:vAlign w:val="bottom"/>
            <w:gridSpan w:val="3"/>
          </w:tcPr>
          <w:p>
            <w:pPr>
              <w:spacing w:after="0"/>
              <w:rPr>
                <w:sz w:val="20"/>
                <w:szCs w:val="20"/>
                <w:color w:val="auto"/>
              </w:rPr>
            </w:pPr>
            <w:r>
              <w:rPr>
                <w:rFonts w:ascii="Arial" w:cs="Arial" w:eastAsia="Arial" w:hAnsi="Arial"/>
                <w:sz w:val="18"/>
                <w:szCs w:val="18"/>
                <w:color w:val="0000FF"/>
              </w:rPr>
              <w:t>56</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Arial" w:cs="Arial" w:eastAsia="Arial" w:hAnsi="Arial"/>
                <w:sz w:val="18"/>
                <w:szCs w:val="18"/>
                <w:color w:val="0000FF"/>
                <w:w w:val="79"/>
              </w:rPr>
              <w:t>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104</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9A.</w:t>
            </w:r>
          </w:p>
        </w:tc>
        <w:tc>
          <w:tcPr>
            <w:tcW w:w="9320" w:type="dxa"/>
            <w:vAlign w:val="bottom"/>
            <w:gridSpan w:val="24"/>
          </w:tcPr>
          <w:p>
            <w:pPr>
              <w:spacing w:after="0"/>
              <w:rPr>
                <w:sz w:val="20"/>
                <w:szCs w:val="20"/>
                <w:color w:val="auto"/>
              </w:rPr>
            </w:pPr>
            <w:r>
              <w:rPr>
                <w:rFonts w:ascii="Arial" w:cs="Arial" w:eastAsia="Arial" w:hAnsi="Arial"/>
                <w:sz w:val="18"/>
                <w:szCs w:val="18"/>
                <w:color w:val="0000FF"/>
              </w:rPr>
              <w:t>Controls and Procedures</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104</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75"/>
              </w:rPr>
              <w:t>9B.</w:t>
            </w:r>
          </w:p>
        </w:tc>
        <w:tc>
          <w:tcPr>
            <w:tcW w:w="600" w:type="dxa"/>
            <w:vAlign w:val="bottom"/>
            <w:gridSpan w:val="2"/>
          </w:tcPr>
          <w:p>
            <w:pPr>
              <w:spacing w:after="0"/>
              <w:rPr>
                <w:sz w:val="17"/>
                <w:szCs w:val="17"/>
                <w:color w:val="auto"/>
              </w:rPr>
            </w:pPr>
          </w:p>
        </w:tc>
        <w:tc>
          <w:tcPr>
            <w:tcW w:w="17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7560" w:type="dxa"/>
            <w:vAlign w:val="bottom"/>
            <w:gridSpan w:val="16"/>
          </w:tcPr>
          <w:p>
            <w:pPr>
              <w:spacing w:after="0"/>
              <w:rPr>
                <w:sz w:val="17"/>
                <w:szCs w:val="17"/>
                <w:color w:val="auto"/>
              </w:rPr>
            </w:pPr>
          </w:p>
        </w:tc>
        <w:tc>
          <w:tcPr>
            <w:tcW w:w="2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73"/>
              </w:rPr>
              <w:t>106</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6"/>
              </w:rPr>
              <w:t>PART III</w:t>
            </w:r>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10.</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Directors and Executive Officers and Corporate Governance</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106</w:t>
            </w: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11.</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Executive Compensation</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106</w:t>
            </w: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12.</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106</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13.</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Certain Relationships and Related Transactions</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106</w:t>
            </w: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14.</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Principal Accounting Fees and Services</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107</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4"/>
              </w:rPr>
              <w:t>PART IV</w:t>
            </w:r>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15.</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Exhibits</w:t>
            </w:r>
          </w:p>
        </w:tc>
        <w:tc>
          <w:tcPr>
            <w:tcW w:w="1040" w:type="dxa"/>
            <w:vAlign w:val="bottom"/>
            <w:gridSpan w:val="4"/>
          </w:tcPr>
          <w:p>
            <w:pPr>
              <w:spacing w:after="0"/>
              <w:rPr>
                <w:sz w:val="20"/>
                <w:szCs w:val="20"/>
                <w:color w:val="auto"/>
              </w:rPr>
            </w:pPr>
            <w:r>
              <w:rPr>
                <w:rFonts w:ascii="Arial" w:cs="Arial" w:eastAsia="Arial" w:hAnsi="Arial"/>
                <w:sz w:val="18"/>
                <w:szCs w:val="18"/>
                <w:color w:val="0000FF"/>
              </w:rPr>
              <w:t>107</w:t>
            </w:r>
          </w:p>
        </w:tc>
        <w:tc>
          <w:tcPr>
            <w:tcW w:w="20" w:type="dxa"/>
            <w:vAlign w:val="bottom"/>
          </w:tcPr>
          <w:p>
            <w:pPr>
              <w:spacing w:after="0"/>
              <w:rPr>
                <w:sz w:val="17"/>
                <w:szCs w:val="17"/>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780" w:type="dxa"/>
            <w:vAlign w:val="bottom"/>
            <w:gridSpan w:val="18"/>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Arial" w:cs="Arial" w:eastAsia="Arial" w:hAnsi="Arial"/>
                <w:sz w:val="18"/>
                <w:szCs w:val="18"/>
                <w:color w:val="0000FF"/>
                <w:w w:val="71"/>
              </w:rPr>
              <w:t>16.</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8"/>
                <w:szCs w:val="18"/>
                <w:color w:val="0000FF"/>
              </w:rPr>
              <w:t>Form 10-K Summary</w:t>
            </w:r>
          </w:p>
        </w:tc>
        <w:tc>
          <w:tcPr>
            <w:tcW w:w="260" w:type="dxa"/>
            <w:vAlign w:val="bottom"/>
            <w:gridSpan w:val="3"/>
          </w:tcPr>
          <w:p>
            <w:pPr>
              <w:spacing w:after="0"/>
              <w:rPr>
                <w:sz w:val="20"/>
                <w:szCs w:val="20"/>
                <w:color w:val="auto"/>
              </w:rPr>
            </w:pPr>
            <w:r>
              <w:rPr>
                <w:rFonts w:ascii="Arial" w:cs="Arial" w:eastAsia="Arial" w:hAnsi="Arial"/>
                <w:sz w:val="18"/>
                <w:szCs w:val="18"/>
                <w:color w:val="0000FF"/>
                <w:w w:val="73"/>
              </w:rPr>
              <w:t>110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w w:val="90"/>
              </w:rPr>
              <w:t>Signatures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0000FF"/>
                <w:w w:val="73"/>
              </w:rPr>
              <w:t>111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5"/>
        </w:trPr>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58"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The words “Synchronoss,” “we,” “our,” “ours,” “us” and the “Company,” refer to Synchronoss Technologies, Inc. and its consolidated subsidiaries. All statements in this Annual Report on Form 10-K for the fiscal year ended December 31, 2022 that are not historical are forward-looking statements within the meaning of Section 27A of the Securities Act of 1933, as amended, and Section 21E of the Securities Exchange Act of 1934, as amended, including statements regarding Synchronoss’ “expectations,” “beliefs,” “hopes,” “intentions,” “anticipates,” “seeks,” “strategies,” “plans,” “targets,” “estimations,” “outlook” or the like. Such statements are based on management’s current expectations and are subject to a number of factors and uncertainties that could cause actual results to differ materially from those described in the forward-looking statements. Past performance is not necessarily indicative of future results. Synchronoss cautions investors that there can be no assurance that actual results or business conditions will not differ materially from those projected or suggested in such forward-looking statements as a result of various factors. We encourage you to read Management’s Discussion and Analysis of our Financial Condition and Results of Operations and our consolidated financial statements contained in this Form 10-K. We also encourage you to read Item 1A of Part I of this Form 10-K, entitled Risk Factors, which contains a more complete discussion of the risks and uncertainties associated with our business. In addition to the risks described in Item 1A of this Form 10-K, other unknown or unpredictable factors also could affect our results. Therefore, the information in this Form 10-K should be read together with other reports and documents that we file with the Securities and Exchange Commission from time to time, including on Form 10-Q and Form 8-K, which may supplement, modify, supersede or update those risk factors.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99"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This Form 10-K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incorporated into this Form 10-K to be reliable,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core product sets allow our customers to create a positive experience throughout their subscribers’ lifecycle by engaging, onboarding and managing the network to ensure reliable service.</w:t>
      </w:r>
    </w:p>
    <w:p>
      <w:pPr>
        <w:spacing w:after="0" w:line="228" w:lineRule="exact"/>
        <w:rPr>
          <w:sz w:val="20"/>
          <w:szCs w:val="20"/>
          <w:color w:val="auto"/>
        </w:rPr>
      </w:pPr>
    </w:p>
    <w:p>
      <w:pPr>
        <w:ind w:left="640" w:hanging="315"/>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EngageX:</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Personal Cloud: Backup, manage and engage with content.</w:t>
      </w:r>
    </w:p>
    <w:p>
      <w:pPr>
        <w:spacing w:after="0" w:line="27" w:lineRule="exact"/>
        <w:rPr>
          <w:rFonts w:ascii="Arial" w:cs="Arial" w:eastAsia="Arial" w:hAnsi="Arial"/>
          <w:sz w:val="21"/>
          <w:szCs w:val="21"/>
          <w:color w:val="auto"/>
        </w:rPr>
      </w:pPr>
    </w:p>
    <w:p>
      <w:pPr>
        <w:ind w:left="1280" w:hanging="316"/>
        <w:spacing w:after="0" w:line="233" w:lineRule="auto"/>
        <w:tabs>
          <w:tab w:leader="none" w:pos="1316" w:val="left"/>
        </w:tabs>
        <w:numPr>
          <w:ilvl w:val="1"/>
          <w:numId w:val="3"/>
        </w:numPr>
        <w:rPr>
          <w:rFonts w:ascii="Arial" w:cs="Arial" w:eastAsia="Arial" w:hAnsi="Arial"/>
          <w:sz w:val="21"/>
          <w:szCs w:val="21"/>
          <w:color w:val="auto"/>
        </w:rPr>
      </w:pPr>
      <w:r>
        <w:rPr>
          <w:rFonts w:ascii="Arial" w:cs="Arial" w:eastAsia="Arial" w:hAnsi="Arial"/>
          <w:sz w:val="18"/>
          <w:szCs w:val="18"/>
          <w:color w:val="auto"/>
        </w:rPr>
        <w:t>Advanced Messaging: multi-channel messaging, peer-to-peer (“P2P”) communications and application-to-person (“A2P”) commerce solutions.</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Email Suite: White label consumer email solutions.</w:t>
      </w:r>
    </w:p>
    <w:p>
      <w:pPr>
        <w:spacing w:after="0" w:line="250" w:lineRule="exact"/>
        <w:rPr>
          <w:rFonts w:ascii="Arial" w:cs="Arial" w:eastAsia="Arial" w:hAnsi="Arial"/>
          <w:sz w:val="21"/>
          <w:szCs w:val="21"/>
          <w:color w:val="auto"/>
        </w:rPr>
      </w:pPr>
    </w:p>
    <w:p>
      <w:pPr>
        <w:ind w:left="640" w:hanging="315"/>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OnboardingX:</w:t>
      </w:r>
    </w:p>
    <w:p>
      <w:pPr>
        <w:spacing w:after="0" w:line="24"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Backup and Restore: Backup, view and restore subscriber content across operating systems and devices.</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Out of Box Experience: Streamline the activation of new services and devices.</w:t>
      </w:r>
    </w:p>
    <w:p>
      <w:pPr>
        <w:spacing w:after="0" w:line="11"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Content Transfer: Effortlessly move content between mobile devices.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5"/>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NetworkX:</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4"/>
        </w:numPr>
        <w:rPr>
          <w:rFonts w:ascii="Arial" w:cs="Arial" w:eastAsia="Arial" w:hAnsi="Arial"/>
          <w:sz w:val="21"/>
          <w:szCs w:val="21"/>
          <w:color w:val="auto"/>
        </w:rPr>
      </w:pPr>
      <w:r>
        <w:rPr>
          <w:rFonts w:ascii="Arial" w:cs="Arial" w:eastAsia="Arial" w:hAnsi="Arial"/>
          <w:sz w:val="18"/>
          <w:szCs w:val="18"/>
          <w:color w:val="auto"/>
        </w:rPr>
        <w:t>NetworkX: integrated application suite that designs, procures, manages and optimizes telecom network infrastructure.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Serve</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At Synchronoss we focus on delivering carrier-grade solutions to three markets globally: communications service providers/multi-service operators (such as cable and mobile network operators), mobile insurance providers and retailers. We help our customers accelerate and monetize value-add services to drive growth, facilitate retention and enable differentiated experiences. In 2022, we continued to strengthen our focus through the asset sale of our Digital Experience Platform (the “DXP Business”) to iQmetrix.</w:t>
      </w:r>
    </w:p>
    <w:p>
      <w:pPr>
        <w:spacing w:after="0" w:line="218"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7"/>
          <w:szCs w:val="17"/>
          <w:color w:val="auto"/>
        </w:rPr>
        <w:t>Communications service providers, multi-service operators and mobile insurance providers market white label implementations of our Synchronoss Personal Cloud</w:t>
      </w:r>
      <w:r>
        <w:rPr>
          <w:rFonts w:ascii="Arial" w:cs="Arial" w:eastAsia="Arial" w:hAnsi="Arial"/>
          <w:sz w:val="22"/>
          <w:szCs w:val="22"/>
          <w:color w:val="auto"/>
          <w:vertAlign w:val="superscript"/>
        </w:rPr>
        <w:t>TM</w:t>
      </w:r>
      <w:r>
        <w:rPr>
          <w:rFonts w:ascii="Arial" w:cs="Arial" w:eastAsia="Arial" w:hAnsi="Arial"/>
          <w:sz w:val="17"/>
          <w:szCs w:val="17"/>
          <w:color w:val="auto"/>
        </w:rPr>
        <w:t>, Advanced Messaging and email products and solutions to their subscribers around the world. Our customers market and re-sell the services powered by our technology to their subscribers as part of stand-alone subscriptions, value-added bundles, or use Personal Cloud to enhance their service offerings to subscribers who purchase and lease mobile devices and network connectivity by providing an easy solution for storing and syncing user generated content (e.g., videos, photos, documents, contacts, music etc.). Additionally, they license Synchronoss Advanced Messaging and Email to enable white label multichannel messaging services including advanced person-to-person (“P2P”) and application-to-person (“A2P”) transactions and to offer brand/advertiser ecosystems. Communications service providers and multi-service operators use our OnboardX and NetworkX solutions to enhance their subscriber journeys and onboarding and to streamline their internal processes.</w:t>
      </w:r>
    </w:p>
    <w:p>
      <w:pPr>
        <w:spacing w:after="0" w:line="219"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customers include global service providers such as AT&amp;T, BT, Verizon, Softbank and multi-service operators like Comcast, Altice, Charter and Mediacom. These customers utilize our solutions to service both consumer and enterprise customers.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Go to Market</w:t>
      </w:r>
    </w:p>
    <w:p>
      <w:pPr>
        <w:spacing w:after="0" w:line="251"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We market our solutions and services directly through our sales organizations in the Americas, Europe, Middle East and Africa (“EMEA”) and Asia-Pacific (“APAC”).</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sell our solutions, products, and services through a direct sales force, with strategic partners and in collaboration with our customers to resell services to their end customers and subscribers. Our sales professionals are well versed in our platforms, products and services with an understanding of market trends, demands and conditions that our current and potential customers are facing.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Marketing</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Synchronoss marketing team’s mission is to deliver the right strategy, tools, and customer acquisition initiatives to accelerate our growth. The team uses a combination of product-specific and company-wide marketing messages and initiatives that leverage digital marketing campaigns, sales support materials, social media, and PR to generate top of the funnel business-to-business (“B2B”) sales leads for the sales team. As a result, they play a vital role in promoting our products, discovering new markets, and driving brand awareness in the North America, EMEA, and APAC regions.</w:t>
      </w:r>
    </w:p>
    <w:p>
      <w:pPr>
        <w:spacing w:after="0" w:line="18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Marketing team also supports our customers’ direct-to-consumer (D2C) marketing efforts for all global cloud deployments. In partnership with our customers, our go-to-market and awareness campaigns consist of a digitally-led omnichannel approach at critical moments in the subscriber’s purchase lifecycle; including online checkout, retail transactions, customer care interactions, out-of-box setup experiences, and in-app notifications for devices that have our cloud app preloaded.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Deliver - Our Platforms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Synchronoss Experience (syncX) is a collection of products that help our customers create a positive brand experience throughout the subscriber lifecycle. SyncX keeps people, systems, networks, and content in sync to enable a better, more engaging experience.</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EngageX </w:t>
      </w:r>
      <w:r>
        <w:rPr>
          <w:rFonts w:ascii="Arial" w:cs="Arial" w:eastAsia="Arial" w:hAnsi="Arial"/>
          <w:sz w:val="18"/>
          <w:szCs w:val="18"/>
          <w:color w:val="auto"/>
        </w:rPr>
        <w:t>products keep subscribers engaged with brands, content and people they love. When loyalty and revenue is won and lost through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it is critical to offer value-added services subscribers love. Our Cloud and Messaging experiences grow, inspire, and build loyalty with our customers’ subscriber base.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Synchronoss Personal Cloud</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Platform</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Synchronoss Personal Cloud</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solution is designed to create an engaging and trusted customer experience through ongoing content management and</w:t>
      </w:r>
    </w:p>
    <w:p>
      <w:pPr>
        <w:spacing w:after="0" w:line="4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engagement. The Synchronoss Personal Cloud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30" w:lineRule="exact"/>
        <w:rPr>
          <w:sz w:val="20"/>
          <w:szCs w:val="20"/>
          <w:color w:val="auto"/>
        </w:rPr>
      </w:pPr>
    </w:p>
    <w:p>
      <w:pPr>
        <w:jc w:val="both"/>
        <w:ind w:firstLine="319"/>
        <w:spacing w:after="0" w:line="222" w:lineRule="auto"/>
        <w:rPr>
          <w:sz w:val="20"/>
          <w:szCs w:val="20"/>
          <w:color w:val="auto"/>
        </w:rPr>
      </w:pPr>
      <w:r>
        <w:rPr>
          <w:rFonts w:ascii="Arial" w:cs="Arial" w:eastAsia="Arial" w:hAnsi="Arial"/>
          <w:sz w:val="18"/>
          <w:szCs w:val="18"/>
          <w:color w:val="auto"/>
        </w:rPr>
        <w:t>Our Synchronoss Personal Cloud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is specifically designed to support smartphones, tablets, desktops computers, laptops, wearables for health and wellness, cameras, TVs, security cameras, routers, as well as connected automobiles and homes.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Messaging Platform</w:t>
      </w:r>
    </w:p>
    <w:p>
      <w:pPr>
        <w:spacing w:after="0" w:line="251" w:lineRule="exact"/>
        <w:rPr>
          <w:sz w:val="20"/>
          <w:szCs w:val="20"/>
          <w:color w:val="auto"/>
        </w:rPr>
      </w:pPr>
    </w:p>
    <w:p>
      <w:pPr>
        <w:jc w:val="both"/>
        <w:ind w:firstLine="319"/>
        <w:spacing w:after="0" w:line="293" w:lineRule="auto"/>
        <w:rPr>
          <w:sz w:val="20"/>
          <w:szCs w:val="20"/>
          <w:color w:val="auto"/>
        </w:rPr>
      </w:pPr>
      <w:r>
        <w:rPr>
          <w:rFonts w:ascii="Arial" w:cs="Arial" w:eastAsia="Arial" w:hAnsi="Arial"/>
          <w:sz w:val="17"/>
          <w:szCs w:val="17"/>
          <w:color w:val="auto"/>
        </w:rPr>
        <w:t>Synchronoss’ Messaging platform powers mobile messaging and mailboxes for hundreds of millions of telecommunication subscribers. Our Advanced Messaging platform is a powerful, secure</w:t>
      </w:r>
      <w:r>
        <w:rPr>
          <w:rFonts w:ascii="Arial" w:cs="Arial" w:eastAsia="Arial" w:hAnsi="Arial"/>
          <w:sz w:val="20"/>
          <w:szCs w:val="20"/>
          <w:color w:val="008080"/>
        </w:rPr>
        <w:t>,</w:t>
      </w:r>
      <w:r>
        <w:rPr>
          <w:rFonts w:ascii="Arial" w:cs="Arial" w:eastAsia="Arial" w:hAnsi="Arial"/>
          <w:sz w:val="17"/>
          <w:szCs w:val="17"/>
          <w:color w:val="auto"/>
        </w:rPr>
        <w:t xml:space="preserve"> intelligent, white label messaging platform that expands capabilities for communications service provider and 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227" w:lineRule="exact"/>
        <w:rPr>
          <w:sz w:val="20"/>
          <w:szCs w:val="20"/>
          <w:color w:val="auto"/>
        </w:rPr>
      </w:pPr>
    </w:p>
    <w:p>
      <w:pPr>
        <w:jc w:val="both"/>
        <w:ind w:left="640" w:hanging="315"/>
        <w:spacing w:after="0" w:line="277" w:lineRule="auto"/>
        <w:tabs>
          <w:tab w:leader="none" w:pos="635" w:val="left"/>
        </w:tabs>
        <w:numPr>
          <w:ilvl w:val="0"/>
          <w:numId w:val="5"/>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Advanced Messaging: </w:t>
      </w:r>
      <w:r>
        <w:rPr>
          <w:rFonts w:ascii="Arial" w:cs="Arial" w:eastAsia="Arial" w:hAnsi="Arial"/>
          <w:sz w:val="16"/>
          <w:szCs w:val="16"/>
          <w:color w:val="auto"/>
        </w:rPr>
        <w:t>Our Advanced Messaging platform supports rich messaging channel in both RCS and other Real-Time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(“RTC”) and enables rich, P2P communications and creates new commerce and revenue opportunities across channels via A2P experiences for our customers and other brands. Our messaging platform operates in tandem with Messaging-as-a-Platform (“MaaP”) Messaging Marketplace as well as dedicated, third-party clients and native original equipment manufacturer (“OEM”) clients, providing an end-to-end messaging platform and monetization tools to the operators, Communications-Platform-as-a-Service (“CpaaS”) players and brands.</w:t>
      </w:r>
    </w:p>
    <w:p>
      <w:pPr>
        <w:spacing w:after="0" w:line="241" w:lineRule="exact"/>
        <w:rPr>
          <w:rFonts w:ascii="Arial" w:cs="Arial" w:eastAsia="Arial" w:hAnsi="Arial"/>
          <w:sz w:val="19"/>
          <w:szCs w:val="19"/>
          <w:color w:val="auto"/>
        </w:rPr>
      </w:pPr>
    </w:p>
    <w:p>
      <w:pPr>
        <w:jc w:val="both"/>
        <w:ind w:left="640" w:hanging="315"/>
        <w:spacing w:after="0" w:line="252"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E-Mail: </w:t>
      </w:r>
      <w:r>
        <w:rPr>
          <w:rFonts w:ascii="Arial" w:cs="Arial" w:eastAsia="Arial" w:hAnsi="Arial"/>
          <w:sz w:val="18"/>
          <w:szCs w:val="18"/>
          <w:color w:val="auto"/>
        </w:rPr>
        <w:t>Our Email suite provides service providers with a secure, white label, back-end framework for a branded email service that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introduce and promote services that can be monetized. Our carrier branded Email Suite solution offers leading anti-virus and anti-spam and malware technology to keep the integrity and security of the customer experience and protection of subscriber data to carrier standards. Our Email solution is an important repository for critical communications with an intuitive and feature-rich mobile and desktop email experience ensuring stickiness and increasing customer lifetime value.</w:t>
      </w:r>
    </w:p>
    <w:p>
      <w:pPr>
        <w:spacing w:after="0" w:line="224"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8"/>
          <w:szCs w:val="18"/>
          <w:b w:val="1"/>
          <w:bCs w:val="1"/>
          <w:i w:val="1"/>
          <w:iCs w:val="1"/>
          <w:color w:val="auto"/>
        </w:rPr>
        <w:t xml:space="preserve">OnboardX </w:t>
      </w:r>
      <w:r>
        <w:rPr>
          <w:rFonts w:ascii="Arial" w:cs="Arial" w:eastAsia="Arial" w:hAnsi="Arial"/>
          <w:sz w:val="18"/>
          <w:szCs w:val="18"/>
          <w:color w:val="auto"/>
        </w:rPr>
        <w:t>products simplify subscriber onboarding and drive service adoption at scale</w:t>
      </w:r>
      <w:r>
        <w:rPr>
          <w:rFonts w:ascii="Arial" w:cs="Arial" w:eastAsia="Arial" w:hAnsi="Arial"/>
          <w:sz w:val="21"/>
          <w:szCs w:val="21"/>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impression of a new product or service can either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break your subscriber relationship. A poor onboarding experience leads to revenue losses and customers feeling stranded. Our customizable service activation, content backup, and device setup experiences make onboarding frictionless.</w:t>
      </w:r>
    </w:p>
    <w:p>
      <w:pPr>
        <w:spacing w:after="0" w:line="221" w:lineRule="exact"/>
        <w:rPr>
          <w:sz w:val="20"/>
          <w:szCs w:val="20"/>
          <w:color w:val="auto"/>
        </w:rPr>
      </w:pPr>
    </w:p>
    <w:p>
      <w:pPr>
        <w:jc w:val="both"/>
        <w:ind w:left="640" w:hanging="315"/>
        <w:spacing w:after="0" w:line="253"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8"/>
          <w:szCs w:val="18"/>
          <w:b w:val="1"/>
          <w:bCs w:val="1"/>
          <w:color w:val="auto"/>
        </w:rPr>
        <w:t>Mobile Content Transfer</w:t>
      </w:r>
      <w:r>
        <w:rPr>
          <w:rFonts w:ascii="Arial" w:cs="Arial" w:eastAsia="Arial" w:hAnsi="Arial"/>
          <w:sz w:val="21"/>
          <w:szCs w:val="21"/>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Synchronoss Mobile Content Transfer</w:t>
      </w:r>
      <w:r>
        <w:rPr>
          <w:rFonts w:ascii="Arial" w:cs="Arial" w:eastAsia="Arial" w:hAnsi="Arial"/>
          <w:sz w:val="22"/>
          <w:szCs w:val="22"/>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 is an easy-to-use product whose client enables a secure, peer-to-peer, wireless transfer of content from one mobile smart device to another in a carrier retail location or at home/work, etc. Our solution can transfer select data classes that may include photos, videos, music, messages, documents, contacts, and call logs, across operating systems including iOS and Android.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left="640" w:hanging="315"/>
        <w:spacing w:after="0" w:line="242"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Out of Box Experience: </w:t>
      </w:r>
      <w:r>
        <w:rPr>
          <w:rFonts w:ascii="Arial" w:cs="Arial" w:eastAsia="Arial" w:hAnsi="Arial"/>
          <w:sz w:val="18"/>
          <w:szCs w:val="18"/>
          <w:color w:val="auto"/>
        </w:rPr>
        <w:t>Our Synchronoss Out of Box Experience solution is a device setup solution that assists customers in setting up the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new device, including Wi-Fi, email, social network accounts and voicemail, as well as prompting restoration of content and enrollment in a cloud service. It also offers the ability to highlight programs and revenue generating initiatives during the setup process, such as loyalty programs, third-party partnerships and value-added services.</w:t>
      </w:r>
    </w:p>
    <w:p>
      <w:pPr>
        <w:spacing w:after="0" w:line="22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NetworkX </w:t>
      </w:r>
      <w:r>
        <w:rPr>
          <w:rFonts w:ascii="Arial" w:cs="Arial" w:eastAsia="Arial" w:hAnsi="Arial"/>
          <w:sz w:val="18"/>
          <w:szCs w:val="18"/>
          <w:color w:val="auto"/>
        </w:rPr>
        <w:t>products streamline networks to be more efficient and profitable. In a world where subscribers expect seamless connectivity and zero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interruptions, delivering superior network quality can be complex and costly. Our physical network asset management, off-network procurement, and expense control solutions reduce the complexity and cost of network management.</w:t>
      </w:r>
    </w:p>
    <w:p>
      <w:pPr>
        <w:spacing w:after="0" w:line="21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Synchronoss NetworkX products provide operators with the tools and software to design their physical network, streamline their infrastructure purchases, and manage and optimize comprehensive network expenses for leading top tier carriers around the globe.</w:t>
      </w:r>
    </w:p>
    <w:p>
      <w:pPr>
        <w:spacing w:after="0" w:line="246" w:lineRule="exact"/>
        <w:rPr>
          <w:sz w:val="20"/>
          <w:szCs w:val="20"/>
          <w:color w:val="auto"/>
        </w:rPr>
      </w:pPr>
    </w:p>
    <w:p>
      <w:pPr>
        <w:jc w:val="both"/>
        <w:ind w:left="640" w:hanging="315"/>
        <w:spacing w:after="0" w:line="277" w:lineRule="auto"/>
        <w:tabs>
          <w:tab w:leader="none" w:pos="635" w:val="left"/>
        </w:tabs>
        <w:numPr>
          <w:ilvl w:val="0"/>
          <w:numId w:val="8"/>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spatialNX: </w:t>
      </w:r>
      <w:r>
        <w:rPr>
          <w:rFonts w:ascii="Arial" w:cs="Arial" w:eastAsia="Arial" w:hAnsi="Arial"/>
          <w:sz w:val="16"/>
          <w:szCs w:val="16"/>
          <w:color w:val="auto"/>
        </w:rPr>
        <w:t>Our spatialSUITE provides enterprise-wide access to timely, accurate and comprehensive network information – including physical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 specifications, attributes, connectivity and capacity – for every inside-plant and outside-plant asset. It delivers data across the enterprise to support provisioning, planning and design, construction, fault and event management, work order management, customer service, marketing and</w:t>
      </w:r>
    </w:p>
    <w:p>
      <w:pPr>
        <w:spacing w:after="0" w:line="1" w:lineRule="exact"/>
        <w:rPr>
          <w:rFonts w:ascii="Arial" w:cs="Arial" w:eastAsia="Arial" w:hAnsi="Arial"/>
          <w:sz w:val="19"/>
          <w:szCs w:val="19"/>
          <w:color w:val="auto"/>
        </w:rPr>
      </w:pPr>
    </w:p>
    <w:p>
      <w:pPr>
        <w:ind w:left="640"/>
        <w:spacing w:after="0" w:line="281" w:lineRule="auto"/>
        <w:rPr>
          <w:rFonts w:ascii="Arial" w:cs="Arial" w:eastAsia="Arial" w:hAnsi="Arial"/>
          <w:sz w:val="19"/>
          <w:szCs w:val="19"/>
          <w:color w:val="auto"/>
        </w:rPr>
      </w:pPr>
      <w:r>
        <w:rPr>
          <w:rFonts w:ascii="Arial" w:cs="Arial" w:eastAsia="Arial" w:hAnsi="Arial"/>
          <w:sz w:val="18"/>
          <w:szCs w:val="18"/>
          <w:color w:val="auto"/>
        </w:rPr>
        <w:t>other critical business functions. The automation and ease of integration of our platform is designed to enable our customers to lower the cost of new subscriber acquisitions and enhance the accuracy and reliability of customer transactions.</w:t>
      </w:r>
    </w:p>
    <w:p>
      <w:pPr>
        <w:spacing w:after="0" w:line="233" w:lineRule="exact"/>
        <w:rPr>
          <w:rFonts w:ascii="Arial" w:cs="Arial" w:eastAsia="Arial" w:hAnsi="Arial"/>
          <w:sz w:val="19"/>
          <w:szCs w:val="19"/>
          <w:color w:val="auto"/>
        </w:rPr>
      </w:pPr>
    </w:p>
    <w:p>
      <w:pPr>
        <w:jc w:val="both"/>
        <w:ind w:left="640" w:hanging="315"/>
        <w:spacing w:after="0" w:line="293" w:lineRule="auto"/>
        <w:tabs>
          <w:tab w:leader="none" w:pos="635" w:val="left"/>
        </w:tabs>
        <w:numPr>
          <w:ilvl w:val="0"/>
          <w:numId w:val="8"/>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ConnectNX (iNOW): </w:t>
      </w:r>
      <w:r>
        <w:rPr>
          <w:rFonts w:ascii="Arial" w:cs="Arial" w:eastAsia="Arial" w:hAnsi="Arial"/>
          <w:sz w:val="16"/>
          <w:szCs w:val="16"/>
          <w:color w:val="auto"/>
        </w:rPr>
        <w:t>Our iNOW provisioning system eliminates manual handling of service orders and manages the full order lifecycle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and supplier via automation and rules-based validation. iNOW includes an interface that powers bulk provisioning needs and an open API to seamlessly integrate to other carrier systems. iNOW also provides an electronically bonded gateway platform enabling rapid electronic order</w:t>
      </w:r>
    </w:p>
    <w:p>
      <w:pPr>
        <w:spacing w:after="0" w:line="2" w:lineRule="exact"/>
        <w:rPr>
          <w:rFonts w:ascii="Arial" w:cs="Arial" w:eastAsia="Arial" w:hAnsi="Arial"/>
          <w:sz w:val="19"/>
          <w:szCs w:val="19"/>
          <w:color w:val="auto"/>
        </w:rPr>
      </w:pPr>
    </w:p>
    <w:p>
      <w:pPr>
        <w:ind w:left="640"/>
        <w:spacing w:after="0" w:line="266" w:lineRule="auto"/>
        <w:rPr>
          <w:rFonts w:ascii="Arial" w:cs="Arial" w:eastAsia="Arial" w:hAnsi="Arial"/>
          <w:sz w:val="19"/>
          <w:szCs w:val="19"/>
          <w:color w:val="auto"/>
        </w:rPr>
      </w:pPr>
      <w:r>
        <w:rPr>
          <w:rFonts w:ascii="Arial" w:cs="Arial" w:eastAsia="Arial" w:hAnsi="Arial"/>
          <w:sz w:val="18"/>
          <w:szCs w:val="18"/>
          <w:color w:val="auto"/>
        </w:rPr>
        <w:t>confirmations and status updates between bonded carriers. Finally, completed order information flows to Financial Analytics providing integrated and automated order to billing reconciliation functionality.</w:t>
      </w:r>
    </w:p>
    <w:p>
      <w:pPr>
        <w:spacing w:after="0" w:line="245" w:lineRule="exact"/>
        <w:rPr>
          <w:rFonts w:ascii="Arial" w:cs="Arial" w:eastAsia="Arial" w:hAnsi="Arial"/>
          <w:sz w:val="19"/>
          <w:szCs w:val="19"/>
          <w:color w:val="auto"/>
        </w:rPr>
      </w:pPr>
    </w:p>
    <w:p>
      <w:pPr>
        <w:jc w:val="both"/>
        <w:ind w:left="640" w:right="20" w:hanging="315"/>
        <w:spacing w:after="0" w:line="309" w:lineRule="auto"/>
        <w:tabs>
          <w:tab w:leader="none" w:pos="635" w:val="left"/>
        </w:tabs>
        <w:numPr>
          <w:ilvl w:val="0"/>
          <w:numId w:val="8"/>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ExpenseNX: </w:t>
      </w:r>
      <w:r>
        <w:rPr>
          <w:rFonts w:ascii="Arial" w:cs="Arial" w:eastAsia="Arial" w:hAnsi="Arial"/>
          <w:sz w:val="16"/>
          <w:szCs w:val="16"/>
          <w:color w:val="auto"/>
        </w:rPr>
        <w:t>Our Financial Analytics Platform is a comprehensive application suite that helps operators reduce costs, mitigate risks, enforce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compliance and controls, and increase operational efficiencies. Financial Analytics ingests any supplier invoice (in any format) through a</w:t>
      </w:r>
    </w:p>
    <w:p>
      <w:pPr>
        <w:jc w:val="both"/>
        <w:ind w:left="640"/>
        <w:spacing w:after="0" w:line="256" w:lineRule="auto"/>
        <w:rPr>
          <w:rFonts w:ascii="Arial" w:cs="Arial" w:eastAsia="Arial" w:hAnsi="Arial"/>
          <w:sz w:val="19"/>
          <w:szCs w:val="19"/>
          <w:color w:val="auto"/>
        </w:rPr>
      </w:pPr>
      <w:r>
        <w:rPr>
          <w:rFonts w:ascii="Arial" w:cs="Arial" w:eastAsia="Arial" w:hAnsi="Arial"/>
          <w:sz w:val="18"/>
          <w:szCs w:val="18"/>
          <w:color w:val="auto"/>
        </w:rPr>
        <w:t>unique software-driven process – with 100% of the detail. Invoices are managed via automated audit and payment workflow tightly coupled with a software driven dispute management lifecycle, providing a true procurement-to-payment process on network expenses and disputes across a carrier’s organization.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Deliver - Our Services</w:t>
      </w:r>
    </w:p>
    <w:p>
      <w:pPr>
        <w:spacing w:after="0" w:line="251"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Synchronoss offers professional services including consulting, installation and deployment, configuration, customization, systems integration and support to ensure our customers’ successful deployment and utilization of our products and solutions.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Product Development</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Synchronoss we have focused our product development efforts on expanding the functionality, scalability and security of our products and solutions. We expect our research and development investments to increase as we intend to continue on an aggressive path to develop new features and functionality, upgrade and extend our product offerings and develop new technology.</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rely principally on a combination of trademark, copyright and patent laws in the United States and other jurisdictions in which we do business, as well as confidentiality procedures and contractual provisions, which protect our proprietary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information, technologies and strategies. We also cultivate a culture which encourages creativity and innovation amongst our employees by maintaining a patent award program, hosting events such as an annual Innovation Jam and periodic “hackathons.” We believe this facilitates the development of new features, functionality and products, which are essential to establishing our solutions as the leading solutions in the industry. We enter into proprietary information and invention agreements with all of our employees and consultants during the onboarding process and non-disclosure agreements with all third parties.</w:t>
      </w:r>
    </w:p>
    <w:p>
      <w:pPr>
        <w:spacing w:after="0" w:line="22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In the United States, as of December 31, 2022 we had 71 patents issued and 7 patents pending. Internationally, as of December 31, 2022 we had 75 patents issued and 6 pending. We hold and/or are pursuing patents in the United States, Germany, the United Kingdom, France and Spain and we may seek additional jurisdictions to the extent we determine such coverage is appropriate and cost efficient. Our issued patents cover all aspects of our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including cloud, messaging, e-commerce, and security.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for Our Business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With faster/higher speeds, lower latency, more capacity, enhanced security and better reliability, 5G capabilities will enable new use cases, applications and business models that were not possible before. Consumer demand for these features alone will shape how Operators offer 5G services and Operators in turn have the opportunity to monetize and earn differentiated revenue streams. According to Market Research Future, Mobile Value-Added-Services (“VAS”) are set to hit $309.1 billion by 2025. The transition to 5G provides an opportunity to strengthen their position in the consumer market and function as a service enabler by bundling VAS into premium offers. Service providers should also become service creators by developing new, immersive products under their own brand. In either case (branded and partner services) powering digital bundles and simplifying onboarding, consumption, billing, and authentication of VAS will drive higher adoption of premium 5G service plans and ARPU.</w:t>
      </w:r>
    </w:p>
    <w:p>
      <w:pPr>
        <w:spacing w:after="0" w:line="24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7"/>
          <w:szCs w:val="17"/>
          <w:color w:val="auto"/>
        </w:rPr>
        <w:t>Beyond being a buzz word or strategy, 5G is the next wave in Communication Service Providers’ technological future. In 2023, we expect to see continued adoption of 5G use cases and Operators starting to reap returns on their investment in 5G technology. According to Ericsson</w:t>
      </w:r>
      <w:r>
        <w:rPr>
          <w:rFonts w:ascii="Arial" w:cs="Arial" w:eastAsia="Arial" w:hAnsi="Arial"/>
          <w:sz w:val="22"/>
          <w:szCs w:val="22"/>
          <w:color w:val="auto"/>
          <w:vertAlign w:val="superscript"/>
        </w:rPr>
        <w:t>1</w:t>
      </w:r>
      <w:r>
        <w:rPr>
          <w:rFonts w:ascii="Arial" w:cs="Arial" w:eastAsia="Arial" w:hAnsi="Arial"/>
          <w:sz w:val="17"/>
          <w:szCs w:val="17"/>
          <w:color w:val="auto"/>
        </w:rPr>
        <w:t>, 5G subscriptions grew by 70 million during the first quarter of 2022 to around 620 million and are expected to surpass 1 billion by the end of 2022. In 2027, it is projected that North America will have the highest 5G penetration at 90 percent. 5G adoption among mid-tier smart phones also continues to abound with new devices and capabilities as evidenced by the numerous device demonstrations we saw at Mobile World Congress 2022.</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5G will also usher in many more connected device types. In fact, according to the “Deloitte 2021 Connectivity and Mobile Trends Survey”, the average US household has 25 connected devices across 14 categories, up from 11 categories when last measured in 2019. In addition, the number of connected devices globally is estimated to reach 38.6 billion in 2025, up from 22 billion in 2018. More devices will lead to more vulnerabilities around privacy, data, and hardware protection. Consumers have made it clear; they want to understand and feel confident about how their data is being used. Service providers have proven themselves true stewards of consumer data protection and privacy, and therefore differentiated as the market continues to develop. As the provider of both the mobile network and fixed wireless connectivity, service providers are uniquely positioned to become the trusted end-to-end solution of total protection services for subscribers both at home and on the go. The consumer demand around personal cloud data protection, hardware insurance, home and network security will allow service providers to capitalize on their trusted relationship with consumers.</w:t>
      </w:r>
    </w:p>
    <w:p>
      <w:pPr>
        <w:spacing w:after="0" w:line="200"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As 5G becomes more saturated in the marketplace, it will drive a need to address the growing cyber-risks that ubiquitous, always-on high-speed access present to organizations. Operators have taken steps to secure the technology's transmission or network segments; however, the threats posed by the endpoints connecting to those networks and the data resident upon them provide a unique opportunity to develop technologies to address this gap. The addressable market for device protection and cloud data storage for these connected devices will continue to increase and presents a hole in coverage that the average consumer still needs to recognize. Organizations that provide services and software for 5G networks, providers, and consumers are in an enviable position to offer security services to ensure the integrity and availability of the data generated by those connected devices and security services to protect those devices. Consequently, as we enter the next 12-18 months, operators and providers will look to this whitespace to boost functionality and services for their customers to position themselves as the security provider of choice for consumers for 5G-connected devices.</w:t>
      </w:r>
    </w:p>
    <w:p>
      <w:pPr>
        <w:spacing w:after="0" w:line="20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believe our white label Personal Cloud platform helps service providers accelerate the adoption of 5G service and total protection plans. The next generation Personal Cloud gives operators a new way to create, deliver, engage, and monetize more personalized experiences and offers for their subscribers. When operators have millions of active users leveraging cloud, it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becomes a channel for cross selling security services, insurance, merchandise like prints &amp; gifts, and other carrier services, leading to a significant increase in ARPU. As a result, we are fostering new partnerships, building exciting new capabilities, and now enabling subscribers to protect the home. Giving subscribers the ability to protect hardware investments with insurance plans, protect their families from cyber threats with network-based security services, and their personal content - with cloud, will differentiate the value proposition of 5G service plans and deliver significant brand value for our customers.</w:t>
      </w:r>
    </w:p>
    <w:p>
      <w:pPr>
        <w:spacing w:after="0"/>
        <w:rPr>
          <w:sz w:val="20"/>
          <w:szCs w:val="20"/>
          <w:color w:val="auto"/>
        </w:rPr>
      </w:pPr>
      <w:r>
        <w:rPr>
          <w:rFonts w:ascii="Arial" w:cs="Arial" w:eastAsia="Arial" w:hAnsi="Arial"/>
          <w:sz w:val="18"/>
          <w:szCs w:val="18"/>
          <w:color w:val="auto"/>
        </w:rPr>
        <w:t>_____________________________</w:t>
      </w:r>
    </w:p>
    <w:p>
      <w:pPr>
        <w:spacing w:after="0" w:line="60" w:lineRule="exact"/>
        <w:rPr>
          <w:sz w:val="20"/>
          <w:szCs w:val="20"/>
          <w:color w:val="auto"/>
        </w:rPr>
      </w:pPr>
    </w:p>
    <w:p>
      <w:pPr>
        <w:ind w:left="240" w:hanging="234"/>
        <w:spacing w:after="0"/>
        <w:tabs>
          <w:tab w:leader="none" w:pos="24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Ericsson June 2022 Mobility Report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Competition across our markets is incredibly diverse, dynamic and nuanced in an increasingly interconnected landscape of rapidly changing technologies, evolving industry standards, new product introductions and converging spaces and services.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face the following categories of competitors: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Personal Cloud</w:t>
      </w:r>
    </w:p>
    <w:p>
      <w:pPr>
        <w:spacing w:after="0" w:line="52" w:lineRule="exact"/>
        <w:rPr>
          <w:sz w:val="20"/>
          <w:szCs w:val="20"/>
          <w:color w:val="auto"/>
        </w:rPr>
      </w:pPr>
    </w:p>
    <w:p>
      <w:pPr>
        <w:jc w:val="both"/>
        <w:ind w:left="640" w:hanging="315"/>
        <w:spacing w:after="0" w:line="243"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18"/>
          <w:szCs w:val="18"/>
          <w:u w:val="single" w:color="auto"/>
          <w:color w:val="auto"/>
        </w:rPr>
        <w:t>Over-the-top (“OTT”) Service &amp; Platform Providers</w:t>
      </w:r>
      <w:r>
        <w:rPr>
          <w:rFonts w:ascii="Arial" w:cs="Arial" w:eastAsia="Arial" w:hAnsi="Arial"/>
          <w:sz w:val="18"/>
          <w:szCs w:val="18"/>
          <w:color w:val="auto"/>
        </w:rPr>
        <w:t xml:space="preserve"> - Apple, Google, Dropbox, Box, Microsoft and Amazon all provide personal cloud services closely integrated to their respective technology or service platforms. However, Synchronoss differentiates from these OTT Service and Platform Providers by offering operator-grade white label solutions.</w:t>
      </w:r>
    </w:p>
    <w:p>
      <w:pPr>
        <w:spacing w:after="0" w:line="27" w:lineRule="exact"/>
        <w:rPr>
          <w:rFonts w:ascii="Arial" w:cs="Arial" w:eastAsia="Arial" w:hAnsi="Arial"/>
          <w:sz w:val="21"/>
          <w:szCs w:val="21"/>
          <w:color w:val="auto"/>
        </w:rPr>
      </w:pPr>
    </w:p>
    <w:p>
      <w:pPr>
        <w:jc w:val="both"/>
        <w:ind w:left="640" w:hanging="315"/>
        <w:spacing w:after="0" w:line="256" w:lineRule="auto"/>
        <w:tabs>
          <w:tab w:leader="none" w:pos="635" w:val="left"/>
        </w:tabs>
        <w:numPr>
          <w:ilvl w:val="0"/>
          <w:numId w:val="10"/>
        </w:numPr>
        <w:rPr>
          <w:rFonts w:ascii="Arial" w:cs="Arial" w:eastAsia="Arial" w:hAnsi="Arial"/>
          <w:sz w:val="20"/>
          <w:szCs w:val="20"/>
          <w:color w:val="auto"/>
        </w:rPr>
      </w:pPr>
      <w:r>
        <w:rPr>
          <w:rFonts w:ascii="Arial" w:cs="Arial" w:eastAsia="Arial" w:hAnsi="Arial"/>
          <w:sz w:val="17"/>
          <w:szCs w:val="17"/>
          <w:u w:val="single" w:color="auto"/>
          <w:color w:val="auto"/>
        </w:rPr>
        <w:t>White Label Platform Providers</w:t>
      </w:r>
      <w:r>
        <w:rPr>
          <w:rFonts w:ascii="Arial" w:cs="Arial" w:eastAsia="Arial" w:hAnsi="Arial"/>
          <w:sz w:val="17"/>
          <w:szCs w:val="17"/>
          <w:color w:val="auto"/>
        </w:rPr>
        <w:t xml:space="preserve"> - The field of platform-independent, white label personal cloud providers has consolidated in recent years with Funambol and others competing for Operator distribution deals. However, these providers target second and third tier regional operators with low-risk, revenue share business models and do not generally pose a real threat to Tier 1 world-wide Operators.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Messaging</w:t>
      </w:r>
    </w:p>
    <w:p>
      <w:pPr>
        <w:spacing w:after="0" w:line="23" w:lineRule="exact"/>
        <w:rPr>
          <w:sz w:val="20"/>
          <w:szCs w:val="20"/>
          <w:color w:val="auto"/>
        </w:rPr>
      </w:pPr>
    </w:p>
    <w:p>
      <w:pPr>
        <w:jc w:val="both"/>
        <w:ind w:left="640" w:hanging="315"/>
        <w:spacing w:after="0" w:line="248"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 xml:space="preserve">The emerging RCS marketplace is intensely competitive across the globe. Leading OTT device and </w:t>
      </w:r>
      <w:r>
        <w:rPr>
          <w:rFonts w:ascii="Arial" w:cs="Arial" w:eastAsia="Arial" w:hAnsi="Arial"/>
          <w:sz w:val="21"/>
          <w:szCs w:val="21"/>
          <w:color w:val="auto"/>
        </w:rPr>
        <w:t>OS</w:t>
      </w:r>
      <w:r>
        <w:rPr>
          <w:rFonts w:ascii="Arial" w:cs="Arial" w:eastAsia="Arial" w:hAnsi="Arial"/>
          <w:sz w:val="18"/>
          <w:szCs w:val="18"/>
          <w:color w:val="auto"/>
        </w:rPr>
        <w:t xml:space="preserve"> platform providers Google and Samsung, along with prominent online platform providers such as Facebook, WhatsApp, Instagram, WeChat and LINE have created a radically new market for communication and monetization that is turning “messaging” into a new, virtual OS.</w:t>
      </w:r>
    </w:p>
    <w:p>
      <w:pPr>
        <w:spacing w:after="0" w:line="29" w:lineRule="exact"/>
        <w:rPr>
          <w:rFonts w:ascii="Arial" w:cs="Arial" w:eastAsia="Arial" w:hAnsi="Arial"/>
          <w:sz w:val="21"/>
          <w:szCs w:val="21"/>
          <w:color w:val="auto"/>
        </w:rPr>
      </w:pPr>
    </w:p>
    <w:p>
      <w:pPr>
        <w:jc w:val="both"/>
        <w:ind w:left="640" w:hanging="315"/>
        <w:spacing w:after="0" w:line="241"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Our Email suite provides service providers with a secure, white-label, back-end framework for a branded email service that provides the opportunity to introduce and promote services that can be monetized. Our carrier branded Email Suite solution offers leading anti-virus and anti-spam and malware technology to keep the integrity and security of the customer experience and protection of subscriber data to carrier standards. Our Email solution is an important repository for critical communications with an intuitive and feature-rich mobile and desktop email experience ensuring stickiness and increasing customer lifetime value.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Digital Products</w:t>
      </w:r>
    </w:p>
    <w:p>
      <w:pPr>
        <w:spacing w:after="0" w:line="34" w:lineRule="exact"/>
        <w:rPr>
          <w:sz w:val="20"/>
          <w:szCs w:val="20"/>
          <w:color w:val="auto"/>
        </w:rPr>
      </w:pPr>
    </w:p>
    <w:p>
      <w:pPr>
        <w:ind w:left="640" w:hanging="315"/>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u w:val="single" w:color="auto"/>
          <w:color w:val="auto"/>
        </w:rPr>
        <w:t>Telecom Expense Management (TEM) Providers</w:t>
      </w:r>
      <w:r>
        <w:rPr>
          <w:rFonts w:ascii="Arial" w:cs="Arial" w:eastAsia="Arial" w:hAnsi="Arial"/>
          <w:sz w:val="18"/>
          <w:szCs w:val="18"/>
          <w:color w:val="auto"/>
        </w:rPr>
        <w:t xml:space="preserve"> –</w:t>
      </w:r>
    </w:p>
    <w:p>
      <w:pPr>
        <w:spacing w:after="0" w:line="28" w:lineRule="exact"/>
        <w:rPr>
          <w:rFonts w:ascii="Arial" w:cs="Arial" w:eastAsia="Arial" w:hAnsi="Arial"/>
          <w:sz w:val="21"/>
          <w:szCs w:val="21"/>
          <w:color w:val="auto"/>
        </w:rPr>
      </w:pPr>
    </w:p>
    <w:p>
      <w:pPr>
        <w:jc w:val="both"/>
        <w:ind w:left="1280" w:hanging="316"/>
        <w:spacing w:after="0" w:line="237" w:lineRule="auto"/>
        <w:tabs>
          <w:tab w:leader="none" w:pos="1276" w:val="left"/>
        </w:tabs>
        <w:numPr>
          <w:ilvl w:val="1"/>
          <w:numId w:val="12"/>
        </w:numPr>
        <w:rPr>
          <w:rFonts w:ascii="Arial" w:cs="Arial" w:eastAsia="Arial" w:hAnsi="Arial"/>
          <w:sz w:val="21"/>
          <w:szCs w:val="21"/>
          <w:color w:val="auto"/>
        </w:rPr>
      </w:pPr>
      <w:r>
        <w:rPr>
          <w:rFonts w:ascii="Arial" w:cs="Arial" w:eastAsia="Arial" w:hAnsi="Arial"/>
          <w:sz w:val="18"/>
          <w:szCs w:val="18"/>
          <w:color w:val="auto"/>
        </w:rPr>
        <w:t>TEOCO and Tangoe are two major providers that offer wholesale and retail TEM software and services. Each of these vendors have large customers/contracts to better account, reconcile and pay out on vendor contracts, network circuits, roaming agreements and other complex expense areas.</w:t>
      </w:r>
    </w:p>
    <w:p>
      <w:pPr>
        <w:spacing w:after="0" w:line="13" w:lineRule="exact"/>
        <w:rPr>
          <w:rFonts w:ascii="Arial" w:cs="Arial" w:eastAsia="Arial" w:hAnsi="Arial"/>
          <w:sz w:val="21"/>
          <w:szCs w:val="21"/>
          <w:color w:val="auto"/>
        </w:rPr>
      </w:pPr>
    </w:p>
    <w:p>
      <w:pPr>
        <w:ind w:left="640" w:hanging="315"/>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u w:val="single" w:color="auto"/>
          <w:color w:val="auto"/>
        </w:rPr>
        <w:t>Telecom Service Order Management Providers</w:t>
      </w:r>
      <w:r>
        <w:rPr>
          <w:rFonts w:ascii="Arial" w:cs="Arial" w:eastAsia="Arial" w:hAnsi="Arial"/>
          <w:sz w:val="18"/>
          <w:szCs w:val="18"/>
          <w:color w:val="auto"/>
        </w:rPr>
        <w:t xml:space="preserve"> –</w:t>
      </w:r>
    </w:p>
    <w:p>
      <w:pPr>
        <w:spacing w:after="0" w:line="24" w:lineRule="exact"/>
        <w:rPr>
          <w:rFonts w:ascii="Arial" w:cs="Arial" w:eastAsia="Arial" w:hAnsi="Arial"/>
          <w:sz w:val="21"/>
          <w:szCs w:val="21"/>
          <w:color w:val="auto"/>
        </w:rPr>
      </w:pPr>
    </w:p>
    <w:p>
      <w:pPr>
        <w:ind w:left="1280" w:hanging="316"/>
        <w:spacing w:after="0"/>
        <w:tabs>
          <w:tab w:leader="none" w:pos="1280" w:val="left"/>
        </w:tabs>
        <w:numPr>
          <w:ilvl w:val="1"/>
          <w:numId w:val="12"/>
        </w:numPr>
        <w:rPr>
          <w:rFonts w:ascii="Arial" w:cs="Arial" w:eastAsia="Arial" w:hAnsi="Arial"/>
          <w:sz w:val="21"/>
          <w:szCs w:val="21"/>
          <w:color w:val="auto"/>
        </w:rPr>
      </w:pPr>
      <w:r>
        <w:rPr>
          <w:rFonts w:ascii="Arial" w:cs="Arial" w:eastAsia="Arial" w:hAnsi="Arial"/>
          <w:sz w:val="18"/>
          <w:szCs w:val="18"/>
          <w:color w:val="auto"/>
        </w:rPr>
        <w:t>Neustar supports major providers with software that handles the full order lifecycle of telecommunications service orders.</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12"/>
        </w:numPr>
        <w:rPr>
          <w:rFonts w:ascii="Arial" w:cs="Arial" w:eastAsia="Arial" w:hAnsi="Arial"/>
          <w:sz w:val="21"/>
          <w:szCs w:val="21"/>
          <w:color w:val="auto"/>
        </w:rPr>
      </w:pPr>
      <w:r>
        <w:rPr>
          <w:rFonts w:ascii="Arial" w:cs="Arial" w:eastAsia="Arial" w:hAnsi="Arial"/>
          <w:sz w:val="18"/>
          <w:szCs w:val="18"/>
          <w:color w:val="auto"/>
        </w:rPr>
        <w:t>Order management applications and processes developed/utilized by Operators also present competition.</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u w:val="single" w:color="auto"/>
          <w:color w:val="auto"/>
        </w:rPr>
        <w:t>Geospatial Network Planning Providers</w:t>
      </w:r>
      <w:r>
        <w:rPr>
          <w:rFonts w:ascii="Arial" w:cs="Arial" w:eastAsia="Arial" w:hAnsi="Arial"/>
          <w:sz w:val="18"/>
          <w:szCs w:val="18"/>
          <w:color w:val="auto"/>
        </w:rPr>
        <w:t xml:space="preserve"> –</w:t>
      </w:r>
    </w:p>
    <w:p>
      <w:pPr>
        <w:spacing w:after="0" w:line="27" w:lineRule="exact"/>
        <w:rPr>
          <w:rFonts w:ascii="Arial" w:cs="Arial" w:eastAsia="Arial" w:hAnsi="Arial"/>
          <w:sz w:val="21"/>
          <w:szCs w:val="21"/>
          <w:color w:val="auto"/>
        </w:rPr>
      </w:pPr>
    </w:p>
    <w:p>
      <w:pPr>
        <w:ind w:left="1280" w:hanging="316"/>
        <w:spacing w:after="0" w:line="233" w:lineRule="auto"/>
        <w:tabs>
          <w:tab w:leader="none" w:pos="1289" w:val="left"/>
        </w:tabs>
        <w:numPr>
          <w:ilvl w:val="1"/>
          <w:numId w:val="12"/>
        </w:numPr>
        <w:rPr>
          <w:rFonts w:ascii="Arial" w:cs="Arial" w:eastAsia="Arial" w:hAnsi="Arial"/>
          <w:sz w:val="21"/>
          <w:szCs w:val="21"/>
          <w:color w:val="auto"/>
        </w:rPr>
      </w:pPr>
      <w:r>
        <w:rPr>
          <w:rFonts w:ascii="Arial" w:cs="Arial" w:eastAsia="Arial" w:hAnsi="Arial"/>
          <w:sz w:val="18"/>
          <w:szCs w:val="18"/>
          <w:color w:val="auto"/>
        </w:rPr>
        <w:t>Major providers of software that manage the planning and design of physical communication networks include Bentley, GE Smallworld, and 3-GIS.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To compete against global platform providers, we offer a collection of products that help to keep subscribers, systems, networks, and content in sync to enable a better, more engaging experience. Our white label products enable subscribers to connect with one another, the networks they rely on, the brands they love and the services they need. We believe we compete favorably through our differentiated product capabilities, vast reach across global markets, and our 20+ years of experience building carrier grade solutions that are proven to scale.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and Certifications</w:t>
      </w:r>
    </w:p>
    <w:p>
      <w:pPr>
        <w:spacing w:after="0" w:line="238"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We obtain third-party reviews of our controls relating to security. Our Synchronoss white label Personal Cloud has been certified to be compliant with the Service Organization Controls (SOC) 2 type II audit that tests the design and operating effectiveness of controls over time. An independent auditor tests these controls annually and addresses, among other areas, the environmental and physical safeguards for production data centers, legal controls, change management and logical security. In addition, our Financial Analytics hosted solution is certified to be compliant with a SOC 1 type II audit that tests the design and effectiveness of controls related to our customers’ use of this service in financial reporting. Finally, our operations in Bangalore are certified under ISO27000, ensuring best practices for information security management, and ISO9000, ensuring quality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Synchronoss, we believe that our growth and success are attributable in large part to our diverse employee base and an experienced management team, with a mission to make Synchronoss a great place to work. We continue to invest in our employees, as well as developing and promoting our team-oriented culture, and believe that these efforts provide us with a sustainable competitive advantage.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we had 1,391 full-time employees located in India, North America, Europe, and Asia Pacific regions.</w:t>
      </w:r>
    </w:p>
    <w:p>
      <w:pPr>
        <w:spacing w:after="0" w:line="232" w:lineRule="exact"/>
        <w:rPr>
          <w:sz w:val="20"/>
          <w:szCs w:val="20"/>
          <w:color w:val="auto"/>
        </w:rPr>
      </w:pPr>
    </w:p>
    <w:p>
      <w:pPr>
        <w:jc w:val="both"/>
        <w:ind w:firstLine="319"/>
        <w:spacing w:after="0" w:line="238" w:lineRule="auto"/>
        <w:rPr>
          <w:sz w:val="20"/>
          <w:szCs w:val="20"/>
          <w:color w:val="auto"/>
        </w:rPr>
      </w:pPr>
      <w:r>
        <w:rPr>
          <w:rFonts w:ascii="Arial" w:cs="Arial" w:eastAsia="Arial" w:hAnsi="Arial"/>
          <w:sz w:val="18"/>
          <w:szCs w:val="18"/>
          <w:color w:val="auto"/>
        </w:rPr>
        <w:t>We have a purpose-driven culture, with a focus on employee input and well-being, which we believe enables us to attract and retain exceptional talent. We have moved to a flexible work policy, providing the majority of our employees the flexibility to work remotely from off-site locations at their election. We offer learning and development programs for all employees. Employees are able to actively voice their questions and thoughts through many internal channels, including our company town hall meetings and employee engagement surveys.</w:t>
      </w:r>
    </w:p>
    <w:p>
      <w:pPr>
        <w:spacing w:after="0" w:line="229"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With a continued focus on employee engagement, we formed a global Diversity, Equity, and Inclusion (DE&amp;I) committee, laying the groundwork to embed DE&amp;I as part of our corporate culture and pave the way for a more comprehensive program. We took initial steps in this space through formal trainings, employee communications, and updating our corporate language to be more inclusive, aligned with industry’s best practices, and compatible with our DE&amp;I philosophy. More recently, we launched a series of employee initiatives designed to strengthen employee morale, with more to come in this area. We also launched the Sync Cares program in 2022 to bring employees and leadership together to lend their time and talent to support causes and communities around the globe. In our initial year hundreds of our employees volunteered and contributed a total of over 450 hours to 15 organizations in the global communities in which we do business.</w:t>
      </w:r>
    </w:p>
    <w:p>
      <w:pPr>
        <w:spacing w:after="0" w:line="22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From a total rewards perspective, Synchronoss offers a competitive compensation and benefits package, which we review and update each year. Our annual compensation planning coincides with our feedback cycle where employees and managers have performance conversations to facilitate learning and career development. As part of our compensation review program, we conduct pay equity analyses annually.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3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were incorporated in Delaware in 2000. Our principal offices are located at 200 Crossing Boulevard, Bridgewater, New Jersey. We completed our initial public offering in 2006, and our common stock is listed on the NASDAQ Global Select Market under the symbol “SNCR” and our Senior Notes as listed on the NASDAQ Global Select Market under the symbol “SNCRL.”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u w:val="single" w:color="auto"/>
          <w:color w:val="3051F2"/>
        </w:rPr>
        <w:t>www.synchronoss.com</w:t>
      </w:r>
      <w:r>
        <w:rPr>
          <w:rFonts w:ascii="Arial" w:cs="Arial" w:eastAsia="Arial" w:hAnsi="Arial"/>
          <w:sz w:val="18"/>
          <w:szCs w:val="18"/>
          <w:color w:val="auto"/>
        </w:rPr>
        <w:t xml:space="preserve"> and our investor relations website is located at https://synchronosstechnologiesinc.gcs-web.com/. We have used, and intend to continue to use, our investor relations website as 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t>
      </w:r>
      <w:r>
        <w:rPr>
          <w:rFonts w:ascii="Arial" w:cs="Arial" w:eastAsia="Arial" w:hAnsi="Arial"/>
          <w:sz w:val="16"/>
          <w:szCs w:val="16"/>
          <w:u w:val="single" w:color="auto"/>
          <w:color w:val="3051F2"/>
        </w:rPr>
        <w:t>www.sec.gov</w:t>
      </w:r>
      <w:r>
        <w:rPr>
          <w:rFonts w:ascii="Arial" w:cs="Arial" w:eastAsia="Arial" w:hAnsi="Arial"/>
          <w:sz w:val="16"/>
          <w:szCs w:val="16"/>
          <w:color w:val="auto"/>
        </w:rPr>
        <w:t>. The contents of these websites are not incorporated into this filing. Further, the Company’s references to the URLs for these websites are intended to be inactive textual references only.</w:t>
      </w:r>
    </w:p>
    <w:p>
      <w:pPr>
        <w:spacing w:after="0" w:line="187"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6"/>
          <w:szCs w:val="16"/>
          <w:color w:val="auto"/>
        </w:rPr>
        <w:t>Synchronoss and Synchronoss Personal Cloud</w:t>
      </w:r>
      <w:r>
        <w:rPr>
          <w:rFonts w:ascii="Arial" w:cs="Arial" w:eastAsia="Arial" w:hAnsi="Arial"/>
          <w:sz w:val="21"/>
          <w:szCs w:val="21"/>
          <w:b w:val="1"/>
          <w:bCs w:val="1"/>
          <w:color w:val="auto"/>
          <w:vertAlign w:val="superscript"/>
        </w:rPr>
        <w:t>TM</w:t>
      </w:r>
      <w:r>
        <w:rPr>
          <w:rFonts w:ascii="Arial" w:cs="Arial" w:eastAsia="Arial" w:hAnsi="Arial"/>
          <w:sz w:val="16"/>
          <w:szCs w:val="16"/>
          <w:color w:val="auto"/>
        </w:rPr>
        <w:t xml:space="preserve"> and other trademarks of Synchronoss appearing in this Form 10-K are the property of Synchronoss. Other trademarks or service marks that may appear in this Annual Report are the property of their respective holders. Solely for convenience, the trademarks and trade names in this Annual Report are sometimes referred to without the ®, ™ and SM symbols, but such references should not be construed as any indicator that their respective owners will not assert, to the fullest extent under applicable law, their rights thereto.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i w:val="1"/>
          <w:iCs w:val="1"/>
          <w:color w:val="auto"/>
        </w:rPr>
        <w:t>An investment in our securities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securities could decline, and our investors may lose part or all of their investment.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3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Risks</w:t>
      </w:r>
    </w:p>
    <w:p>
      <w:pPr>
        <w:spacing w:after="0" w:line="285" w:lineRule="exact"/>
        <w:rPr>
          <w:sz w:val="20"/>
          <w:szCs w:val="20"/>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business may not generate sufficient cash flows from operations or future borrowings may not be available in amounts sufficient to enable us to fund liquidity needs or capital expenditures.</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revenue, earnings and profitability are affected by the length of our sales cycle, and a longer sales cycle could adversely affect our results of operations and financial condition.</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we do not meet our revenue forecasts, we may be unable to reduce our expenses in a timely fashion to avoid or minimize harm to our results of operations.</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traditionally have had substantial customer concentration, with a limited number of customers accounting for a substantial portion of our revenue.</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are subject to credit risk and other risks associated with our accounts receivable securitization facility.</w:t>
      </w:r>
    </w:p>
    <w:p>
      <w:pPr>
        <w:spacing w:after="0" w:line="42"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Fluctuations in foreign currency exchange rates could result in foreign currency transaction losses, which could harm our operating results and financial condition.</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must recruit and retain our key management and other key personnel and our failure to recruit and retain qualified employees could have a negative impact on our business.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Many of our products are complex and may contain defects that are detected only after deployment.</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Failure to maintain the confidentiality, integrity and availability of our systems, software and solutions could seriously damage our reputation and affect our ability to retain customers and attract new business.</w:t>
      </w:r>
    </w:p>
    <w:p>
      <w:pPr>
        <w:spacing w:after="0" w:line="29" w:lineRule="exact"/>
        <w:rPr>
          <w:rFonts w:ascii="Arial" w:cs="Arial" w:eastAsia="Arial" w:hAnsi="Arial"/>
          <w:sz w:val="21"/>
          <w:szCs w:val="21"/>
          <w:color w:val="auto"/>
        </w:rPr>
      </w:pPr>
    </w:p>
    <w:p>
      <w:pPr>
        <w:ind w:left="640" w:hanging="315"/>
        <w:spacing w:after="0" w:line="258" w:lineRule="auto"/>
        <w:tabs>
          <w:tab w:leader="none" w:pos="635" w:val="left"/>
        </w:tabs>
        <w:numPr>
          <w:ilvl w:val="0"/>
          <w:numId w:val="13"/>
        </w:numPr>
        <w:rPr>
          <w:rFonts w:ascii="Arial" w:cs="Arial" w:eastAsia="Arial" w:hAnsi="Arial"/>
          <w:sz w:val="20"/>
          <w:szCs w:val="20"/>
          <w:color w:val="auto"/>
        </w:rPr>
      </w:pPr>
      <w:r>
        <w:rPr>
          <w:rFonts w:ascii="Arial" w:cs="Arial" w:eastAsia="Arial" w:hAnsi="Arial"/>
          <w:sz w:val="17"/>
          <w:szCs w:val="17"/>
          <w:color w:val="auto"/>
        </w:rPr>
        <w:t>The quality of our support and services offerings is important to our customers and if we fail to meet out service level obligations under our service level agreements or otherwise fail to offer quality support and services, we would be subject to penalties and could lose customers.</w:t>
      </w:r>
    </w:p>
    <w:p>
      <w:pPr>
        <w:spacing w:after="0" w:line="21" w:lineRule="exact"/>
        <w:rPr>
          <w:rFonts w:ascii="Arial" w:cs="Arial" w:eastAsia="Arial" w:hAnsi="Arial"/>
          <w:sz w:val="20"/>
          <w:szCs w:val="20"/>
          <w:color w:val="auto"/>
        </w:rPr>
      </w:pPr>
    </w:p>
    <w:p>
      <w:pPr>
        <w:ind w:left="640" w:hanging="315"/>
        <w:spacing w:after="0" w:line="233"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reliance on third-party providers for communications software, services, hardware and infrastructure exposes us to a variety of risks we cannot control.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40" w:hanging="315"/>
        <w:spacing w:after="0" w:line="233" w:lineRule="auto"/>
        <w:tabs>
          <w:tab w:leader="none" w:pos="635" w:val="left"/>
        </w:tabs>
        <w:numPr>
          <w:ilvl w:val="0"/>
          <w:numId w:val="14"/>
        </w:numPr>
        <w:rPr>
          <w:rFonts w:ascii="Arial" w:cs="Arial" w:eastAsia="Arial" w:hAnsi="Arial"/>
          <w:sz w:val="21"/>
          <w:szCs w:val="21"/>
          <w:color w:val="auto"/>
        </w:rPr>
      </w:pPr>
      <w:r>
        <w:rPr>
          <w:rFonts w:ascii="Arial" w:cs="Arial" w:eastAsia="Arial" w:hAnsi="Arial"/>
          <w:sz w:val="18"/>
          <w:szCs w:val="18"/>
          <w:color w:val="auto"/>
        </w:rPr>
        <w:t>Downgrades in our credit ratings may increase our future borrowing costs, limit our ability to raise capital, cause our stock price to decline, any of which could have a material adverse impact on our business.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Our insurance policies, including general liability, errors and omissions and cyber insurance, may not totally protect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267" w:lineRule="exact"/>
        <w:rPr>
          <w:sz w:val="20"/>
          <w:szCs w:val="20"/>
          <w:color w:val="auto"/>
        </w:rPr>
      </w:pPr>
    </w:p>
    <w:p>
      <w:pPr>
        <w:ind w:left="640" w:hanging="315"/>
        <w:spacing w:after="0"/>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The financial and operating difficulties in the telecommunications sector may negatively affect our customers and our business.</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5"/>
        </w:numPr>
        <w:rPr>
          <w:rFonts w:ascii="Arial" w:cs="Arial" w:eastAsia="Arial" w:hAnsi="Arial"/>
          <w:sz w:val="21"/>
          <w:szCs w:val="21"/>
          <w:color w:val="auto"/>
        </w:rPr>
      </w:pPr>
      <w:r>
        <w:rPr>
          <w:rFonts w:ascii="Arial" w:cs="Arial" w:eastAsia="Arial" w:hAnsi="Arial"/>
          <w:sz w:val="18"/>
          <w:szCs w:val="18"/>
          <w:color w:val="auto"/>
        </w:rPr>
        <w:t>The success of our business depends on the continued growth in demand for connected devices and the continued availability of high-speed access to the Internet.</w:t>
      </w:r>
    </w:p>
    <w:p>
      <w:pPr>
        <w:spacing w:after="0" w:line="29" w:lineRule="exact"/>
        <w:rPr>
          <w:rFonts w:ascii="Arial" w:cs="Arial" w:eastAsia="Arial" w:hAnsi="Arial"/>
          <w:sz w:val="21"/>
          <w:szCs w:val="21"/>
          <w:color w:val="auto"/>
        </w:rPr>
      </w:pPr>
    </w:p>
    <w:p>
      <w:pPr>
        <w:ind w:left="640" w:hanging="315"/>
        <w:spacing w:after="0"/>
        <w:tabs>
          <w:tab w:leader="none" w:pos="640" w:val="left"/>
        </w:tabs>
        <w:numPr>
          <w:ilvl w:val="0"/>
          <w:numId w:val="15"/>
        </w:numPr>
        <w:rPr>
          <w:rFonts w:ascii="Arial" w:cs="Arial" w:eastAsia="Arial" w:hAnsi="Arial"/>
          <w:sz w:val="19"/>
          <w:szCs w:val="19"/>
          <w:color w:val="auto"/>
        </w:rPr>
      </w:pPr>
      <w:r>
        <w:rPr>
          <w:rFonts w:ascii="Arial" w:cs="Arial" w:eastAsia="Arial" w:hAnsi="Arial"/>
          <w:sz w:val="16"/>
          <w:szCs w:val="16"/>
          <w:color w:val="auto"/>
        </w:rPr>
        <w:t>The SaaS pricing model is evolving and our failure to manage its evolution and demand could lead to lower than expected revenue and profit.</w:t>
      </w:r>
    </w:p>
    <w:p>
      <w:pPr>
        <w:spacing w:after="0" w:line="34" w:lineRule="exact"/>
        <w:rPr>
          <w:rFonts w:ascii="Arial" w:cs="Arial" w:eastAsia="Arial" w:hAnsi="Arial"/>
          <w:sz w:val="19"/>
          <w:szCs w:val="19"/>
          <w:color w:val="auto"/>
        </w:rPr>
      </w:pPr>
    </w:p>
    <w:p>
      <w:pPr>
        <w:ind w:left="640" w:hanging="315"/>
        <w:spacing w:after="0" w:line="233" w:lineRule="auto"/>
        <w:tabs>
          <w:tab w:leader="none" w:pos="635" w:val="left"/>
        </w:tabs>
        <w:numPr>
          <w:ilvl w:val="0"/>
          <w:numId w:val="15"/>
        </w:numPr>
        <w:rPr>
          <w:rFonts w:ascii="Arial" w:cs="Arial" w:eastAsia="Arial" w:hAnsi="Arial"/>
          <w:sz w:val="21"/>
          <w:szCs w:val="21"/>
          <w:color w:val="auto"/>
        </w:rPr>
      </w:pPr>
      <w:r>
        <w:rPr>
          <w:rFonts w:ascii="Arial" w:cs="Arial" w:eastAsia="Arial" w:hAnsi="Arial"/>
          <w:sz w:val="18"/>
          <w:szCs w:val="18"/>
          <w:color w:val="auto"/>
        </w:rPr>
        <w:t>Our business depends substantially on customers renewing and expanding their subscriptions for our services. Any decline in our customer renewal and expansions would harm our operating results.</w:t>
      </w:r>
    </w:p>
    <w:p>
      <w:pPr>
        <w:spacing w:after="0" w:line="29" w:lineRule="exact"/>
        <w:rPr>
          <w:rFonts w:ascii="Arial" w:cs="Arial" w:eastAsia="Arial" w:hAnsi="Arial"/>
          <w:sz w:val="21"/>
          <w:szCs w:val="21"/>
          <w:color w:val="auto"/>
        </w:rPr>
      </w:pPr>
    </w:p>
    <w:p>
      <w:pPr>
        <w:ind w:left="640" w:hanging="315"/>
        <w:spacing w:after="0" w:line="241" w:lineRule="auto"/>
        <w:tabs>
          <w:tab w:leader="none" w:pos="635" w:val="left"/>
        </w:tabs>
        <w:numPr>
          <w:ilvl w:val="0"/>
          <w:numId w:val="15"/>
        </w:numPr>
        <w:rPr>
          <w:rFonts w:ascii="Arial" w:cs="Arial" w:eastAsia="Arial" w:hAnsi="Arial"/>
          <w:sz w:val="21"/>
          <w:szCs w:val="21"/>
          <w:color w:val="auto"/>
        </w:rPr>
      </w:pPr>
      <w:r>
        <w:rPr>
          <w:rFonts w:ascii="Arial" w:cs="Arial" w:eastAsia="Arial" w:hAnsi="Arial"/>
          <w:sz w:val="18"/>
          <w:szCs w:val="18"/>
          <w:color w:val="auto"/>
        </w:rPr>
        <w:t>The markets in which we market and sell our products and services are highly competitive, and if we do not adapt to rapid technological change, we could lose customers or market share, which could adversely affect our ability to sustain or grow revenue.</w:t>
      </w:r>
    </w:p>
    <w:p>
      <w:pPr>
        <w:spacing w:after="0" w:line="28" w:lineRule="exact"/>
        <w:rPr>
          <w:rFonts w:ascii="Arial" w:cs="Arial" w:eastAsia="Arial" w:hAnsi="Arial"/>
          <w:sz w:val="21"/>
          <w:szCs w:val="21"/>
          <w:color w:val="auto"/>
        </w:rPr>
      </w:pPr>
    </w:p>
    <w:p>
      <w:pPr>
        <w:ind w:left="640" w:right="20" w:hanging="315"/>
        <w:spacing w:after="0" w:line="233" w:lineRule="auto"/>
        <w:tabs>
          <w:tab w:leader="none" w:pos="635" w:val="left"/>
        </w:tabs>
        <w:numPr>
          <w:ilvl w:val="0"/>
          <w:numId w:val="15"/>
        </w:numPr>
        <w:rPr>
          <w:rFonts w:ascii="Arial" w:cs="Arial" w:eastAsia="Arial" w:hAnsi="Arial"/>
          <w:sz w:val="21"/>
          <w:szCs w:val="21"/>
          <w:color w:val="auto"/>
        </w:rPr>
      </w:pPr>
      <w:r>
        <w:rPr>
          <w:rFonts w:ascii="Arial" w:cs="Arial" w:eastAsia="Arial" w:hAnsi="Arial"/>
          <w:sz w:val="18"/>
          <w:szCs w:val="18"/>
          <w:color w:val="auto"/>
        </w:rPr>
        <w:t>Consolidation in the telecommunications, media, technology industry and other industries that we serve can reduce the number of actual and potential customers and adversely affect our business.</w:t>
      </w:r>
    </w:p>
    <w:p>
      <w:pPr>
        <w:spacing w:after="0" w:line="29" w:lineRule="exact"/>
        <w:rPr>
          <w:rFonts w:ascii="Arial" w:cs="Arial" w:eastAsia="Arial" w:hAnsi="Arial"/>
          <w:sz w:val="21"/>
          <w:szCs w:val="21"/>
          <w:color w:val="auto"/>
        </w:rPr>
      </w:pPr>
    </w:p>
    <w:p>
      <w:pPr>
        <w:ind w:left="640" w:right="20" w:hanging="315"/>
        <w:spacing w:after="0" w:line="233" w:lineRule="auto"/>
        <w:tabs>
          <w:tab w:leader="none" w:pos="635" w:val="left"/>
        </w:tabs>
        <w:numPr>
          <w:ilvl w:val="0"/>
          <w:numId w:val="15"/>
        </w:numPr>
        <w:rPr>
          <w:rFonts w:ascii="Arial" w:cs="Arial" w:eastAsia="Arial" w:hAnsi="Arial"/>
          <w:sz w:val="21"/>
          <w:szCs w:val="21"/>
          <w:color w:val="auto"/>
        </w:rPr>
      </w:pPr>
      <w:r>
        <w:rPr>
          <w:rFonts w:ascii="Arial" w:cs="Arial" w:eastAsia="Arial" w:hAnsi="Arial"/>
          <w:sz w:val="18"/>
          <w:szCs w:val="18"/>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Regulatory and Compliance Risks</w:t>
      </w:r>
    </w:p>
    <w:p>
      <w:pPr>
        <w:spacing w:after="0" w:line="285" w:lineRule="exact"/>
        <w:rPr>
          <w:sz w:val="20"/>
          <w:szCs w:val="20"/>
          <w:color w:val="auto"/>
        </w:rPr>
      </w:pPr>
    </w:p>
    <w:p>
      <w:pPr>
        <w:ind w:left="640" w:hanging="315"/>
        <w:spacing w:after="0" w:line="233" w:lineRule="auto"/>
        <w:tabs>
          <w:tab w:leader="none" w:pos="635" w:val="left"/>
        </w:tabs>
        <w:numPr>
          <w:ilvl w:val="0"/>
          <w:numId w:val="16"/>
        </w:numPr>
        <w:rPr>
          <w:rFonts w:ascii="Arial" w:cs="Arial" w:eastAsia="Arial" w:hAnsi="Arial"/>
          <w:sz w:val="21"/>
          <w:szCs w:val="21"/>
          <w:color w:val="auto"/>
        </w:rPr>
      </w:pPr>
      <w:r>
        <w:rPr>
          <w:rFonts w:ascii="Arial" w:cs="Arial" w:eastAsia="Arial" w:hAnsi="Arial"/>
          <w:sz w:val="18"/>
          <w:szCs w:val="18"/>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6"/>
        </w:numPr>
        <w:rPr>
          <w:rFonts w:ascii="Arial" w:cs="Arial" w:eastAsia="Arial" w:hAnsi="Arial"/>
          <w:sz w:val="21"/>
          <w:szCs w:val="21"/>
          <w:color w:val="auto"/>
        </w:rPr>
      </w:pPr>
      <w:r>
        <w:rPr>
          <w:rFonts w:ascii="Arial" w:cs="Arial" w:eastAsia="Arial" w:hAnsi="Arial"/>
          <w:sz w:val="18"/>
          <w:szCs w:val="18"/>
          <w:color w:val="auto"/>
        </w:rPr>
        <w:t>Changes in laws, regulations or governmental policy applicable to our customers or potential customers may decrease the demand for our solutions or increase our costs.</w:t>
      </w:r>
    </w:p>
    <w:p>
      <w:pPr>
        <w:spacing w:after="0" w:line="29" w:lineRule="exact"/>
        <w:rPr>
          <w:rFonts w:ascii="Arial" w:cs="Arial" w:eastAsia="Arial" w:hAnsi="Arial"/>
          <w:sz w:val="21"/>
          <w:szCs w:val="21"/>
          <w:color w:val="auto"/>
        </w:rPr>
      </w:pPr>
    </w:p>
    <w:p>
      <w:pPr>
        <w:ind w:left="640" w:right="20" w:hanging="315"/>
        <w:spacing w:after="0" w:line="241" w:lineRule="auto"/>
        <w:tabs>
          <w:tab w:leader="none" w:pos="635" w:val="left"/>
        </w:tabs>
        <w:numPr>
          <w:ilvl w:val="0"/>
          <w:numId w:val="16"/>
        </w:numPr>
        <w:rPr>
          <w:rFonts w:ascii="Arial" w:cs="Arial" w:eastAsia="Arial" w:hAnsi="Arial"/>
          <w:sz w:val="21"/>
          <w:szCs w:val="21"/>
          <w:color w:val="auto"/>
        </w:rPr>
      </w:pPr>
      <w:r>
        <w:rPr>
          <w:rFonts w:ascii="Arial" w:cs="Arial" w:eastAsia="Arial" w:hAnsi="Arial"/>
          <w:sz w:val="18"/>
          <w:szCs w:val="18"/>
          <w:color w:val="auto"/>
        </w:rPr>
        <w:t>We collect, process, store, disclose and use personal information and other data, and our perceived failure to protect this information and data could damage our reputation and harm our business and operating results.</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6"/>
        </w:numPr>
        <w:rPr>
          <w:rFonts w:ascii="Arial" w:cs="Arial" w:eastAsia="Arial" w:hAnsi="Arial"/>
          <w:sz w:val="21"/>
          <w:szCs w:val="21"/>
          <w:color w:val="auto"/>
        </w:rPr>
      </w:pPr>
      <w:r>
        <w:rPr>
          <w:rFonts w:ascii="Arial" w:cs="Arial" w:eastAsia="Arial" w:hAnsi="Arial"/>
          <w:sz w:val="18"/>
          <w:szCs w:val="18"/>
          <w:color w:val="auto"/>
        </w:rPr>
        <w:t>If we are required to collect sales and use taxes on the services we sell in additional jurisdictions, we may be subject to liability for past sales and out future sales could decrease.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Series B Preferred Stock, Senior Notes and Common Stock</w:t>
      </w:r>
    </w:p>
    <w:p>
      <w:pPr>
        <w:spacing w:after="0" w:line="254" w:lineRule="exact"/>
        <w:rPr>
          <w:sz w:val="20"/>
          <w:szCs w:val="20"/>
          <w:color w:val="auto"/>
        </w:rPr>
      </w:pPr>
    </w:p>
    <w:p>
      <w:pPr>
        <w:ind w:left="640" w:hanging="31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stock price may continue to experience significant fluctuations and could subject us to litigation.</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have, and in the future may be, the target of stockholder derivative complaints or other securities related legal actions that could adversely affect our result of operations and our business.</w:t>
      </w:r>
    </w:p>
    <w:p>
      <w:pPr>
        <w:spacing w:after="0" w:line="29" w:lineRule="exact"/>
        <w:rPr>
          <w:rFonts w:ascii="Arial" w:cs="Arial" w:eastAsia="Arial" w:hAnsi="Arial"/>
          <w:sz w:val="21"/>
          <w:szCs w:val="21"/>
          <w:color w:val="auto"/>
        </w:rPr>
      </w:pPr>
    </w:p>
    <w:p>
      <w:pPr>
        <w:jc w:val="both"/>
        <w:ind w:left="640" w:hanging="315"/>
        <w:spacing w:after="0" w:line="243" w:lineRule="auto"/>
        <w:tabs>
          <w:tab w:leader="none" w:pos="635" w:val="left"/>
        </w:tabs>
        <w:numPr>
          <w:ilvl w:val="0"/>
          <w:numId w:val="17"/>
        </w:numPr>
        <w:rPr>
          <w:rFonts w:ascii="Arial" w:cs="Arial" w:eastAsia="Arial" w:hAnsi="Arial"/>
          <w:sz w:val="21"/>
          <w:szCs w:val="21"/>
          <w:color w:val="auto"/>
        </w:rPr>
      </w:pPr>
      <w:r>
        <w:rPr>
          <w:rFonts w:ascii="Arial" w:cs="Arial" w:eastAsia="Arial" w:hAnsi="Arial"/>
          <w:sz w:val="18"/>
          <w:szCs w:val="18"/>
          <w:color w:val="auto"/>
        </w:rPr>
        <w:t>Other than payment of dividends on our previous Series A Preferred Stock and our current Series B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7"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7"/>
        </w:numPr>
        <w:rPr>
          <w:rFonts w:ascii="Arial" w:cs="Arial" w:eastAsia="Arial" w:hAnsi="Arial"/>
          <w:sz w:val="21"/>
          <w:szCs w:val="21"/>
          <w:color w:val="auto"/>
        </w:rPr>
      </w:pPr>
      <w:r>
        <w:rPr>
          <w:rFonts w:ascii="Arial" w:cs="Arial" w:eastAsia="Arial" w:hAnsi="Arial"/>
          <w:sz w:val="18"/>
          <w:szCs w:val="18"/>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have incurred (and expect to continue to incur) significant costs in connection with the restatement of previously issued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40" w:hanging="315"/>
        <w:spacing w:after="0" w:line="233"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color w:val="auto"/>
        </w:rPr>
        <w:t>Our current or future debt securities or preferred equity securities, which would be senior to our common stock, may adversely affect the market price of our common stock.</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color w:val="auto"/>
        </w:rPr>
        <w:t>B. Riley Financial, Inc. and its affiliates have significant influence over us and may have conflicts of interest that arise out of future contractual relationships it or its affiliates may have with us.</w:t>
      </w:r>
    </w:p>
    <w:p>
      <w:pPr>
        <w:spacing w:after="0" w:line="29" w:lineRule="exact"/>
        <w:rPr>
          <w:rFonts w:ascii="Arial" w:cs="Arial" w:eastAsia="Arial" w:hAnsi="Arial"/>
          <w:sz w:val="21"/>
          <w:szCs w:val="21"/>
          <w:color w:val="auto"/>
        </w:rPr>
      </w:pPr>
    </w:p>
    <w:p>
      <w:pPr>
        <w:ind w:left="640" w:hanging="315"/>
        <w:spacing w:after="0" w:line="241"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Senior Notes are unsecured and therefore are effectively subordinated to any secured indebtedness that we currently have or that we may incur in the future.</w:t>
      </w:r>
    </w:p>
    <w:p>
      <w:pPr>
        <w:spacing w:after="0" w:line="10"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Senior Notes are structurally subordinated to the indebtedness and other liabilities of our subsidiaries.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indenture under which the Senior Notes were issued contains limited protection for holders of the Senior Notes.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An increase in market interest rates could result in a decrease in the value of the Senior Notes.</w:t>
      </w:r>
    </w:p>
    <w:p>
      <w:pPr>
        <w:spacing w:after="0" w:line="27"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color w:val="auto"/>
        </w:rPr>
        <w:t>A new 1% U.S. federal excise tax may be imposed upon us in connection with the redemptions by us of our Series B Non-Convertible Perpetual Preferred Stock or other redemptions or repurchases of our equity.</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Our common stock could be delisted from Nasdaq, which would seriously harm the liquidity of our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Risks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may not generate sufficient cash flows from operations, or future borrowings which may not be available to us, in amounts sufficient to enable us to fund our liquidity needs and capital expenditure requirements necessary to expand our operations and invest in new products which could reduce our ability to compete and could harm our business.</w:t>
      </w:r>
    </w:p>
    <w:p>
      <w:pPr>
        <w:spacing w:after="0" w:line="21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We cannot guarantee that we will be able to generate sufficient revenue or obtain enough capital to fund our capital expenditures, service our debt and execute on our business strategy. We may be more vulnerable to adverse economic conditions than our competitors and thus less able to withstand competitive pressures. We intend to continue to make substantial investments to support our business growth and may require additional funds to respond to business challenges, including the need to develop new products and enhancements to our platforms or acquire complementary businesses and technologies. Accordingly, we may need to engage in equity or debt financings to secure additional funds. If we raise additional capital, our stockholders may experience significant dilution of their ownership interests, and the per share value of our common stock could decline. In addition, the terms of any future issued equity securities could entitle the holders of those equity securities to rights, preferences and privileges superior to those of holders of our securities. Furthermore, if we engage in additional debt financings, the holders of debt might have priority over the holders of our securities, and we may be required to accept terms that restrict our ability to incur additional indebtedness, including restrictive covenants relating to our capital raising activities and other financial and operational matters, including restricting our ability to pay dividends or make certain other restricted payment, sell assets, make certain investments and grant liens, which may make it more difficult for us to obtain additional capital and to pursue business opportunities. We may also be required to take other actions that would otherwise be in the interests of the debt holders and force us to maintain specified liquidity or other ratios, including limitations to our total leverage ratio, any of which could harm our business, results of operations, and financial condition. If we need additional capital and cannot raise it on acceptable terms, we may not be able to, among other things:</w:t>
      </w:r>
    </w:p>
    <w:p>
      <w:pPr>
        <w:spacing w:after="0" w:line="202" w:lineRule="exact"/>
        <w:rPr>
          <w:sz w:val="20"/>
          <w:szCs w:val="20"/>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or enhance our products and platforms,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 or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3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our ability to continue to support our business growth and to respond to business challenges could be significantly limited which may also require us to delay, scale back or eliminate some or all of our activities, which could have a material adverse effect on our business, results of operations and financial condition.</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207"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Our business is directly affected by the length of our sales cycles. Our customers’ businesses are relatively complex and their purchase of the types of products and services that we offer generally involve a significant financial commitment, with attendant delays, frequently associated with large financial commitments and procurement procedures within an organization. In addition, as we continue to further penetrate the enterprise, and the size and complexity of our sales opportunities continue to expand, we have seen an increase in the average length of time in our sales cycles. The purchase of the types of products and services that we offer typically requires coordination and agreement across many departments within a potential customer’s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 our future results difficult to predict and could cause our operating results to fall below expectations or our guidance.</w:t>
      </w:r>
    </w:p>
    <w:p>
      <w:pPr>
        <w:spacing w:after="0" w:line="206"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As a result of a variety of factors discussed in this report, many of which are out of our control, our operating results for a particular quarter is difficult to predict, especially in light of a challenging and inconsistent global macroeconomic environment and related market uncertainty. Our revenue may grow at a slower rate than in past periods or decline, as it has in the past, on a year-over-year basis. Our ability to meet financial expectations could also be adversely</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affected if the nonlinear sales pattern seen in some of our past quarters recurs in future periods. The timing of large orders can also have a significant effect on our business and operating results from quarter to quarter. From time to time, we receive large orders that have a significant effect on our operating results in the period in which the order is recognized as revenue. The timing of such orders is difficult to predict, and the timing of revenue recognition from such orders may affect period to period changes in revenue. As a result, our operating results could vary materially from quarter to quarter based on the receipt of</w:t>
      </w:r>
    </w:p>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such orders and their ultimate recognition as revenue. We plan our operating expense levels based primarily on forecasted revenue levels. These expenses and the impact of long-term commitments are relatively fixed in the short term. A shortfall in revenue could lead to operating results being below expectations</w:t>
      </w:r>
    </w:p>
    <w:p>
      <w:pPr>
        <w:spacing w:after="0" w:line="1" w:lineRule="exact"/>
        <w:rPr>
          <w:sz w:val="20"/>
          <w:szCs w:val="20"/>
          <w:color w:val="auto"/>
        </w:rPr>
      </w:pPr>
    </w:p>
    <w:p>
      <w:pPr>
        <w:jc w:val="both"/>
        <w:spacing w:after="0" w:line="338" w:lineRule="auto"/>
        <w:rPr>
          <w:sz w:val="20"/>
          <w:szCs w:val="20"/>
          <w:color w:val="auto"/>
        </w:rPr>
      </w:pPr>
      <w:r>
        <w:rPr>
          <w:rFonts w:ascii="Arial" w:cs="Arial" w:eastAsia="Arial" w:hAnsi="Arial"/>
          <w:sz w:val="16"/>
          <w:szCs w:val="16"/>
          <w:color w:val="auto"/>
        </w:rPr>
        <w:t>because we may not be able to quickly reduce these fixed expenses in response to short-term business changes. As a result, comparing our operating results on a period-to-period basis may not be meaningful. Our past results should not be relied on as an indication of our future performance. Non-GAAP financial</w:t>
      </w:r>
    </w:p>
    <w:p>
      <w:pPr>
        <w:jc w:val="both"/>
        <w:spacing w:after="0" w:line="303" w:lineRule="auto"/>
        <w:rPr>
          <w:sz w:val="20"/>
          <w:szCs w:val="20"/>
          <w:color w:val="auto"/>
        </w:rPr>
      </w:pPr>
      <w:r>
        <w:rPr>
          <w:rFonts w:ascii="Arial" w:cs="Arial" w:eastAsia="Arial" w:hAnsi="Arial"/>
          <w:sz w:val="16"/>
          <w:szCs w:val="16"/>
          <w:color w:val="auto"/>
        </w:rPr>
        <w:t>measures should not be considered in isolation from, or as a substitute for, financial information prepared in accordance with GAAP. In addition, non-GAAP metrics we may disclose, such as Adjusted EBITDA, Invoiced Cloud Revenue, and any corresponding trends in such metrics should not be relied on as an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indication that our GAAP results, such as net income (loss), will be similar or will follow the same trends. If our revenue or operating results fall below the expectations of investors or securities analysts or below any guidance we may provide to the market, the price of our common stock could decline substantially. Any of the above factors could have a material adverse impact on our operations and financial results.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revenue recognitions standards and because we recognize revenue for certain products and services ratably over the term of customer agreements upturns or downturns in the value of signed contracts will not be fully and immediately reflected in our operating results and any changes in the standards could impact our business.</w:t>
      </w:r>
    </w:p>
    <w:p>
      <w:pPr>
        <w:spacing w:after="0" w:line="21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offer certain of our products and services primarily through fixed or variable commitment contracts and recognize revenue ratably over the related service period, which typically ranges from twelve to twenty-four months. As a result, some portion of the revenue we report in each quarter is revenue from contracts entered into during prior periods. Consequently, a decline in signed contracts in any quarter will not be fully and immediately reflected in revenue for that quarter but may instead negatively affect our revenue in future quarters. In addition, we may be unable to adjust our cost structure to offset this reduced revenue. Similarly, revenue attributable to an increase in contracts signed in a particular quarter will not be fully and immediately recognized, as revenue from new or renewed contracts is recognized ratably over the applicable service period. Because we incur certain sales costs at the time of sale, we may not recognize revenues from some customers despite incurring considerable expense related to our sales processes. Timing differences of this nature</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could cause our margins and profitability to fluctuate significantly from quarter to quarter. As we introduce new services or products, revenue recognition could become increasingly complex and require additional analysis and judgment. Additionally, for new contracts with existing customers, we may negotiate and revise previously used terms and conditions of our contracts with these customers and channel partners, which may also cause us to revise our revenue recognition policies. As our arrangements with customers change, we may be required to defer a greater portion of revenue into future periods, which could materially and adversely affect our financial results.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do not meet our revenue forecasts, we may be unable to reduce our expenses in a timely fashion to avoid or minimize harm to our results of operations.</w:t>
      </w:r>
    </w:p>
    <w:p>
      <w:pPr>
        <w:spacing w:after="0" w:line="19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revenues are difficult to forecast and are likely to fluctuate significantly from period to period, particularly as we continue to implement our business strategy. We base our operating expense and capital investment budgets on expected sales and revenue trends, and many of our expenses, such as office and equipment leases and personnel costs, will be relatively fixed in the short term and will increase over time as we make investments in our business. Our estimates of sales trends may not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correlate with actual revenues in a particular quarter or over a longer period of time. Variations in the rate and timing of conversion of our sales prospects into sales and actual revenues could cause us to plan or budget inaccurately and those variations could adversely affect our financial results. In particular, delays, reductions in amount or cancellation of customers’ contracts would adversely affect the overall level and timing of our revenues, and our business, results of operations and financial condition could be harmed. Due to the relatively fixed nature of many of our expenses, we may be unable to adjust spending quickly</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enough to offset any unexpected revenue shortfall. In the course of our sales to customers, we may encounter difficulty collecting accounts receivable and could be exposed to risks associated with uncollectible accounts receivable. In the event we are unable to collect on our accounts receivable, it could negatively affect our cash flows, operating results and business.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traditionally have had substantial customer concentration, with a limited number of customers accounting for a substantial portion of our revenues.</w:t>
      </w:r>
    </w:p>
    <w:p>
      <w:pPr>
        <w:spacing w:after="0" w:line="29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Company’s top five customers accounted for 73.4%, 68.2% and 68.0% of net revenues for the years ended December 31, 2022, 2021 and 2020, respectively. Of these customers, Verizon accounted for more than 10% of our revenues in 2022, 2021, and 2020. There are inherent risks whenever a large percentage of total revenues are concentrated with a limited number of customers. It is not possible for us to predict the future level of demand for our products and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Any such development could have an adverse effect on our margins and financial position and would negatively affect our revenues and results of operations and/or trading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our customers’ credit risk.</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We are subject to the credit risk of our customers, and customers with liquidity issues may lead to credit losses for us. Most of our sales are on an open credit basis, with typical payment terms between 45 and 60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 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doubtful accounts.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 risks may increase if our customers are adversely affected by a difficult macroeconomic environment, or if there is a continuation or worsening of the economic environment. Although we have programs in place that are designed to monitor and mitigate the associated risk, including monitoring of particular risks in certain geographic areas, there can be no assurance, especially during the COVID-19 pandemic, that these programs will be effective in reducing our credit risks or preventing us from incurring additional losses. Future losses, if incurred, could harm our business and have a material adverse effect on our business operating results and financial condition. Additionally, to the degree that the current or future credit markets make it more difficult for some customers to obtain financing, those customers’ ability to pay could be adversely impacted, which in turn could have a material adverse impact on our business, operating results,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credit risk and other risks associated with our accounts receivable securitization facility (the “A/R Facility”).</w:t>
      </w:r>
    </w:p>
    <w:p>
      <w:pPr>
        <w:spacing w:after="0" w:line="245"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8"/>
          <w:szCs w:val="18"/>
          <w:color w:val="auto"/>
        </w:rPr>
        <w:t>We entered into the A/R Facility with Norddeutsche Landesbank Girozentrale (“NLG”) in June 2022 that permits borrowings of up to $15.0 million outstanding from time to time through June 2025 against our existing and future account receivables. As of December 31, 2022, there were no outstanding obligations under the A/R Facility.</w:t>
      </w:r>
    </w:p>
    <w:p>
      <w:pPr>
        <w:spacing w:after="0" w:line="22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amounts available under the A/R Facility depend on the size of our accounts receivable. If these amounts are less than we forecast, this could negatively affect our expected borrowing capacity and our ability to satisfy any obligations as they become due.</w:t>
      </w:r>
    </w:p>
    <w:p>
      <w:pPr>
        <w:spacing w:after="0" w:line="20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willingness of NLG to make advances to us is subject to customary conditions for financings of this nature. If we are unable to satisfy those conditions, NLG could refrain from providing financing to us, and we may experience a material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adverse loss of liquidity. The A/R Facility contains representations and warranties, affirmative and negative covenants, and events of default that are customary for financings of this type. If we breach certain of our debt covenants under the A/R Facility, we will be unable to utilize the full borrowing capacity under the A/R Facility and our lenders could require us to repay the debt immediately and could immediately take possession of the receivables securing such debt. In addition, because our Senior Notes and A/R Facility contain cross-default and cross-acceleration provisions with other debt, if any debtholder were to declare its loan due and payable as a result of a default, the holders of the Senior Notes or NLG, might be able to require us to pay those debts immediately.</w:t>
      </w:r>
    </w:p>
    <w:p>
      <w:pPr>
        <w:spacing w:after="0" w:line="21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If NLG terminates the A/R Facility, we may experience a material and adverse loss of our liquidity, which could have a material adverse effect on financial, results of operations and cash flows.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207" w:lineRule="exact"/>
        <w:rPr>
          <w:sz w:val="20"/>
          <w:szCs w:val="20"/>
          <w:color w:val="auto"/>
        </w:rPr>
      </w:pPr>
    </w:p>
    <w:p>
      <w:pPr>
        <w:jc w:val="both"/>
        <w:ind w:firstLine="319"/>
        <w:spacing w:after="0" w:line="273" w:lineRule="auto"/>
        <w:rPr>
          <w:sz w:val="20"/>
          <w:szCs w:val="20"/>
          <w:color w:val="auto"/>
        </w:rPr>
      </w:pPr>
      <w:r>
        <w:rPr>
          <w:rFonts w:ascii="Arial" w:cs="Arial" w:eastAsia="Arial" w:hAnsi="Arial"/>
          <w:sz w:val="16"/>
          <w:szCs w:val="16"/>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the COVID-19 or other public health epidemics or concerns on our customer’s component suppliers, and the challenging and inconsistent global macroeconomic environment, any or all of which could have a material adverse effect on our operating results and financial condition, including, among others things:</w:t>
      </w:r>
    </w:p>
    <w:p>
      <w:pPr>
        <w:spacing w:after="0" w:line="191" w:lineRule="exact"/>
        <w:rPr>
          <w:sz w:val="20"/>
          <w:szCs w:val="20"/>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or future supply chain interruptions;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social unrest or instability;</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instability or weakness, including inflation, or natural disasters in a specific country or region, including the current economic or health challenges in China and global economic ramifications of Chinese economic difficulties;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and trade protection measures and other legal and regulatory requirements, some of which may affect our ability to import our products, to export our products from, or sell our products in various countries;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considerations that affect service provider and government spending patterns;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health or similar issues and the responses thereto, such as a pandemic or epidemic, including the COVID-19 pandemic and responses taken thereto;</w:t>
      </w:r>
    </w:p>
    <w:p>
      <w:pPr>
        <w:spacing w:after="0" w:line="28" w:lineRule="exact"/>
        <w:rPr>
          <w:rFonts w:ascii="Arial" w:cs="Arial" w:eastAsia="Arial" w:hAnsi="Arial"/>
          <w:sz w:val="16"/>
          <w:szCs w:val="16"/>
          <w:color w:val="auto"/>
        </w:rPr>
      </w:pPr>
    </w:p>
    <w:p>
      <w:pPr>
        <w:ind w:left="640" w:hanging="315"/>
        <w:spacing w:after="0" w:line="277" w:lineRule="auto"/>
        <w:tabs>
          <w:tab w:leader="none" w:pos="6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natural disasters, terrorism, war or other military conflict, including effects of the ongoing conflict between Russia and Ukraine, and the possibility of a wider European or global conflict, and global sanctions imposed in response thereto, telecommunication and electrical failures;</w:t>
      </w: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or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consequences, including imposition of withholding or other taxes on our global operations.</w:t>
      </w:r>
    </w:p>
    <w:p>
      <w:pPr>
        <w:spacing w:after="0" w:line="23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7"/>
          <w:szCs w:val="17"/>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continue to lead to disruption, instability and volatility in global markets and industries. The U.S. government and governments in other jurisdictions have imposed severe economic sanctions and export controls against Russia and Russian interests, have removed Russia from the Society for Worldwide Interbank Financial Telecommunication system, and have threatened additional sanctions and controls. The impact of these measures, as well as potential responses to them by Russia, is unknown.</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foreign currency transaction losses, which could harm our operating results and financial condition.</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consider the U.S. dollar to be our functional currency. However, given our international operations we currently have, and expect to have in the future, revenue and expenses and related assets and liabilities denominated in foreign currencies. Foreign currency transaction exposure results primarily from transactions with customers or vendors denominated in currencies other than the functional currency of the entity in which we record the transaction. Any fluctuation in the exchange rate of these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foreign currencies may positively or negatively affect our business and operating results. We face exposure to movements in foreign currency exchange rates due to the fact that we have non-U.S. dollar denominated revenue worldwide. Furthermore, volatile market conditions arising from impacts from the COVID-19 pandemic, the conflict in Ukraine and other macroeconomic conditions may result in significant fluctuations in exchange rates. Weakening of foreign currencies relative to the U.S. dollar adversely affects the U.S. dollar value of our foreign currency denominated revenue and positively affects the U.S. dollar value of our foreign currency denominated expenses. For example, in 2022, as the U.S. dollar strengthened against several currencies, including the British pound, these foreign exchange impacts reduced our reported revenue in U.S. dollars on a constant currency basis. If foreign currencies were to weaken or strengthen relative to the U.S. dollar, we might elect to raise or lower our international pricing, which could potentially impact demand for our services. Alternatively, we might opt not to adjust our international pricing as a result of fluctuations in foreign currency exchange rates, which could potentially have a positive or negative impact on our results of operations and financial condition. Similarly, our financial performance may be impacted by fluctuations in currency exchange rates when it comes to our non-U.S. dollar denominated expenses. The third-party vendors and suppliers to whom we owe payments for non-U.S. dollar denominated expenses may or may not decide to adjust their pricing to reflect fluctuations in foreign currency exchange rates. If there continues to be volatility in foreign currency exchange rates, we will continue to experience fluctuations in our operating results due to revaluing our assets and liabilities that are not denominated in the functional currency of the entity that recorded the asset or liability, and the translation of our non-U.S. denominated revenue and expenses into U.S. dollars may affect the year-over-year comparability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able to incur substantially more debt, which could have important consequences to investors.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Senior Notes does not prohibit us from doing so. If we incur any additional indebtedness that ranks equally with the Senior Notes, the holders of that debt will be entitled to share ratably with you in any proceeds distributed in connection with any insolvency, liquidation, reorganization or dissolution. This may have the effect of reducing the amount of proceeds paid to investors.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important consequences to investors, because:</w:t>
      </w:r>
    </w:p>
    <w:p>
      <w:pPr>
        <w:spacing w:after="0" w:line="245"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could affect our ability to satisfy our financial obligations, including those relating to the Senior Notes;</w:t>
      </w:r>
    </w:p>
    <w:p>
      <w:pPr>
        <w:spacing w:after="0" w:line="16"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impair our ability to obtain additional debt or equity financing in the future;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limit our ability to refinance all or a portion of our indebtedness on or before maturity;</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industry;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make us more vulnerable to downturns in our business, our industry or the economy in general.</w:t>
      </w:r>
    </w:p>
    <w:p>
      <w:pPr>
        <w:spacing w:after="0" w:line="23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Our operations may not generate sufficient cash to enable us to service our debt. If we fail to make a payment on the Senior Notes, we could be in default on the Senior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However, no event of default under the Senior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Senior Notes having any rights to such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investments in new products and services that may not be profitable.</w:t>
      </w:r>
    </w:p>
    <w:p>
      <w:pPr>
        <w:spacing w:after="0" w:line="23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intend to continue to make investments to support our business growth, including expenditures to develop new services or enhance our existing services, enhance our operating infrastructure, market and sell our product offerings and acquire complementary businesses and technologies. These endeavors may involve significant risks and uncertainties and could lead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misapplication of our resources. These new investments are inherently risky and may involve distracting management from current operations, create greater than expected liabilities and expenses, provide us with an inadequate return on capital, include other unidentified risks and, ultimately, may generally not be successful. Further, our ability to effectively integrate new services and investments into our business may affect our profitability. Significant delays in new releases or significant problems in creating new products or services could adversely affect our revenue and financial performance.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must recruit and retain our key management and other key personnel and our failure to recruit and retain qualified employees could have a negative impact on our business.</w:t>
      </w:r>
    </w:p>
    <w:p>
      <w:pPr>
        <w:spacing w:after="0" w:line="206"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We may be unable to attract or retain qualified personnel because their salaries and other compensation may increase to levels that we are unwilling or unable to provide.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performance and growth depend on our ability to generate customer referrals and to develop referenceable customer relationships that will enhance our sales and marketing efforts. A failure to accomplish these objectives could materially harm our business.</w:t>
      </w:r>
    </w:p>
    <w:p>
      <w:pPr>
        <w:spacing w:after="0" w:line="183"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In our business, we depend on end-users of our solutions to generate customer referrals for our services. We also depend on members of the communications industry, financial institutions, legal service providers and other third parties who use our services to recommend them to a larger customer base than we can reach through our direct sales and internal marketing efforts. These referrals are an important source of new customers for our services and generally are made without expectation of compensation. We intend to continue to focus our marketing efforts on these referral partners in order to expand our reach and improve the efficiency of our sales efforts. We also recognize that having respected, well known, market-leading customers who have committed to deploy our solutions within their organizations will support our marketing and sales efforts, as these customers can act as references for us and our product offerings. Our ability to establish and maintain these customer relationships is important to our future profitability. The willingness of these types of customers to provide referrals or serve as anchor or reference customers depends on a number of factors, including the performance, ease of use, reliability, reputation and cost-effectiveness of our services as compared to those offered by our competitors, as well as the internal policies of these customers. We may not be able to cultivate or maintain the relationships with customers that are necessary to develop those customer relationships into referenceable accounts.</w:t>
      </w:r>
    </w:p>
    <w:p>
      <w:pPr>
        <w:spacing w:after="0" w:line="197"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loss of any of our significant referral sources, including our anchor customers, or a decline in the number of referrals we receive or anchor customers that we generate could require us to devote substantially more resources to the sales and marketing of our services, which would increase our costs, potentially lead to a decline in our revenue, slow our growth and generally have a material adverse effect on our business, results of operations and financial condition. In addition, the revenue we generate from our referral and anchor relationships may vary from period to period.</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Many of our current and planned products are highly complex and may contain defects or errors that are detected only after deployment in telecommunications networks. If that occurs, our reputation or market acceptance of our products and services may be harmed.</w:t>
      </w:r>
    </w:p>
    <w:p>
      <w:pPr>
        <w:spacing w:after="0" w:line="183"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Our products are highly complex, and we cannot assure customers that our extensive product development, production and integration testing is, or will be, adequate to detect all defects, errors, failures and quality issues that could affect customer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satisfaction or result in claims against us. Our products and services may contain undetected errors or scalability limitations at any point in their lives, but particularly when first introduced or as new versions are released. As a result, we might have to replace certain components and/or provide remediation in response to the discovery of defects in products that have been supplied to customers. The occurrence of any defects, errors, failures or quality issues could result in cancellation of orders, product returns, diversion of our resources, legal actions by customers or customers’ end users and other losses to us or to our customers or end users. These occurrences could also result in the loss of or delay in market acceptance of our products, in the loss of sales, or in the need to create provisions, which would harm our business and adversely affect our revenues and profitability.</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Failure to maintain the confidentiality, integrity and availability of our systems, software and solutions could seriously damage our reputation and affect our ability to retain customers and attract new business.</w:t>
      </w:r>
    </w:p>
    <w:p>
      <w:pPr>
        <w:spacing w:after="0" w:line="206"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Maintaining the confidentiality, integrity and availability of our systems, software and solutions is an issue of critical importance for us and for our customers and users who rely on our systems to store and exchange large volumes of information, much of which is proprietary and confidential. There appears to be an increasing number of individuals, governments, groups and computer “hackers” developing and deploying a variety of destructive software programs (such as viruses, worms and other malicious software) that could attack our computer systems or solutions or attempt to infiltrate our systems. We make significant efforts to maintain the confidentiality, integrity and availability of our systems, solutions and source code. Despite significant efforts to create security barriers, it is virtually impossible for us to mitigate this risk entirely because techniques used to obtain unauthorized access or sabotage systems change frequently and generally are not recognized until launched against a target. Like all software solutions, our software is vulnerable to these types of attacks. An attack of this type could disrupt the proper functioning of our software solutions, cause errors in the output of our customers’ work, allow unauthorized access to sensitive, proprietary or confidential information of ours or our customers, and other destructive outcomes. If an actual or perceived breach of our security were to occur, our reputation could suffer, customers could stop buying our solutions and we could face lawsuits and potential liability, any of which could cause our financial performance to be negatively impacted. Though we maintain professional liability insurance that may be available to provide coverage if a cybersecurity incident were to occur, there can be no assurance that insurance coverage will be available or that available coverage will be sufficient to cover losses and claims related to any cybersecurity incidents we may experience.</w:t>
      </w:r>
    </w:p>
    <w:p>
      <w:pPr>
        <w:spacing w:after="0" w:line="205"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There is also a danger of industrial espionage, cyber-attacks, misuse or theft of information or assets (including source code), or damage to assets by people who have gained unauthorized access to our facilities, systems or information, which could lead to the disclosure of portions of our source code or other confidential information, improper usage and distribution of our solutions without compensation, illegal or inappropriate usage of our systems and solutions, jeopardizing of the security of information stored in and transmitted through our computer systems, manipulation and destruction of data, defects in our software and downtime issues. More generally, the COVID-19 pandemic has increased attack opportunities available to criminals, as they attempt to profit from disruptions and the resulting shift in companies and individuals working remotely and online, as well as the increase in electronic payments, e-commerce, and other online activity. While the Company does not currently have operations in areas experiencing rising political conflict and uncertainty, there is an increased likelihood that escalation of tensions could result in cyber-attacks or cybersecurity incidents that could either directly or indirectly impact our operations. As such, the risk of cybersecurity incidents is increasing, and we cannot provide assurances that our preventative efforts will be successful. Although we actively employ measures to combat unlicensed copying, access and use of our facilities, systems, software and intellectual property through a variety of techniques, preventing unauthorized use or infringement of our rights is inherently difficult. The occurrence of an event of this nature could adversely affect our financial results or could result in significant claims against us for damages. Further, participating in either a lawsuit to protect against unauthorized access to, usage of or disclosure of any of our solutions or any portion of our source code or the prosecution of an individual in connection with a cybersecurity breach could be costly and time-consuming and could divert management’s attention and adversely affect the market’s perception of us and our solutions. A number of core processes, such as software development, sales and marketing, customer service and financial transactions, rely on our IT, infrastructure and applications. Defects or malfunctions in our IT infrastructure and applications could cause our service offerings not to perform as our customers expect, which could harm our reputation and business. In addition, malicious software, sabotage and other cybersecurity breaches of the types described above could cause an outage of our infrastructure, which could lead to a substantial denial of service and ultimately downtimes, recovery costs and customer claims, any of which could have a significant negative impact on our business, financial position, profitability and cash flows.</w:t>
      </w:r>
    </w:p>
    <w:p>
      <w:pPr>
        <w:spacing w:after="0" w:line="20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confidentiality, integrity and availability of our systems could also be jeopardized by a breach of our internal controls and policies by our employees, consultants or subcontractors having access to our systems. If our systems fail or are breached as a result of a third-party attack or an error, violation of internal controls or policies or a breach of contract by an employee, consultant or subcontractor that results in the unauthorized use or disclosure of proprietary or confidential information or customer data (including information about the existence and nature of the projects and transactions our customers are engaged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we could lose business, suffer irreparable damage to our reputation and incur significant costs and expenses relating to the investigation and possible litigation of claims relating to such event. We could be liable for damages, penalties for violation of applicable laws or regulations and costs for remediation and efforts to prevent future occurrences, any of which liabilities could be significant. There can be no assurance that the limitations of liability in our contracts would be enforceable or adequate or would otherwise protect us from liabilities or damages with respect to any particular claim. Furthermore, litigation, regardless of its outcome, could result in a substantial cost to us and divert management’s attention from our operations. Any significant claim against us or litigation involving us could have a material adverse effect on our business, financial condition and results of operations.</w:t>
      </w:r>
    </w:p>
    <w:p>
      <w:pPr>
        <w:spacing w:after="0" w:line="196"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We have implemented a number of security measures designed to ensure the security of our information, IT resources and other assets. Nonetheless, unauthorized users could gain access to our systems through cyber-attacks and steal, use without authorization and sabotage our intellectual property and confidential data. Any security breach, misuse of our IT systems or theft of our or our customers’ intellectual property or data could lead to customer losses, non-renewal of customer agreements, loss of production, recovery costs or litigation brought by customers or business partners, any of which could adversely impact our cash flows and reputation and could have an adverse impact on our disclosure controls and procedures.</w:t>
      </w:r>
    </w:p>
    <w:p>
      <w:pPr>
        <w:spacing w:after="0" w:line="19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Despite our efforts to protect our intellectual property, unauthorized third parties may attempt to copy our technology or to develop products or solutions with the same or similar functions, which infringe upon our rights. Pursuing these potential violations of Synchronoss’ intellectual property rights is difficult and costly. Our competition may also independently develop technology equivalent to ours and our intellectual property rights may not be sufficient to prevent them from marketing and selling those products which incorporate such technology, which could have a material adverse effect on our ability to compete in the marketplace.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Our success depends on our ability to provide reliable services to our customers and process a high volume of transactions in a timely and effective manner. Although we operate disaster recovery solutions and maintain backup systems, our network operations are susceptible to damage or interruption from human error, fire, flood, power loss, telecommunications failure, terrorist attacks, war or other military conflict, including escalation of ongoing political conflicts and similar events. A catastrophic event that results in the destruction or disruption of any of our data centers or our critical business or information technology systems could severely affect our ability to conduct normal business operations and, as a result, our business, operating results and financial condition could be adversely affected. We could also experience failures or interruptions of our systems and services, or other problems in connection with our operations, as a result of, among other things:</w:t>
      </w:r>
    </w:p>
    <w:p>
      <w:pPr>
        <w:spacing w:after="0" w:line="225" w:lineRule="exact"/>
        <w:rPr>
          <w:sz w:val="20"/>
          <w:szCs w:val="20"/>
          <w:color w:val="auto"/>
        </w:rPr>
      </w:pPr>
    </w:p>
    <w:p>
      <w:pPr>
        <w:ind w:left="640" w:hanging="315"/>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damage to, or failure of, our computer software or hardware or our connections and outsourced service arrangements with third parties;</w:t>
      </w:r>
    </w:p>
    <w:p>
      <w:pPr>
        <w:spacing w:after="0" w:line="28" w:lineRule="exact"/>
        <w:rPr>
          <w:rFonts w:ascii="Arial" w:cs="Arial" w:eastAsia="Arial" w:hAnsi="Arial"/>
          <w:sz w:val="17"/>
          <w:szCs w:val="17"/>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errors in the processing of data by our systems;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computer viruses or software defects;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physical or electronic break-ins, sabotage, intentional acts of vandalism and similar events;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fire, cybersecurity attack, terrorist attack or other catastrophic event;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capacity demands or changes in systems requirements of our customers; or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errors by our employees or third-party service providers.</w:t>
      </w:r>
    </w:p>
    <w:p>
      <w:pPr>
        <w:spacing w:after="0" w:line="23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We rely on various systems and applications to support our internal operations, including our billing, financial reporting and customer contracting functions. The availability of these systems and applications is essential to us and delays, disruptions or performance problems may adversely impact our ability to accurately bill our customers, report financial information and conduct our business, or cause us to suffer reputational harm, delays in product development, lack of products provided to our customers, breaches of data security and loss of critical data. Any failure or interruption of our systems and services could also prevent us from fulfilling customer orders or maintaining certain service level requirements, particularly in respect of our software as a service (“SaaS”) and hosted offerings.</w:t>
      </w:r>
    </w:p>
    <w:p>
      <w:pPr>
        <w:spacing w:after="0" w:line="222"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Additionally, we may choose to replace or implement changes to these systems, including substituting traditional systems with cloud-based solutions, which could be time-consuming and expensive, and which could result in delays in the ongoing operational processes these software solutions support. Further, our cloud-based solutions may experience disruptions and outages that are beyond our control as we rely on third-party vendors to support these solutions and assure their continued availability. We have also acquired a number of companies, products, services and technologies over the last several years. While we make significant efforts to address any IT security issues with respect to our acquisitions, we may still inherit certain risks when we integrate these acquisitions. In addition, our business interruption insurance may be insufficient to compensate us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losses or liabilities that may occur. Any interruptions in our systems or services could damage our reputation and substantially harm our business and results of operations.</w:t>
      </w:r>
    </w:p>
    <w:p>
      <w:pPr>
        <w:spacing w:after="0" w:line="20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The quality of our support and services offerings is important to our customers and if we fail to meet our service level obligations under our service level agreements or otherwise fail to offer quality support and services, we would be subject to penalties and could lose customers.</w:t>
      </w:r>
    </w:p>
    <w:p>
      <w:pPr>
        <w:spacing w:after="0" w:line="160"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Our customers generally depend on our service organization to resolve issues relating to the use of our solutions. A high level of support is critical for the successful marketing and sale of our solutions. If we are unable to provide a level of support and service to meet or exceed the expectations of our customers, we could experience:</w:t>
      </w:r>
    </w:p>
    <w:p>
      <w:pPr>
        <w:spacing w:after="0" w:line="3" w:lineRule="exact"/>
        <w:rPr>
          <w:sz w:val="20"/>
          <w:szCs w:val="20"/>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attracting or the inability to attract new customers, including in new geographic regions;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service and support costs, and a diversion of resources.</w:t>
      </w:r>
    </w:p>
    <w:p>
      <w:pPr>
        <w:spacing w:after="0" w:line="23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Any of the above results would likely have a material adverse impact on our business, revenue, results of operations, financial condition and reputation. In addition, we have service level agreements with many of our customers under which we guarantee specified levels of service availability. These arrangements involve the risk that we may not have adequately estimated the level of service we will in fact be able to provide. The importance of high-quality customer support will increase as we expand our business and pursue new enterprise customers. If we fail to meet our service level obligations under these agreements, we would be subject to penalties, which could result in higher than expected costs, decreased revenues and decreased operating margins. We could also lose customers.</w:t>
      </w:r>
    </w:p>
    <w:p>
      <w:pPr>
        <w:spacing w:after="0" w:line="2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Our reliance on third-party providers for communications software, services, hardware and infrastructure exposes us to a variety of risks we cannot control.</w:t>
      </w:r>
    </w:p>
    <w:p>
      <w:pPr>
        <w:spacing w:after="0" w:line="206"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Our success depends on software, equipment, network connectivity and infrastructure hosting services supplied by, or leased from,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 Further, any changes in our third-party vendors could detract from management’s ability to focus on the ongoing operations of our business or could cause delays in the operations of our business. Our business also depends upon the capacity, reliability and security of the infrastructure owned and managed by third parties, including our vendors and customers that are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20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Any damage to, or failure or capacity limitations of, our systems and our related network could result in interruptions in our service that could cause us to lose revenue, issue credits or refunds or could cause our customers to terminate their subscriptions for our services, in each case adversely affecting our renewal rates. Since our customers use our service for important aspects of their businesses, any errors, defects, disruptions in service or other performance problems could hurt our reputation and may damage our customers’ businesses. As a result, we may lose revenue, issue credits or refunds, or customers could elect not to renew our services or delay or withhold payments to us. We could also lose future sales or customers may make claims against us, which could result in an increase in our provision for doubtful accounts, an increase in collection cycles for accounts receivable or the expense or risk of litigation. Additionally, third-party software underlying our services can contain undetected errors or bugs. We may be forced to delay commercial release of our services until any discovered problems are corrected and, in some cases, may need to implement enhancements or modifications to correct errors that we do not detect until after deployment of our services. In addition, problems with the third-party software underlying our services could result in:</w:t>
      </w:r>
    </w:p>
    <w:p>
      <w:pPr>
        <w:spacing w:after="0" w:line="195" w:lineRule="exact"/>
        <w:rPr>
          <w:sz w:val="20"/>
          <w:szCs w:val="20"/>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or customers or delayed revenue;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warranty claims or litigation;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or delayed market acceptance of our services, or</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Interruptions or delays in our service due to problems with our third-party web hosting facilities or other third-party service providers could adversely affect our business.</w:t>
      </w:r>
    </w:p>
    <w:p>
      <w:pPr>
        <w:spacing w:after="0" w:line="220"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rely on third parties for the maintenance of certain of the equipment running our solutions and software at geographically dispersed hosting facilities with third parties. If we are unable to renew, extend or replace our agreements with any of our third-party hosting facilities, we may be unable to arrange for replacement services at a similar cost and in a timely manner, which could cause an interruption in our service. We do not control the operation of these third-party facilities, each of which may be subject to damage or interruption from earthquakes, floods, fires, power loss, telecommunications failures or similar events. These facilities may also be subject to break-ins, sabotage, intentional acts of vandalism or similar misconduct. Despite precautions taken at these facilities, the occurrence of a natural disaster, cessation of operations by our third-party web hosting provider or a third party’s decision to close a facility without adequate notice or other unanticipated problems at any facility could result in lengthy interruptions in our service. In addition, the failure by these facilities to provide our required data communications capacity could result in interruptions in our service.</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seek to acquire companies or technologies, form joint ventures or make investments in other companies or technologies, which could disrupt our ongoing business, disrupt our management and employees, dilute our stockholders’ ownership, increase our debt, and adversely affect our results of operations.</w:t>
      </w:r>
    </w:p>
    <w:p>
      <w:pPr>
        <w:spacing w:after="0" w:line="21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We have made, and in the future intend to form joint ventures, make acquisitions of and investments in companies, technologies or products in existing, related or new markets for us that we believe may enhance our market position or strategic strengths. However, we cannot be sure that any acquisition or investment will ultimately enhance our products or strengthen our competitive position. Acquisitions involve numerous risks, including but not limited to:</w:t>
      </w:r>
    </w:p>
    <w:p>
      <w:pPr>
        <w:spacing w:after="0" w:line="181" w:lineRule="exact"/>
        <w:rPr>
          <w:sz w:val="20"/>
          <w:szCs w:val="20"/>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inability to identify acquisition candidates on terms acceptable to us or at all, or inability to complete acquisitions as anticipated or at all;</w:t>
      </w:r>
    </w:p>
    <w:p>
      <w:pPr>
        <w:spacing w:after="0" w:line="17" w:lineRule="exact"/>
        <w:rPr>
          <w:rFonts w:ascii="Arial" w:cs="Arial" w:eastAsia="Arial" w:hAnsi="Arial"/>
          <w:sz w:val="17"/>
          <w:szCs w:val="17"/>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realize anticipated benefits or commercialize purchased technologies;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exposure to operational risks, rules and regulations to the extent such activities are located in countries where we have not historically done business;</w:t>
      </w:r>
    </w:p>
    <w:p>
      <w:pPr>
        <w:spacing w:after="0" w:line="28" w:lineRule="exact"/>
        <w:rPr>
          <w:rFonts w:ascii="Arial" w:cs="Arial" w:eastAsia="Arial" w:hAnsi="Arial"/>
          <w:sz w:val="16"/>
          <w:szCs w:val="16"/>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unknown, underestimated and/or undisclosed commitments or liabilities;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incurrence of debt, contingent liabilities or future write-offs of intangible assets or goodwill;</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dilution of ownership of our current stockholders if we issue shares of our common stock;</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than expected transaction costs;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ineffective integration of operations, technologies, products or employees of the acquired companies.</w:t>
      </w:r>
    </w:p>
    <w:p>
      <w:pPr>
        <w:spacing w:after="0" w:line="23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addition, acquisitions may disrupt our ongoing operations, increase our expenses and/or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 retention and hiring may be adversely impacted by immigration restrictions and related factors.</w:t>
      </w:r>
    </w:p>
    <w:p>
      <w:pPr>
        <w:spacing w:after="0" w:line="24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 States. The ability of these foreign nationals to remain and work in the United States is impacted by a variety of laws and regulations, as well as the processing procedures of various government agencies. Changes in applicable laws, regulations or procedures could adversely affect our ability to hire or retain these skilled employees and could affect our costs of doing 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 to retain a skilled worker who is a foreign national. Employing foreign nationals may require significant time and expense and our foreign national employees may choose to leave after we have made this investment. While a foreign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market conditions can adversely affect our results of operations, financial condition and business.</w:t>
      </w:r>
    </w:p>
    <w:p>
      <w:pPr>
        <w:spacing w:after="0" w:line="245" w:lineRule="exact"/>
        <w:rPr>
          <w:sz w:val="20"/>
          <w:szCs w:val="20"/>
          <w:color w:val="auto"/>
        </w:rPr>
      </w:pPr>
    </w:p>
    <w:p>
      <w:pPr>
        <w:jc w:val="both"/>
        <w:ind w:firstLine="319"/>
        <w:spacing w:after="0" w:line="273" w:lineRule="auto"/>
        <w:rPr>
          <w:sz w:val="20"/>
          <w:szCs w:val="20"/>
          <w:color w:val="auto"/>
        </w:rPr>
      </w:pPr>
      <w:r>
        <w:rPr>
          <w:rFonts w:ascii="Arial" w:cs="Arial" w:eastAsia="Arial" w:hAnsi="Arial"/>
          <w:sz w:val="16"/>
          <w:szCs w:val="16"/>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including interest rate increases and inflation,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Our business could be affected by acts of war or other military actions, terrorism, natural disasters and the widespread outbreak of infectious diseases. Current world tensions could escalate, and this could have unpredictable consequences on the world economy and on our business.</w:t>
      </w:r>
    </w:p>
    <w:p>
      <w:pPr>
        <w:spacing w:after="0" w:line="191"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6"/>
          <w:szCs w:val="16"/>
          <w:color w:val="auto"/>
        </w:rPr>
        <w:t>The COVID-19 pandemic has created significant uncertainty in the global economy. The COVID-19 pandemic and health measures taken by governments and private industry in response to the pandemic, including stay-at-home orders, restrictions on business operations, and travel restrictions, have had significant negative effects on the economy, including disruptions impacting various supply chains. Continued uncertainty about the pandemic, associated economic consequences, and potential relief measures may have a long-term adverse effect on the economy, our sellers, customers, suppliers, and our business. For example, we are currently subletting some of our office space. An economic downturn or our work from home practices may cause us to need less office space than we are contractually committed to leasing and prevent us from finding subtenants for such unused office space, causing us to pay for unused office space. Rising tensions in the geopolitical climate, including effects of the ongoing conflict between Russia and Ukraine, and the possibility of a wider European or global conflict, and global sanctions imposed in response thereto, have created significant uncertainty in the global economy.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207"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insurance policies, including general liability, errors and omissions, directors’ and officers’ insurance and cyber insurance may not totally protect us.</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cannot assure that our existing general liability insurance coverage, coverage for errors and omissions, directors’ and officers’ insurance and cyber liability insurance will continue to be available on acceptable terms in sufficient amounts to cover one or more large claims, or that the insurer will not deny coverage as to any future claim. The successful assertion of one or more large claims against us that exceeds our available insurance coverage, or the occurrence of changes in our insurance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policies, including premium increases or the imposition of large deductible or co-insurance requirements, could have a material adverse effect on our business, financial condition and results of operations.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financial and operating difficulties in the telecommunications sector may negatively affect our customers and our company.</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telecommunications sector has at times faced significant challenges resulting from significant changes in technology and consumer behavior, excess capacity, poor operating results and financing difficulties. The sector’s financial status has also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206" w:lineRule="exact"/>
        <w:rPr>
          <w:sz w:val="20"/>
          <w:szCs w:val="20"/>
          <w:color w:val="auto"/>
        </w:rPr>
      </w:pPr>
    </w:p>
    <w:p>
      <w:pPr>
        <w:jc w:val="both"/>
        <w:ind w:firstLine="38"/>
        <w:spacing w:after="0" w:line="250" w:lineRule="auto"/>
        <w:rPr>
          <w:sz w:val="20"/>
          <w:szCs w:val="20"/>
          <w:color w:val="auto"/>
        </w:rPr>
      </w:pPr>
      <w:r>
        <w:rPr>
          <w:rFonts w:ascii="Arial" w:cs="Arial" w:eastAsia="Arial" w:hAnsi="Arial"/>
          <w:sz w:val="18"/>
          <w:szCs w:val="18"/>
          <w:b w:val="1"/>
          <w:bCs w:val="1"/>
          <w:i w:val="1"/>
          <w:iCs w:val="1"/>
          <w:color w:val="auto"/>
        </w:rPr>
        <w:t>The ongoing COVID-19 pandemic and measures intended to prevent its spread may have a material and adverse effect on our business and results of operations.</w:t>
      </w:r>
    </w:p>
    <w:p>
      <w:pPr>
        <w:spacing w:after="0" w:line="207" w:lineRule="exact"/>
        <w:rPr>
          <w:sz w:val="20"/>
          <w:szCs w:val="20"/>
          <w:color w:val="auto"/>
        </w:rPr>
      </w:pPr>
    </w:p>
    <w:p>
      <w:pPr>
        <w:jc w:val="both"/>
        <w:ind w:firstLine="357"/>
        <w:spacing w:after="0" w:line="269"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The pandemic has resulted in government authorities and businesses implementing numerous measures to try to contain the virus, such as travel bans and restrictions, quarantines, shelter in place or total lock-down orders, school closures, and business limitations and shutdowns. As a result, our supply chain, financial condition, revenues, profitability and cash flows could be adversely affected.</w:t>
      </w:r>
    </w:p>
    <w:p>
      <w:pPr>
        <w:spacing w:after="0" w:line="208" w:lineRule="exact"/>
        <w:rPr>
          <w:sz w:val="20"/>
          <w:szCs w:val="20"/>
          <w:color w:val="auto"/>
        </w:rPr>
      </w:pPr>
    </w:p>
    <w:p>
      <w:pPr>
        <w:jc w:val="both"/>
        <w:ind w:firstLine="357"/>
        <w:spacing w:after="0" w:line="251"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our customers, and the communities in which we participate,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w:t>
      </w:r>
    </w:p>
    <w:p>
      <w:pPr>
        <w:spacing w:after="0" w:line="221" w:lineRule="exact"/>
        <w:rPr>
          <w:sz w:val="20"/>
          <w:szCs w:val="20"/>
          <w:color w:val="auto"/>
        </w:rPr>
      </w:pPr>
    </w:p>
    <w:p>
      <w:pPr>
        <w:jc w:val="both"/>
        <w:ind w:firstLine="359"/>
        <w:spacing w:after="0" w:line="290" w:lineRule="auto"/>
        <w:rPr>
          <w:sz w:val="20"/>
          <w:szCs w:val="20"/>
          <w:color w:val="auto"/>
        </w:rPr>
      </w:pPr>
      <w:r>
        <w:rPr>
          <w:rFonts w:ascii="Arial" w:cs="Arial" w:eastAsia="Arial" w:hAnsi="Arial"/>
          <w:sz w:val="16"/>
          <w:szCs w:val="16"/>
          <w:color w:val="auto"/>
        </w:rPr>
        <w:t>The extent to which the COVID-19 pandemic impacts our business, results of operations, and financial condition will depend on developments that continue to be highly uncertain and difficult to predict, including, but not limited to, the duration and spread of the pandemic, its severity, the actions to contain the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customers, and recession or economic downturn.</w:t>
      </w:r>
    </w:p>
    <w:p>
      <w:pPr>
        <w:spacing w:after="0" w:line="191"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8"/>
          <w:szCs w:val="18"/>
          <w:color w:val="auto"/>
        </w:rPr>
        <w:t>There are no comparable recent events that provide guidance as to the effect the COVID-19 pandemic may have, and, as a result, the ultimate impact of the pandemic is highly uncertain and subject to change. We do not yet know the full extent of the impacts on our business, our operations, or the global economy as a whole. However, the effects could have a material impact on our results of operations and heighten many of the known risks described throughout this Risk Factors section.</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do not continue to improve our operational, financial and other internal controls and systems to manage our growth and size, our business, results of operations and financial condition could be adversely affected.</w:t>
      </w:r>
    </w:p>
    <w:p>
      <w:pPr>
        <w:spacing w:after="0" w:line="206" w:lineRule="exact"/>
        <w:rPr>
          <w:sz w:val="20"/>
          <w:szCs w:val="20"/>
          <w:color w:val="auto"/>
        </w:rPr>
      </w:pPr>
    </w:p>
    <w:p>
      <w:pPr>
        <w:jc w:val="both"/>
        <w:ind w:firstLine="359"/>
        <w:spacing w:after="0" w:line="329" w:lineRule="auto"/>
        <w:rPr>
          <w:sz w:val="20"/>
          <w:szCs w:val="20"/>
          <w:color w:val="auto"/>
        </w:rPr>
      </w:pPr>
      <w:r>
        <w:rPr>
          <w:rFonts w:ascii="Arial" w:cs="Arial" w:eastAsia="Arial" w:hAnsi="Arial"/>
          <w:sz w:val="16"/>
          <w:szCs w:val="16"/>
          <w:color w:val="auto"/>
        </w:rPr>
        <w:t>Our historic and anticipated growth will continue to place significant demands on our management and other resources and will require us to continue to develop and improve our operational, financial and other internal controls. In particular, our growth will increase the challenges involved in:</w:t>
      </w:r>
    </w:p>
    <w:p>
      <w:pPr>
        <w:spacing w:after="0" w:line="160" w:lineRule="exact"/>
        <w:rPr>
          <w:sz w:val="20"/>
          <w:szCs w:val="20"/>
          <w:color w:val="auto"/>
        </w:rPr>
      </w:pPr>
    </w:p>
    <w:p>
      <w:pPr>
        <w:ind w:left="640" w:hanging="315"/>
        <w:spacing w:after="0" w:line="25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training and retaining technical, finance, marketing and management personnel with the knowledge, skills and experience that our business model requires;</w:t>
      </w: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high levels of customer satisfaction;</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communications and other internal systems;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preserving our culture, values and entrepreneurial environment;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effectively managing our personnel and operations and effectively communicating to our personnel worldwide our core values, strategies and goals.</w:t>
      </w:r>
    </w:p>
    <w:p>
      <w:pPr>
        <w:spacing w:after="0" w:line="268" w:lineRule="exact"/>
        <w:rPr>
          <w:sz w:val="20"/>
          <w:szCs w:val="20"/>
          <w:color w:val="auto"/>
        </w:rPr>
      </w:pPr>
    </w:p>
    <w:p>
      <w:pPr>
        <w:jc w:val="both"/>
        <w:ind w:firstLine="359"/>
        <w:spacing w:after="0" w:line="253" w:lineRule="auto"/>
        <w:rPr>
          <w:sz w:val="20"/>
          <w:szCs w:val="20"/>
          <w:color w:val="auto"/>
        </w:rPr>
      </w:pPr>
      <w:r>
        <w:rPr>
          <w:rFonts w:ascii="Arial" w:cs="Arial" w:eastAsia="Arial" w:hAnsi="Arial"/>
          <w:sz w:val="18"/>
          <w:szCs w:val="18"/>
          <w:color w:val="auto"/>
        </w:rPr>
        <w:t>In addition, the increasing size and scope of our operations increase the possibility that a member of our personnel will engage in unlawful or fraudulent activity, breach our contractual obligations, or otherwise expose us to unacceptable business risks, despite our efforts to train our people and maintain internal controls to prevent such instances. If we do not continue to develop and implement the right processes and tools to manage our enterprise, our business, results of operations and financial condition could be adversely affected.</w:t>
      </w:r>
    </w:p>
    <w:p>
      <w:pPr>
        <w:spacing w:after="0" w:line="2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The success of our business depends on the continued growth in demand for connected devices and the continued availability of high-speed access to the Internet.</w:t>
      </w:r>
    </w:p>
    <w:p>
      <w:pPr>
        <w:spacing w:after="0" w:line="206" w:lineRule="exact"/>
        <w:rPr>
          <w:sz w:val="20"/>
          <w:szCs w:val="20"/>
          <w:color w:val="auto"/>
        </w:rPr>
      </w:pPr>
    </w:p>
    <w:p>
      <w:pPr>
        <w:jc w:val="both"/>
        <w:ind w:firstLine="359"/>
        <w:spacing w:after="0" w:line="283" w:lineRule="auto"/>
        <w:rPr>
          <w:sz w:val="20"/>
          <w:szCs w:val="20"/>
          <w:color w:val="auto"/>
        </w:rPr>
      </w:pPr>
      <w:r>
        <w:rPr>
          <w:rFonts w:ascii="Arial" w:cs="Arial" w:eastAsia="Arial" w:hAnsi="Arial"/>
          <w:sz w:val="16"/>
          <w:szCs w:val="16"/>
          <w:color w:val="auto"/>
        </w:rPr>
        <w:t>The future success of our business depends upon the continued growth in demand for connected devices and business transactions on the Internet, and on our customers having high-speed access to the Internet, as well as the continued maintenance and development of the Internet infrastructure. While we believe the market for connected devices will continue to grow for the foreseeable future, we cannot accurately predict the extent to which demand for connected devices will increase, if at all. In particular, the ongoing COVID-19 pandemic has caused disruptions in various supply chains. If the demand for connected devices were to slow down or decline or the supply of connected devices to our customers is impacted for any reason, such as COVID-19 or other public health epidemics or concerns, our business and results of operations may be adversely affected. If for any reason the Internet does not remain a widespread communications medium and commercial platform, the demand for our services would be significantly reduced, which would harm our business, results of operations and financial condition. To the extent the Internet continues to experience increased numbers of users, frequency of use or bandwidth requirements, the Internet may become congested and be unable to support the demands placed on it, and its performance or reliability may decline. Any future Internet outages or delays could adversely affect our business, results of operation and financial condition.</w:t>
      </w:r>
    </w:p>
    <w:p>
      <w:pPr>
        <w:spacing w:after="0" w:line="197" w:lineRule="exact"/>
        <w:rPr>
          <w:sz w:val="20"/>
          <w:szCs w:val="20"/>
          <w:color w:val="auto"/>
        </w:rPr>
      </w:pPr>
    </w:p>
    <w:p>
      <w:pPr>
        <w:jc w:val="both"/>
        <w:ind w:firstLine="359"/>
        <w:spacing w:after="0" w:line="249" w:lineRule="auto"/>
        <w:rPr>
          <w:sz w:val="20"/>
          <w:szCs w:val="20"/>
          <w:color w:val="auto"/>
        </w:rPr>
      </w:pPr>
      <w:r>
        <w:rPr>
          <w:rFonts w:ascii="Arial" w:cs="Arial" w:eastAsia="Arial" w:hAnsi="Arial"/>
          <w:sz w:val="18"/>
          <w:szCs w:val="18"/>
          <w:color w:val="auto"/>
        </w:rPr>
        <w:t>Our business growth would be impeded if the performance or perception of the Internet was harmed by security problems such as “viruses,” “worms” or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the growth of our business and operating results may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SaaS pricing model is evolving and our failure to manage its evolution and demand could lead to lower than expected revenue and profit.</w:t>
      </w:r>
    </w:p>
    <w:p>
      <w:pPr>
        <w:spacing w:after="0" w:line="26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We derive a portion of our revenue growth from subscription offerings and specifically SaaS offerings. This business model depends heavily on achieving economics of scale due to the initial upfront investment, and the associated revenue is recognized on a ratable basis. Our customers typically have no contractual obligation to renew their subscriptions after completion of their then-current subscription term. We may be unable to predict future customer renewal rates accurately. Our renewal rates may decline or fluctuate as a result of a number of actors, including our customers’ level of satisfaction with our offerings, our offerings’ inability to integrate with new or changing technologies, the prices of our offerings, competing products, reductions in our customers’ spending levels or general, industry-specific or local economic conditions. If we fail to achieve appropriate economics of scale or if we fail to manage or anticipate the evolution and demand of the SaaS pricing model, then our business and operating results could be adversely affected.</w:t>
      </w:r>
    </w:p>
    <w:p>
      <w:pPr>
        <w:spacing w:after="0" w:line="194"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Because subscription revenue related to our SaaS offerings is typically recognized ratably over time, we expect to experience near-term revenue growth as more customers move to our SaaS subscriptions. If the Company does not achieve near term growth, we may not be able to adjust our cost structure in response to changes in subscription agreements in a period. Also, since revenue from SaaS subscriptions is recognized over the term of their subscriptions, it is difficult for us to rapidly increase revenue through additional sales in any period. We forecast our future revenue and operating results and provide financial projections based on a number of assumptions, including a forecasted rate of subscription bookings. In addition, our subscription based offerings may be invoiced over multiple reporting periods, which could subject us to additional collection and credit risks, particularly if a customer does not plan to renew these subscriptions. If any of our assumptions about our business model or the estimated subscriptions are incorrect, our revenue and operating results may be impacted and could vary materially from those we provide as guidance or from those anticipated by investors and analysts. If we are unable to manage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SaaS pricing model in light of the foregoing risks and uncertainties, our business, results of operations and financial condition would be negatively impacted.</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business depends substantially on customers renewing and expanding their subscriptions for our services. Any decline in our customer renewals and expansions would harm our future operating results.</w:t>
      </w:r>
    </w:p>
    <w:p>
      <w:pPr>
        <w:spacing w:after="0" w:line="206"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We enter into subscription agreements with certain of our customers that are generally one to two years. As a result, maintaining the renewal rate of those subscription agreements is critical to our future success. We cannot provide assurance that any of our customer agreements will be renewed, as our customers have no obligation to renew their subscriptions for our services after the expiration of the initial term of their agreements. The loss of any customers that individually or collectively account for a significant amount of our revenues would have a material adverse effect on our results of operations or financial condition. Additionally, our customer’s consumers may become dissatisfied with their current service provider and may switch to another provider. In the event that there is substantial subscriber migration from our existing customers to service providers with which we do not have relationships, the fees that we receive on a per-subscriber basis, and the related revenue, including search and digital advertising revenue, could decline. If our renewal rates are lower than anticipated or decline for any reason, if customers renew on terms less favorable to us, or if there’s a substantial subscriber migration from our customers, our revenue may decrease, and our profitability and gross margin may be harmed, which would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compete successfully with existing or new competitors, our business could be harmed.</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If we fail to compete successfully with established or new competitors, it could have a material adverse effect on our results of operations and financial condition. The industries in which we operate are highly competitive and fragmented, and we expect competition to increase. We compete with independent providers of information systems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 products and services less valuable or, eventually, obsolete. Our competitors include firms that provide comprehensive information systems and managed services solutions, BYOD providers, systems integrators, clearinghouses and service bureaus. Many of our competitors have long operating histories, large customer bases, substantial financial, technical, sales, marketing and other resources and strong name recognition.</w:t>
      </w:r>
    </w:p>
    <w:p>
      <w:pPr>
        <w:spacing w:after="0" w:line="200"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prices of our products and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our customers could result in a substantial reduction in or the outright termination of our contracts with some of our customers, which would have a significant, negative and material impact on our business, results of operations and financial condition.</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markets in which we market and sell our products and services are highly competitive, and if we do not adapt to rapid technological change, we could lose customers or market share, which could adversely affect our ability to sustain or grow revenue.</w:t>
      </w:r>
    </w:p>
    <w:p>
      <w:pPr>
        <w:spacing w:after="0" w:line="183"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industries we serve are characterized by rapid technological change and frequent new service offerings and are highly competitive with respect to the need for innovation. The industries also demand frequent and, at times, significant technology upgrades and changes. Significant technological upgrades and changes could make our technology and services obsolete, less marketable or less competitive. We must adapt to these rapidly changing markets by continually improving the features, functionality, reliability and responsiveness of our products and services, and by developing new features, services and applications to meet changing customer needs and further address the markets we serve. Our ability to take advantage of opportunities in the markets we serve may require us to invest in development and incur other expenses well in advance of our ability to generate revenues from these offerings or services. We may not be able to timely adapt to these challenges or respond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successfully or in a cost-effective way and we will not have the resources to invest in all existing and potential technologies. As a result, we expect to concentrate our resources on those technologies that we believe have or will achieve substantial customer acceptance and in which we will have appropriate technical expertise. However, existing products often have short product life cycles characterized by declining prices over their lives. In addition, our choices for developing technologies may prove incorrect if customers do not adopt the products that we develop or if those technologies ultimately prove to be unviable. Our failure to successfully adapt would adversely affect our ability to compete and retain customers and/or market share and could adversely affect our ability to sustain or grow revenue. Our revenues and operating results will depend, to a significant extent, on our ability to maintain a product portfolio and service capability that is attractive to our current and future customers; to enhance our existing products; to continue to introduce new products successfully and on a timely basis; and to develop new or enhance existing tools for our services offerings. The development of new technologies remains a significant risk to us, due to the efforts that we still need to make to achieve technological feasibility, due to rapidly changing customer markets; and due to significant competitive threats. In addition, as we expand our service offerings, we may face competition from new and existing competitors. It is also possible that our customers could decide to create, invest in or collaborate in the creation of competitive products that might limit or reduce their need for our products, services and solutions. Further, we may experience delays in the development of one or more features of our offerings, which could materially reduce the potential benefits to us providing these services. In addition, our present or future service offerings may not satisfy the evolving needs of the industry in which we operate. If we are unable to anticipate or respond adequately to these evolving market needs, due to resource, technological or other constraints, our business and results of operations could be harmed. In addition, the arrival of new market entrants could reduce the demand for our services or cause us to reduce our pricing, resulting in a loss of revenue and adversely affecting our business, results of operations and financial condition. Also, the use of internal technologies, developed by our customers or their advisers, could reduce the demand for our services, result in pricing pressures or cause a reduction in our revenue. If we fail to manage these challenges adequately, our business, results of operations and financial condition could be adversely affected.</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Consolidation in the telecommunications, media and technology industry or the other industries that we serve can reduce the number of actual and potential customers and adversely affect our business.</w:t>
      </w:r>
    </w:p>
    <w:p>
      <w:pPr>
        <w:spacing w:after="0" w:line="206"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There has been, and there continues to be, merger, acquisition and consolidation activity among our customers. Mergers, acquisitions or consolidations of companies in the communications industry or other industries that we serve, have reduced and may continue to reduce the number of our customers and potential customers for our solutions, resulting in a smaller market for our services, which could have a material adverse impact on our business and results of operations. In addition, it is possible that the larger institutions that result from mergers or consolidations could themselves perform some or all of the services that we currently provide or could provide in the future. Should one or more of our significant customers acquire, consolidate or enter into an alliance with an entity or decide to either use a different service provider or to manage its transactions internally, this could have a negative material impact on our business. Any such consolidations, alliances or decisions to manage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success of our business depends on our ability to achieve or sustain market acceptance of our services and solutions at desired pricing levels.</w:t>
      </w:r>
    </w:p>
    <w:p>
      <w:pPr>
        <w:spacing w:after="0" w:line="29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Our competitors and customers may cause us to reduce the prices we charge for our services and solutions. Our current or future competitors may offer our customers services at reduced prices or bundling and pricing services in a manner that may make it difficult for us to compete. Customers with a significant volume of transactions may attempt to use this leverage in pricing negotiations with us. Also, if our prices are too high, current or potential customers may find it economically advantageous to handle certain functions internally instead of using our services. We may not be able to offset the effects of any price reductions by increasing the number of transactions we handle or the number of customers we serve, by generating higher revenue from enhanced services or by reducing our costs. If these or other sources of pricing pressure cause us to reduce the pricing of our service or solutions below desirable levels, our business and results of operations may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Though acceptance of cloud-based software has advanced in recent years, some businesses may still be hesitant to adopt these types of solutions.</w:t>
      </w:r>
    </w:p>
    <w:p>
      <w:pPr>
        <w:spacing w:after="0" w:line="29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cloud-based service strategy may not be successful. We enable our customers to offer their subscribers the ability to backup, restore and share content across multiple devices through a cloud-based environment. Some businesses may still be uncertain as to whether a cloud-based service like ours is appropriate for their business needs. The success of our offerings is dependent upon continued acceptance by and growth in subscribers of cloud-based services in general and there can be no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guarantee of the adoption rate by these subscribers. Many organizations have invested substantial personnel and financial resources to integrate traditional enterprise software into their organizations and, therefore, may be reluctant or unwilling to migrate to a cloud-based model for storing, accessing, sharing and managing their content. Because we derive, and expect to continue to derive, a substantial portion of our revenue and cash flows from sales of our cloud-based solutions, our success will depend to a substantial extent on the widespread adoption of cloud computing for companies in general. Our cloud strategy will continue to evolve, and we may not be able to compete effectively, generate significant revenues or maintain profitability. While we believe our expertise, investments in infrastructure, and the breadth of our cloud-based services provides us with a strong foundation to compete, it is uncertain whether our strategies will attract the users or generate the revenue required to be successful. In addition to software development costs, we incur costs to build and maintain infrastructure to support cloud-based services. It is difficult to predict customer adoption rates and demand for our services, the future growth rate and size of the cloud computing market or the entry of competitive services. The expansion of a cloud-based enterprise software market depends on a number of factors, including the cost, performance and perceived value associated with cloud computing, as well as the ability of companies that provide cloud-based services to address security and privacy concerns. If we or other providers of cloud-based services experience security incidents, loss of customer data, disruptions in delivery or other problems, the market for cloud-based services as a whole, including our services, may be negatively affected. If there is a reduction in demand for cloud-based services caused by a lack of customer acceptance, technological challenges, weakening economic conditions, security or privacy concerns, competing technologies and products, decreases in corporate spending or otherwise, we could experience decreased revenue, which could harm our growth rates and adversely affect our business and operating results.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rely in part on strategic relationships with third parties to sell and deliver our solutions. If we are unable to successfully develop and maintain these relationships, our business may be harmed.</w:t>
      </w:r>
    </w:p>
    <w:p>
      <w:pPr>
        <w:spacing w:after="0" w:line="206"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In addition to generating customer referrals through third-party users of our solutions, we intend to pursue relationships with other third parties such as technology and content providers and implementation and distribution partners. Our future growth will depend, at least in part, on our ability to enter into and maintain successful strategic relationships with these third parties. Identifying partners and negotiating and documenting relationships with them requires significant time and resources, as does integrating third-party content and technology. Some of our contracts with third parties may require us to meet certain minimum spend commitment obligations. These commitments could have an adverse effect on our operating results if we are not able to generate sufficient sales to satisfy the minimum commitments. Some of the third parties with whom we have strategic relationships have entered and may continue to enter into strategic relationships with our competitors. Further, these third parties may have multiple strategic relationships and may not regard us as significant for their businesses. As a result, they may choose to offer their services on terms that are unfavorable to us, terminate their respective relationships with us, pursue other partnerships or relationships, or attempt to develop or acquire services or solutions that compete with ours. Our relationships with strategic partners could also interfere with our ability to enter into desirable strategic relationships with other potential partners in the future. If we are unsuccessful in establishing or maintaining relationships with strategic partners on favorable economic terms, our ability to compete in the marketplace or to grow our revenue could be impaired, and our business, results of operations and financial condition would suffer. Even if we are successful, we cannot provide assurance that these relationships will result in increased revenue or customer usage of our solutions or that the economic terms of these relationships will not adversely affect our margins.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206"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Our solutions can be used alongside a wide range of other systems such as email and enterprise software systems used by our customers in their businesses. If we do not support the continued integration of our products and services with third-party applications, including through the provision of application programming interfaces that enable data to be transferred readily between our services and third-party applications, demand for our services could decline and we could lose sales or experience declining renewal rates. We will also be required to make our products and services compatible with new or additional third-party applications that are introduced to the markets that we serve and, if we are not successful, we could experience reduced demand for our services. In addition, prospective customers, especially large enterprise customers, may require heavily customized features and functions unique to their business processes. If prospective customers require customized features or functions that we do not offer and that would be difficult for them to develop and integrate within our services, then the market for our products and services may be adversely affected.</w:t>
      </w:r>
    </w:p>
    <w:p>
      <w:pPr>
        <w:spacing w:after="0" w:line="20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may not currently or in the future appropriately leverage advances in technology to achieve or sustain a competitive advantage in products, services, information and processes. Our customers and users regularly adopt new technologies and industry standards continue to evolve. The introduction of products or services and the emergence of new industry standards can render our existing services obsolete and unmarketable in short periods of time. We expect others to continue to develop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and introduce new and enhance existing products and services that will compete with our services. Our future success will depend, in part, on our ability to enhance our current services and to develop and introduce new services that keep pace with technological developments, emerging industry standards and the needs of our customers. We cannot assure that we will be successful in cost-effectively developing, marketing and selling new services or service enhancements that meet these changing demands on a timely basis, that we will not experience difficulties that could delay or prevent the successful development, introduction and marketing of these services, or that our new service and service enhancements will adequately meet the demands of the marketplace and achieve market acceptance. We also cannot assure that the features that we believe will drive purchasing decisions will in fact be the features that our current or potential customers consider most significant.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2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183"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As Internet commerce continues to evolve, increasing regulation by federal, state, local and foreign governments become more likely. For example, in recent years, numerous federal, state, local and foreign laws regarding privacy and the collection, processing, storage, sharing, disclosure, use or protection of personal information and other data have been enacted. The scope of these laws is expanding, they are subject to differing interpretations and may be costly to comply with and may be inconsistent between countries and jurisdictions or conflict with other rules. Further, laws and regulations applying to the solicitation, collection, processing or use of personal or consumer information could affect our customers’ ability to use and share data, potentially reducing demand for our products and services. In addition, taxation of products and services provided over the Internet or other charges imposed by government agencies or by private organizations for accessing the Internet may also be imposed. Any regulation imposing greater fees for Internet use or restricting the exchange of information over the Internet could result in reduced growth or a decline in the use of the Internet and could diminish the viability of our Internet-based services, which could harm our business and operating results.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w:t>
      </w:r>
    </w:p>
    <w:p>
      <w:pPr>
        <w:spacing w:after="0" w:line="220"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antitrust laws, workplace safety, product safety, environmental laws, consumer protection laws, anti-bribery laws, import/export controls, federal securities laws and tax laws and regulations. In certain jurisdictions, these regulatory requirements may be more stringent than in the United States. Noncompliance with applicable regulations or requirements could subject us to investigations, sanctions, mandatory product recalls, enforcement actions, disgorgement of profits, fines, damages and civil and criminal penalties or injunctions. If any governmental sanctions are imposed, or if we do not prevail in any possible civil or criminal litigation, our business, reputation, operating results and financial condition could be adversely affected. In addition, responding to any action will likely result in a significant diversion of management’s attention and resources and an increase in third-party professional fees. Enforcement actions and sanctions could harm our business, operating results and financial condition.</w:t>
      </w:r>
    </w:p>
    <w:p>
      <w:pPr>
        <w:spacing w:after="0" w:line="193" w:lineRule="exact"/>
        <w:rPr>
          <w:sz w:val="20"/>
          <w:szCs w:val="20"/>
          <w:color w:val="auto"/>
        </w:rPr>
      </w:pPr>
    </w:p>
    <w:p>
      <w:pPr>
        <w:jc w:val="both"/>
        <w:ind w:firstLine="319"/>
        <w:spacing w:after="0" w:line="248" w:lineRule="auto"/>
        <w:rPr>
          <w:sz w:val="20"/>
          <w:szCs w:val="20"/>
          <w:color w:val="auto"/>
        </w:rPr>
      </w:pPr>
      <w:r>
        <w:rPr>
          <w:rFonts w:ascii="Arial" w:cs="Arial" w:eastAsia="Arial" w:hAnsi="Arial"/>
          <w:sz w:val="18"/>
          <w:szCs w:val="18"/>
          <w:color w:val="auto"/>
        </w:rPr>
        <w:t>These laws and regulations impose added costs on our business, and failure to comply with these or other applicable regulations and requirements, could lead to claims for damages from our channel partners, penalties or termination of contracts. Any such damages, penalties, disruptions or limitations in our ability to do business could have an adverse effect on our business and operating results.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Changes in laws, regulations or governmental policy applicable to our customers or potential customers may decrease the demand for our solutions or increase our costs.</w:t>
      </w:r>
    </w:p>
    <w:p>
      <w:pPr>
        <w:spacing w:after="0" w:line="193"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level of our customers’ and potential customers’ activity in the business processes our services are used to support is sensitive to many factors beyond our control, including governmental regulation and regulatory policies. Many of our customers and potential customers in the telecommunications and other industries are subject to substantial regulation and may be the subject of further regulation in the future. Accordingly, significant new laws or regulations or changes in, or repeals of, existing laws, regulations or governmental policy may change the way these customers do business and could cause the demand for and sales of our solutions to decrease. Any change in the scope of applicable regulations that either decreases the volume of transactions that our customers or potential customers enter into or otherwise negatively impacts their use of our solutions would have a material adverse effect on our revenues or gross margins, or both. Moreover, complying with increased or changed regulations could cause our operating expenses to increase as we may have to reconfigure our existing services or develop new services to adapt to new regulatory rules and policies, either of which would require additional expense and time. Additionally, the information provided by, or residing in, the software or services we provide to our customers could be deemed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relevant to a regulatory investigation or other governmental or private legal proceeding involving our customers, which could result in requests for information from us that could be expensive and time consuming for us to address or harm our reputation since our customers rely on us to protect the confidentiality of their information. These types of changes could adversely affect our business, results of operations and financial condition.</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expansion into additional international markets may be subject to uncertainties that could increase our costs to comply with regulatory requirements in foreign jurisdictions, disrupt our operations and require increased focus from our management.</w:t>
      </w:r>
    </w:p>
    <w:p>
      <w:pPr>
        <w:spacing w:after="0" w:line="206"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Our growth strategy includes the growth of our operations in foreign jurisdictions. International operations are subject to numerous additional risks, including economic and political risks in foreign jurisdictions in which we operate or seek to operate, potential additional costs due to localization and other geographic specific costs, difficulty in enforcing contracts and collecting receivables through some foreign legal and financial systems, unexpected changes in legal and regulatory requirements, differing technology standards and pace of adoption, fluctuations in currency exchange rates, varying regional and geopolitical business conditions and demands. The difficulties associated with managing a large organization spread throughout various countries and potential tax issues, including restrictions on repatriating earnings and multiple changing and complex tax laws and regulations, and the differences in foreign laws and regulations, including foreign tax, data privacy requirements, anti-competition, intellectual property, labor, trade and other laws. Additionally, compliance with international and U.S. laws and regulations that apply to our international operations may increase our cost of doing business in foreign jurisdictions. Violation of these laws and regulations could result in fines, criminal sanctions against us, our officers or our employees, or prohibitions on the conduct of our business. Sanctions imposed by the United States and other countries with respect to countries involved in conflict may impact our ability to offer services in the region, and additional sanctions or retaliatory measures could be imposed in the future. Further instability or tension in the geopolitical climate could also cause us to adjust our operating model, which would increase our costs of operations. 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202" w:lineRule="exact"/>
        <w:rPr>
          <w:sz w:val="20"/>
          <w:szCs w:val="20"/>
          <w:color w:val="auto"/>
        </w:rPr>
      </w:pPr>
    </w:p>
    <w:p>
      <w:pPr>
        <w:jc w:val="both"/>
        <w:spacing w:after="0" w:line="391" w:lineRule="auto"/>
        <w:rPr>
          <w:sz w:val="20"/>
          <w:szCs w:val="20"/>
          <w:color w:val="auto"/>
        </w:rPr>
      </w:pPr>
      <w:r>
        <w:rPr>
          <w:rFonts w:ascii="Arial" w:cs="Arial" w:eastAsia="Arial" w:hAnsi="Arial"/>
          <w:sz w:val="14"/>
          <w:szCs w:val="14"/>
          <w:b w:val="1"/>
          <w:bCs w:val="1"/>
          <w:i w:val="1"/>
          <w:iCs w:val="1"/>
          <w:color w:val="auto"/>
        </w:rPr>
        <w:t>Failure to comply with anticorruption and anti-money laundering laws, including the U.S. Foreign Corrupt Practices Act of 1977, as amended ("FCPA"), and similar laws associated with our activities outside of the United States could subject us to penalties and other adverse consequences.</w:t>
      </w:r>
    </w:p>
    <w:p>
      <w:pPr>
        <w:spacing w:after="0" w:line="127"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6"/>
          <w:szCs w:val="16"/>
          <w:color w:val="auto"/>
        </w:rPr>
        <w:t>We are subject to the FCPA, the U.S. domestic bribery statute contained in 18 U.S.C. § 201, the U.S. Travel Act, the USA PATRIOT Act, the United Kingdom Bribery Act of 2010 ("U.K. Bribery Act") and other anti-bribery and anti-money laundering laws in countries in which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In addition, we use various third parties to sell our solutions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We continue to update and implement our FCPA/anti-corruption compliance program and no assurance can be given that all of our employees and agents, as well as those companies to which we outsource certain of our business operations, will not take actions in violation of our policies and applicable law, for which we may be ultimately held responsible.</w:t>
      </w:r>
    </w:p>
    <w:p>
      <w:pPr>
        <w:spacing w:after="0" w:line="211" w:lineRule="exact"/>
        <w:rPr>
          <w:sz w:val="20"/>
          <w:szCs w:val="20"/>
          <w:color w:val="auto"/>
        </w:rPr>
      </w:pPr>
    </w:p>
    <w:p>
      <w:pPr>
        <w:jc w:val="both"/>
        <w:ind w:firstLine="319"/>
        <w:spacing w:after="0"/>
        <w:rPr>
          <w:sz w:val="20"/>
          <w:szCs w:val="20"/>
          <w:color w:val="auto"/>
        </w:rPr>
      </w:pPr>
      <w:r>
        <w:rPr>
          <w:rFonts w:ascii="Arial" w:cs="Arial" w:eastAsia="Arial" w:hAnsi="Arial"/>
          <w:sz w:val="18"/>
          <w:szCs w:val="18"/>
          <w:color w:val="auto"/>
        </w:rPr>
        <w:t>Any violation of the FCPA, other applicable anticorruption laws and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reputation, brand, business, operating results and prospects. In addition, responding to any enforcement action may result in a materially significant diversion of management’s attention and resources and significant defense costs and other third-party professional fees.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19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success depends to a significant degree upon the protection of our software and other proprietary technology rights. We rely on trade secret, copyright and trademark laws and confidentiality agreements with employees and third parties, all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which offer only limited protection. We also regularly file patent applications to protect inventions arising from our research and development and have obtained a number of patents in the United States and other countries. There can be no assurance that our patent applications will be approved, that any issued patents will adequately protect our intellectual property, or that our patents will not be challenged by third parties. Also, much of our business and many of our solutions rely on key technologies developed or licensed by third or other parties and we may not be able to obtain or continue to obtain licenses and technologies from these third parties at all or on reasonable terms.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This type of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collect, process, store, disclose and use personal information and other data, and our actual or perceived failure to protect this information and data could damage our reputation and harm our business and operating results.</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the ordinary course of our business, we and our current or future third-party collaborators, service providers, contractors and consultants collect, process, store, disclose and use personal information (also referred to as “personal data” or “personally identifiable information” under certain data privacy laws) and other data provided by our customers and their end users. We rely on encryption and authentication technology licensed from third parties to effectively secure transmission of this information.</w:t>
      </w:r>
    </w:p>
    <w:p>
      <w:pPr>
        <w:spacing w:after="0" w:line="2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are, or may become subject to various federal, state, local and foreign laws, related regulations, and industry standards regarding privacy and the collection, processing, storage, sharing, disclosure, use or protection of personal information and other data. The scope of these laws is changing, they are subject to differing interpretations from one jurisdiction to another, and they may be costly to comply with and may be inconsistent between countries and jurisdictions or conflict with other rules or our practices. As a result, our practices may not have complied in the past or may not comply now or in the future with all such laws, regulations, requirements or obligations.</w:t>
      </w:r>
    </w:p>
    <w:p>
      <w:pPr>
        <w:spacing w:after="0" w:line="22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In the United States, our collection, processing, storage, disclosure and use of personal information is subject to a variety of laws and regulations, including federal and state data privacy laws, data breach notification laws, and consumer protection laws. Many state legislatures have adopted legislation that regulates how businesses operate online, including measures relating to privacy, data security, and data breaches. For example, the California Consumer Privacy Act of 2018, as amended by the California Privacy Rights Act of 2020 (“CPRA”) created new individual privacy rights for consumers (as that term is broadly defined), places increased privacy and security obligations on entities handling personal data of consumers or households, and creates a new state agency that will be vested with authority to implement and enforce the CPRA. The CPRA took effect on January 1, 2023, and it may require us to modify our data collection or processing practices and policies and to incur substantial costs and expenses in an effort to comply and increase our potential exposure to regulatory enforcement and/or litigation. Virginia, Colorado, Connecticut, and Utah have passed similar laws, all of which come into force in 2023, reflecting a trend toward more stringent privacy legislation in the United States. Other states, including California and Massachusetts, have also passed specific laws mandating reasonable security measures for the handling of personal information.</w:t>
      </w:r>
    </w:p>
    <w:p>
      <w:pPr>
        <w:spacing w:after="0" w:line="197"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 xml:space="preserve">In Europe, we are subject to the European Union General Data Protection Regulations (Regulation (EU) 2016/679) (the “EU GDPR”) and to the United Kingdom General Data Protection Regulation and Data Protection Act 2018 (the “UK GDPR”) (the EU GDPR and UK GDPR referred to collectively as the “GDPR”). The GDPR imposes comprehensive compliance obligations regarding our processing of personal data, including a principle of accountability and the obligation to demonstrate compliance through policies, procedures, training, and audits. Further, the GDPR regulates cross-border transfers of personal data out of the European Economic Area (“EEA”) and the United Kingdom (“UK”). On July 16, 2020, the Court of Justice of the European Union (the “CJEU”) ruled in its decision in the case of </w:t>
      </w:r>
      <w:r>
        <w:rPr>
          <w:rFonts w:ascii="Arial" w:cs="Arial" w:eastAsia="Arial" w:hAnsi="Arial"/>
          <w:sz w:val="17"/>
          <w:szCs w:val="17"/>
          <w:i w:val="1"/>
          <w:iCs w:val="1"/>
          <w:color w:val="auto"/>
        </w:rPr>
        <w:t>Data Protection Commissioner v. Facebook Ireland Limited, Maximillian Schrems</w:t>
      </w:r>
      <w:r>
        <w:rPr>
          <w:rFonts w:ascii="Arial" w:cs="Arial" w:eastAsia="Arial" w:hAnsi="Arial"/>
          <w:sz w:val="17"/>
          <w:szCs w:val="17"/>
          <w:color w:val="auto"/>
        </w:rPr>
        <w:t xml:space="preserve"> (Case C-311/18) (“</w:t>
      </w:r>
      <w:r>
        <w:rPr>
          <w:rFonts w:ascii="Arial" w:cs="Arial" w:eastAsia="Arial" w:hAnsi="Arial"/>
          <w:sz w:val="17"/>
          <w:szCs w:val="17"/>
          <w:i w:val="1"/>
          <w:iCs w:val="1"/>
          <w:color w:val="auto"/>
        </w:rPr>
        <w:t>Schrems</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 that the EU-US Privacy Shield Framework (“Privacy Shield”) was invalid and could no longer be relied upon as a basis for international transfers of</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data out of the EEA to relevant self-certified U.S. entities. The CJEU further noted that reliance on the European Commission Standard Contractual Clauses (“SCCs”) (a potential alternative transfer mechanism to the Privacy Shield) alone may not necessarily be sufficient in all circumstances and that transfers must be assessed on a case-by-case basis. Synchronoss and our customers continue to use alternative transfer strategies, including the SCCs. As the enforcement landscape further develops, supervisory authorities issue further guidance on international data transfers, and governments work to reach agreements on additional transfer mechanisms,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experience additional costs, complaints and/or regulatory investigations or fines; we may have to stop using certain tools and vendors and make other operational changes; we have had to and will have to implement revised SCCs for existing customer and vendor arrangements within required time frames; and/or it could otherwise affect the manner in which we provide our services, and could adversely affect our business, operations and financial condition. Failure to comply with the EU GDPR and the UK GDPR could result in penalties under each of these regimes independently in the respect of the same violation. Penalties for certain violations are up to the greater of EUR 20 million / GBP 17.5 million or 4% of our global annual turnover. In addition to fines, a violation of the GDPR may result in regulatory investigations, reputational damage, orders to cease/change our data processing activities, enforcement notices, assessment notices (for compulsory audits) and/or civil claims (including class action lawsuits).</w:t>
      </w:r>
    </w:p>
    <w:p>
      <w:pPr>
        <w:spacing w:after="0" w:line="19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are also subject to evolving EU and UK privacy laws on cookies, tracking technologies and e-marketing. If regulators continue their trend of increasing enforcement of the strict approach to opt-in consent for all but essential use cases and given the complex and evolving nature of EU and UK privacy laws, this may lead to substantial costs, require significant systems changes, limit the effectiveness of our marketing activities, require that we divert the attention of our technology personnel, adversely affect our margins, subject us to additional liabilities and there can be no assurances that we will be successful in our compliance efforts.</w:t>
      </w:r>
    </w:p>
    <w:p>
      <w:pPr>
        <w:spacing w:after="0" w:line="22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 addition to the EU and UK, a growing number of other global jurisdictions are considering or have passed legislation implementing data protection requirements or requiring local storage and processing of data or similar requirements that could increase the cost and complexity of delivering our offerings.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offerings, harm to our reputation, and become subject to investigations, claims, and other remedies, which would expose us to significant fines, penalties, and other damages, all of which would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Compromises to our privacy safeguards or disclosure of confidential information could impact our reputation.</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Names, addresses, telephone numbers, credit card data and other personal identification information are collected, processed and stored in our systems. Our treatment of this kind of information is subject to contractual restrictions and federal, state and foreign data privacy laws and regulations. Advances in technology, the expertise of criminals, new discoveries in the field of cryptography, acts or omissions by our employees, contractors or service providers or other events or developments could result in a compromise or breach in the security of confidential or sensitive information. Our security measures and those of our service providers may be breached or compromised by individuals or groups of hackers, including sophisticated organizations and nation states, or compromised by personnel error or malfeasance. Techniques used to compromise or sabotage systems change frequently and generally are not recognized until launched against a target. As a result, we may be unable to anticipate these techniques or to implement adequate preventative measures. We and our service providers, therefore, may not be able to prevent third parties, including criminals, competitors or others, from breaking into or altering our systems, conducting denial-of-service attacks, attempting to gain access to our systems, information or monetary funds through phishing or social engineering campaigns, installing viruses or malicious software on our website or devices used by our employees or contractors, or carrying out other activity intended to disrupt our systems or gain access to confidential or sensitive information in our or our service providers’ systems. Furthermore, such third parties may further engage in various other illegal activities using such information, including credit card fraud, which may cause additional harm to us, our users and our brand. Third parties may attempt to fraudulently induce our or our service providers’ employees to misdirect funds or to disclose information in order to gain access to personal data we maintain about our users or website users.</w:t>
      </w:r>
    </w:p>
    <w:p>
      <w:pPr>
        <w:spacing w:after="0" w:line="20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Any accidental unauthorized access to or disclosure, loss, disablement or encryption of, acquisition, use or misuse of or modification of confidential or sensitive information, processing or destruction of this information, or unavailability of information that we or our partners could experience or the perception that one has occurred or may occur, could expose us to regulatory actions, litigation, investigations, remediation obligations, damage to our reputation and brand,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Moreover, there could be public announcements regarding any such incidents and any steps we take to respond to or remediate such incidents. Security incidents could disrupt operation of our products or result in unauthorized access to, unauthorized use or disclosure of, the inaccessibility of or loss of our or our partners’ and users’ sensitive and confidential information (including intellectual property and personal information). Consequences of these incidents can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include damage to our reputation, early termination of our contracts, loss of business, litigation, regulatory investigations and other liabilities. Even a perceived security incident could damage the market perception of our business and adversely impact our results of operations and financial condition. Our efforts to detect, prevent and remediate known or potential security vulnerabilities may result in additional direct and indirect costs. Finally, if a high profile security breach occurs with respect to other similarly situated services, our users and potential users may lose trust in the security of such services generally, which could adversely impact our ability to retain existing users or attract new ones.</w:t>
      </w:r>
    </w:p>
    <w:p>
      <w:pPr>
        <w:spacing w:after="0" w:line="22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We devote financial and personnel resources to implement and maintain security measures. While we have security measures in place that are designed to protect against these risks, preserve the integrity of customer and personal information and prevent information loss, misappropriation and other security breaches, our security measures may be compromised as a result of intentional misconduct, including by computer hackers, employees, contractors or service providers, as well as software bugs, human error, technical malfunctions or other malfeasance.</w:t>
      </w:r>
    </w:p>
    <w:p>
      <w:pPr>
        <w:spacing w:after="0" w:line="204"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If any breach of information security were to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For example, any such event that leads to unauthorized access, use, or disclosure of personal information, including personal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 Actual or anticipated attacks may cause us to incur increasing costs, including costs to deploy additional personnel and protection technologies, train employees and engage third-party experts and consultants. Any compromise or breach of our security measures, or those of our third-party service providers, may violate applicable privacy, data security and other laws, and cause significant legal and financial exposure, adverse publicity and a loss of confidence in our security measures, which could have a material adverse effect on our business, financial condition and results of operations. We may need to devote significant resources to protect against security breaches or to address problems caused by breaches, diverting resources from the growth and expansion of our business.</w:t>
      </w:r>
    </w:p>
    <w:p>
      <w:pPr>
        <w:spacing w:after="0" w:line="19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Finally, the impacts of the COVID-19 pandemic and the shift to a remote workforce may exacerbate these risks. With our employees primarily working from their homes or other locations outside of the office, there is increased potential that unauthorized third parties may have access to sensitive company or customer information. For instance, if our employees were to use a non-secure internet network, conduct their work in a non-secure environment or even fail to take appropriate precautions within their own home, there is a greater likelihood that an unauthorized person or entity could obtain access to ours or our clients’ sensitive information.</w:t>
      </w:r>
    </w:p>
    <w:p>
      <w:pPr>
        <w:spacing w:after="0" w:line="22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Any or all of these issues could negatively affect our ability to attract new customers, cause existing customers to elect to terminate or not renew their subscriptions, result in reputational damage, cause us to pay remediation costs, or require us to compensate our customers or other users for certain losses or result in lawsuits, regulatory fines or other action or liabilities, which could adversely affect our business and operating results. These risks may increase as we continue to grow and collect, process, store and transmit increasingly large amounts of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Internet transactions could negatively impact our business.</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customers currently bear the risk for a fraudulent credit card transaction, in the future we may be forced to share some of that risk and the associated costs with our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our customers and our business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23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 portion of the technologies licensed by us incorporates “open source” software, and we may incorporate open source software in the future. Open source software is generally licensed by its authors or other third parties under open source licenses. If we fail to comply with these licenses, we may be subject to certain conditions, including requirements that we offer any of our services that incorporate the open source software at no cost. Additionally, we may be required to make publicly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available any source code for modifications or derivative works we create based upon, incorporating or using the open source software and/or license those modifications or alterations on terms that are unfavorable to us. If an author or other third 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selling those of our services that contained the open source software and required to comply with the foregoing conditions, which could disrupt the distribution and sale of some of our services. In addition to risks related to license requirements, usage of open source software can lead to greater risks than use of third-party commercial software, as open source licensors generally do not provide technology support, maintenance, warranties or assurance of title or controls on the origin of the software.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continue to incur significant costs as a result of operating as a public company, and our management is required to devote substantial time to new and ongoing compliance initiatives.</w:t>
      </w:r>
    </w:p>
    <w:p>
      <w:pPr>
        <w:spacing w:after="0" w:line="206"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We operate as a public company, and will continue to incur significant legal, accounting and other expenses as we comply with the Sarbanes-Oxley Act of 2002 (the “Sarbanes-Oxley Act” or “SOX”), the Dodd-Frank Wall Street Reform and Consumer Protection Act and other public company disclosure and corporate governance requirements, as well as any new rules that may subsequently be implemented by the Securities and Exchange Commission and/or Nasdaq, the exchange on which our common stock is listed These rules impose various requirements on public companies, including requirements related to disclosures, corporate governance and internal controls. We expect that the requirements of these rules and regulations will continue to increase our legal, accounting and financial compliance costs, make some activities more difficult, time consuming and costly and place significant strain on our personnel, systems and resources. Our management and other personnel will continue to devote a substantial amount of time to these compliance initiatives. Moreover, these rules and regulations increase our legal and financial compliance costs and make some activities more time-consuming and costlier. For example, we expect these rules and regulations may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20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controls over financial reporting to allow management to report on, and our independent registered public accounting firm potentially to attest to, the effectiveness of our internal controls over financial reporting. Our independent registered public accounting firm is required to undertake an assessment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b w:val="1"/>
          <w:bCs w:val="1"/>
          <w:i w:val="1"/>
          <w:iCs w:val="1"/>
          <w:color w:val="auto"/>
        </w:rPr>
        <w:t>Changes in, or interpretations of, tax rules and regulations, results of tax audits and other factors, including timing of tax refund receipt, could cause fluctuations in or adversely affect our effective tax rates and operating results.</w:t>
      </w:r>
    </w:p>
    <w:p>
      <w:pPr>
        <w:spacing w:after="0" w:line="22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7"/>
          <w:szCs w:val="17"/>
          <w:color w:val="auto"/>
        </w:rPr>
        <w:t>Global tax developments applicable to multinational businesses may have a material impact to our business, cash flow from operating activities, or financial results. International organizations such as the Organization for Economic Cooperation and Development, have published Base Erosion and Profit Shifting action plans that, if adopted by countries where we do business, could increase our tax obligations in these countries. In addition, several countries have proposed or enacted Digital Services Taxes ("DST"), many of which would apply to revenues derived from digital services. We will continue to assess the ongoing impact of these current and pending changes to global tax legislation and the impact on the Company's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spacing w:after="0" w:line="220" w:lineRule="exact"/>
        <w:rPr>
          <w:sz w:val="20"/>
          <w:szCs w:val="20"/>
          <w:color w:val="auto"/>
        </w:rPr>
      </w:pPr>
    </w:p>
    <w:p>
      <w:pPr>
        <w:jc w:val="both"/>
        <w:ind w:firstLine="319"/>
        <w:spacing w:after="0" w:line="242" w:lineRule="auto"/>
        <w:rPr>
          <w:sz w:val="20"/>
          <w:szCs w:val="20"/>
          <w:color w:val="auto"/>
        </w:rPr>
      </w:pPr>
      <w:r>
        <w:rPr>
          <w:rFonts w:ascii="Arial" w:cs="Arial" w:eastAsia="Arial" w:hAnsi="Arial"/>
          <w:sz w:val="18"/>
          <w:szCs w:val="18"/>
          <w:color w:val="auto"/>
        </w:rPr>
        <w:t>Certain EU and other jurisdictions have introduced anti-hybrid provisions, which came into force in EU member states on January 1, 2020 (subject to relevant derogations). The scope of these rules is wide-reaching and can apply to disallow certain deductions for corporate tax purposes where hybrid entities exist within a company structure. These provisions may place additional burden on our management to assess the impact of the rules and potentially create additional tax costs. EU countries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and other jurisdictions will continue to interpret or issue additional guidance on how provisions of the anti-hybrid will be applied, which, if applicable, may materially impact our financial statements and cash flow. Separately, as a result of the complexity of, and lack of clear precedent or authority with respect to, the application of various income tax laws to our corporate structure, tax authorities may challenge how we report our transactions, which may increase our costs and impact our operations.</w:t>
      </w:r>
    </w:p>
    <w:p>
      <w:pPr>
        <w:spacing w:after="0" w:line="216" w:lineRule="exact"/>
        <w:rPr>
          <w:sz w:val="20"/>
          <w:szCs w:val="20"/>
          <w:color w:val="auto"/>
        </w:rPr>
      </w:pPr>
    </w:p>
    <w:p>
      <w:pPr>
        <w:jc w:val="both"/>
        <w:ind w:firstLine="319"/>
        <w:spacing w:after="0" w:line="252" w:lineRule="auto"/>
        <w:rPr>
          <w:sz w:val="20"/>
          <w:szCs w:val="20"/>
          <w:color w:val="auto"/>
        </w:rPr>
      </w:pPr>
      <w:r>
        <w:rPr>
          <w:rFonts w:ascii="Arial" w:cs="Arial" w:eastAsia="Arial" w:hAnsi="Arial"/>
          <w:sz w:val="17"/>
          <w:szCs w:val="17"/>
          <w:color w:val="auto"/>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We currently have significant income tax refunds that are receivable from the U.S. government based in part on provisions in the Coronavirus Aid, Relief and Economic Security Act (the “CARES Act”). Any changes in, or interpretations of, tax rules and regulations or legislative changes to the CARES Act or significant delays in receiving our tax refund could adversely impact our financial position and results. Although we believe that our estimates are reasonable, the ultimate tax outcome may differ from the amounts recorded in our consolidated financial statements and may materially affect our financial results in the period or periods for which such determination is made. 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August 2022, the Inflation Reduction Act of 2022 (the “IRA”) was signed into law. This law, among other things, provides for a corporate alternative minimum tax on adjusted financial statement income (effective for us beginning in fiscal 2024), and an excise tax on corporate stock repurchases (effective for our share repurchases after December 31, 2022), and we are continuing to evaluate the impact it may have on our financial position and results of operations. There are several proposed changes to U.S. and non-U.S. tax legislation and the ultimate enactment of any of them could have a negative impact on our effective tax rate. It is possible that future requirements, including the recently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These examinations may challenge certain of our tax positions, such as the timing and amount of deductions and allocations of taxable income to various jurisdictions.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are required to collect sales and use taxes on the services we sell in additional jurisdictions, we may be subject to liability for past sales and our future sales could decrease.</w:t>
      </w:r>
    </w:p>
    <w:p>
      <w:pPr>
        <w:spacing w:after="0" w:line="206"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We currently collect sales or use tax on our services in most states. Historically, with a few exceptions, we have not charged or collected value added tax on our services anywhere in the world. We may lose sales or incur significant expenses should tax authorities in other jurisdictions where we do business be successful in imposing sales and use taxes, value added taxes or similar taxes on the services we provide. A successful assertion by one or more tax authorities that we should collect sales or other taxes on the sale of our services could result in substantial tax liabilities for past sales, including interest and penalty charges, and could discourage customers from purchasing our services and otherwise harm our business. Further, we may conclude based on our own review that our services may be subject to sales and use taxes in other areas where we do business. Under these circumstances, we may voluntarily disclose our estimated liability to the respective tax authorities and initiate activities to collect taxes going forward. It is not clear that our services are subject to sales and use tax in certain jurisdictions. States and certain municipalities in the United States, as well as countries outside the United States, have different rules and regulations governing sales and use taxes. These rules and regulations are subject to varying interpretations that may change over time and, in the future, our services may be subject to such taxes. Although our customer contracts typically provide that our customers are responsible for the payment of all taxes associated with the provision and use of our services, customers may decline to pay back taxes and may refuse responsibility for interest or penalties associated with those taxes. In certain cases, we may elect not to request customers to pay back taxes. If we are required to collect and pay back taxes and associated interest and penalties, and if our customers fail or refuse to reimburse us for all or a portion of these amounts, or if we elect not to seek payment of these amounts, we will incur unplanned expenses that may be substantial. Moreover, imposition of such taxes on our services going forward will effectively increase the cost of our services to our customers and may adversely affect our ability to retain existing customers or gain new customers in jurisdictions in which such taxes are imposed. Any of the foregoing could have a material adverse effect on our business, results of operation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principles, or the interpretation thereof, could have a significant impact on our financial position and results of operation.</w:t>
      </w:r>
    </w:p>
    <w:p>
      <w:pPr>
        <w:spacing w:after="0" w:line="25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We prepare our Consolidated Financial Statements in accordance with GAAP. A change in these principles can have a significant impact on our reported results and may even retroactively affect previously reported transactions. The adoption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new or revised accounting principles may require that we make significant changes to our systems, processes and controls and could have a significant impact on our financial position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Series B Preferred Stock, Senior Notes and our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continue to experience significant fluctuations and could subject us to litigation.</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6"/>
          <w:szCs w:val="16"/>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earnings from levels projected by securities analysts and the other factors discussed in these risk factors. 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206"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6"/>
          <w:szCs w:val="16"/>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our management team, alleging misconduct arising out of the restated transactions that took place in 2015 and 2016 investigated by the Securities and Exchange Commission (“SEC”). We may be required to indemnify these individuals in connection with such action. The Company may be required to indemnify the former members of the Company’s management team for a loss. Although we maintain insurance for claims of this nature, our insurance coverage does not apply in all circumstances and may be denied or insufficient to cover the costs related to the class action and stockholder derivative lawsuits. Large indemnity payments, individually or in the aggregate, could have a material impact on our financial position.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Other than payment of dividends on our previous Series A Preferred Stock and our current Series B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0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Other than the payment of dividends, either in-kind or in cash, on our previous Series A Preferred Stock and our current Series B Preferred Stock in accordance with the Series B Certificate, we have not paid dividends on any of our classes of capital stock and we currently intend to retain our future earnings, if any, to fund the development and growth of our business.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addition, the terms of our current credit agreement and any future indebtedness that we may incur could preclude us from paying dividends. As a result, capital appreciation, if any, of our common stock will be a shareholder’s sole source of gain for the foreseeable future. Consequently, in the foreseeable future, a shareholder will likely only experience a gain from an investment in our common stock if the price of our common stock increases.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206"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and credit agreements may discourage, delay or prevent a change in our management or control over us that stockholders may consider favorable. Our amended and restated certificate of incorporation and bylaws:</w:t>
      </w:r>
    </w:p>
    <w:p>
      <w:pPr>
        <w:spacing w:after="0" w:line="208" w:lineRule="exact"/>
        <w:rPr>
          <w:sz w:val="20"/>
          <w:szCs w:val="20"/>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16"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would otherwise allow holders of less than a majority of the stock to elect some directors;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successor to a director whose term has expired will be elected to serve from the time of election and qualification until the third annual meeting following election;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w:t>
      </w:r>
    </w:p>
    <w:p>
      <w:pPr>
        <w:spacing w:after="0" w:line="5" w:lineRule="exact"/>
        <w:rPr>
          <w:rFonts w:ascii="Arial" w:cs="Arial" w:eastAsia="Arial" w:hAnsi="Arial"/>
          <w:sz w:val="18"/>
          <w:szCs w:val="18"/>
          <w:color w:val="auto"/>
        </w:rPr>
      </w:pPr>
    </w:p>
    <w:p>
      <w:pPr>
        <w:ind w:left="640" w:right="20" w:hanging="315"/>
        <w:spacing w:after="0" w:line="24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 created directorships, may be filled only by a majority vote of directors then in office;</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stockholder meeting; and</w:t>
      </w:r>
    </w:p>
    <w:p>
      <w:pPr>
        <w:spacing w:after="0" w:line="5"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nominating candidates for election to the board of directors or for proposing matters that can be acted upon by stockholders at stockholder meetings.</w:t>
      </w:r>
    </w:p>
    <w:p>
      <w:pPr>
        <w:spacing w:after="0" w:line="217"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The affirmative vote of the holders of at least two-thirds of all of the then outstanding shares of our capital stock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 majority of our shares of capital stock entitled to vote. 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These provisions may apply even if some stockholders may consider the transaction beneficial to them. As a result, 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incurred (and expect to continue to incur) significant costs in connection with the restatement of previously issued consolidated financial statements.</w:t>
      </w:r>
    </w:p>
    <w:p>
      <w:pPr>
        <w:spacing w:after="0" w:line="220"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We have incurred significant expenses, including audit, legal, consulting and other professional fees, and lender and noteholder consent fees, in connection with certain financial transactions that we effected in 2015 and 2016 and our disclosure of and accounting for such transactions, which we restated in the third quarter of 2018 in our restated annual and quarterly financial statements for 2015 and 2016. That restatement followed our announcement on June 13, 2017 (the “June 2017 Announcement”), that certain of our prior financial statements would need to be restated.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we consented to pay a civil penalty in the amount of $12.5 million in equal quarterly installments over two years and to cease and desist from committing or causing any violations of Sections 10(b), 13(a), 13(b)(2)(A) and 13(b)(2)(B) of the Exchange Act and the associated rules thereunder. These quarterly settlement payments will divert cash resources and could adversely impact our business, results of operations and financial condition. Also on June 7, 2022, the SEC filed a civil action against two former members of the Company’s management team, alleging misconduct arising out of the restated transactions that took place in 2015 and 2016 investigated by the SEC as set forth above. We may be required to indemnify the former members of management in that action. Due to the inherent uncertainty of litigation, we cannot predict the outcome of the litigation and can give no assurance that the asserted claims will not have a material adverse effect on its financial position,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prospects, or results of operations. In addition, failure to comply with the provisions of the SEC Order could result in further actions by one or both governmental agencies which could have a material adverse effect on our results of operations.</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i w:val="1"/>
          <w:iCs w:val="1"/>
          <w:color w:val="auto"/>
        </w:rPr>
        <w:t>Our current or future debt securities or preferred equity securities, which are and would be senior to our common stock, may adversely affect the market price of our common stock.</w:t>
      </w:r>
    </w:p>
    <w:p>
      <w:pPr>
        <w:spacing w:after="0" w:line="20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Our Senior Notes and Series B Preferred Stock are senior to our common stock. In addition, in the future, we may attempt to increase our capital resources by offering debt or preferred equity securities, including medium term notes, senior or subordinated notes and classes of preferred stock. Debt securities or shares of preferred stock will generally be entitled to receive interest payments or distributions, both current and in connection with any liquidation or sale, prior to the holders of our common stock. We are not required to offer any such additional debt or preferred equity securities to existing common stockholders on a preemptive basis, and we may generally issue any such debt or preferred equity securities in the future without obtaining the consent of our common stockholders. As a result, any such future offerings of debt securities or preferred equity securities may adversely affect the market price of the common stock.</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i w:val="1"/>
          <w:iCs w:val="1"/>
          <w:color w:val="auto"/>
        </w:rPr>
        <w:t>B. Riley Financial, Inc. and its affiliates (“BRF”) have significant influence over us and may have conflicts of interest that arise out of future contractual relationships it or its affiliates may have with us.</w:t>
      </w:r>
    </w:p>
    <w:p>
      <w:pPr>
        <w:spacing w:after="0" w:line="21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As of December 31, 2022 BRF owned 13.3% of our outstanding common stock and all of our Series B Preferred Stock. As a result, BRF holds significant influence over us as a significant shareholder and may have conflicts of interest that arise out of current or future contractual relationships it or its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affiliates may have with us. In addition, for so long as BRF and its affiliates beneficially own at least 10% of our outstanding common stock, BRF will have the right to nominate one member of our board of directors pursuant to an investor rights agreement.</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a result of the foregoing arrangements, BRF has significant influence over our management and policies and over all matters requiring shareholder approval, including the election of directors, amendment of our certificate of incorporation and approval of significant corporate transactions. Further, if BRF and other significant shareholders of the Company were to act together on any matter presented for shareholder approval, they could have the ability to control the outcome of that matter. BRF can take actions that have the effect of delaying or preventing a change of control of us or discouraging others from making tender offers for our shares, which could prevent shareholders from receiving a premium for their shares. These actions may be taken even if other shareholders oppose them.</w:t>
      </w:r>
    </w:p>
    <w:p>
      <w:pPr>
        <w:spacing w:after="0" w:line="196"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i w:val="1"/>
          <w:iCs w:val="1"/>
          <w:color w:val="auto"/>
        </w:rPr>
        <w:t>The Senior Notes are unsecured and therefore are effectively subordinated to any secured indebtedness that we currently have or that we may incur in the future.</w:t>
      </w:r>
    </w:p>
    <w:p>
      <w:pPr>
        <w:spacing w:after="0" w:line="21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Senior Notes are not secured by any of our assets or any of the assets of our subsidiaries. As a result, the Senior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Senior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Senior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Notes are structurally subordinated to the indebtedness and other liabilities of our subsidiaries.</w:t>
      </w:r>
    </w:p>
    <w:p>
      <w:pPr>
        <w:spacing w:after="0" w:line="23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Senior Notes are obligations exclusively of Synchronoss Technologies, Inc. and not of any of our subsidiaries. None of our subsidiaries is a guarantor of the Senior Notes, and the Senior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Senior Notes are structurally subordinated to all indebtedness and other liabilities (including trade payables) of any of our subsidiaries and any subsidiaries that we may in the future acquire or establish as financing vehicles or otherwise. The indenture governing the Senior Notes does not prohibit us or our subsidiaries from incurring additional indebtedness in the future. In addition, future debt and security agreements entered into by our subsidiaries may contain various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restrictions, including restrictions on payments by our subsidiaries to us and the transfer by our subsidiaries of assets pledged as collateral.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Senior Notes were issued contains limited protection for holders of the Senior Notes.</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indenture under which the Senior Notes were issued offers limited protection to holders of the Senior Notes. The terms of the indenture and the Senior Notes does not restrict our or any of our subsidiaries’ ability to engage in, or otherwise be a party to, a variety of corporate transactions, circumstances or events that could have an adverse impact on our investment in the Senior Notes. In particular, the terms of the indenture and the Senior Notes do not place any restrictions on our or our subsidiaries’ ability to:</w:t>
      </w:r>
    </w:p>
    <w:p>
      <w:pPr>
        <w:spacing w:after="0" w:line="257" w:lineRule="exact"/>
        <w:rPr>
          <w:sz w:val="20"/>
          <w:szCs w:val="20"/>
          <w:color w:val="auto"/>
        </w:rPr>
      </w:pPr>
    </w:p>
    <w:p>
      <w:pPr>
        <w:jc w:val="both"/>
        <w:ind w:left="640" w:hanging="315"/>
        <w:spacing w:after="0" w:line="257" w:lineRule="auto"/>
        <w:tabs>
          <w:tab w:leader="none" w:pos="635" w:val="left"/>
        </w:tabs>
        <w:numPr>
          <w:ilvl w:val="0"/>
          <w:numId w:val="30"/>
        </w:numPr>
        <w:rPr>
          <w:rFonts w:ascii="Arial" w:cs="Arial" w:eastAsia="Arial" w:hAnsi="Arial"/>
          <w:sz w:val="20"/>
          <w:szCs w:val="20"/>
          <w:color w:val="auto"/>
        </w:rPr>
      </w:pPr>
      <w:r>
        <w:rPr>
          <w:rFonts w:ascii="Arial" w:cs="Arial" w:eastAsia="Arial" w:hAnsi="Arial"/>
          <w:sz w:val="17"/>
          <w:szCs w:val="17"/>
          <w:color w:val="auto"/>
        </w:rPr>
        <w:t>issue debt securities or otherwise incur additional indebtedness or other obligations, including (1) any indebtedness or other obligations that would be equal in right of payment to the Senior Notes, (2) any indebtedness or other obligations that would be secured and therefore rank effectively senior in right of payment to the Senior Notes to the extent of the values of the assets securing such debt, (3) indebtedness of ours that is guaranteed by one or more of our subsidiaries and which therefore is structurally senior to the Senior Notes and (4) securities, indebtedness or obligations issued or incurred by our subsidiaries that would be senior to our equity interests in our subsidiaries and therefore rank structurally senior to the Senior Notes with respect to the assets of our subsidiaries;</w:t>
      </w:r>
    </w:p>
    <w:p>
      <w:pPr>
        <w:spacing w:after="0" w:line="23" w:lineRule="exact"/>
        <w:rPr>
          <w:rFonts w:ascii="Arial" w:cs="Arial" w:eastAsia="Arial" w:hAnsi="Arial"/>
          <w:sz w:val="20"/>
          <w:szCs w:val="20"/>
          <w:color w:val="auto"/>
        </w:rPr>
      </w:pPr>
    </w:p>
    <w:p>
      <w:pPr>
        <w:ind w:left="640" w:hanging="315"/>
        <w:spacing w:after="0" w:line="23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Senior Notes;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enter into transactions with affiliates;</w:t>
      </w:r>
    </w:p>
    <w:p>
      <w:pPr>
        <w:spacing w:after="0" w:line="23" w:lineRule="exact"/>
        <w:rPr>
          <w:rFonts w:ascii="Arial" w:cs="Arial" w:eastAsia="Arial" w:hAnsi="Arial"/>
          <w:sz w:val="21"/>
          <w:szCs w:val="21"/>
          <w:color w:val="auto"/>
        </w:rPr>
      </w:pPr>
    </w:p>
    <w:p>
      <w:pPr>
        <w:ind w:left="640" w:hanging="315"/>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make investments; or</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create restrictions on the payment of dividends or other amounts to us from our subsidiaries.</w:t>
      </w:r>
    </w:p>
    <w:p>
      <w:pPr>
        <w:spacing w:after="0" w:line="22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Senior Notes will not protect holders of the Senior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Senior Notes.</w:t>
      </w:r>
    </w:p>
    <w:p>
      <w:pPr>
        <w:spacing w:after="0" w:line="22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Senior Notes may have important consequences for you as a holder of the Senior Notes, including making it more difficult for us to satisfy our obligations with respect to the Senior Notes or negatively affecting the trading value of the Senior Notes.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Senior Notes, including additional covenants and events of default. The issuance or incurrence of any such debt with incremental protections could affect the market for and trading levels and prices of the Senior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Senior Notes.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general, as market interest rates rise, notes bearing interest at a fixed rate decline in value. We cannot predict the future level of market interest rates.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Senior Notes may not develop, which could limit the market price of the Senior Notes or your ability to sell them.</w:t>
      </w:r>
    </w:p>
    <w:p>
      <w:pPr>
        <w:spacing w:after="0" w:line="25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Senior Notes are listed on Nasdaq under the symbol “SNCRL”. We cannot provide any assurances that an active trading market will develop for the Senior Notes or that holders of our Senior Notes will be able to sell their Notes. If the Senior Notes are traded after their initial issuance, they may trade at a discount from their initial offering price depending on prevailing interest rates, the market for similar securities, our credit ratings, general economic conditions, our financial condition,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performance and prospects and other factors. The underwriters of our Senior Note offering have advised us that they may make a market in the Senior Notes, but they are not obligated to do so. The underwriters may discontinue any market-making in the Senior Notes at any time at their sole discretion. Accordingly, we cannot assure you that a liquid trading market will develop for the Senior Notes, that holders of our Senior Notes will be able to sell their Senior Notes at a particular time or that the price the holders receive when they sell will be favorable. To the extent an active trading market does not develop, the liquidity and trading price for the Senior Notes may be harmed. Accordingly, holders of our Senior Notes may be required to bear the financial risk of an investment in the Senior Notes for an indefinite period of time.</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addition, there may be a limited number of buyers when a holder decides to sell their Senior Notes. This may affect the price, if any, offered for such notes or the holders’ ability to sell them when desired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Senior Notes.</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Under the terms of the indenture governing the Senior Notes, we may from time to time without notice to, or the consent of, the holders of the Senior Notes, create and issue additional notes which will be equal in rank to the Senior Notes. On October 25, 2021, we entered into an At Market Issuance Sales Agreement (the “Sales Agreement”) between us and BRF, which provides that we may from time to time issue and sell, by means of “at the market” offerings, up to $18 million of our Senior Notes. We will not issue any such additional Notes unless such issuance would constitute a “qualified reopening”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rating for the Senior Notes could at any time be revised downward or withdrawn entirely at the discretion of the issuing rating agency.</w:t>
      </w:r>
    </w:p>
    <w:p>
      <w:pPr>
        <w:spacing w:after="0" w:line="24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We have obtained a rating for the Senior Notes. Ratings only reflect the views of the issuing rating agency or agencies and such ratings could at any time be revised downward or withdrawn entirely at the discretion of the issuing rating agency. A rating is not a recommendation to purchase, sell or hold the Senior Notes. Ratings do not reflect market prices or suitability of a security for a particular investor and the rating of the Senior Notes may not reflect all risks related to us and our business, or the structure or market value of the Senior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Senior Notes.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 new 1% U.S. federal excise tax may be imposed upon us in connection with the redemptions by us of our Series B Non-Convertible Perpetual Preferred Stock (“Series B Preferred Stock”) or other redemptions or repurchases of our equity</w:t>
      </w:r>
      <w:r>
        <w:rPr>
          <w:rFonts w:ascii="Arial" w:cs="Arial" w:eastAsia="Arial" w:hAnsi="Arial"/>
          <w:sz w:val="21"/>
          <w:szCs w:val="21"/>
          <w:b w:val="1"/>
          <w:bCs w:val="1"/>
          <w:i w:val="1"/>
          <w:iCs w:val="1"/>
          <w:color w:val="auto"/>
        </w:rPr>
        <w:t>.</w:t>
      </w:r>
    </w:p>
    <w:p>
      <w:pPr>
        <w:spacing w:after="0" w:line="20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August 16, 2022, President Biden signed into law the IRA, which, among other things, imposes a new U.S. federal 1% excise tax on certain repurchases (including redemptions) of stock by publicly traded domestic corporations and certain domestic subsidiaries of publicly traded foreign corporations. This excise tax is imposed on the repurchasing corporation itself, not its stockholders from which shares are repurchased. Generally, the amount of the excise tax is 1% of the fair market value of the shares repurchased at the time of the repurchase. For the purposes of calculating the excise tax, the repurchasing corporation is permitted to net the fair market value of certain new stock issuances against the fair market value of the stock repurchases that occur in the same taxable year. On December 27, 2022, the U.S. Treasury Department issued a notice that provides interim guidance regarding the application of the 1% excise tax pending forthcoming proposed regulations. The IRA excise tax applies to repurchases and redemptions that occur after December 31, 2022.</w:t>
      </w:r>
    </w:p>
    <w:p>
      <w:pPr>
        <w:spacing w:after="0" w:line="223"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Pursuant to the Certificate of Designation setting forth the rights, preferences, privileges, qualifications, restrictions and limitations on the Series B Preferred Stock (the “Series B Certificate”), each share of Series B Preferred Stock will be redeemable at the option of the holder upon the occurrence of a “Fundamental Change” (i) for cash at a price per share equal to the Liquidation Preference (as defined in the Series B Certificate) and the accrued but unpaid dividends or (ii) for 1.5 times par in the case of payment in shares of common stock, subject to certain limitations on the amount of stock that could be issued to the holders of Series B Preferred Stock. In addition, we are permitted to redeem outstanding shares of the Series B Preferred Stock at any time for the sum of the then-applicable Liquidation Preference and the accrued but unpaid dividends. Pursuant to the Series B Certificate, we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us may be used by us to buy back shares of common stock and to the extent, not used for such purpose, to redeem, for cash, shares of the Series B Preferred Stock, on a pro rata basis among each holder of the Series B Preferred Stock.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7"/>
          <w:szCs w:val="17"/>
          <w:color w:val="auto"/>
        </w:rPr>
        <w:t>We expect that each redemption of Series B Preferred Stock after December 31, 2022 will be subject to the 1% excise tax. Whether and to what extent we would be subject to the excise tax would depend on a number of factors, including (i) the fair market value of the redemptions and repurchase, (ii) the nature and amount of any equity issuances within the same taxable year and (iii) the regulations and other guidance issued by the U.S. Treasury Department and the IRS. The 1% excise tax may increase our costs and impact our operations. This could have an adverse effect on our margins and financial position and would negatively affect our revenues and results of operations and/or trading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could be delisted from Nasdaq, which would seriously harm the liquidity of our common stock.</w:t>
      </w:r>
    </w:p>
    <w:p>
      <w:pPr>
        <w:spacing w:after="0" w:line="232" w:lineRule="exact"/>
        <w:rPr>
          <w:sz w:val="20"/>
          <w:szCs w:val="20"/>
          <w:color w:val="auto"/>
        </w:rPr>
      </w:pPr>
    </w:p>
    <w:p>
      <w:pPr>
        <w:jc w:val="both"/>
        <w:ind w:firstLine="319"/>
        <w:spacing w:after="0" w:line="235"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common stock from trading on its exchange and we are unable to obtain listing on another reputable national securities exchange, a reduction in some or all of the following may occur, each of which could materially adversely affect our stockholders:</w:t>
      </w:r>
    </w:p>
    <w:p>
      <w:pPr>
        <w:spacing w:after="0" w:line="243" w:lineRule="exact"/>
        <w:rPr>
          <w:sz w:val="20"/>
          <w:szCs w:val="20"/>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the liquidity and marketability of our common stock;</w:t>
      </w:r>
    </w:p>
    <w:p>
      <w:pPr>
        <w:spacing w:after="0" w:line="11" w:lineRule="exact"/>
        <w:rPr>
          <w:rFonts w:ascii="Arial" w:cs="Arial" w:eastAsia="Arial" w:hAnsi="Arial"/>
          <w:sz w:val="19"/>
          <w:szCs w:val="19"/>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the market price of our common stock;</w:t>
      </w:r>
    </w:p>
    <w:p>
      <w:pPr>
        <w:spacing w:after="0" w:line="7" w:lineRule="exact"/>
        <w:rPr>
          <w:rFonts w:ascii="Arial" w:cs="Arial" w:eastAsia="Arial" w:hAnsi="Arial"/>
          <w:sz w:val="19"/>
          <w:szCs w:val="19"/>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our ability to obtain financing for the continuation of our operations;</w:t>
      </w:r>
    </w:p>
    <w:p>
      <w:pPr>
        <w:spacing w:after="0" w:line="7" w:lineRule="exact"/>
        <w:rPr>
          <w:rFonts w:ascii="Arial" w:cs="Arial" w:eastAsia="Arial" w:hAnsi="Arial"/>
          <w:sz w:val="19"/>
          <w:szCs w:val="19"/>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the number of institutional and general investors that will consider investing in our common stock;</w:t>
      </w:r>
    </w:p>
    <w:p>
      <w:pPr>
        <w:spacing w:after="0" w:line="7" w:lineRule="exact"/>
        <w:rPr>
          <w:rFonts w:ascii="Arial" w:cs="Arial" w:eastAsia="Arial" w:hAnsi="Arial"/>
          <w:sz w:val="19"/>
          <w:szCs w:val="19"/>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the number of market makers in our common stock;</w:t>
      </w:r>
    </w:p>
    <w:p>
      <w:pPr>
        <w:spacing w:after="0" w:line="7" w:lineRule="exact"/>
        <w:rPr>
          <w:rFonts w:ascii="Arial" w:cs="Arial" w:eastAsia="Arial" w:hAnsi="Arial"/>
          <w:sz w:val="19"/>
          <w:szCs w:val="19"/>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the availability of information concerning the trading prices and volume of our common stock; and</w:t>
      </w:r>
    </w:p>
    <w:p>
      <w:pPr>
        <w:spacing w:after="0" w:line="7" w:lineRule="exact"/>
        <w:rPr>
          <w:rFonts w:ascii="Arial" w:cs="Arial" w:eastAsia="Arial" w:hAnsi="Arial"/>
          <w:sz w:val="19"/>
          <w:szCs w:val="19"/>
          <w:color w:val="auto"/>
        </w:rPr>
      </w:pPr>
    </w:p>
    <w:p>
      <w:pPr>
        <w:ind w:left="440" w:hanging="115"/>
        <w:spacing w:after="0"/>
        <w:tabs>
          <w:tab w:leader="none" w:pos="44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the number of broker-dealers willing to execute trades in shares of our common stock.</w:t>
      </w:r>
    </w:p>
    <w:p>
      <w:pPr>
        <w:spacing w:after="0" w:line="216" w:lineRule="exact"/>
        <w:rPr>
          <w:sz w:val="20"/>
          <w:szCs w:val="20"/>
          <w:color w:val="auto"/>
        </w:rPr>
      </w:pPr>
    </w:p>
    <w:p>
      <w:pPr>
        <w:jc w:val="both"/>
        <w:ind w:firstLine="319"/>
        <w:spacing w:after="0" w:line="233" w:lineRule="auto"/>
        <w:rPr>
          <w:sz w:val="20"/>
          <w:szCs w:val="20"/>
          <w:color w:val="auto"/>
        </w:rPr>
      </w:pPr>
      <w:r>
        <w:rPr>
          <w:rFonts w:ascii="Arial" w:cs="Arial" w:eastAsia="Arial" w:hAnsi="Arial"/>
          <w:sz w:val="18"/>
          <w:szCs w:val="18"/>
          <w:color w:val="auto"/>
        </w:rPr>
        <w:t>On December 27, 2022, we received notice from Nasdaq indicating that we are no longer in compliance with the Nasdaq Listing Rules minimum bid requirement (the “Minimum Bid Requirement”). If we fail to regain compliance within the allotted compliance periods, including any extensions that may be granted by Nasdaq, Nasdaq will provide notice that our common stock will be subject to delisting. We would then be entitled to appeal Nasdaq’s determination, but there can be no assurance that Nasdaq would grant our request for continued listing. We intend to monitor the closing bid price of our common stock and consider options to comply with the Minimum Bid Requirement.</w:t>
      </w:r>
    </w:p>
    <w:p>
      <w:pPr>
        <w:spacing w:after="0" w:line="21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7"/>
          <w:szCs w:val="17"/>
          <w:color w:val="auto"/>
        </w:rPr>
        <w:t>In addition, if we fail to regain compliance to be eligible to trade on Nasdaq, we may have to pursue trading on a less recognized or accepted market, such as the over the counter markets, our common stock may be traded as a “penny stock” which would make transactions in our common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lease approximately 120,000 square feet of office space for our corporate headquarters in Bridgewater, New Jersey. We have other leases in certain countries including Australia, India, Japan, Ireland, Italy and in various states in the United States including Arizona and Pennsylvania. The lease terms for our locations expire in the years between 2023 and 2028. We believe that the facilities we now lease are sufficient to meet our needs through at least the next twelve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For a discussion of our material pending legal proceedings that could impact our results of operations, financial condition or cash flows see </w:t>
      </w:r>
      <w:r>
        <w:rPr>
          <w:rFonts w:ascii="Arial" w:cs="Arial" w:eastAsia="Arial" w:hAnsi="Arial"/>
          <w:sz w:val="16"/>
          <w:szCs w:val="16"/>
          <w:i w:val="1"/>
          <w:iCs w:val="1"/>
          <w:color w:val="auto"/>
        </w:rPr>
        <w:t>Note 20.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included in Part II, Item 8. “Notes to Consolidated Financial Statements” of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our common stock was traded and listed on The Nasdaq Global Select Market under the symbol “SNCR.”</w:t>
      </w:r>
    </w:p>
    <w:p>
      <w:pPr>
        <w:spacing w:after="0" w:line="12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of December 31, 2022, there were approximately 52 named holders of record of our common stock as according to our transfer agent. The actual number of stockholders is greater than this number of record holders, and includes stockholders who are beneficial owners, but whose shares are held in street name by banks, brokers and other nominees. On December 31, 2022, the last reported sale price of our common stock as reported on The Nasdaq Global Select Market was $0.62 per share.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We have never declared or paid cash dividends on our common equity. We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Non-Convertible Preferred Stock</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4"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2022, the Liquidation Value and Redemption Value of the Series B Preferred Shares was $73.0 million.</w:t>
      </w:r>
    </w:p>
    <w:p>
      <w:pPr>
        <w:spacing w:after="0" w:line="19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paid the following Series B preferred dividends and principal during the year ended December 31, 2022 and accrued the following preferred dividends as of December 31, 2022:</w:t>
      </w:r>
    </w:p>
    <w:p>
      <w:pPr>
        <w:spacing w:after="0" w:line="206" w:lineRule="exact"/>
        <w:rPr>
          <w:sz w:val="20"/>
          <w:szCs w:val="20"/>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First quarter: paid $1.8 million preferred dividends in the form of cash.</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Second quarter:</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paid $2.4 million preferred dividends in the form of Series B preferred shares (paid-in-kind);</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made a $2.5 million principal and interest payment to redeem 2,438 shares of Series B Preferred stock;</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made a $4.4 million principal and interest payment to redeem 4,300 shares of Series B Preferred stock.</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quarter: paid $2.3 million preferred dividends in the form of cash.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Fourth quarter:</w:t>
      </w:r>
    </w:p>
    <w:p>
      <w:pPr>
        <w:spacing w:after="0" w:line="16" w:lineRule="exact"/>
        <w:rPr>
          <w:rFonts w:ascii="Arial" w:cs="Arial" w:eastAsia="Arial" w:hAnsi="Arial"/>
          <w:sz w:val="18"/>
          <w:szCs w:val="18"/>
          <w:color w:val="auto"/>
        </w:rPr>
      </w:pPr>
    </w:p>
    <w:p>
      <w:pPr>
        <w:ind w:left="1280" w:hanging="396"/>
        <w:spacing w:after="0"/>
        <w:tabs>
          <w:tab w:leader="none" w:pos="1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paid $2.3 million preferred dividends in the form of cash;</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accrued $2.3 million preferred dividends which was paid in the form of cash on January 3,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45"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On February 15, 2018, the Company issued to Silver Private Holdings I, LLC (“Silver”), an affiliate of Siris Capital Group, LLC (“Siris”) 185,000 shares of our newly issued Series A Preferred Stock, par value $0.0001 per share. Under the Series A Certificate, the holders of the Series A Preferred Stock were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were due on January 1, April 1, July 1 and October 1 of each year (each, a “Series A Dividend Payment Date”). The Company may choose to pay the Preferred Dividends in cash or in additional shares of Series A Preferred Stock.</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2022.</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For a discussion of our stockholder’s equity refer to </w:t>
      </w:r>
      <w:r>
        <w:rPr>
          <w:rFonts w:ascii="Arial" w:cs="Arial" w:eastAsia="Arial" w:hAnsi="Arial"/>
          <w:sz w:val="18"/>
          <w:szCs w:val="18"/>
          <w:i w:val="1"/>
          <w:iCs w:val="1"/>
          <w:color w:val="auto"/>
        </w:rPr>
        <w:t>Note 13. Capital Structure</w:t>
      </w:r>
      <w:r>
        <w:rPr>
          <w:rFonts w:ascii="Arial" w:cs="Arial" w:eastAsia="Arial" w:hAnsi="Arial"/>
          <w:sz w:val="18"/>
          <w:szCs w:val="18"/>
          <w:color w:val="auto"/>
        </w:rPr>
        <w:t xml:space="preserve"> included in Part II, Item 8. “Notes to Consolidated Financial Statements” of this Annual Report on Form 10-K.</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Information concerning securities authorized for issuance under equity compensation plans is set forth under the heading “Securities Authorized for Issuance Under Equity Compensation Plans” in the Synchronoss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2017 and December 31, 2022, with the cumulative total return of (i) the Nasdaq Computer Index and (ii) the Nasdaq Composite Index, over the same period. This graph assumes the investment of $100 on December 31, 2017 in our common stock, the Nasdaq Computer Index and the Nasdaq Composite Index, and assumes the reinvestment of dividends, if any. The graph assumes the initial value of our common stock on December 31, 2017 was the closing sales price of $8.94 per share.</w:t>
      </w:r>
    </w:p>
    <w:p>
      <w:pPr>
        <w:spacing w:after="0" w:line="22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214630</wp:posOffset>
            </wp:positionV>
            <wp:extent cx="5175885" cy="4052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7588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64"/>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39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r>
      <w:tr>
        <w:trPr>
          <w:trHeight w:val="21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Synchronoss Technologies, Inc.</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3960" w:type="dxa"/>
            <w:vAlign w:val="bottom"/>
          </w:tcPr>
          <w:p>
            <w:pPr>
              <w:ind w:left="20"/>
              <w:spacing w:after="0"/>
              <w:rPr>
                <w:sz w:val="20"/>
                <w:szCs w:val="20"/>
                <w:color w:val="auto"/>
              </w:rPr>
            </w:pPr>
            <w:r>
              <w:rPr>
                <w:rFonts w:ascii="Arial" w:cs="Arial" w:eastAsia="Arial" w:hAnsi="Arial"/>
                <w:sz w:val="16"/>
                <w:szCs w:val="16"/>
                <w:color w:val="auto"/>
              </w:rPr>
              <w:t>Nasdaq Composite Index</w:t>
            </w: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Computer Index</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MD&amp;A should be read in conjunction with the Financial Statements and Notes to the consolidated financial statements. This section of this Form 10-K generally discusses 2022 and 2021 items and year-to-year comparisons between 2022 and 2021. Discussions of 2020 items and year-to-year comparisons between 2021 and 2020 are not included in this Form 10-K, and can be found in “Management’s Discussion and Analysis of Financial Condition and Results of Operations” in Part II, Item 7 of the Company’s Annual Report on Form 10-K for the fiscal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subscription or per transaction basis, which is derived from contracts that extend up to 60 months from execution.</w:t>
      </w:r>
    </w:p>
    <w:p>
      <w:pPr>
        <w:spacing w:after="0" w:line="26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Company’s top five customers accounted for 73.4%, 68.2% and 68.0% of net revenues for the years ended December 31, 2022, 2021 and 2020, respectively. Contracts with these customers typically run for three to five years. Of these customers, Verizon accounted for more than 10% of the Company’s revenues in 2022, 2021, and 2020. The loss of Verizon as a customer would have a material negative impact on our company. However, we believe that the costs incurred and subscriber disruption by Verizon to replace Synchronoss’ solutions would be substantial.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5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1"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advanced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9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assets and equipment may also increase based on aggressive deployment, subscriber growth and promotional offers for free or bundled storage by our major Tier 1 carrier customers.</w:t>
      </w:r>
    </w:p>
    <w:p>
      <w:pPr>
        <w:spacing w:after="0" w:line="206"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Consolidated Statements of Operations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an overview of our results of operations for the years ended December 31, 2022 and 2021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p>
        </w:tc>
        <w:tc>
          <w:tcPr>
            <w:tcW w:w="298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Twelve Months Ended December 31,</w:t>
            </w:r>
          </w:p>
        </w:tc>
        <w:tc>
          <w:tcPr>
            <w:tcW w:w="16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w w:val="90"/>
              </w:rPr>
              <w:t>2022 vs 2021</w:t>
            </w:r>
          </w:p>
        </w:tc>
      </w:tr>
      <w:tr>
        <w:trPr>
          <w:trHeight w:val="220"/>
        </w:trPr>
        <w:tc>
          <w:tcPr>
            <w:tcW w:w="68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(27,987)</w:t>
            </w:r>
          </w:p>
        </w:tc>
      </w:tr>
      <w:tr>
        <w:trPr>
          <w:trHeight w:val="226"/>
        </w:trPr>
        <w:tc>
          <w:tcPr>
            <w:tcW w:w="6860" w:type="dxa"/>
            <w:vAlign w:val="bottom"/>
          </w:tcPr>
          <w:p>
            <w:pPr>
              <w:ind w:left="140"/>
              <w:spacing w:after="0" w:line="22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(17,348)</w:t>
            </w:r>
          </w:p>
        </w:tc>
      </w:tr>
      <w:tr>
        <w:trPr>
          <w:trHeight w:val="226"/>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(14,665)</w:t>
            </w:r>
          </w:p>
        </w:tc>
      </w:tr>
      <w:tr>
        <w:trPr>
          <w:trHeight w:val="227"/>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r>
      <w:tr>
        <w:trPr>
          <w:trHeight w:val="225"/>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(48,326)</w:t>
            </w:r>
          </w:p>
        </w:tc>
      </w:tr>
      <w:tr>
        <w:trPr>
          <w:trHeight w:val="220"/>
        </w:trPr>
        <w:tc>
          <w:tcPr>
            <w:tcW w:w="68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20,339</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58" w:lineRule="exact"/>
        <w:rPr>
          <w:sz w:val="20"/>
          <w:szCs w:val="20"/>
          <w:color w:val="auto"/>
        </w:rPr>
      </w:pPr>
    </w:p>
    <w:p>
      <w:pPr>
        <w:ind w:left="220" w:hanging="214"/>
        <w:spacing w:after="0"/>
        <w:tabs>
          <w:tab w:leader="none" w:pos="22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26"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$28.0 million to $252.6 million for the year ended December 31, 2022, compared to the same period in 2021. The overall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revenue was a result of the dissolution of CCMI in the prior year, expected impact from the sale and product sunsetting of the non-strategic DXP and Activation assets earlier in 2022, the expected deferred revenue run-off in the current quarter, unfavorable foreign exchange impact related to current macroeconomic conditions and temporary slowdowns in purchasing activity. The change in revenue was partially offset by Cloud subscriber growth.</w:t>
      </w:r>
    </w:p>
    <w:p>
      <w:pPr>
        <w:spacing w:after="0" w:line="166"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$17.3 million to $91.7 million for the year ended December 31, 2022, compared to the same period in 2021. The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2022 is primarily attributable to the year over year change in revenue and favorable shift to higher margin products.</w:t>
      </w:r>
    </w:p>
    <w:p>
      <w:pPr>
        <w:spacing w:after="0" w:line="208"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$8.7 million to $55.6 million for the year ended December 31, 2022,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2021. Consistent with prior year, the decrease in 2022 is primarily attributable our continued efforts to reduce spend and cost savings from the DXP Business unit divestiture.</w:t>
      </w:r>
    </w:p>
    <w:p>
      <w:pPr>
        <w:spacing w:after="0" w:line="207"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$14.7 million to $70.3 million for the year ended December 31, 2022,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2021. The decrease is primarily driven by executed cost savings initiatives which included headcount reductions, reduced vendor spending and lower facility costs.</w:t>
      </w:r>
    </w:p>
    <w:p>
      <w:pPr>
        <w:spacing w:after="0" w:line="207"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$1.9 million for the year ended December 31, 2022. The restructuring charges were primarily driven by our strategic cost</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initiatives to streamline our business operations, reduce headcount and align our resources with our key strategic priorities.</w:t>
      </w:r>
    </w:p>
    <w:p>
      <w:pPr>
        <w:spacing w:after="0" w:line="171"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$4.3 million for the year ended December 31, 2022. The decrease was primarily attributable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amortizable 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189"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The Company recognized approximately $1.9 million in related income tax expense and $7.2 million in related income tax benefit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ended December 31, 2022 and 2021, respectively. The effective tax rate was approximately (31.7)% for the year ended December 31, 2022, which was lower than the U.S. federal statutory rate primarily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due to the impact of Global Intangible Low-Taxed Income, attributable to income in foreign jurisdictions and the impact of the U.S. capitalization of research expenses effective January 1, 2022, and the divestiture of the DXP and Activation assets during the second quarter. This decrease was partially offset by loss jurisdictions where full valuation allowances have been recorded and foreign income tax credits generated in the period. The Company’s effective tax rate was approximately 23.7% for the year ended December 31, 2021, which higher than the U.S. statutory rate primarily due to the benefit of the CARES Act provision allowing for a 5 year carryback of Net Operating Losses arising in 2018, 2019 and 2020, offset by certain unfavorable permanent book-tax differences.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2022, our principal sources of liquidity have been cash provided by operations. Our cash and cash equivalents balance was $21.9 million at December 31, 2022. We anticipate that our principal uses of cash and cash equivalents will be to fund our business, including technology expansion and working capital.</w:t>
      </w:r>
    </w:p>
    <w:p>
      <w:pPr>
        <w:spacing w:after="0" w:line="21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At December 31, 2022, our non-U.S. subsidiaries held approximately $9.4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date of filing of this Annual Report on Form 10-K. However, as the impact of the COVID-19 pandemic on the economy and our operations as well as geopolitical developments,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some of which are outside of our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2021 Senior Notes due 2026</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During the fourth quarter of 2021, the Company sold $16.1 million aggregate principal amount of Senior Notes under the Sales Agreement. The additional Senior Notes sold have terms identical to the initial Senior Notes and are be fungible and vote together with the initial Senior Notes immediately upon issuance. The Senior Notes and initial Senior Notes are listed and trade on The Nasdaq Global Market under the symbol “SNCRL.”</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fair value of the outstanding Senior Notes was $101.3 million as of December 31, 2022. The Company is in compliance with its debt covenants as of December 31, 2022.</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further details, see </w:t>
      </w:r>
      <w:r>
        <w:rPr>
          <w:rFonts w:ascii="Arial" w:cs="Arial" w:eastAsia="Arial" w:hAnsi="Arial"/>
          <w:sz w:val="18"/>
          <w:szCs w:val="18"/>
          <w:i w:val="1"/>
          <w:iCs w:val="1"/>
          <w:color w:val="auto"/>
        </w:rPr>
        <w:t>Note 11. Debt</w:t>
      </w:r>
      <w:r>
        <w:rPr>
          <w:rFonts w:ascii="Arial" w:cs="Arial" w:eastAsia="Arial" w:hAnsi="Arial"/>
          <w:sz w:val="18"/>
          <w:szCs w:val="18"/>
          <w:color w:val="auto"/>
        </w:rPr>
        <w:t xml:space="preserve"> of the Notes to Consolidated Financial Statements in Item 8 of this Form 10-K.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0.0%.</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June 30, 2021, the Company paid off the outstanding balance and closed the Revolving Credit Facility.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Non-Convertible Preferred Stock</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B Preferred Stock</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2022, the Liquidation Value and Redemption Value of the Series B Preferred Shares was $73.0 million.</w:t>
      </w:r>
    </w:p>
    <w:p>
      <w:pPr>
        <w:spacing w:after="0" w:line="19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and after the fifth anniversary of the date of issuance, holders of shares of Series B Preferred Stock will have the right to cause the Company to redeem each share of Series B Preferred Stock for cash in an amount equal to the sum of the current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9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4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costs and expenses incurred in connection with the Preferred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net proceeds from the common stock public offering, Senior Note offering and the Series B Transaction were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77"/>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Discussion of Cash Flows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6700" w:type="dxa"/>
            <w:vAlign w:val="bottom"/>
            <w:gridSpan w:val="2"/>
          </w:tcPr>
          <w:p>
            <w:pPr>
              <w:ind w:left="280"/>
              <w:spacing w:after="0"/>
              <w:rPr>
                <w:sz w:val="20"/>
                <w:szCs w:val="20"/>
                <w:color w:val="auto"/>
              </w:rPr>
            </w:pPr>
            <w:r>
              <w:rPr>
                <w:rFonts w:ascii="Arial" w:cs="Arial" w:eastAsia="Arial" w:hAnsi="Arial"/>
                <w:sz w:val="18"/>
                <w:szCs w:val="18"/>
                <w:color w:val="auto"/>
              </w:rPr>
              <w:t>A summary of net cash flows follows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Twelve Months Ended December 31,</w:t>
            </w:r>
          </w:p>
        </w:tc>
        <w:tc>
          <w:tcPr>
            <w:tcW w:w="160" w:type="dxa"/>
            <w:vAlign w:val="bottom"/>
          </w:tcPr>
          <w:p>
            <w:pPr>
              <w:spacing w:after="0"/>
              <w:rPr>
                <w:sz w:val="24"/>
                <w:szCs w:val="24"/>
                <w:color w:val="auto"/>
              </w:rPr>
            </w:pPr>
          </w:p>
        </w:tc>
        <w:tc>
          <w:tcPr>
            <w:tcW w:w="126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Change</w:t>
            </w:r>
          </w:p>
        </w:tc>
      </w:tr>
      <w:tr>
        <w:trPr>
          <w:trHeight w:val="220"/>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2022 vs 2021</w:t>
            </w:r>
          </w:p>
        </w:tc>
      </w:tr>
      <w:tr>
        <w:trPr>
          <w:trHeight w:val="205"/>
        </w:trPr>
        <w:tc>
          <w:tcPr>
            <w:tcW w:w="40" w:type="dxa"/>
            <w:vAlign w:val="bottom"/>
          </w:tcPr>
          <w:p>
            <w:pPr>
              <w:spacing w:after="0"/>
              <w:rPr>
                <w:sz w:val="17"/>
                <w:szCs w:val="17"/>
                <w:color w:val="auto"/>
              </w:rPr>
            </w:pPr>
          </w:p>
        </w:tc>
        <w:tc>
          <w:tcPr>
            <w:tcW w:w="6700" w:type="dxa"/>
            <w:vAlign w:val="bottom"/>
            <w:gridSpan w:val="2"/>
          </w:tcPr>
          <w:p>
            <w:pPr>
              <w:spacing w:after="0" w:line="205" w:lineRule="exact"/>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0"/>
              </w:rPr>
              <w:t>17,359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0"/>
              </w:rPr>
              <w:t>12,414</w:t>
            </w:r>
          </w:p>
        </w:tc>
      </w:tr>
      <w:tr>
        <w:trPr>
          <w:trHeight w:val="225"/>
        </w:trPr>
        <w:tc>
          <w:tcPr>
            <w:tcW w:w="40" w:type="dxa"/>
            <w:vAlign w:val="bottom"/>
          </w:tcPr>
          <w:p>
            <w:pPr>
              <w:spacing w:after="0"/>
              <w:rPr>
                <w:sz w:val="19"/>
                <w:szCs w:val="19"/>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351"/>
              <w:spacing w:after="0"/>
              <w:rPr>
                <w:sz w:val="20"/>
                <w:szCs w:val="20"/>
                <w:color w:val="auto"/>
              </w:rPr>
            </w:pPr>
            <w:r>
              <w:rPr>
                <w:rFonts w:ascii="Arial" w:cs="Arial" w:eastAsia="Arial" w:hAnsi="Arial"/>
                <w:sz w:val="18"/>
                <w:szCs w:val="18"/>
                <w:color w:val="auto"/>
                <w:w w:val="89"/>
              </w:rPr>
              <w:t>(13,166)</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551"/>
              <w:spacing w:after="0"/>
              <w:rPr>
                <w:sz w:val="20"/>
                <w:szCs w:val="20"/>
                <w:color w:val="auto"/>
              </w:rPr>
            </w:pPr>
            <w:r>
              <w:rPr>
                <w:rFonts w:ascii="Arial" w:cs="Arial" w:eastAsia="Arial" w:hAnsi="Arial"/>
                <w:sz w:val="18"/>
                <w:szCs w:val="18"/>
                <w:color w:val="auto"/>
                <w:w w:val="90"/>
              </w:rPr>
              <w:t>10,777</w:t>
            </w:r>
          </w:p>
        </w:tc>
      </w:tr>
      <w:tr>
        <w:trPr>
          <w:trHeight w:val="227"/>
        </w:trPr>
        <w:tc>
          <w:tcPr>
            <w:tcW w:w="4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89"/>
              </w:rPr>
              <w:t>(13,276)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531"/>
              <w:spacing w:after="0"/>
              <w:rPr>
                <w:sz w:val="20"/>
                <w:szCs w:val="20"/>
                <w:color w:val="auto"/>
              </w:rPr>
            </w:pPr>
            <w:r>
              <w:rPr>
                <w:rFonts w:ascii="Arial" w:cs="Arial" w:eastAsia="Arial" w:hAnsi="Arial"/>
                <w:sz w:val="18"/>
                <w:szCs w:val="18"/>
                <w:color w:val="auto"/>
                <w:w w:val="89"/>
              </w:rPr>
              <w:t>(29,464)</w:t>
            </w:r>
          </w:p>
        </w:tc>
      </w:tr>
    </w:tbl>
    <w:p>
      <w:pPr>
        <w:spacing w:after="0" w:line="3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9" w:lineRule="exact"/>
        <w:rPr>
          <w:sz w:val="20"/>
          <w:szCs w:val="20"/>
          <w:color w:val="auto"/>
        </w:rPr>
      </w:pPr>
    </w:p>
    <w:p>
      <w:pPr>
        <w:jc w:val="both"/>
        <w:ind w:firstLine="319"/>
        <w:spacing w:after="0" w:line="307" w:lineRule="auto"/>
        <w:rPr>
          <w:sz w:val="20"/>
          <w:szCs w:val="20"/>
          <w:color w:val="auto"/>
        </w:rPr>
      </w:pPr>
      <w:r>
        <w:rPr>
          <w:rFonts w:ascii="Arial" w:cs="Arial" w:eastAsia="Arial" w:hAnsi="Arial"/>
          <w:sz w:val="16"/>
          <w:szCs w:val="16"/>
          <w:b w:val="1"/>
          <w:bCs w:val="1"/>
          <w:color w:val="auto"/>
        </w:rPr>
        <w:t xml:space="preserve">Cash flows from operating activities </w:t>
      </w:r>
      <w:r>
        <w:rPr>
          <w:rFonts w:ascii="Arial" w:cs="Arial" w:eastAsia="Arial" w:hAnsi="Arial"/>
          <w:sz w:val="16"/>
          <w:szCs w:val="16"/>
          <w:color w:val="auto"/>
        </w:rPr>
        <w:t>for the year ended December 31, 2022 was $17.4 million of cash provided by operating activities,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$4.9 million of cash provided by operating activities for the same period in 2021. The increase of cash provided by operating activities of $12.4 million was mainly driven by continued growth in cloud subscribers, reduced operating costs, and $4.3 million federal tax refunds received in the second quarter of 2022.</w:t>
      </w:r>
    </w:p>
    <w:p>
      <w:pPr>
        <w:spacing w:after="0" w:line="172"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for the year ended December 31, 2022 was $13.2 million of cash used by investing activities, as compared to $23.9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cash used by investing activities during the same period in 2021. The cash used for investing activities in the current year and prior year was primarily related to increased investment in product development for our Cloud offering and capitalization of associated labor costs. This investment was offset in the current period by the $8 million of cash received as part of the DXP Business sale.</w:t>
      </w:r>
    </w:p>
    <w:p>
      <w:pPr>
        <w:spacing w:after="0" w:line="211"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for the year ended December 31, 2022 was $13.3 million of cash used by financing activities,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$16.2 million of cash provided for the same period in 2021, primarily due to principal and interest payments associated with the redemption of Series B Preferred Stock in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1" w:lineRule="exact"/>
        <w:rPr>
          <w:sz w:val="20"/>
          <w:szCs w:val="20"/>
          <w:color w:val="auto"/>
        </w:rPr>
      </w:pPr>
    </w:p>
    <w:p>
      <w:pPr>
        <w:jc w:val="both"/>
        <w:ind w:firstLine="319"/>
        <w:spacing w:after="0" w:line="248" w:lineRule="auto"/>
        <w:rPr>
          <w:sz w:val="20"/>
          <w:szCs w:val="20"/>
          <w:color w:val="auto"/>
        </w:rPr>
      </w:pPr>
      <w:r>
        <w:rPr>
          <w:rFonts w:ascii="Arial" w:cs="Arial" w:eastAsia="Arial" w:hAnsi="Arial"/>
          <w:sz w:val="18"/>
          <w:szCs w:val="18"/>
          <w:color w:val="auto"/>
        </w:rPr>
        <w:t>Inflationary increases in certain input costs, such as occupancy, labor and benefits, and general administrative costs, have impacted our business. Management does not believe these impacts have had a material impact on our results of operations during the 2022, 2021 and 2020. We cannot assure you, however, that we will not be affected by general inflation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58" w:lineRule="exact"/>
        <w:rPr>
          <w:sz w:val="20"/>
          <w:szCs w:val="20"/>
          <w:color w:val="auto"/>
        </w:rPr>
      </w:pPr>
    </w:p>
    <w:p>
      <w:pPr>
        <w:jc w:val="both"/>
        <w:ind w:firstLine="319"/>
        <w:spacing w:after="0" w:line="207" w:lineRule="exact"/>
        <w:rPr>
          <w:sz w:val="20"/>
          <w:szCs w:val="20"/>
          <w:color w:val="auto"/>
        </w:rPr>
      </w:pPr>
      <w:r>
        <w:rPr>
          <w:rFonts w:ascii="Arial" w:cs="Arial" w:eastAsia="Arial" w:hAnsi="Arial"/>
          <w:sz w:val="18"/>
          <w:szCs w:val="18"/>
          <w:color w:val="auto"/>
        </w:rPr>
        <w:t>Our contractual obligations consist of office and laptop leases, notes payable and related interest as well as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December 31, 2022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8"/>
                <w:szCs w:val="18"/>
                <w:b w:val="1"/>
                <w:bCs w:val="1"/>
                <w:color w:val="auto"/>
              </w:rPr>
              <w:t>Payments Due by Period</w:t>
            </w: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0"/>
        </w:trPr>
        <w:tc>
          <w:tcPr>
            <w:tcW w:w="3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2024-2026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7"/>
              </w:rPr>
              <w:t>2027-2028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Thereafter</w:t>
            </w: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Finance lease obligations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6"/>
        </w:trPr>
        <w:tc>
          <w:tcPr>
            <w:tcW w:w="3760" w:type="dxa"/>
            <w:vAlign w:val="bottom"/>
          </w:tcPr>
          <w:p>
            <w:pPr>
              <w:ind w:left="20"/>
              <w:spacing w:after="0" w:line="22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 Payable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9"/>
        </w:trPr>
        <w:tc>
          <w:tcPr>
            <w:tcW w:w="376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226,327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0"/>
          <w:szCs w:val="20"/>
          <w:color w:val="auto"/>
        </w:rPr>
      </w:pPr>
    </w:p>
    <w:p>
      <w:pPr>
        <w:ind w:left="240" w:hanging="234"/>
        <w:spacing w:after="0"/>
        <w:tabs>
          <w:tab w:leader="none" w:pos="24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Amounts represent obligations associated with colocation agreements and other customer delivery related purchase obligations.</w:t>
      </w:r>
    </w:p>
    <w:p>
      <w:pPr>
        <w:spacing w:after="0" w:line="200" w:lineRule="exact"/>
        <w:rPr>
          <w:rFonts w:ascii="Arial" w:cs="Arial" w:eastAsia="Arial" w:hAnsi="Arial"/>
          <w:sz w:val="21"/>
          <w:szCs w:val="21"/>
          <w:color w:val="auto"/>
          <w:vertAlign w:val="superscript"/>
        </w:rPr>
      </w:pPr>
    </w:p>
    <w:p>
      <w:pPr>
        <w:spacing w:after="0" w:line="33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Unrecognized tax positions are $4.4 million at December 31, 2022.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GAAP. The preparation of these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We have discussed the selection and development of the critical accounting policies with the Audit Committee, and the Audit Committee has reviewed our related disclosures in this Form 10-K.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 “Item 1A. Risk Factors” in this Form 10-K for certain matters bearing risks on our future results of operations.</w:t>
      </w:r>
    </w:p>
    <w:p>
      <w:pPr>
        <w:spacing w:after="0" w:line="21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consolidated financial condition and results of operations and they require critical management judgments and estimates about matters that are uncertain.</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 xml:space="preserve">Significant accounting policies that we employ are presented in the Notes to our Consolidated Financial Statements in Item 8 </w:t>
      </w:r>
      <w:r>
        <w:rPr>
          <w:rFonts w:ascii="Arial" w:cs="Arial" w:eastAsia="Arial" w:hAnsi="Arial"/>
          <w:sz w:val="18"/>
          <w:szCs w:val="18"/>
          <w:i w:val="1"/>
          <w:iCs w:val="1"/>
          <w:color w:val="auto"/>
        </w:rPr>
        <w:t>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There were no significant changes in our critical accounting policies and estimates discussed in our Form 10-K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 generates revenue from the delivery of a range of products, solutions and services for operators, enterprises, OEMs and technology providers. We offer services principally on a Transactional or Subscription basis (SaaS) or in the form of Professional Services or Software Licenses.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20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Transaction service arrangements include services such as processing equipment orders, new account setup and activation, number port requests, credit checks and inventory management. 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18" w:lineRule="exact"/>
        <w:rPr>
          <w:sz w:val="20"/>
          <w:szCs w:val="20"/>
          <w:color w:val="auto"/>
        </w:rPr>
      </w:pPr>
    </w:p>
    <w:p>
      <w:pPr>
        <w:jc w:val="both"/>
        <w:ind w:firstLine="319"/>
        <w:spacing w:after="0" w:line="215"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basis over remaining expected customer relationship period. Revenues are presented net of discounts, which are volume level driven.</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its software licenses, however, in limited instances, the Company may constrain consideration to high-risk customers, until collection is resolved.</w:t>
      </w:r>
    </w:p>
    <w:p>
      <w:pPr>
        <w:spacing w:after="0" w:line="20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89"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frequently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19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08"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2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2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2018 and thereafter are subject to future examination by tax authorities.</w:t>
      </w:r>
    </w:p>
    <w:p>
      <w:pPr>
        <w:spacing w:after="0" w:line="20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policy has been to leave our cumulative unremitted foreign earnings invested indefinitely outside the United States, and we intend to continue this policy. Although the transition tax in the TCJA has removed U.S. federal taxes on distributions to the U.S. on a go forward basis,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Goodwill is our largest intangible asset. At December 31, 2022, our goodwill balance was $210.9 million, representing approximately 53% of total assets. Goodwill represents the excess of the purchase price over the fair value of assets acquired, including other definite-life intangible assets. Our policy is to perform an impairment test of goodwill at least annually, and more frequently if events or circumstances occurred that would indicate a reduced fair value in our reporting units could exist. Typically, we perform a qualitative assessment in the fourth quarter of the fiscal year to determine if it is more likely than not that the fair value of a reporting unit is less than its carrying value. As part of this qualitative assessment, we perform a quantitative assessment where necessary in substantiating our qualitative assessment.</w:t>
      </w:r>
    </w:p>
    <w:p>
      <w:pPr>
        <w:spacing w:after="0" w:line="22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During our qualitative assessment we make significant estimates, assumptions, and judgments, around the financial performance of the Company, changes in our share price, and forecasts of earnings, working capital requirements, and cash flows. We consider the reporting unit's historical results and operating trends as well as any strategic difference from our historical results when determining these assumptions.</w:t>
      </w:r>
    </w:p>
    <w:p>
      <w:pPr>
        <w:spacing w:after="0" w:line="198"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If we determine that it is more likely than not that the fair value of a reporting unit is less than its carrying amount, including goodwill, we perform a quantitative goodwill impairment test. 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we recognize an impairment charge for the amount by which the carrying amount exceeds the reporting unit's fair value. We recognize any impairment loss in operating income.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our 2022 impairment tests, the Company identified one reporting unit, Core. The Company performed a quantitative impairment assessment, as of October 1, 2022, for the Core reporting unit. The amounts below represent the results of our quantitative assessment.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depicts the methods employed, assumptions used and percentage fair value in excess of carrying value.</w:t>
      </w:r>
    </w:p>
    <w:p>
      <w:pPr>
        <w:spacing w:after="0" w:line="13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2022 Impairment Test</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Growth Rate</w:t>
            </w: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2"/>
              </w:rPr>
              <w:t>Terminal Growth</w:t>
            </w: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8" w:lineRule="exact"/>
              <w:rPr>
                <w:sz w:val="20"/>
                <w:szCs w:val="20"/>
                <w:color w:val="auto"/>
              </w:rPr>
            </w:pPr>
            <w:r>
              <w:rPr>
                <w:rFonts w:ascii="Arial" w:cs="Arial" w:eastAsia="Arial" w:hAnsi="Arial"/>
                <w:sz w:val="18"/>
                <w:szCs w:val="18"/>
                <w:b w:val="1"/>
                <w:bCs w:val="1"/>
                <w:color w:val="auto"/>
                <w:w w:val="92"/>
              </w:rPr>
              <w:t>Fair Value</w:t>
            </w: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3" w:lineRule="exact"/>
              <w:rPr>
                <w:sz w:val="20"/>
                <w:szCs w:val="20"/>
                <w:color w:val="auto"/>
              </w:rPr>
            </w:pPr>
            <w:r>
              <w:rPr>
                <w:rFonts w:ascii="Arial" w:cs="Arial" w:eastAsia="Arial" w:hAnsi="Arial"/>
                <w:sz w:val="18"/>
                <w:szCs w:val="18"/>
                <w:b w:val="1"/>
                <w:bCs w:val="1"/>
                <w:color w:val="auto"/>
                <w:w w:val="89"/>
              </w:rPr>
              <w:t>Exceeds Carrying</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Reporting Unit</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Discount Rate</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Range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Goodwill</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 by</w:t>
            </w: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Fair Value Method</w:t>
            </w:r>
          </w:p>
        </w:tc>
        <w:tc>
          <w:tcPr>
            <w:tcW w:w="0" w:type="dxa"/>
            <w:vAlign w:val="bottom"/>
          </w:tcPr>
          <w:p>
            <w:pPr>
              <w:spacing w:after="0"/>
              <w:rPr>
                <w:sz w:val="1"/>
                <w:szCs w:val="1"/>
                <w:color w:val="auto"/>
              </w:rPr>
            </w:pPr>
          </w:p>
        </w:tc>
      </w:tr>
      <w:tr>
        <w:trPr>
          <w:trHeight w:val="168"/>
        </w:trPr>
        <w:tc>
          <w:tcPr>
            <w:tcW w:w="15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Core</w:t>
            </w:r>
          </w:p>
        </w:tc>
        <w:tc>
          <w:tcPr>
            <w:tcW w:w="1440" w:type="dxa"/>
            <w:vAlign w:val="bottom"/>
            <w:vMerge w:val="restart"/>
            <w:shd w:val="clear" w:color="auto" w:fill="CCEEFF"/>
          </w:tcPr>
          <w:p>
            <w:pPr>
              <w:jc w:val="right"/>
              <w:ind w:right="41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0.0% - 3.0%</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$203,261</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25.3%</w:t>
            </w: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ind w:left="120"/>
              <w:spacing w:after="0" w:line="168" w:lineRule="exact"/>
              <w:rPr>
                <w:sz w:val="20"/>
                <w:szCs w:val="20"/>
                <w:color w:val="auto"/>
              </w:rPr>
            </w:pPr>
            <w:r>
              <w:rPr>
                <w:rFonts w:ascii="Arial" w:cs="Arial" w:eastAsia="Arial" w:hAnsi="Arial"/>
                <w:sz w:val="18"/>
                <w:szCs w:val="18"/>
                <w:color w:val="auto"/>
                <w:w w:val="91"/>
              </w:rPr>
              <w:t>Income Approach, Market</w:t>
            </w:r>
          </w:p>
        </w:tc>
        <w:tc>
          <w:tcPr>
            <w:tcW w:w="0" w:type="dxa"/>
            <w:vAlign w:val="bottom"/>
          </w:tcPr>
          <w:p>
            <w:pPr>
              <w:spacing w:after="0"/>
              <w:rPr>
                <w:sz w:val="1"/>
                <w:szCs w:val="1"/>
                <w:color w:val="auto"/>
              </w:rPr>
            </w:pPr>
          </w:p>
        </w:tc>
      </w:tr>
      <w:tr>
        <w:trPr>
          <w:trHeight w:val="144"/>
        </w:trPr>
        <w:tc>
          <w:tcPr>
            <w:tcW w:w="1500" w:type="dxa"/>
            <w:vAlign w:val="bottom"/>
            <w:gridSpan w:val="2"/>
            <w:vMerge w:val="continue"/>
            <w:shd w:val="clear" w:color="auto" w:fill="CCEEFF"/>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Approach</w:t>
            </w:r>
          </w:p>
        </w:tc>
        <w:tc>
          <w:tcPr>
            <w:tcW w:w="0" w:type="dxa"/>
            <w:vAlign w:val="bottom"/>
          </w:tcPr>
          <w:p>
            <w:pPr>
              <w:spacing w:after="0"/>
              <w:rPr>
                <w:sz w:val="1"/>
                <w:szCs w:val="1"/>
                <w:color w:val="auto"/>
              </w:rPr>
            </w:pPr>
          </w:p>
        </w:tc>
      </w:tr>
      <w:tr>
        <w:trPr>
          <w:trHeight w:val="94"/>
        </w:trPr>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2022 fair value of the reporting unit was estimated using the income and market approach.</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For the income approach, we used projections, which require the use of significant estimates and assumptions specific to the reporting unit as well as those based on general economic conditions. Factors specific to each reporting unit include revenue and cost growth, profit margins, terminal value growth rates, capital expenditures projections, assumed tax rates, discount rates and other assumptions deemed reasonable by management.</w:t>
      </w:r>
    </w:p>
    <w:p>
      <w:pPr>
        <w:spacing w:after="0" w:line="19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Management also applied the market approach to the analysis. For the market approach, we used judgment in identifying the relevant comparable-company market multiples. These estimates and assumptions may vary between each reporting unit depending on the facts and circumstances specific to that unit. If sufficient comparable data is not present, the market approach will not be employed. The discount rate for each reporting unit is influenced by general market conditions as well as factors specific to the reporting unit.</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5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2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of the Notes to Consolidated Financial Statements in Part II, Item 8 of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We had no off-balance sheet arrangements as of December 31, 2022 and December 31, 2021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2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December 31, 2022 and December 31, 2021 were invested in liquid money market accounts, certificates of deposit and government securities. All market-risk sensitive instruments were entered into for non-trading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1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December 31, 2022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6"/>
                <w:szCs w:val="16"/>
                <w:color w:val="auto"/>
              </w:rPr>
              <w:t>Page No.</w:t>
            </w:r>
          </w:p>
        </w:tc>
      </w:tr>
      <w:tr>
        <w:trPr>
          <w:trHeight w:val="191"/>
        </w:trPr>
        <w:tc>
          <w:tcPr>
            <w:tcW w:w="100" w:type="dxa"/>
            <w:vAlign w:val="bottom"/>
          </w:tcPr>
          <w:p>
            <w:pPr>
              <w:spacing w:after="0"/>
              <w:rPr>
                <w:sz w:val="16"/>
                <w:szCs w:val="16"/>
                <w:color w:val="auto"/>
              </w:rPr>
            </w:pPr>
          </w:p>
        </w:tc>
        <w:tc>
          <w:tcPr>
            <w:tcW w:w="9340" w:type="dxa"/>
            <w:vAlign w:val="bottom"/>
            <w:gridSpan w:val="9"/>
          </w:tcPr>
          <w:p>
            <w:pPr>
              <w:spacing w:after="0" w:line="191" w:lineRule="exact"/>
              <w:rPr>
                <w:sz w:val="20"/>
                <w:szCs w:val="20"/>
                <w:color w:val="auto"/>
              </w:rPr>
            </w:pPr>
            <w:r>
              <w:rPr>
                <w:rFonts w:ascii="Arial" w:cs="Arial" w:eastAsia="Arial" w:hAnsi="Arial"/>
                <w:sz w:val="18"/>
                <w:szCs w:val="18"/>
                <w:color w:val="0000FF"/>
              </w:rPr>
              <w:t xml:space="preserve">Report of Independent Registered Public Accounting Firm (PCAOB ID No. </w:t>
            </w:r>
            <w:r>
              <w:rPr>
                <w:rFonts w:ascii="Arial" w:cs="Arial" w:eastAsia="Arial" w:hAnsi="Arial"/>
                <w:sz w:val="18"/>
                <w:szCs w:val="18"/>
                <w:color w:val="0E32E1"/>
              </w:rPr>
              <w:t>42)</w:t>
            </w:r>
          </w:p>
        </w:tc>
        <w:tc>
          <w:tcPr>
            <w:tcW w:w="180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0000FF"/>
              </w:rPr>
              <w:t>57</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0000FF"/>
                <w:w w:val="86"/>
              </w:rPr>
              <w:t>Consolidated Balance Sheets as of December 31, 2022 and 2021</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00" w:type="dxa"/>
            <w:vAlign w:val="bottom"/>
            <w:gridSpan w:val="5"/>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0000FF"/>
              </w:rPr>
              <w:t>59</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9340" w:type="dxa"/>
            <w:vAlign w:val="bottom"/>
            <w:gridSpan w:val="9"/>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0000FF"/>
              </w:rPr>
              <w:t>60</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8180" w:type="dxa"/>
            <w:vAlign w:val="bottom"/>
            <w:gridSpan w:val="8"/>
          </w:tcPr>
          <w:p>
            <w:pPr>
              <w:spacing w:after="0"/>
              <w:rPr>
                <w:sz w:val="20"/>
                <w:szCs w:val="20"/>
                <w:color w:val="auto"/>
              </w:rPr>
            </w:pPr>
            <w:r>
              <w:rPr>
                <w:rFonts w:ascii="Arial" w:cs="Arial" w:eastAsia="Arial" w:hAnsi="Arial"/>
                <w:sz w:val="18"/>
                <w:szCs w:val="18"/>
                <w:color w:val="0000FF"/>
                <w:w w:val="87"/>
              </w:rPr>
              <w:t>Consolidated Statements of Comprehensive (Loss) Income for the years ended December 31, 2022, 2021, and 2020</w:t>
            </w:r>
          </w:p>
        </w:tc>
        <w:tc>
          <w:tcPr>
            <w:tcW w:w="1160" w:type="dxa"/>
            <w:vAlign w:val="bottom"/>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0000FF"/>
              </w:rPr>
              <w:t>61</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Arial" w:cs="Arial" w:eastAsia="Arial" w:hAnsi="Arial"/>
                <w:sz w:val="18"/>
                <w:szCs w:val="18"/>
                <w:color w:val="0000FF"/>
                <w:w w:val="88"/>
              </w:rPr>
              <w:t>Consolidated Statements of Stockholders’ Equity for the years ended December 31, 2022, 2021, and 2020</w:t>
            </w: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0000FF"/>
              </w:rPr>
              <w:t>62</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Arial" w:cs="Arial" w:eastAsia="Arial" w:hAnsi="Arial"/>
                <w:sz w:val="18"/>
                <w:szCs w:val="18"/>
                <w:color w:val="0000FF"/>
                <w:w w:val="96"/>
              </w:rPr>
              <w:t>Consolidated Statements of Cash Flows for the years ended December 31, 2022, 2021, and 2020</w:t>
            </w:r>
          </w:p>
        </w:tc>
        <w:tc>
          <w:tcPr>
            <w:tcW w:w="1840" w:type="dxa"/>
            <w:vAlign w:val="bottom"/>
            <w:gridSpan w:val="2"/>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0000FF"/>
              </w:rPr>
              <w:t>63</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520" w:type="dxa"/>
            <w:vAlign w:val="bottom"/>
            <w:gridSpan w:val="3"/>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0000FF"/>
              </w:rPr>
              <w:t>65</w:t>
            </w:r>
          </w:p>
        </w:tc>
      </w:tr>
      <w:tr>
        <w:trPr>
          <w:trHeight w:val="870"/>
        </w:trPr>
        <w:tc>
          <w:tcPr>
            <w:tcW w:w="100" w:type="dxa"/>
            <w:vAlign w:val="bottom"/>
          </w:tcPr>
          <w:p>
            <w:pPr>
              <w:spacing w:after="0"/>
              <w:rPr>
                <w:sz w:val="24"/>
                <w:szCs w:val="24"/>
                <w:color w:val="auto"/>
              </w:rPr>
            </w:pPr>
          </w:p>
        </w:tc>
        <w:tc>
          <w:tcPr>
            <w:tcW w:w="3080" w:type="dxa"/>
            <w:vAlign w:val="bottom"/>
            <w:tcBorders>
              <w:top w:val="single" w:sz="8" w:color="0000FF"/>
            </w:tcBorders>
          </w:tcPr>
          <w:p>
            <w:pPr>
              <w:spacing w:after="0"/>
              <w:rPr>
                <w:sz w:val="24"/>
                <w:szCs w:val="24"/>
                <w:color w:val="auto"/>
              </w:rPr>
            </w:pPr>
          </w:p>
        </w:tc>
        <w:tc>
          <w:tcPr>
            <w:tcW w:w="256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10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audited the accompanying consolidated balance sheets of Synchronoss Technologies, Inc. (the Company) as of December 31, 2022 and 2021, the related consolidated statements of operations, comprehensive (loss) income, stockholders’ equity and cash flows for each of the three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15, 2023 expressed an unqualified opinion thereon.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76" w:lineRule="exact"/>
        <w:rPr>
          <w:sz w:val="20"/>
          <w:szCs w:val="20"/>
          <w:color w:val="auto"/>
        </w:rPr>
      </w:pPr>
    </w:p>
    <w:p>
      <w:pPr>
        <w:ind w:left="2340" w:right="300"/>
        <w:spacing w:after="0" w:line="250" w:lineRule="auto"/>
        <w:rPr>
          <w:sz w:val="20"/>
          <w:szCs w:val="20"/>
          <w:color w:val="auto"/>
        </w:rPr>
      </w:pPr>
      <w:r>
        <w:rPr>
          <w:rFonts w:ascii="Arial" w:cs="Arial" w:eastAsia="Arial" w:hAnsi="Arial"/>
          <w:sz w:val="18"/>
          <w:szCs w:val="18"/>
          <w:b w:val="1"/>
          <w:bCs w:val="1"/>
          <w:i w:val="1"/>
          <w:iCs w:val="1"/>
          <w:color w:val="auto"/>
        </w:rPr>
        <w:t>New or Modified Revenue Arrangements with Multiple Performance Obligations - Identifying contracts, performance obligations and stand-alone selling price</w:t>
      </w:r>
    </w:p>
    <w:p>
      <w:pPr>
        <w:spacing w:after="0" w:line="34" w:lineRule="exact"/>
        <w:rPr>
          <w:sz w:val="20"/>
          <w:szCs w:val="20"/>
          <w:color w:val="auto"/>
        </w:rPr>
      </w:pPr>
    </w:p>
    <w:p>
      <w:pPr>
        <w:jc w:val="both"/>
        <w:ind w:left="2340" w:right="20" w:hanging="2313"/>
        <w:spacing w:after="0" w:line="265" w:lineRule="auto"/>
        <w:tabs>
          <w:tab w:leader="none" w:pos="23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3. Revenue</w:t>
      </w:r>
      <w:r>
        <w:rPr>
          <w:rFonts w:ascii="Arial" w:cs="Arial" w:eastAsia="Arial" w:hAnsi="Arial"/>
          <w:sz w:val="17"/>
          <w:szCs w:val="17"/>
          <w:color w:val="auto"/>
        </w:rPr>
        <w:t xml:space="preserve"> of the consolidated financial statements, the Company recognized $252.6 million in revenue across all service lines. The Company’s revenue agreements frequently contain multiple performance obligations, and judgment is required to determine which performance obligations are distinct and accounted for separately. These agreements may also contain variable consideration in the form of tiered pricing, contractual minimums or discounts. Judgment is also required to estimate the total contract consideration and to allocate the consideration to each distinct performance obligation. Additionally, the Company may enter into multiple agreements with the same customer, which may affect the identification of the contract, the performance obligations and the allocation of total contract consideration. Auditing the Company’s new or modified revenue arrangements that included multiple performance obligations was complex and involved a high degree of judgment related to management’s identification of performance obligations and its estimate and allocation of contract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140" w:type="dxa"/>
            <w:vAlign w:val="bottom"/>
          </w:tcPr>
          <w:p>
            <w:pPr>
              <w:spacing w:after="0"/>
              <w:rPr>
                <w:sz w:val="17"/>
                <w:szCs w:val="17"/>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805"/>
        </w:trPr>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How We Addressed the</w:t>
            </w:r>
          </w:p>
        </w:tc>
        <w:tc>
          <w:tcPr>
            <w:tcW w:w="9140" w:type="dxa"/>
            <w:vAlign w:val="bottom"/>
          </w:tcPr>
          <w:p>
            <w:pPr>
              <w:ind w:left="260"/>
              <w:spacing w:after="0"/>
              <w:rPr>
                <w:sz w:val="20"/>
                <w:szCs w:val="20"/>
                <w:color w:val="auto"/>
              </w:rPr>
            </w:pPr>
            <w:r>
              <w:rPr>
                <w:rFonts w:ascii="Arial" w:cs="Arial" w:eastAsia="Arial" w:hAnsi="Arial"/>
                <w:sz w:val="18"/>
                <w:szCs w:val="18"/>
                <w:color w:val="auto"/>
                <w:w w:val="89"/>
              </w:rPr>
              <w:t>We obtained an understanding, evaluated the design and tested the operating effectiveness of internal controls related to the</w:t>
            </w:r>
          </w:p>
        </w:tc>
      </w:tr>
      <w:tr>
        <w:trPr>
          <w:trHeight w:val="213"/>
        </w:trPr>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Matter in Our Audit</w:t>
            </w:r>
          </w:p>
        </w:tc>
        <w:tc>
          <w:tcPr>
            <w:tcW w:w="9140" w:type="dxa"/>
            <w:vAlign w:val="bottom"/>
          </w:tcPr>
          <w:p>
            <w:pPr>
              <w:ind w:left="260"/>
              <w:spacing w:after="0"/>
              <w:rPr>
                <w:sz w:val="20"/>
                <w:szCs w:val="20"/>
                <w:color w:val="auto"/>
              </w:rPr>
            </w:pPr>
            <w:r>
              <w:rPr>
                <w:rFonts w:ascii="Arial" w:cs="Arial" w:eastAsia="Arial" w:hAnsi="Arial"/>
                <w:sz w:val="18"/>
                <w:szCs w:val="18"/>
                <w:color w:val="auto"/>
                <w:w w:val="89"/>
              </w:rPr>
              <w:t>Company’s process for identifying and assessing new or modified revenue arrangements that included multiple performance</w:t>
            </w:r>
          </w:p>
        </w:tc>
      </w:tr>
      <w:tr>
        <w:trPr>
          <w:trHeight w:val="199"/>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40" w:type="dxa"/>
            <w:vAlign w:val="bottom"/>
          </w:tcPr>
          <w:p>
            <w:pPr>
              <w:ind w:left="260"/>
              <w:spacing w:after="0" w:line="200" w:lineRule="exact"/>
              <w:rPr>
                <w:sz w:val="20"/>
                <w:szCs w:val="20"/>
                <w:color w:val="auto"/>
              </w:rPr>
            </w:pPr>
            <w:r>
              <w:rPr>
                <w:rFonts w:ascii="Arial" w:cs="Arial" w:eastAsia="Arial" w:hAnsi="Arial"/>
                <w:sz w:val="18"/>
                <w:szCs w:val="18"/>
                <w:color w:val="auto"/>
                <w:w w:val="95"/>
              </w:rPr>
              <w:t>obligations as well as recognizing the related revenue, including controls over management’s review of the significant</w:t>
            </w:r>
          </w:p>
        </w:tc>
      </w:tr>
      <w:tr>
        <w:trPr>
          <w:trHeight w:val="199"/>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40" w:type="dxa"/>
            <w:vAlign w:val="bottom"/>
          </w:tcPr>
          <w:p>
            <w:pPr>
              <w:ind w:left="260"/>
              <w:spacing w:after="0" w:line="200" w:lineRule="exact"/>
              <w:rPr>
                <w:sz w:val="20"/>
                <w:szCs w:val="20"/>
                <w:color w:val="auto"/>
              </w:rPr>
            </w:pPr>
            <w:r>
              <w:rPr>
                <w:rFonts w:ascii="Arial" w:cs="Arial" w:eastAsia="Arial" w:hAnsi="Arial"/>
                <w:sz w:val="18"/>
                <w:szCs w:val="18"/>
                <w:color w:val="auto"/>
                <w:w w:val="91"/>
              </w:rPr>
              <w:t>judgments and estimates used in the identification of the contract, distinct performance obligations and the estimation and</w:t>
            </w:r>
          </w:p>
        </w:tc>
      </w:tr>
      <w:tr>
        <w:trPr>
          <w:trHeight w:val="224"/>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allocation of amounts to each performance obligation.</w:t>
            </w:r>
          </w:p>
        </w:tc>
      </w:tr>
      <w:tr>
        <w:trPr>
          <w:trHeight w:val="441"/>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1"/>
              </w:rPr>
              <w:t>Our audit procedures also included, among others, reading a sample of customer contracts and evaluating management’s</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5"/>
              </w:rPr>
              <w:t>identification of the contract and the distinct performance obligations based on the terms of the arrangements and the</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89"/>
              </w:rPr>
              <w:t>Company’s accounting policies. To test the calculation of the amount of consideration allocated to each distinct performance</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0"/>
              </w:rPr>
              <w:t>obligation, we performed procedures to evaluate management’s judgments related to the allocation of consideration to each</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0"/>
              </w:rPr>
              <w:t>distinct performance obligation and performed sensitivity analyses to evaluate how these assumptions affect the amount of</w:t>
            </w:r>
          </w:p>
        </w:tc>
      </w:tr>
      <w:tr>
        <w:trPr>
          <w:trHeight w:val="224"/>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3"/>
              </w:rPr>
              <w:t xml:space="preserve">revenue recognized. We have also evaluated the adequacy of the Company’s disclosures included in </w:t>
            </w:r>
            <w:r>
              <w:rPr>
                <w:rFonts w:ascii="Arial" w:cs="Arial" w:eastAsia="Arial" w:hAnsi="Arial"/>
                <w:sz w:val="18"/>
                <w:szCs w:val="18"/>
                <w:i w:val="1"/>
                <w:iCs w:val="1"/>
                <w:color w:val="auto"/>
                <w:w w:val="93"/>
              </w:rPr>
              <w:t>Note 3. Revenue</w:t>
            </w:r>
            <w:r>
              <w:rPr>
                <w:rFonts w:ascii="Arial" w:cs="Arial" w:eastAsia="Arial" w:hAnsi="Arial"/>
                <w:sz w:val="18"/>
                <w:szCs w:val="18"/>
                <w:color w:val="auto"/>
                <w:w w:val="93"/>
              </w:rPr>
              <w:t>.</w:t>
            </w:r>
          </w:p>
        </w:tc>
      </w:tr>
      <w:tr>
        <w:trPr>
          <w:trHeight w:val="386"/>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1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Goodwill</w:t>
            </w:r>
          </w:p>
        </w:tc>
      </w:tr>
      <w:tr>
        <w:trPr>
          <w:trHeight w:val="215"/>
        </w:trPr>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Description of the Matter</w:t>
            </w:r>
          </w:p>
        </w:tc>
        <w:tc>
          <w:tcPr>
            <w:tcW w:w="9140" w:type="dxa"/>
            <w:vAlign w:val="bottom"/>
          </w:tcPr>
          <w:p>
            <w:pPr>
              <w:ind w:left="260"/>
              <w:spacing w:after="0"/>
              <w:rPr>
                <w:sz w:val="20"/>
                <w:szCs w:val="20"/>
                <w:color w:val="auto"/>
              </w:rPr>
            </w:pPr>
            <w:r>
              <w:rPr>
                <w:rFonts w:ascii="Arial" w:cs="Arial" w:eastAsia="Arial" w:hAnsi="Arial"/>
                <w:sz w:val="18"/>
                <w:szCs w:val="18"/>
                <w:color w:val="auto"/>
                <w:w w:val="97"/>
              </w:rPr>
              <w:t xml:space="preserve">At December 31, 2022, the Company's goodwill balance was $210.9 million. As discussed in </w:t>
            </w:r>
            <w:r>
              <w:rPr>
                <w:rFonts w:ascii="Arial" w:cs="Arial" w:eastAsia="Arial" w:hAnsi="Arial"/>
                <w:sz w:val="18"/>
                <w:szCs w:val="18"/>
                <w:i w:val="1"/>
                <w:iCs w:val="1"/>
                <w:color w:val="auto"/>
                <w:w w:val="97"/>
              </w:rPr>
              <w:t>Note 8. Goodwill and</w:t>
            </w:r>
          </w:p>
        </w:tc>
      </w:tr>
      <w:tr>
        <w:trPr>
          <w:trHeight w:val="199"/>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40" w:type="dxa"/>
            <w:vAlign w:val="bottom"/>
          </w:tcPr>
          <w:p>
            <w:pPr>
              <w:ind w:left="260"/>
              <w:spacing w:after="0" w:line="200" w:lineRule="exact"/>
              <w:rPr>
                <w:sz w:val="20"/>
                <w:szCs w:val="20"/>
                <w:color w:val="auto"/>
              </w:rPr>
            </w:pPr>
            <w:r>
              <w:rPr>
                <w:rFonts w:ascii="Arial" w:cs="Arial" w:eastAsia="Arial" w:hAnsi="Arial"/>
                <w:sz w:val="18"/>
                <w:szCs w:val="18"/>
                <w:i w:val="1"/>
                <w:iCs w:val="1"/>
                <w:color w:val="auto"/>
                <w:w w:val="91"/>
              </w:rPr>
              <w:t xml:space="preserve">Intangibles </w:t>
            </w:r>
            <w:r>
              <w:rPr>
                <w:rFonts w:ascii="Arial" w:cs="Arial" w:eastAsia="Arial" w:hAnsi="Arial"/>
                <w:sz w:val="18"/>
                <w:szCs w:val="18"/>
                <w:color w:val="auto"/>
                <w:w w:val="91"/>
              </w:rPr>
              <w:t>of the consolidated financial statements, goodwill is tested for impairment at least annually on October 1 at the</w:t>
            </w:r>
          </w:p>
        </w:tc>
      </w:tr>
      <w:tr>
        <w:trPr>
          <w:trHeight w:val="186"/>
        </w:trPr>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140" w:type="dxa"/>
            <w:vAlign w:val="bottom"/>
          </w:tcPr>
          <w:p>
            <w:pPr>
              <w:ind w:left="260"/>
              <w:spacing w:after="0" w:line="186" w:lineRule="exact"/>
              <w:rPr>
                <w:sz w:val="20"/>
                <w:szCs w:val="20"/>
                <w:color w:val="auto"/>
              </w:rPr>
            </w:pPr>
            <w:r>
              <w:rPr>
                <w:rFonts w:ascii="Arial" w:cs="Arial" w:eastAsia="Arial" w:hAnsi="Arial"/>
                <w:sz w:val="18"/>
                <w:szCs w:val="18"/>
                <w:color w:val="auto"/>
                <w:w w:val="90"/>
              </w:rPr>
              <w:t>reporting unit level. Auditing the Company's goodwill impairment test was complex due to the significant judgment required</w:t>
            </w:r>
          </w:p>
        </w:tc>
      </w:tr>
      <w:tr>
        <w:trPr>
          <w:trHeight w:val="199"/>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40" w:type="dxa"/>
            <w:vAlign w:val="bottom"/>
          </w:tcPr>
          <w:p>
            <w:pPr>
              <w:ind w:left="260"/>
              <w:spacing w:after="0" w:line="200" w:lineRule="exact"/>
              <w:rPr>
                <w:sz w:val="20"/>
                <w:szCs w:val="20"/>
                <w:color w:val="auto"/>
              </w:rPr>
            </w:pPr>
            <w:r>
              <w:rPr>
                <w:rFonts w:ascii="Arial" w:cs="Arial" w:eastAsia="Arial" w:hAnsi="Arial"/>
                <w:sz w:val="18"/>
                <w:szCs w:val="18"/>
                <w:color w:val="auto"/>
                <w:w w:val="99"/>
              </w:rPr>
              <w:t>in determining the fair value of the reporting unit. In particular, the fair value estimate was sensitive to significant</w:t>
            </w:r>
          </w:p>
        </w:tc>
      </w:tr>
      <w:tr>
        <w:trPr>
          <w:trHeight w:val="199"/>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40" w:type="dxa"/>
            <w:vAlign w:val="bottom"/>
          </w:tcPr>
          <w:p>
            <w:pPr>
              <w:ind w:left="260"/>
              <w:spacing w:after="0" w:line="200" w:lineRule="exact"/>
              <w:rPr>
                <w:sz w:val="20"/>
                <w:szCs w:val="20"/>
                <w:color w:val="auto"/>
              </w:rPr>
            </w:pPr>
            <w:r>
              <w:rPr>
                <w:rFonts w:ascii="Arial" w:cs="Arial" w:eastAsia="Arial" w:hAnsi="Arial"/>
                <w:sz w:val="18"/>
                <w:szCs w:val="18"/>
                <w:color w:val="auto"/>
                <w:w w:val="88"/>
              </w:rPr>
              <w:t>assumptions that require judgment, including revenue growth rates, free cash flow and operating expenses as a percentage of</w:t>
            </w:r>
          </w:p>
        </w:tc>
      </w:tr>
      <w:tr>
        <w:trPr>
          <w:trHeight w:val="199"/>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40" w:type="dxa"/>
            <w:vAlign w:val="bottom"/>
          </w:tcPr>
          <w:p>
            <w:pPr>
              <w:ind w:left="260"/>
              <w:spacing w:after="0" w:line="200" w:lineRule="exact"/>
              <w:rPr>
                <w:sz w:val="20"/>
                <w:szCs w:val="20"/>
                <w:color w:val="auto"/>
              </w:rPr>
            </w:pPr>
            <w:r>
              <w:rPr>
                <w:rFonts w:ascii="Arial" w:cs="Arial" w:eastAsia="Arial" w:hAnsi="Arial"/>
                <w:sz w:val="18"/>
                <w:szCs w:val="18"/>
                <w:color w:val="auto"/>
                <w:w w:val="92"/>
              </w:rPr>
              <w:t>revenue that affect the amount and timing of future cash flows, long-term growth rates, and the weighted average cost of</w:t>
            </w:r>
          </w:p>
        </w:tc>
      </w:tr>
      <w:tr>
        <w:trPr>
          <w:trHeight w:val="224"/>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0"/>
              </w:rPr>
              <w:t>capital ("discount rate"), which are affected by factors such as general market conditions and recent operating performance.</w:t>
            </w:r>
          </w:p>
        </w:tc>
      </w:tr>
      <w:tr>
        <w:trPr>
          <w:trHeight w:val="361"/>
        </w:trPr>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How We Addressed the</w:t>
            </w:r>
          </w:p>
        </w:tc>
        <w:tc>
          <w:tcPr>
            <w:tcW w:w="9140" w:type="dxa"/>
            <w:vAlign w:val="bottom"/>
          </w:tcPr>
          <w:p>
            <w:pPr>
              <w:ind w:left="260"/>
              <w:spacing w:after="0"/>
              <w:rPr>
                <w:sz w:val="20"/>
                <w:szCs w:val="20"/>
                <w:color w:val="auto"/>
              </w:rPr>
            </w:pPr>
            <w:r>
              <w:rPr>
                <w:rFonts w:ascii="Arial" w:cs="Arial" w:eastAsia="Arial" w:hAnsi="Arial"/>
                <w:sz w:val="18"/>
                <w:szCs w:val="18"/>
                <w:color w:val="auto"/>
                <w:w w:val="90"/>
              </w:rPr>
              <w:t>We obtained an understanding, evaluated the design and tested the operating effectiveness of controls over the Company's</w:t>
            </w:r>
          </w:p>
        </w:tc>
      </w:tr>
      <w:tr>
        <w:trPr>
          <w:trHeight w:val="213"/>
        </w:trPr>
        <w:tc>
          <w:tcPr>
            <w:tcW w:w="2080" w:type="dxa"/>
            <w:vAlign w:val="bottom"/>
            <w:gridSpan w:val="2"/>
          </w:tcPr>
          <w:p>
            <w:pPr>
              <w:ind w:left="20"/>
              <w:spacing w:after="0"/>
              <w:rPr>
                <w:sz w:val="20"/>
                <w:szCs w:val="20"/>
                <w:color w:val="auto"/>
              </w:rPr>
            </w:pPr>
            <w:r>
              <w:rPr>
                <w:rFonts w:ascii="Arial" w:cs="Arial" w:eastAsia="Arial" w:hAnsi="Arial"/>
                <w:sz w:val="18"/>
                <w:szCs w:val="18"/>
                <w:i w:val="1"/>
                <w:iCs w:val="1"/>
                <w:color w:val="auto"/>
              </w:rPr>
              <w:t>Matter in Our Audit</w:t>
            </w:r>
          </w:p>
        </w:tc>
        <w:tc>
          <w:tcPr>
            <w:tcW w:w="9140" w:type="dxa"/>
            <w:vAlign w:val="bottom"/>
          </w:tcPr>
          <w:p>
            <w:pPr>
              <w:ind w:left="260"/>
              <w:spacing w:after="0"/>
              <w:rPr>
                <w:sz w:val="20"/>
                <w:szCs w:val="20"/>
                <w:color w:val="auto"/>
              </w:rPr>
            </w:pPr>
            <w:r>
              <w:rPr>
                <w:rFonts w:ascii="Arial" w:cs="Arial" w:eastAsia="Arial" w:hAnsi="Arial"/>
                <w:sz w:val="18"/>
                <w:szCs w:val="18"/>
                <w:color w:val="auto"/>
                <w:w w:val="89"/>
              </w:rPr>
              <w:t>goodwill impairment review process. For example, we tested controls over management's review of the valuation model and</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6"/>
              </w:rPr>
              <w:t>the significant assumptions, discussed above used to develop the prospective financial information. We also tested</w:t>
            </w:r>
          </w:p>
        </w:tc>
      </w:tr>
      <w:tr>
        <w:trPr>
          <w:trHeight w:val="224"/>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management's controls to validate the data used in the valuation was complete and accurate.</w:t>
            </w:r>
          </w:p>
        </w:tc>
      </w:tr>
      <w:tr>
        <w:trPr>
          <w:trHeight w:val="441"/>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89"/>
              </w:rPr>
              <w:t>To test the estimated fair value of the Company's reporting unit, we performed audit procedures that included, among others,</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87"/>
              </w:rPr>
              <w:t>assessing the reasonableness of the methodologies used. We also compared the significant assumptions used by management</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1"/>
              </w:rPr>
              <w:t>to develop the prospective financial information to current industry and economic trends, analyst expectations, changes to</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1"/>
              </w:rPr>
              <w:t>the Company's business model, customer base or product mix and other relevant information. We assessed the historical</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7"/>
              </w:rPr>
              <w:t>accuracy of management's projections of future earnings by comparing the actual results to prior forecasts, and we</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0"/>
              </w:rPr>
              <w:t>performed analyses of significant assumptions to assess the impact of changes in the assumptions on the calculation of fair</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0"/>
              </w:rPr>
              <w:t>value. Further, we evaluated the revenue growth rates, free cash flow, operating expenses as a percentage of revenue and</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1"/>
              </w:rPr>
              <w:t>long-term growth rates in comparison to the Company’s peers. We also involved our valuation specialists to assist with our</w:t>
            </w:r>
          </w:p>
        </w:tc>
      </w:tr>
      <w:tr>
        <w:trPr>
          <w:trHeight w:val="213"/>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w w:val="91"/>
              </w:rPr>
              <w:t>evaluation of the methodology used by the Company and significant assumptions included in the fair value estimates. We</w:t>
            </w:r>
          </w:p>
        </w:tc>
      </w:tr>
      <w:tr>
        <w:trPr>
          <w:trHeight w:val="224"/>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 xml:space="preserve">have also evaluated the adequacy of the Company’s disclosures included in </w:t>
            </w:r>
            <w:r>
              <w:rPr>
                <w:rFonts w:ascii="Arial" w:cs="Arial" w:eastAsia="Arial" w:hAnsi="Arial"/>
                <w:sz w:val="18"/>
                <w:szCs w:val="18"/>
                <w:i w:val="1"/>
                <w:iCs w:val="1"/>
                <w:color w:val="auto"/>
              </w:rPr>
              <w:t>Note 8. Goodwill and Intangibles</w:t>
            </w:r>
            <w:r>
              <w:rPr>
                <w:rFonts w:ascii="Arial" w:cs="Arial" w:eastAsia="Arial" w:hAnsi="Arial"/>
                <w:sz w:val="18"/>
                <w:szCs w:val="18"/>
                <w:color w:val="auto"/>
              </w:rPr>
              <w:t>.</w:t>
            </w: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9"/>
        </w:trPr>
        <w:tc>
          <w:tcPr>
            <w:tcW w:w="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940" w:type="dxa"/>
            <w:vAlign w:val="bottom"/>
          </w:tcPr>
          <w:p>
            <w:pPr>
              <w:jc w:val="center"/>
              <w:ind w:left="1711"/>
              <w:spacing w:after="0"/>
              <w:rPr>
                <w:sz w:val="20"/>
                <w:szCs w:val="20"/>
                <w:color w:val="auto"/>
              </w:rPr>
            </w:pPr>
            <w:r>
              <w:rPr>
                <w:rFonts w:ascii="Arial" w:cs="Arial" w:eastAsia="Arial" w:hAnsi="Arial"/>
                <w:sz w:val="18"/>
                <w:szCs w:val="18"/>
                <w:b w:val="1"/>
                <w:bCs w:val="1"/>
                <w:color w:val="auto"/>
                <w:w w:val="98"/>
              </w:rPr>
              <w:t>SYNCHRONOSS TECHNOLOGIES,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40" w:type="dxa"/>
            <w:vAlign w:val="bottom"/>
          </w:tcPr>
          <w:p>
            <w:pPr>
              <w:jc w:val="center"/>
              <w:ind w:left="1691"/>
              <w:spacing w:after="0"/>
              <w:rPr>
                <w:sz w:val="20"/>
                <w:szCs w:val="20"/>
                <w:color w:val="auto"/>
              </w:rPr>
            </w:pPr>
            <w:r>
              <w:rPr>
                <w:rFonts w:ascii="Arial" w:cs="Arial" w:eastAsia="Arial" w:hAnsi="Arial"/>
                <w:sz w:val="18"/>
                <w:szCs w:val="18"/>
                <w:b w:val="1"/>
                <w:bCs w:val="1"/>
                <w:color w:val="auto"/>
                <w:w w:val="98"/>
              </w:rPr>
              <w:t>CONSOLIDATED BALANCE SHEETS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940" w:type="dxa"/>
            <w:vAlign w:val="bottom"/>
          </w:tcPr>
          <w:p>
            <w:pPr>
              <w:jc w:val="center"/>
              <w:ind w:left="1691"/>
              <w:spacing w:after="0"/>
              <w:rPr>
                <w:sz w:val="20"/>
                <w:szCs w:val="20"/>
                <w:color w:val="auto"/>
              </w:rPr>
            </w:pPr>
            <w:r>
              <w:rPr>
                <w:rFonts w:ascii="Arial" w:cs="Arial" w:eastAsia="Arial" w:hAnsi="Arial"/>
                <w:sz w:val="18"/>
                <w:szCs w:val="18"/>
                <w:b w:val="1"/>
                <w:bCs w:val="1"/>
                <w:color w:val="auto"/>
                <w:w w:val="87"/>
              </w:rPr>
              <w:t>(In thousands, except per share data)</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6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940" w:type="dxa"/>
            <w:vAlign w:val="bottom"/>
            <w:shd w:val="clear" w:color="auto" w:fill="CCEEFF"/>
          </w:tcPr>
          <w:p>
            <w:pPr>
              <w:jc w:val="center"/>
              <w:ind w:right="1091"/>
              <w:spacing w:after="0"/>
              <w:rPr>
                <w:sz w:val="20"/>
                <w:szCs w:val="20"/>
                <w:color w:val="auto"/>
              </w:rPr>
            </w:pPr>
            <w:r>
              <w:rPr>
                <w:rFonts w:ascii="Arial" w:cs="Arial" w:eastAsia="Arial" w:hAnsi="Arial"/>
                <w:sz w:val="18"/>
                <w:szCs w:val="18"/>
                <w:color w:val="auto"/>
                <w:w w:val="90"/>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81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81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47,586</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&amp;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8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121,991</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810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810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210,889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224,577</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8100" w:type="dxa"/>
            <w:vAlign w:val="bottom"/>
            <w:gridSpan w:val="2"/>
          </w:tcPr>
          <w:p>
            <w:pPr>
              <w:ind w:left="220"/>
              <w:spacing w:after="0"/>
              <w:rPr>
                <w:sz w:val="20"/>
                <w:szCs w:val="20"/>
                <w:color w:val="auto"/>
              </w:rPr>
            </w:pPr>
            <w:r>
              <w:rPr>
                <w:rFonts w:ascii="Arial" w:cs="Arial" w:eastAsia="Arial" w:hAnsi="Arial"/>
                <w:sz w:val="18"/>
                <w:szCs w:val="18"/>
                <w:color w:val="auto"/>
              </w:rPr>
              <w:t>Loan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8100" w:type="dxa"/>
            <w:vAlign w:val="bottom"/>
            <w:tcBorders>
              <w:bottom w:val="single" w:sz="8" w:color="CCEEFF"/>
            </w:tcBorders>
            <w:gridSpan w:val="2"/>
          </w:tcPr>
          <w:p>
            <w:pPr>
              <w:ind w:left="20"/>
              <w:spacing w:after="0" w:line="205" w:lineRule="exact"/>
              <w:rPr>
                <w:sz w:val="20"/>
                <w:szCs w:val="20"/>
                <w:color w:val="auto"/>
              </w:rPr>
            </w:pPr>
            <w:r>
              <w:rPr>
                <w:rFonts w:ascii="Arial" w:cs="Arial" w:eastAsia="Arial" w:hAnsi="Arial"/>
                <w:sz w:val="18"/>
                <w:szCs w:val="18"/>
                <w:color w:val="auto"/>
              </w:rPr>
              <w:t>Total non-current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328,743</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0"/>
                <w:szCs w:val="20"/>
                <w:color w:val="auto"/>
              </w:rPr>
            </w:pPr>
          </w:p>
        </w:tc>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398,072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jc w:val="center"/>
              <w:ind w:right="1091"/>
              <w:spacing w:after="0"/>
              <w:rPr>
                <w:sz w:val="20"/>
                <w:szCs w:val="20"/>
                <w:color w:val="auto"/>
              </w:rPr>
            </w:pPr>
            <w:r>
              <w:rPr>
                <w:rFonts w:ascii="Arial" w:cs="Arial" w:eastAsia="Arial" w:hAnsi="Arial"/>
                <w:sz w:val="18"/>
                <w:szCs w:val="18"/>
                <w:color w:val="auto"/>
                <w:w w:val="97"/>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60"/>
          </w:cols>
          <w:pgMar w:left="320" w:top="105" w:right="419" w:bottom="1440" w:gutter="0" w:footer="0" w:header="0"/>
        </w:sectPr>
      </w:pPr>
    </w:p>
    <w:p>
      <w:pPr>
        <w:ind w:left="320"/>
        <w:spacing w:after="0"/>
        <w:tabs>
          <w:tab w:leader="none" w:pos="818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Accrued expenses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Deferred revenues,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51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4370" cy="1517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 current liabilities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Deferred tax liabilities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Deferred revenues,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Leases, non-current</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51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4370" cy="1517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 liabilities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261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4370" cy="261620"/>
                    </a:xfrm>
                    <a:prstGeom prst="rect">
                      <a:avLst/>
                    </a:prstGeom>
                    <a:noFill/>
                  </pic:spPr>
                </pic:pic>
              </a:graphicData>
            </a:graphic>
          </wp:anchor>
        </w:drawing>
      </w:r>
    </w:p>
    <w:p>
      <w:pPr>
        <w:ind w:left="320" w:right="400"/>
        <w:spacing w:after="0" w:line="268" w:lineRule="auto"/>
        <w:rPr>
          <w:sz w:val="20"/>
          <w:szCs w:val="20"/>
          <w:color w:val="auto"/>
        </w:rPr>
      </w:pPr>
      <w:r>
        <w:rPr>
          <w:rFonts w:ascii="Arial" w:cs="Arial" w:eastAsia="Arial" w:hAnsi="Arial"/>
          <w:sz w:val="16"/>
          <w:szCs w:val="16"/>
          <w:color w:val="auto"/>
        </w:rPr>
        <w:t>Series B Non-Convertible Perpetual Preferred Stock, $0.0001 par value; 150 and 150 shares authorized, 71 and 75 shares issued and outstanding at December 31, 2022 and December 31, 2021, respectively</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Stockholders’ equity:</w:t>
      </w:r>
    </w:p>
    <w:p>
      <w:pPr>
        <w:spacing w:after="0" w:line="19" w:lineRule="exact"/>
        <w:rPr>
          <w:sz w:val="20"/>
          <w:szCs w:val="20"/>
          <w:color w:val="auto"/>
        </w:rPr>
      </w:pPr>
    </w:p>
    <w:p>
      <w:pPr>
        <w:ind w:left="320" w:right="240"/>
        <w:spacing w:after="0" w:line="268" w:lineRule="auto"/>
        <w:rPr>
          <w:sz w:val="20"/>
          <w:szCs w:val="20"/>
          <w:color w:val="auto"/>
        </w:rPr>
      </w:pPr>
      <w:r>
        <w:rPr>
          <w:rFonts w:ascii="Arial" w:cs="Arial" w:eastAsia="Arial" w:hAnsi="Arial"/>
          <w:sz w:val="16"/>
          <w:szCs w:val="16"/>
          <w:color w:val="auto"/>
        </w:rPr>
        <w:t>Common stock, $0.0001 par value; 150,000 and 100,000 shares authorized, 90,853 and 88,305 shares issued; 90,853 and 88,305 outstanding at December 31,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0</wp:posOffset>
            </wp:positionV>
            <wp:extent cx="7024370" cy="143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Additional paid-in capital</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14,209</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11,097</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52,115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61,916</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13,859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w:t>
            </w:r>
          </w:p>
        </w:tc>
      </w:tr>
      <w:tr>
        <w:trPr>
          <w:trHeight w:val="219"/>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80,183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95,381</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134,584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133,104</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466</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29,637</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36,095</w:t>
            </w:r>
          </w:p>
        </w:tc>
      </w:tr>
      <w:tr>
        <w:trPr>
          <w:trHeight w:val="226"/>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3,933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w:t>
            </w:r>
          </w:p>
        </w:tc>
      </w:tr>
      <w:tr>
        <w:trPr>
          <w:trHeight w:val="219"/>
        </w:trPr>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249,127</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274,906</w:t>
            </w:r>
          </w:p>
        </w:tc>
      </w:tr>
      <w:tr>
        <w:trPr>
          <w:trHeight w:val="545"/>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68,348</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72,505</w:t>
            </w:r>
          </w:p>
        </w:tc>
      </w:tr>
      <w:tr>
        <w:trPr>
          <w:trHeight w:val="319"/>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12,500</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545"/>
        </w:trPr>
        <w:tc>
          <w:tcPr>
            <w:tcW w:w="82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9"/>
        </w:trPr>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488,848</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492,512</w:t>
            </w:r>
          </w:p>
        </w:tc>
      </w:tr>
      <w:tr>
        <w:trPr>
          <w:trHeight w:val="226"/>
        </w:trPr>
        <w:tc>
          <w:tcPr>
            <w:tcW w:w="820" w:type="dxa"/>
            <w:vAlign w:val="bottom"/>
          </w:tcPr>
          <w:p>
            <w:pPr>
              <w:jc w:val="right"/>
              <w:ind w:right="31"/>
              <w:spacing w:after="0"/>
              <w:rPr>
                <w:sz w:val="20"/>
                <w:szCs w:val="20"/>
                <w:color w:val="auto"/>
              </w:rPr>
            </w:pPr>
            <w:r>
              <w:rPr>
                <w:rFonts w:ascii="Arial" w:cs="Arial" w:eastAsia="Arial" w:hAnsi="Arial"/>
                <w:sz w:val="18"/>
                <w:szCs w:val="18"/>
                <w:color w:val="auto"/>
              </w:rPr>
              <w:t>(44,131)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(32,985)</w:t>
            </w:r>
          </w:p>
        </w:tc>
      </w:tr>
      <w:tr>
        <w:trPr>
          <w:trHeight w:val="226"/>
        </w:trPr>
        <w:tc>
          <w:tcPr>
            <w:tcW w:w="820" w:type="dxa"/>
            <w:vAlign w:val="bottom"/>
          </w:tcPr>
          <w:p>
            <w:pPr>
              <w:jc w:val="right"/>
              <w:ind w:right="31"/>
              <w:spacing w:after="0"/>
              <w:rPr>
                <w:sz w:val="20"/>
                <w:szCs w:val="20"/>
                <w:color w:val="auto"/>
              </w:rPr>
            </w:pPr>
            <w:r>
              <w:rPr>
                <w:rFonts w:ascii="Arial" w:cs="Arial" w:eastAsia="Arial" w:hAnsi="Arial"/>
                <w:sz w:val="18"/>
                <w:szCs w:val="18"/>
                <w:color w:val="auto"/>
                <w:w w:val="88"/>
              </w:rPr>
              <w:t>(376,629)</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(368,713)</w:t>
            </w:r>
          </w:p>
        </w:tc>
      </w:tr>
    </w:tbl>
    <w:p>
      <w:pPr>
        <w:spacing w:after="0" w:line="1" w:lineRule="exact"/>
        <w:rPr>
          <w:sz w:val="20"/>
          <w:szCs w:val="20"/>
          <w:color w:val="auto"/>
        </w:rPr>
      </w:pPr>
    </w:p>
    <w:p>
      <w:pPr>
        <w:sectPr>
          <w:pgSz w:w="11900" w:h="16838" w:orient="portrait"/>
          <w:cols w:equalWidth="0" w:num="2">
            <w:col w:w="8300" w:space="600"/>
            <w:col w:w="2260"/>
          </w:cols>
          <w:pgMar w:left="320" w:top="105" w:right="419" w:bottom="1440" w:gutter="0" w:footer="0" w:header="0"/>
          <w:type w:val="continuous"/>
        </w:sectPr>
      </w:pPr>
    </w:p>
    <w:tbl>
      <w:tblPr>
        <w:tblLayout w:type="fixed"/>
        <w:tblInd w:w="100" w:type="dxa"/>
        <w:tblCellMar>
          <w:top w:w="0" w:type="dxa"/>
          <w:left w:w="0" w:type="dxa"/>
          <w:bottom w:w="0" w:type="dxa"/>
          <w:right w:w="0" w:type="dxa"/>
        </w:tblCellMar>
      </w:tblPr>
      <w:tr>
        <w:trPr>
          <w:trHeight w:val="22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68,097</w:t>
            </w:r>
          </w:p>
        </w:tc>
        <w:tc>
          <w:tcPr>
            <w:tcW w:w="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398,072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450,734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05" w:right="41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SYNCHRONOSS TECHNOLOGIES,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40" w:type="dxa"/>
            <w:vAlign w:val="bottom"/>
            <w:gridSpan w:val="2"/>
          </w:tcPr>
          <w:p>
            <w:pPr>
              <w:jc w:val="center"/>
              <w:ind w:left="511"/>
              <w:spacing w:after="0"/>
              <w:rPr>
                <w:sz w:val="20"/>
                <w:szCs w:val="20"/>
                <w:color w:val="auto"/>
              </w:rPr>
            </w:pPr>
            <w:r>
              <w:rPr>
                <w:rFonts w:ascii="Arial" w:cs="Arial" w:eastAsia="Arial" w:hAnsi="Arial"/>
                <w:sz w:val="18"/>
                <w:szCs w:val="18"/>
                <w:b w:val="1"/>
                <w:bCs w:val="1"/>
                <w:color w:val="auto"/>
                <w:w w:val="87"/>
              </w:rPr>
              <w:t>(In thousands, except per share data)</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7"/>
          </w:tcPr>
          <w:p>
            <w:pPr>
              <w:jc w:val="right"/>
              <w:ind w:right="771"/>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291,670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line="22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3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121,817</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77,043</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89,292</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Arial" w:cs="Arial" w:eastAsia="Arial" w:hAnsi="Arial"/>
                <w:sz w:val="18"/>
                <w:szCs w:val="18"/>
                <w:color w:val="auto"/>
              </w:rPr>
              <w:t>Restructuring charges</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43,685</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339,792</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Arial" w:cs="Arial" w:eastAsia="Arial" w:hAnsi="Arial"/>
                <w:sz w:val="18"/>
                <w:szCs w:val="18"/>
                <w:color w:val="auto"/>
              </w:rPr>
              <w:t>Gain on divestiture</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Loss from operations, before taxes</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(37,466)</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benefit for income taxes</w:t>
            </w:r>
          </w:p>
        </w:tc>
        <w:tc>
          <w:tcPr>
            <w:tcW w:w="3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70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redeemable noncontrolling interests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Preferred stock dividend</w:t>
            </w:r>
          </w:p>
        </w:tc>
        <w:tc>
          <w:tcPr>
            <w:tcW w:w="3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(37,981)</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Synchronoss</w:t>
            </w:r>
          </w:p>
        </w:tc>
        <w:tc>
          <w:tcPr>
            <w:tcW w:w="3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tcBorders>
              <w:top w:val="single" w:sz="8" w:color="CCEEFF"/>
            </w:tcBorders>
            <w:gridSpan w:val="2"/>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3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gridSpan w:val="2"/>
          </w:tcPr>
          <w:p>
            <w:pPr>
              <w:ind w:left="240"/>
              <w:spacing w:after="0" w:line="200" w:lineRule="exact"/>
              <w:rPr>
                <w:sz w:val="20"/>
                <w:szCs w:val="20"/>
                <w:color w:val="auto"/>
              </w:rPr>
            </w:pPr>
            <w:r>
              <w:rPr>
                <w:rFonts w:ascii="Arial" w:cs="Arial" w:eastAsia="Arial" w:hAnsi="Arial"/>
                <w:sz w:val="18"/>
                <w:szCs w:val="18"/>
                <w:color w:val="auto"/>
              </w:rPr>
              <w:t>Basic</w:t>
            </w:r>
          </w:p>
        </w:tc>
        <w:tc>
          <w:tcPr>
            <w:tcW w:w="364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(0.20)</w:t>
            </w:r>
          </w:p>
        </w:tc>
        <w:tc>
          <w:tcPr>
            <w:tcW w:w="80" w:type="dxa"/>
            <w:vAlign w:val="bottom"/>
          </w:tcPr>
          <w:p>
            <w:pPr>
              <w:spacing w:after="0"/>
              <w:rPr>
                <w:sz w:val="17"/>
                <w:szCs w:val="17"/>
                <w:color w:val="auto"/>
              </w:rPr>
            </w:pPr>
          </w:p>
        </w:tc>
        <w:tc>
          <w:tcPr>
            <w:tcW w:w="320" w:type="dxa"/>
            <w:vAlign w:val="bottom"/>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(0.90)</w:t>
            </w:r>
          </w:p>
        </w:tc>
        <w:tc>
          <w:tcPr>
            <w:tcW w:w="100" w:type="dxa"/>
            <w:vAlign w:val="bottom"/>
          </w:tcPr>
          <w:p>
            <w:pPr>
              <w:spacing w:after="0"/>
              <w:rPr>
                <w:sz w:val="17"/>
                <w:szCs w:val="17"/>
                <w:color w:val="auto"/>
              </w:rPr>
            </w:pPr>
          </w:p>
        </w:tc>
        <w:tc>
          <w:tcPr>
            <w:tcW w:w="320" w:type="dxa"/>
            <w:vAlign w:val="bottom"/>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 w:type="dxa"/>
            <w:vAlign w:val="bottom"/>
          </w:tcPr>
          <w:p>
            <w:pPr>
              <w:spacing w:after="0"/>
              <w:rPr>
                <w:sz w:val="20"/>
                <w:szCs w:val="20"/>
                <w:color w:val="auto"/>
              </w:rPr>
            </w:pPr>
          </w:p>
        </w:tc>
        <w:tc>
          <w:tcPr>
            <w:tcW w:w="3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88"/>
              </w:rPr>
              <w:t>Weighted-average common shares outstanding:</w:t>
            </w:r>
          </w:p>
        </w:tc>
        <w:tc>
          <w:tcPr>
            <w:tcW w:w="3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44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41,950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1" w:lineRule="exact"/>
        <w:rPr>
          <w:sz w:val="20"/>
          <w:szCs w:val="20"/>
          <w:color w:val="auto"/>
        </w:rPr>
      </w:pPr>
    </w:p>
    <w:p>
      <w:pPr>
        <w:ind w:left="220" w:hanging="214"/>
        <w:spacing w:after="0"/>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777"/>
        </w:trPr>
        <w:tc>
          <w:tcPr>
            <w:tcW w:w="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6960" w:type="dxa"/>
            <w:vAlign w:val="bottom"/>
            <w:gridSpan w:val="4"/>
          </w:tcPr>
          <w:p>
            <w:pPr>
              <w:ind w:left="2720"/>
              <w:spacing w:after="0"/>
              <w:rPr>
                <w:sz w:val="20"/>
                <w:szCs w:val="20"/>
                <w:color w:val="auto"/>
              </w:rPr>
            </w:pPr>
            <w:r>
              <w:rPr>
                <w:rFonts w:ascii="Arial" w:cs="Arial" w:eastAsia="Arial" w:hAnsi="Arial"/>
                <w:sz w:val="18"/>
                <w:szCs w:val="18"/>
                <w:b w:val="1"/>
                <w:bCs w:val="1"/>
                <w:color w:val="auto"/>
              </w:rPr>
              <w:t>SYNCHRONOSS TECHNOLOGIES, INC.</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3"/>
        </w:trPr>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20" w:type="dxa"/>
            <w:vAlign w:val="bottom"/>
            <w:gridSpan w:val="5"/>
          </w:tcPr>
          <w:p>
            <w:pPr>
              <w:jc w:val="right"/>
              <w:spacing w:after="0"/>
              <w:rPr>
                <w:sz w:val="20"/>
                <w:szCs w:val="20"/>
                <w:color w:val="auto"/>
              </w:rPr>
            </w:pPr>
            <w:r>
              <w:rPr>
                <w:rFonts w:ascii="Arial" w:cs="Arial" w:eastAsia="Arial" w:hAnsi="Arial"/>
                <w:sz w:val="18"/>
                <w:szCs w:val="18"/>
                <w:b w:val="1"/>
                <w:bCs w:val="1"/>
                <w:color w:val="auto"/>
              </w:rPr>
              <w:t>CONSOLIDATED STATEMENTS OF COMPREHENSIVE (LOSS) INCOME</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tcPr>
          <w:p>
            <w:pPr>
              <w:ind w:left="41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6"/>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71"/>
              <w:spacing w:after="0"/>
              <w:rPr>
                <w:sz w:val="20"/>
                <w:szCs w:val="20"/>
                <w:color w:val="auto"/>
              </w:rPr>
            </w:pPr>
            <w:r>
              <w:rPr>
                <w:rFonts w:ascii="Arial" w:cs="Arial" w:eastAsia="Arial" w:hAnsi="Arial"/>
                <w:sz w:val="18"/>
                <w:szCs w:val="18"/>
                <w:b w:val="1"/>
                <w:bCs w:val="1"/>
                <w:color w:val="auto"/>
              </w:rPr>
              <w:t>Twelve Months Ended December 31,</w:t>
            </w:r>
          </w:p>
        </w:tc>
      </w:tr>
      <w:tr>
        <w:trPr>
          <w:trHeight w:val="220"/>
        </w:trPr>
        <w:tc>
          <w:tcPr>
            <w:tcW w:w="80" w:type="dxa"/>
            <w:vAlign w:val="bottom"/>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19"/>
        </w:trPr>
        <w:tc>
          <w:tcPr>
            <w:tcW w:w="80" w:type="dxa"/>
            <w:vAlign w:val="bottom"/>
          </w:tcPr>
          <w:p>
            <w:pPr>
              <w:spacing w:after="0"/>
              <w:rPr>
                <w:sz w:val="19"/>
                <w:szCs w:val="19"/>
                <w:color w:val="auto"/>
              </w:rPr>
            </w:pPr>
          </w:p>
        </w:tc>
        <w:tc>
          <w:tcPr>
            <w:tcW w:w="66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r>
      <w:tr>
        <w:trPr>
          <w:trHeight w:val="225"/>
        </w:trPr>
        <w:tc>
          <w:tcPr>
            <w:tcW w:w="80" w:type="dxa"/>
            <w:vAlign w:val="bottom"/>
          </w:tcPr>
          <w:p>
            <w:pPr>
              <w:spacing w:after="0"/>
              <w:rPr>
                <w:sz w:val="19"/>
                <w:szCs w:val="19"/>
                <w:color w:val="auto"/>
              </w:rPr>
            </w:pPr>
          </w:p>
        </w:tc>
        <w:tc>
          <w:tcPr>
            <w:tcW w:w="662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25"/>
        </w:trPr>
        <w:tc>
          <w:tcPr>
            <w:tcW w:w="80" w:type="dxa"/>
            <w:vAlign w:val="bottom"/>
          </w:tcPr>
          <w:p>
            <w:pPr>
              <w:spacing w:after="0"/>
              <w:rPr>
                <w:sz w:val="19"/>
                <w:szCs w:val="19"/>
                <w:color w:val="auto"/>
              </w:rPr>
            </w:pP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Unrealized loss on available for sale securities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7"/>
        </w:trPr>
        <w:tc>
          <w:tcPr>
            <w:tcW w:w="80" w:type="dxa"/>
            <w:vAlign w:val="bottom"/>
          </w:tcPr>
          <w:p>
            <w:pPr>
              <w:spacing w:after="0"/>
              <w:rPr>
                <w:sz w:val="19"/>
                <w:szCs w:val="19"/>
                <w:color w:val="auto"/>
              </w:rPr>
            </w:pP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income (loss) on inter-company foreign currency transactions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19"/>
        </w:trPr>
        <w:tc>
          <w:tcPr>
            <w:tcW w:w="80" w:type="dxa"/>
            <w:vAlign w:val="bottom"/>
          </w:tcPr>
          <w:p>
            <w:pPr>
              <w:spacing w:after="0"/>
              <w:rPr>
                <w:sz w:val="19"/>
                <w:szCs w:val="19"/>
                <w:color w:val="auto"/>
              </w:rPr>
            </w:pPr>
          </w:p>
        </w:tc>
        <w:tc>
          <w:tcPr>
            <w:tcW w:w="6620" w:type="dxa"/>
            <w:vAlign w:val="bottom"/>
            <w:tcBorders>
              <w:bottom w:val="single" w:sz="8" w:color="CCEEFF"/>
            </w:tcBorders>
            <w:gridSpan w:val="2"/>
          </w:tcPr>
          <w:p>
            <w:pPr>
              <w:ind w:left="120"/>
              <w:spacing w:after="0" w:line="205" w:lineRule="exact"/>
              <w:rPr>
                <w:sz w:val="20"/>
                <w:szCs w:val="20"/>
                <w:color w:val="auto"/>
              </w:rPr>
            </w:pPr>
            <w:r>
              <w:rPr>
                <w:rFonts w:ascii="Arial" w:cs="Arial" w:eastAsia="Arial" w:hAnsi="Arial"/>
                <w:sz w:val="18"/>
                <w:szCs w:val="18"/>
                <w:color w:val="auto"/>
              </w:rPr>
              <w:t>Total other comprehensive (loss)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r>
      <w:tr>
        <w:trPr>
          <w:trHeight w:val="220"/>
        </w:trPr>
        <w:tc>
          <w:tcPr>
            <w:tcW w:w="80" w:type="dxa"/>
            <w:vAlign w:val="bottom"/>
          </w:tcPr>
          <w:p>
            <w:pPr>
              <w:spacing w:after="0"/>
              <w:rPr>
                <w:sz w:val="19"/>
                <w:szCs w:val="19"/>
                <w:color w:val="auto"/>
              </w:rPr>
            </w:pPr>
          </w:p>
        </w:tc>
        <w:tc>
          <w:tcPr>
            <w:tcW w:w="66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r>
      <w:tr>
        <w:trPr>
          <w:trHeight w:val="225"/>
        </w:trPr>
        <w:tc>
          <w:tcPr>
            <w:tcW w:w="80" w:type="dxa"/>
            <w:vAlign w:val="bottom"/>
          </w:tcPr>
          <w:p>
            <w:pPr>
              <w:spacing w:after="0"/>
              <w:rPr>
                <w:sz w:val="19"/>
                <w:szCs w:val="19"/>
                <w:color w:val="auto"/>
              </w:rPr>
            </w:pPr>
          </w:p>
        </w:tc>
        <w:tc>
          <w:tcPr>
            <w:tcW w:w="6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Comprehensive (loss) income attributable to redeemable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44"/>
        </w:trPr>
        <w:tc>
          <w:tcPr>
            <w:tcW w:w="8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loss attributable to Synchronoss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r>
      <w:tr>
        <w:trPr>
          <w:trHeight w:val="20"/>
        </w:trPr>
        <w:tc>
          <w:tcPr>
            <w:tcW w:w="8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9"/>
          </w:tcPr>
          <w:p>
            <w:pPr>
              <w:ind w:left="44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1700" w:type="dxa"/>
            <w:vAlign w:val="bottom"/>
            <w:gridSpan w:val="7"/>
          </w:tcPr>
          <w:p>
            <w:pPr>
              <w:ind w:left="52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89"/>
              </w:rPr>
              <w:t>Accumulative Other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268"/>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2"/>
                <w:szCs w:val="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5"/>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6"/>
                <w:szCs w:val="6"/>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840" w:type="dxa"/>
            <w:vAlign w:val="bottom"/>
            <w:gridSpan w:val="3"/>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6"/>
                <w:szCs w:val="6"/>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2"/>
              </w:rPr>
              <w:t>Paid-In Capital</w:t>
            </w: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87"/>
              </w:rPr>
              <w:t>Stockholders' Equity</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deficit</w:t>
            </w: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51,704</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525,739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(33,261)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(334,319)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76,077</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Stock based compensation</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1"/>
                <w:szCs w:val="11"/>
                <w:color w:val="auto"/>
              </w:rPr>
              <w:t>11,246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11,246</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restricted stock</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Preferred stock dividends accrued</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(34,451)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(34,451)</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Amortization of preferred stock issuance costs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(3,530)</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 attributable to Synchronoss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(10,358)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(10,358)</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Non-controlling interest</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other comprehensive income (loss)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5,048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5,048</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Adoption of new credit loss accounting standard</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(750)</w:t>
            </w:r>
          </w:p>
        </w:tc>
        <w:tc>
          <w:tcPr>
            <w:tcW w:w="0" w:type="dxa"/>
            <w:vAlign w:val="bottom"/>
          </w:tcPr>
          <w:p>
            <w:pPr>
              <w:spacing w:after="0"/>
              <w:rPr>
                <w:sz w:val="1"/>
                <w:szCs w:val="1"/>
                <w:color w:val="auto"/>
              </w:rPr>
            </w:pP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51,177</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499,348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(28,213)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(345,771)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43,282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9"/>
          </w:tcPr>
          <w:p>
            <w:pPr>
              <w:ind w:left="44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24"/>
                <w:szCs w:val="24"/>
                <w:color w:val="auto"/>
              </w:rPr>
            </w:pPr>
          </w:p>
        </w:tc>
        <w:tc>
          <w:tcPr>
            <w:tcW w:w="1700" w:type="dxa"/>
            <w:vAlign w:val="bottom"/>
            <w:gridSpan w:val="7"/>
          </w:tcPr>
          <w:p>
            <w:pPr>
              <w:ind w:left="52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24"/>
                <w:szCs w:val="2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89"/>
              </w:rPr>
              <w:t>Accumulative Other</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268"/>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2"/>
                <w:szCs w:val="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00" w:type="dxa"/>
            <w:vAlign w:val="bottom"/>
            <w:gridSpan w:val="3"/>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10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0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28"/>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87"/>
              </w:rPr>
              <w:t>Stockholders' Equity</w:t>
            </w:r>
          </w:p>
        </w:tc>
        <w:tc>
          <w:tcPr>
            <w:tcW w:w="0" w:type="dxa"/>
            <w:vAlign w:val="bottom"/>
          </w:tcPr>
          <w:p>
            <w:pPr>
              <w:spacing w:after="0"/>
              <w:rPr>
                <w:sz w:val="1"/>
                <w:szCs w:val="1"/>
                <w:color w:val="auto"/>
              </w:rPr>
            </w:pPr>
          </w:p>
        </w:tc>
      </w:tr>
      <w:tr>
        <w:trPr>
          <w:trHeight w:val="126"/>
        </w:trPr>
        <w:tc>
          <w:tcPr>
            <w:tcW w:w="43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3"/>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9"/>
                <w:szCs w:val="9"/>
                <w:b w:val="1"/>
                <w:bCs w:val="1"/>
                <w:color w:val="auto"/>
                <w:w w:val="85"/>
              </w:rPr>
              <w:t>Income (Loss)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51,177</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499,348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(28,213)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(345,771)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43,282</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Stock based compensation</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1"/>
                <w:szCs w:val="11"/>
                <w:color w:val="auto"/>
              </w:rPr>
              <w:t>9,259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9,259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restricted stock</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1,982</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Preferred stock dividends accrued</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(22,718)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(22,718)</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Amortization of preferred stock issuance costs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(12,791)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(12,791)</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Issuance of common stock related to acquisition</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42,308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1"/>
                <w:szCs w:val="11"/>
                <w:color w:val="auto"/>
              </w:rPr>
              <w:t>109,996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110,000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Common Stock - Issuance Costs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(8,340)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(8,340)</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Retirement of treasury stock</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1"/>
                <w:szCs w:val="11"/>
                <w:color w:val="auto"/>
              </w:rPr>
              <w:t>82,087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(82,087)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 attributable to Synchronoss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(23,098)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(23,098)</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Non-controlling interest</w:t>
            </w:r>
          </w:p>
        </w:tc>
        <w:tc>
          <w:tcPr>
            <w:tcW w:w="20" w:type="dxa"/>
            <w:vAlign w:val="bottom"/>
          </w:tcPr>
          <w:p>
            <w:pPr>
              <w:spacing w:after="0"/>
              <w:rPr>
                <w:sz w:val="12"/>
                <w:szCs w:val="12"/>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other comprehensive income (loss)</w:t>
            </w: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(4,772)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(4,772)</w:t>
            </w:r>
          </w:p>
        </w:tc>
        <w:tc>
          <w:tcPr>
            <w:tcW w:w="0" w:type="dxa"/>
            <w:vAlign w:val="bottom"/>
          </w:tcPr>
          <w:p>
            <w:pPr>
              <w:spacing w:after="0"/>
              <w:rPr>
                <w:sz w:val="1"/>
                <w:szCs w:val="1"/>
                <w:color w:val="auto"/>
              </w:rPr>
            </w:pPr>
          </w:p>
        </w:tc>
      </w:tr>
      <w:tr>
        <w:trPr>
          <w:trHeight w:val="153"/>
        </w:trPr>
        <w:tc>
          <w:tcPr>
            <w:tcW w:w="43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88,305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492,512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(32,985)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(368,713)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90,823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9"/>
          </w:tcPr>
          <w:p>
            <w:pPr>
              <w:ind w:left="46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24"/>
                <w:szCs w:val="24"/>
                <w:color w:val="auto"/>
              </w:rPr>
            </w:pPr>
          </w:p>
        </w:tc>
        <w:tc>
          <w:tcPr>
            <w:tcW w:w="1700" w:type="dxa"/>
            <w:vAlign w:val="bottom"/>
            <w:gridSpan w:val="7"/>
          </w:tcPr>
          <w:p>
            <w:pPr>
              <w:ind w:left="52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24"/>
                <w:szCs w:val="2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89"/>
              </w:rPr>
              <w:t>Accumulative Other</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268"/>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2"/>
                <w:szCs w:val="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3"/>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80" w:type="dxa"/>
            <w:vAlign w:val="bottom"/>
            <w:gridSpan w:val="2"/>
            <w:vMerge w:val="restart"/>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28"/>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87"/>
              </w:rPr>
              <w:t>Stockholders' Equity</w:t>
            </w:r>
          </w:p>
        </w:tc>
        <w:tc>
          <w:tcPr>
            <w:tcW w:w="0" w:type="dxa"/>
            <w:vAlign w:val="bottom"/>
          </w:tcPr>
          <w:p>
            <w:pPr>
              <w:spacing w:after="0"/>
              <w:rPr>
                <w:sz w:val="1"/>
                <w:szCs w:val="1"/>
                <w:color w:val="auto"/>
              </w:rPr>
            </w:pPr>
          </w:p>
        </w:tc>
      </w:tr>
      <w:tr>
        <w:trPr>
          <w:trHeight w:val="122"/>
        </w:trPr>
        <w:tc>
          <w:tcPr>
            <w:tcW w:w="43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9"/>
                <w:szCs w:val="9"/>
                <w:b w:val="1"/>
                <w:bCs w:val="1"/>
                <w:color w:val="auto"/>
                <w:w w:val="85"/>
              </w:rPr>
              <w:t>Income (Loss)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88,305</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492,512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(32,985)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(368,713)</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90,823</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Stock based compensation</w:t>
            </w:r>
          </w:p>
        </w:tc>
        <w:tc>
          <w:tcPr>
            <w:tcW w:w="20" w:type="dxa"/>
            <w:vAlign w:val="bottom"/>
          </w:tcPr>
          <w:p>
            <w:pPr>
              <w:spacing w:after="0"/>
              <w:rPr>
                <w:sz w:val="12"/>
                <w:szCs w:val="12"/>
                <w:color w:val="auto"/>
              </w:rPr>
            </w:pPr>
          </w:p>
        </w:tc>
        <w:tc>
          <w:tcPr>
            <w:tcW w:w="840" w:type="dxa"/>
            <w:vAlign w:val="bottom"/>
            <w:gridSpan w:val="5"/>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1"/>
                <w:szCs w:val="11"/>
                <w:color w:val="auto"/>
              </w:rPr>
              <w:t>5,771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5,771</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restricted stock</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2,616</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Preferred stock dividend</w:t>
            </w:r>
          </w:p>
        </w:tc>
        <w:tc>
          <w:tcPr>
            <w:tcW w:w="20" w:type="dxa"/>
            <w:vAlign w:val="bottom"/>
          </w:tcPr>
          <w:p>
            <w:pPr>
              <w:spacing w:after="0"/>
              <w:rPr>
                <w:sz w:val="12"/>
                <w:szCs w:val="12"/>
                <w:color w:val="auto"/>
              </w:rPr>
            </w:pPr>
          </w:p>
        </w:tc>
        <w:tc>
          <w:tcPr>
            <w:tcW w:w="840" w:type="dxa"/>
            <w:vAlign w:val="bottom"/>
            <w:gridSpan w:val="5"/>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(9,409)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(9,409)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Amortization of preferred stock issuance costs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760" w:type="dxa"/>
            <w:vAlign w:val="bottom"/>
            <w:gridSpan w:val="3"/>
          </w:tcPr>
          <w:p>
            <w:pPr>
              <w:jc w:val="right"/>
              <w:ind w:right="20"/>
              <w:spacing w:after="0"/>
              <w:rPr>
                <w:sz w:val="20"/>
                <w:szCs w:val="20"/>
                <w:color w:val="auto"/>
              </w:rPr>
            </w:pPr>
            <w:r>
              <w:rPr>
                <w:rFonts w:ascii="Arial" w:cs="Arial" w:eastAsia="Arial" w:hAnsi="Arial"/>
                <w:sz w:val="11"/>
                <w:szCs w:val="11"/>
                <w:color w:val="auto"/>
              </w:rPr>
              <w:t>(68)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 attributable to Synchronoss</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(7,716)</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(7,716)</w:t>
            </w:r>
          </w:p>
        </w:tc>
        <w:tc>
          <w:tcPr>
            <w:tcW w:w="0" w:type="dxa"/>
            <w:vAlign w:val="bottom"/>
          </w:tcPr>
          <w:p>
            <w:pPr>
              <w:spacing w:after="0"/>
              <w:rPr>
                <w:sz w:val="1"/>
                <w:szCs w:val="1"/>
                <w:color w:val="auto"/>
              </w:rPr>
            </w:pPr>
          </w:p>
        </w:tc>
      </w:tr>
      <w:tr>
        <w:trPr>
          <w:trHeight w:val="138"/>
        </w:trPr>
        <w:tc>
          <w:tcPr>
            <w:tcW w:w="4320" w:type="dxa"/>
            <w:vAlign w:val="bottom"/>
          </w:tcPr>
          <w:p>
            <w:pPr>
              <w:ind w:left="140"/>
              <w:spacing w:after="0"/>
              <w:rPr>
                <w:sz w:val="20"/>
                <w:szCs w:val="20"/>
                <w:color w:val="auto"/>
              </w:rPr>
            </w:pPr>
            <w:r>
              <w:rPr>
                <w:rFonts w:ascii="Arial" w:cs="Arial" w:eastAsia="Arial" w:hAnsi="Arial"/>
                <w:sz w:val="11"/>
                <w:szCs w:val="11"/>
                <w:color w:val="auto"/>
              </w:rPr>
              <w:t>Non-controlling interest</w:t>
            </w:r>
          </w:p>
        </w:tc>
        <w:tc>
          <w:tcPr>
            <w:tcW w:w="20" w:type="dxa"/>
            <w:vAlign w:val="bottom"/>
          </w:tcPr>
          <w:p>
            <w:pPr>
              <w:spacing w:after="0"/>
              <w:rPr>
                <w:sz w:val="12"/>
                <w:szCs w:val="12"/>
                <w:color w:val="auto"/>
              </w:rPr>
            </w:pPr>
          </w:p>
        </w:tc>
        <w:tc>
          <w:tcPr>
            <w:tcW w:w="840" w:type="dxa"/>
            <w:vAlign w:val="bottom"/>
            <w:gridSpan w:val="5"/>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other comprehensive income (loss)</w:t>
            </w: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(11,146)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(11,146)</w:t>
            </w:r>
          </w:p>
        </w:tc>
        <w:tc>
          <w:tcPr>
            <w:tcW w:w="0" w:type="dxa"/>
            <w:vAlign w:val="bottom"/>
          </w:tcPr>
          <w:p>
            <w:pPr>
              <w:spacing w:after="0"/>
              <w:rPr>
                <w:sz w:val="1"/>
                <w:szCs w:val="1"/>
                <w:color w:val="auto"/>
              </w:rPr>
            </w:pPr>
          </w:p>
        </w:tc>
      </w:tr>
      <w:tr>
        <w:trPr>
          <w:trHeight w:val="153"/>
        </w:trPr>
        <w:tc>
          <w:tcPr>
            <w:tcW w:w="43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90,853</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488,848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(44,131)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(376,629)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68,097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2"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15240</wp:posOffset>
            </wp:positionV>
            <wp:extent cx="2802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2" w:lineRule="exact"/>
        <w:rPr>
          <w:sz w:val="20"/>
          <w:szCs w:val="20"/>
          <w:color w:val="auto"/>
        </w:rPr>
      </w:pPr>
    </w:p>
    <w:p>
      <w:pPr>
        <w:ind w:left="7320"/>
        <w:spacing w:after="0"/>
        <w:tabs>
          <w:tab w:leader="none" w:pos="8820" w:val="left"/>
          <w:tab w:leader="none" w:pos="103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-130175</wp:posOffset>
            </wp:positionV>
            <wp:extent cx="7100570" cy="143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0570" cy="143510"/>
                    </a:xfrm>
                    <a:prstGeom prst="rect">
                      <a:avLst/>
                    </a:prstGeom>
                    <a:noFill/>
                  </pic:spPr>
                </pic:pic>
              </a:graphicData>
            </a:graphic>
          </wp:anchor>
        </w:drawing>
      </w:r>
    </w:p>
    <w:p>
      <w:pPr>
        <w:spacing w:after="0" w:line="1" w:lineRule="exact"/>
        <w:rPr>
          <w:sz w:val="20"/>
          <w:szCs w:val="20"/>
          <w:color w:val="auto"/>
        </w:rPr>
      </w:pPr>
    </w:p>
    <w:p>
      <w:pPr>
        <w:ind w:left="260"/>
        <w:spacing w:after="0"/>
        <w:tabs>
          <w:tab w:leader="none" w:pos="6800" w:val="left"/>
          <w:tab w:leader="none" w:pos="7640" w:val="left"/>
          <w:tab w:leader="none" w:pos="9060" w:val="left"/>
          <w:tab w:leader="none" w:pos="10560" w:val="left"/>
        </w:tabs>
        <w:rPr>
          <w:sz w:val="20"/>
          <w:szCs w:val="20"/>
          <w:color w:val="auto"/>
        </w:rPr>
      </w:pPr>
      <w:r>
        <w:rPr>
          <w:rFonts w:ascii="Arial" w:cs="Arial" w:eastAsia="Arial" w:hAnsi="Arial"/>
          <w:sz w:val="18"/>
          <w:szCs w:val="18"/>
          <w:color w:val="auto"/>
        </w:rPr>
        <w:t>Net loss from continuing operations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(7,716)  $</w:t>
      </w:r>
      <w:r>
        <w:rPr>
          <w:sz w:val="20"/>
          <w:szCs w:val="20"/>
          <w:color w:val="auto"/>
        </w:rPr>
        <w:tab/>
      </w:r>
      <w:r>
        <w:rPr>
          <w:rFonts w:ascii="Arial" w:cs="Arial" w:eastAsia="Arial" w:hAnsi="Arial"/>
          <w:sz w:val="18"/>
          <w:szCs w:val="18"/>
          <w:color w:val="auto"/>
        </w:rPr>
        <w:t>(23,098)  $</w:t>
      </w:r>
      <w:r>
        <w:rPr>
          <w:sz w:val="20"/>
          <w:szCs w:val="20"/>
          <w:color w:val="auto"/>
        </w:rPr>
        <w:tab/>
      </w:r>
      <w:r>
        <w:rPr>
          <w:rFonts w:ascii="Arial" w:cs="Arial" w:eastAsia="Arial" w:hAnsi="Arial"/>
          <w:sz w:val="16"/>
          <w:szCs w:val="16"/>
          <w:color w:val="auto"/>
        </w:rPr>
        <w:t>(10,358)</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-130175</wp:posOffset>
            </wp:positionV>
            <wp:extent cx="7100570" cy="143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0570" cy="1435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31,753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34,760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42,672</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 and capitalized software</w:t>
            </w:r>
          </w:p>
        </w:tc>
        <w:tc>
          <w:tcPr>
            <w:tcW w:w="19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disposals of fixed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Gain on sale of DXP Business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disposals of intangible assets</w:t>
            </w:r>
          </w:p>
        </w:tc>
        <w:tc>
          <w:tcPr>
            <w:tcW w:w="19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Amortization of bond discount</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5,461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11,137</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obligation</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Operating lease impairment, net</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5,350</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11,703</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(7,127)</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(8,312)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(21,972)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(43,200)</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9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17,359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4,945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Purchases of fixed assets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to capitalized software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Acquisition of intangible assets</w:t>
            </w:r>
          </w:p>
        </w:tc>
        <w:tc>
          <w:tcPr>
            <w:tcW w:w="19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intangibles</w:t>
            </w:r>
          </w:p>
        </w:tc>
        <w:tc>
          <w:tcPr>
            <w:tcW w:w="19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Proceeds from the sale of DXP Business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4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Maturity of marketable securities available for sale</w:t>
            </w:r>
          </w:p>
        </w:tc>
        <w:tc>
          <w:tcPr>
            <w:tcW w:w="19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(13,166)</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(23,943)</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(14,339)</w:t>
            </w:r>
          </w:p>
        </w:tc>
        <w:tc>
          <w:tcPr>
            <w:tcW w:w="20" w:type="dxa"/>
            <w:vAlign w:val="bottom"/>
          </w:tcPr>
          <w:p>
            <w:pPr>
              <w:spacing w:after="0"/>
              <w:rPr>
                <w:sz w:val="18"/>
                <w:szCs w:val="18"/>
                <w:color w:val="auto"/>
              </w:rPr>
            </w:pPr>
          </w:p>
        </w:tc>
      </w:tr>
      <w:tr>
        <w:trPr>
          <w:trHeight w:val="838"/>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00" w:type="dxa"/>
            <w:vAlign w:val="bottom"/>
          </w:tcPr>
          <w:p>
            <w:pPr>
              <w:jc w:val="right"/>
              <w:ind w:right="991"/>
              <w:spacing w:after="0"/>
              <w:rPr>
                <w:sz w:val="20"/>
                <w:szCs w:val="20"/>
                <w:color w:val="auto"/>
              </w:rPr>
            </w:pPr>
            <w:r>
              <w:rPr>
                <w:rFonts w:ascii="Arial" w:cs="Arial" w:eastAsia="Arial" w:hAnsi="Arial"/>
                <w:sz w:val="18"/>
                <w:szCs w:val="18"/>
                <w:color w:val="auto"/>
              </w:rPr>
              <w:t>63</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5"/>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5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w w:val="95"/>
              </w:rPr>
              <w:t>Share-based compensation-related proceeds, net of taxes paid on withholding shares</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Taxes paid on withholding shares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Debt issuance costs related to long term debt</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 term debt</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Borrowings on revolving line of credit</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 of revolving line of credit</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 issuance costs</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Series B Preferred stock</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Series B Preferred stock issuance costs</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Series B Preferred dividend paid in the form of cash</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Redemption of Series B Preferred stock</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Redemption of Series A Preferred stock</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(278,665)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(13,276)</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shd w:val="clear" w:color="auto" w:fill="CCEEFF"/>
          </w:tcPr>
          <w:p>
            <w:pPr>
              <w:jc w:val="right"/>
              <w:ind w:right="25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21,921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1"/>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31,504</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1"/>
              <w:spacing w:after="0" w:line="194"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33,671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67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Cash refund for income taxes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5,206</w:t>
            </w:r>
          </w:p>
        </w:tc>
        <w:tc>
          <w:tcPr>
            <w:tcW w:w="8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Paid in kind dividends on Series A Preferred stock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Paid in kind dividends on Series B Preferred stock</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2,581</w:t>
            </w:r>
          </w:p>
        </w:tc>
        <w:tc>
          <w:tcPr>
            <w:tcW w:w="8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240" w:hanging="234"/>
        <w:spacing w:after="0"/>
        <w:tabs>
          <w:tab w:leader="none" w:pos="24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2021 amounts include amortization of preferred stock issuance costs accelerated due to Series A redemption.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Synchronoss Technologies, Inc. (“Synchronoss” or the “Company”) is a leading provider of white label cloud, messaging, digital and network management solutions that enable our customers to keep subscribers, systems, networks and content in sync.</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Synchronoss Personal Cloud</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solution is designed to create an engaging and trusted customer experience through ongoing content management and</w:t>
      </w:r>
    </w:p>
    <w:p>
      <w:pPr>
        <w:spacing w:after="0" w:line="4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engagement. The Synchronoss Personal Cloud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30" w:lineRule="exact"/>
        <w:rPr>
          <w:sz w:val="20"/>
          <w:szCs w:val="20"/>
          <w:color w:val="auto"/>
        </w:rPr>
      </w:pPr>
    </w:p>
    <w:p>
      <w:pPr>
        <w:jc w:val="both"/>
        <w:ind w:firstLine="319"/>
        <w:spacing w:after="0" w:line="222" w:lineRule="auto"/>
        <w:rPr>
          <w:sz w:val="20"/>
          <w:szCs w:val="20"/>
          <w:color w:val="auto"/>
        </w:rPr>
      </w:pPr>
      <w:r>
        <w:rPr>
          <w:rFonts w:ascii="Arial" w:cs="Arial" w:eastAsia="Arial" w:hAnsi="Arial"/>
          <w:sz w:val="18"/>
          <w:szCs w:val="18"/>
          <w:color w:val="auto"/>
        </w:rPr>
        <w:t>Our Synchronoss Personal Cloud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is specifically designed to support smartphones, tablets, desktops computers, laptops, wearables for health and wellness, cameras, TVs, security cameras, routers, as well as connected automobiles and homes.</w:t>
      </w:r>
    </w:p>
    <w:p>
      <w:pPr>
        <w:spacing w:after="0" w:line="229" w:lineRule="exact"/>
        <w:rPr>
          <w:sz w:val="20"/>
          <w:szCs w:val="20"/>
          <w:color w:val="auto"/>
        </w:rPr>
      </w:pPr>
    </w:p>
    <w:p>
      <w:pPr>
        <w:jc w:val="both"/>
        <w:ind w:firstLine="319"/>
        <w:spacing w:after="0" w:line="293" w:lineRule="auto"/>
        <w:rPr>
          <w:sz w:val="20"/>
          <w:szCs w:val="20"/>
          <w:color w:val="auto"/>
        </w:rPr>
      </w:pPr>
      <w:r>
        <w:rPr>
          <w:rFonts w:ascii="Arial" w:cs="Arial" w:eastAsia="Arial" w:hAnsi="Arial"/>
          <w:sz w:val="17"/>
          <w:szCs w:val="17"/>
          <w:color w:val="auto"/>
        </w:rPr>
        <w:t>Synchronoss’ Messaging platform powers mobile messaging and mailboxes for hundreds of millions of telecommunication subscribers. Our Advanced Messaging platform is a powerful, secure</w:t>
      </w:r>
      <w:r>
        <w:rPr>
          <w:rFonts w:ascii="Arial" w:cs="Arial" w:eastAsia="Arial" w:hAnsi="Arial"/>
          <w:sz w:val="20"/>
          <w:szCs w:val="20"/>
          <w:color w:val="008080"/>
        </w:rPr>
        <w:t>,</w:t>
      </w:r>
      <w:r>
        <w:rPr>
          <w:rFonts w:ascii="Arial" w:cs="Arial" w:eastAsia="Arial" w:hAnsi="Arial"/>
          <w:sz w:val="17"/>
          <w:szCs w:val="17"/>
          <w:color w:val="auto"/>
        </w:rPr>
        <w:t xml:space="preserve"> intelligent, white label messaging platform that expands capabilities for communications service provider and 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187"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Synchronoss NetworkX products provide operators with the tools and software to design their physical network, streamline their infrastructure purchases, and manage and optimize comprehensive network expenses for leading top tier carriers around the globe.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Summary of Significant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45"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7"/>
          <w:szCs w:val="17"/>
          <w:color w:val="auto"/>
        </w:rPr>
        <w:t>There continue to be uncertainties regarding the coronavirus ("COVID-19") pandemic and current geopolitical environment. The Company is closely monitoring the impact of the pandemic and geopolitical environment on all aspects of its business, including how it will impact its customers, employees, suppliers, vendors, business partners and distribution channels. While the pandemic or geopolitical environment did not materially affect the Company’s financial results and business operations for the year ended December 31, 2022, the Company is unable to predict the impact these factors will have on its financial position and operating results due to numerous uncertainties. The Company will continue to assess the evolving impact of the COVID-19 pandemic and geopolitical environment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1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54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Description</w:t>
            </w:r>
          </w:p>
        </w:tc>
        <w:tc>
          <w:tcPr>
            <w:tcW w:w="3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159"/>
        </w:trPr>
        <w:tc>
          <w:tcPr>
            <w:tcW w:w="1980" w:type="dxa"/>
            <w:vAlign w:val="bottom"/>
          </w:tcPr>
          <w:p>
            <w:pPr>
              <w:ind w:left="20"/>
              <w:spacing w:after="0" w:line="159" w:lineRule="exact"/>
              <w:rPr>
                <w:sz w:val="20"/>
                <w:szCs w:val="20"/>
                <w:color w:val="auto"/>
              </w:rPr>
            </w:pPr>
            <w:r>
              <w:rPr>
                <w:rFonts w:ascii="Arial" w:cs="Arial" w:eastAsia="Arial" w:hAnsi="Arial"/>
                <w:sz w:val="16"/>
                <w:szCs w:val="16"/>
                <w:color w:val="auto"/>
                <w:w w:val="99"/>
              </w:rPr>
              <w:t>Update 2022-04 - Liabilities</w:t>
            </w:r>
          </w:p>
        </w:tc>
        <w:tc>
          <w:tcPr>
            <w:tcW w:w="5440" w:type="dxa"/>
            <w:vAlign w:val="bottom"/>
          </w:tcPr>
          <w:p>
            <w:pPr>
              <w:ind w:left="60"/>
              <w:spacing w:after="0" w:line="159" w:lineRule="exact"/>
              <w:rPr>
                <w:sz w:val="20"/>
                <w:szCs w:val="20"/>
                <w:color w:val="auto"/>
              </w:rPr>
            </w:pPr>
            <w:r>
              <w:rPr>
                <w:rFonts w:ascii="Arial" w:cs="Arial" w:eastAsia="Arial" w:hAnsi="Arial"/>
                <w:sz w:val="16"/>
                <w:szCs w:val="16"/>
                <w:color w:val="auto"/>
                <w:w w:val="99"/>
              </w:rPr>
              <w:t>The amendments in this Update apply to all entities that use supplier finance</w:t>
            </w:r>
          </w:p>
        </w:tc>
        <w:tc>
          <w:tcPr>
            <w:tcW w:w="3660" w:type="dxa"/>
            <w:vAlign w:val="bottom"/>
          </w:tcPr>
          <w:p>
            <w:pPr>
              <w:ind w:left="80"/>
              <w:spacing w:after="0" w:line="159" w:lineRule="exact"/>
              <w:rPr>
                <w:sz w:val="20"/>
                <w:szCs w:val="20"/>
                <w:color w:val="auto"/>
              </w:rPr>
            </w:pPr>
            <w:r>
              <w:rPr>
                <w:rFonts w:ascii="Arial" w:cs="Arial" w:eastAsia="Arial" w:hAnsi="Arial"/>
                <w:sz w:val="16"/>
                <w:szCs w:val="16"/>
                <w:color w:val="auto"/>
                <w:w w:val="89"/>
              </w:rPr>
              <w:t>The Company continues to evaluate these changes and</w:t>
            </w:r>
          </w:p>
        </w:tc>
      </w:tr>
      <w:tr>
        <w:trPr>
          <w:trHeight w:val="160"/>
        </w:trPr>
        <w:tc>
          <w:tcPr>
            <w:tcW w:w="1980" w:type="dxa"/>
            <w:vAlign w:val="bottom"/>
          </w:tcPr>
          <w:p>
            <w:pPr>
              <w:ind w:left="20"/>
              <w:spacing w:after="0" w:line="160" w:lineRule="exact"/>
              <w:rPr>
                <w:sz w:val="20"/>
                <w:szCs w:val="20"/>
                <w:color w:val="auto"/>
              </w:rPr>
            </w:pPr>
            <w:r>
              <w:rPr>
                <w:rFonts w:ascii="Arial" w:cs="Arial" w:eastAsia="Arial" w:hAnsi="Arial"/>
                <w:sz w:val="16"/>
                <w:szCs w:val="16"/>
                <w:color w:val="auto"/>
              </w:rPr>
              <w:t>—Supplier Finance</w:t>
            </w: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1"/>
              </w:rPr>
              <w:t>programs in connection with the purchase of goods and services (herein described</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w w:val="99"/>
              </w:rPr>
              <w:t>does  not  anticipate  any  material  impact  on  the</w:t>
            </w:r>
          </w:p>
        </w:tc>
      </w:tr>
      <w:tr>
        <w:trPr>
          <w:trHeight w:val="160"/>
        </w:trPr>
        <w:tc>
          <w:tcPr>
            <w:tcW w:w="1980" w:type="dxa"/>
            <w:vAlign w:val="bottom"/>
          </w:tcPr>
          <w:p>
            <w:pPr>
              <w:ind w:left="20"/>
              <w:spacing w:after="0" w:line="160" w:lineRule="exact"/>
              <w:rPr>
                <w:sz w:val="20"/>
                <w:szCs w:val="20"/>
                <w:color w:val="auto"/>
              </w:rPr>
            </w:pPr>
            <w:r>
              <w:rPr>
                <w:rFonts w:ascii="Arial" w:cs="Arial" w:eastAsia="Arial" w:hAnsi="Arial"/>
                <w:sz w:val="16"/>
                <w:szCs w:val="16"/>
                <w:color w:val="auto"/>
              </w:rPr>
              <w:t>Programs</w:t>
            </w: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6"/>
              </w:rPr>
              <w:t>as buyer parties). Supplier finance programs, which also may be referred to as</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w w:val="92"/>
              </w:rPr>
              <w:t>Company’s consolidated financial position or results of</w:t>
            </w:r>
          </w:p>
        </w:tc>
      </w:tr>
      <w:tr>
        <w:trPr>
          <w:trHeight w:val="160"/>
        </w:trPr>
        <w:tc>
          <w:tcPr>
            <w:tcW w:w="1980" w:type="dxa"/>
            <w:vAlign w:val="bottom"/>
          </w:tcPr>
          <w:p>
            <w:pPr>
              <w:ind w:left="20"/>
              <w:spacing w:after="0" w:line="160" w:lineRule="exact"/>
              <w:rPr>
                <w:sz w:val="20"/>
                <w:szCs w:val="20"/>
                <w:color w:val="auto"/>
              </w:rPr>
            </w:pPr>
            <w:r>
              <w:rPr>
                <w:rFonts w:ascii="Arial" w:cs="Arial" w:eastAsia="Arial" w:hAnsi="Arial"/>
                <w:sz w:val="16"/>
                <w:szCs w:val="16"/>
                <w:color w:val="auto"/>
              </w:rPr>
              <w:t>(Subtopic 405-50).</w:t>
            </w: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rPr>
              <w:t>reverse factoring,</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rPr>
              <w:t>operations upon adoption.</w:t>
            </w:r>
          </w:p>
        </w:tc>
      </w:tr>
      <w:tr>
        <w:trPr>
          <w:trHeight w:val="160"/>
        </w:trPr>
        <w:tc>
          <w:tcPr>
            <w:tcW w:w="1980" w:type="dxa"/>
            <w:vAlign w:val="bottom"/>
          </w:tcPr>
          <w:p>
            <w:pPr>
              <w:ind w:left="20"/>
              <w:spacing w:after="0" w:line="160" w:lineRule="exact"/>
              <w:rPr>
                <w:sz w:val="20"/>
                <w:szCs w:val="20"/>
                <w:color w:val="auto"/>
              </w:rPr>
            </w:pPr>
            <w:r>
              <w:rPr>
                <w:rFonts w:ascii="Arial" w:cs="Arial" w:eastAsia="Arial" w:hAnsi="Arial"/>
                <w:sz w:val="16"/>
                <w:szCs w:val="16"/>
                <w:color w:val="auto"/>
              </w:rPr>
              <w:t>Disclosure of Supplier</w:t>
            </w: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4"/>
              </w:rPr>
              <w:t>payables finance, or structured payables arrangements, allow a buyer to offer its</w:t>
            </w:r>
          </w:p>
        </w:tc>
        <w:tc>
          <w:tcPr>
            <w:tcW w:w="3660" w:type="dxa"/>
            <w:vAlign w:val="bottom"/>
          </w:tcPr>
          <w:p>
            <w:pPr>
              <w:spacing w:after="0"/>
              <w:rPr>
                <w:sz w:val="13"/>
                <w:szCs w:val="13"/>
                <w:color w:val="auto"/>
              </w:rPr>
            </w:pPr>
          </w:p>
        </w:tc>
      </w:tr>
      <w:tr>
        <w:trPr>
          <w:trHeight w:val="160"/>
        </w:trPr>
        <w:tc>
          <w:tcPr>
            <w:tcW w:w="1980" w:type="dxa"/>
            <w:vAlign w:val="bottom"/>
          </w:tcPr>
          <w:p>
            <w:pPr>
              <w:ind w:left="20"/>
              <w:spacing w:after="0" w:line="160" w:lineRule="exact"/>
              <w:rPr>
                <w:sz w:val="20"/>
                <w:szCs w:val="20"/>
                <w:color w:val="auto"/>
              </w:rPr>
            </w:pPr>
            <w:r>
              <w:rPr>
                <w:rFonts w:ascii="Arial" w:cs="Arial" w:eastAsia="Arial" w:hAnsi="Arial"/>
                <w:sz w:val="16"/>
                <w:szCs w:val="16"/>
                <w:color w:val="auto"/>
                <w:w w:val="93"/>
              </w:rPr>
              <w:t>Finance Program Obligations</w:t>
            </w: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7"/>
              </w:rPr>
              <w:t>suppliers the option for access to payment in advance of an invoice due date,</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9"/>
              </w:rPr>
              <w:t>which is paid by a third-party finance provider or intermediary on the basis of</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rPr>
              <w:t>invoices that the buyer has confirmed as valid.</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2"/>
              </w:rPr>
              <w:t>The amendments in this Update require that a buyer in a supplier finance program</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rPr>
              <w:t>disclose sufficient information about the program to allow a user of financial</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1"/>
              </w:rPr>
              <w:t>statements to understand the program’s nature, activity during the period, changes</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8"/>
              </w:rPr>
              <w:t>from period to period, and potential magnitude. To achieve that objective, the</w:t>
            </w:r>
          </w:p>
        </w:tc>
        <w:tc>
          <w:tcPr>
            <w:tcW w:w="36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5440" w:type="dxa"/>
            <w:vAlign w:val="bottom"/>
          </w:tcPr>
          <w:p>
            <w:pPr>
              <w:ind w:left="60"/>
              <w:spacing w:after="0" w:line="160" w:lineRule="exact"/>
              <w:rPr>
                <w:sz w:val="20"/>
                <w:szCs w:val="20"/>
                <w:color w:val="auto"/>
              </w:rPr>
            </w:pPr>
            <w:r>
              <w:rPr>
                <w:rFonts w:ascii="Arial" w:cs="Arial" w:eastAsia="Arial" w:hAnsi="Arial"/>
                <w:sz w:val="16"/>
                <w:szCs w:val="16"/>
                <w:color w:val="auto"/>
                <w:w w:val="96"/>
              </w:rPr>
              <w:t>buyer should disclose qualitative and quantitative information about its supplier</w:t>
            </w:r>
          </w:p>
        </w:tc>
        <w:tc>
          <w:tcPr>
            <w:tcW w:w="3660" w:type="dxa"/>
            <w:vAlign w:val="bottom"/>
          </w:tcPr>
          <w:p>
            <w:pPr>
              <w:spacing w:after="0"/>
              <w:rPr>
                <w:sz w:val="13"/>
                <w:szCs w:val="13"/>
                <w:color w:val="auto"/>
              </w:rPr>
            </w:pPr>
          </w:p>
        </w:tc>
      </w:tr>
      <w:tr>
        <w:trPr>
          <w:trHeight w:val="204"/>
        </w:trPr>
        <w:tc>
          <w:tcPr>
            <w:tcW w:w="1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6"/>
                <w:szCs w:val="16"/>
                <w:color w:val="auto"/>
              </w:rPr>
              <w:t>finance programs.</w:t>
            </w:r>
          </w:p>
        </w:tc>
        <w:tc>
          <w:tcPr>
            <w:tcW w:w="3660" w:type="dxa"/>
            <w:vAlign w:val="bottom"/>
          </w:tcPr>
          <w:p>
            <w:pPr>
              <w:spacing w:after="0"/>
              <w:rPr>
                <w:sz w:val="17"/>
                <w:szCs w:val="17"/>
                <w:color w:val="auto"/>
              </w:rPr>
            </w:pPr>
          </w:p>
        </w:tc>
      </w:tr>
      <w:tr>
        <w:trPr>
          <w:trHeight w:val="168"/>
        </w:trPr>
        <w:tc>
          <w:tcPr>
            <w:tcW w:w="1980" w:type="dxa"/>
            <w:vAlign w:val="bottom"/>
          </w:tcPr>
          <w:p>
            <w:pPr>
              <w:ind w:left="20"/>
              <w:spacing w:after="0" w:line="168" w:lineRule="exact"/>
              <w:rPr>
                <w:sz w:val="20"/>
                <w:szCs w:val="20"/>
                <w:color w:val="auto"/>
              </w:rPr>
            </w:pPr>
            <w:r>
              <w:rPr>
                <w:rFonts w:ascii="Arial" w:cs="Arial" w:eastAsia="Arial" w:hAnsi="Arial"/>
                <w:sz w:val="16"/>
                <w:szCs w:val="16"/>
                <w:color w:val="auto"/>
              </w:rPr>
              <w:t>Planned date of adoption:</w:t>
            </w:r>
          </w:p>
        </w:tc>
        <w:tc>
          <w:tcPr>
            <w:tcW w:w="54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0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2023</w:t>
            </w:r>
          </w:p>
        </w:tc>
        <w:tc>
          <w:tcPr>
            <w:tcW w:w="54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Experience Platform and Activation Solutions Sale</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183"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7"/>
          <w:szCs w:val="17"/>
          <w:color w:val="auto"/>
        </w:rPr>
        <w:t>This transaction closed on May 11, 2022. The Company received the $7.5 million cash payment on the transaction close date. The Company received the $0.5 million payment in escrow during the third quarter in accordance with the terms of the Asset Purchase Agreement. The remaining $1 million escrow payment was recorded into other current assets. This consideration is not contingent on any further actions.</w:t>
      </w:r>
    </w:p>
    <w:p>
      <w:pPr>
        <w:spacing w:after="0" w:line="19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 determined the fair value of the earn-out provision was $3.6 million of which $3.0 million was recorded as an other current asset and the remaining portion was recorded as non-current other asset. In the fourth quarter, iQmetrix and the Company agreed that the required performance conditions were not met. This resulted in a write-off of the asset recorded within the Selling, general and administrative expenses line item on the income statement.</w:t>
      </w:r>
    </w:p>
    <w:p>
      <w:pPr>
        <w:spacing w:after="0" w:line="175"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7"/>
          <w:szCs w:val="17"/>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$2.5 million gain for the year ended December 31,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Facility</w:t>
      </w:r>
    </w:p>
    <w:p>
      <w:pPr>
        <w:spacing w:after="0" w:line="23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A/R Facility transaction includes (i) Receivables Purchase Agreements (the “Receivables Purchase Agreements”) dated as of the Closing Date, among the Company, as initial servicer, SN Technologies, LLC, a wholly owned special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0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Unless earlier terminated or subsequently extended pursuant to the terms of the Receivables Purchase Agreement, the A/R Facility will expire on June 23, 2025.</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drawn on the A/R Facility as of December 31, 2022.</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15"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Transaction service arrangements include services such as processing equipment orders, new account setup and activation, number port requests, credit checks and inventory management.</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15" w:lineRule="exact"/>
        <w:rPr>
          <w:sz w:val="20"/>
          <w:szCs w:val="20"/>
          <w:color w:val="auto"/>
        </w:rPr>
      </w:pPr>
    </w:p>
    <w:p>
      <w:pPr>
        <w:jc w:val="both"/>
        <w:ind w:firstLine="319"/>
        <w:spacing w:after="0" w:line="215"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remaining expected customer relationship period. Revenues are presented net of discounts, which are volume level driven.</w:t>
      </w:r>
    </w:p>
    <w:p>
      <w:pPr>
        <w:spacing w:after="0" w:line="22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20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89"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frequently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19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The Company reviews and update these estimates on a quarterly basis.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When Performance Obligation is Typically</w:t>
            </w:r>
          </w:p>
        </w:tc>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When Payment is Typically Due</w:t>
            </w: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w w:val="97"/>
              </w:rPr>
              <w:t>How Standalone Selling Price is Typically</w:t>
            </w:r>
          </w:p>
        </w:tc>
        <w:tc>
          <w:tcPr>
            <w:tcW w:w="0" w:type="dxa"/>
            <w:vAlign w:val="bottom"/>
          </w:tcPr>
          <w:p>
            <w:pPr>
              <w:spacing w:after="0"/>
              <w:rPr>
                <w:sz w:val="1"/>
                <w:szCs w:val="1"/>
                <w:color w:val="auto"/>
              </w:rPr>
            </w:pPr>
          </w:p>
        </w:tc>
      </w:tr>
      <w:tr>
        <w:trPr>
          <w:trHeight w:val="193"/>
        </w:trPr>
        <w:tc>
          <w:tcPr>
            <w:tcW w:w="2820" w:type="dxa"/>
            <w:vAlign w:val="bottom"/>
            <w:gridSpan w:val="3"/>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Satisfied</w:t>
            </w:r>
          </w:p>
        </w:tc>
        <w:tc>
          <w:tcPr>
            <w:tcW w:w="2800" w:type="dxa"/>
            <w:vAlign w:val="bottom"/>
            <w:gridSpan w:val="2"/>
            <w:vMerge w:val="continue"/>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9"/>
        </w:trPr>
        <w:tc>
          <w:tcPr>
            <w:tcW w:w="104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88"/>
              </w:rPr>
              <w:t>Software License</w:t>
            </w:r>
          </w:p>
        </w:tc>
        <w:tc>
          <w:tcPr>
            <w:tcW w:w="1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7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820" w:type="dxa"/>
            <w:vAlign w:val="bottom"/>
            <w:gridSpan w:val="3"/>
          </w:tcPr>
          <w:p>
            <w:pPr>
              <w:ind w:left="120"/>
              <w:spacing w:after="0" w:line="133" w:lineRule="exact"/>
              <w:rPr>
                <w:sz w:val="20"/>
                <w:szCs w:val="20"/>
                <w:color w:val="auto"/>
              </w:rPr>
            </w:pPr>
            <w:r>
              <w:rPr>
                <w:rFonts w:ascii="Arial" w:cs="Arial" w:eastAsia="Arial" w:hAnsi="Arial"/>
                <w:sz w:val="14"/>
                <w:szCs w:val="14"/>
                <w:color w:val="auto"/>
              </w:rPr>
              <w:t>Software License</w:t>
            </w:r>
          </w:p>
        </w:tc>
        <w:tc>
          <w:tcPr>
            <w:tcW w:w="2840" w:type="dxa"/>
            <w:vAlign w:val="bottom"/>
            <w:gridSpan w:val="2"/>
          </w:tcPr>
          <w:p>
            <w:pPr>
              <w:spacing w:after="0" w:line="133" w:lineRule="exact"/>
              <w:rPr>
                <w:sz w:val="20"/>
                <w:szCs w:val="20"/>
                <w:color w:val="auto"/>
              </w:rPr>
            </w:pPr>
            <w:r>
              <w:rPr>
                <w:rFonts w:ascii="Arial" w:cs="Arial" w:eastAsia="Arial" w:hAnsi="Arial"/>
                <w:sz w:val="14"/>
                <w:szCs w:val="14"/>
                <w:color w:val="auto"/>
                <w:w w:val="96"/>
              </w:rPr>
              <w:t>Upon shipment or made available for download</w:t>
            </w:r>
          </w:p>
        </w:tc>
        <w:tc>
          <w:tcPr>
            <w:tcW w:w="2800" w:type="dxa"/>
            <w:vAlign w:val="bottom"/>
            <w:gridSpan w:val="2"/>
          </w:tcPr>
          <w:p>
            <w:pPr>
              <w:spacing w:after="0" w:line="133" w:lineRule="exact"/>
              <w:rPr>
                <w:sz w:val="20"/>
                <w:szCs w:val="20"/>
                <w:color w:val="auto"/>
              </w:rPr>
            </w:pPr>
            <w:r>
              <w:rPr>
                <w:rFonts w:ascii="Arial" w:cs="Arial" w:eastAsia="Arial" w:hAnsi="Arial"/>
                <w:sz w:val="14"/>
                <w:szCs w:val="14"/>
                <w:color w:val="auto"/>
              </w:rPr>
              <w:t>Within 90 days of delivery</w:t>
            </w:r>
          </w:p>
        </w:tc>
        <w:tc>
          <w:tcPr>
            <w:tcW w:w="2720" w:type="dxa"/>
            <w:vAlign w:val="bottom"/>
          </w:tcPr>
          <w:p>
            <w:pPr>
              <w:ind w:left="20"/>
              <w:spacing w:after="0" w:line="133" w:lineRule="exact"/>
              <w:rPr>
                <w:sz w:val="20"/>
                <w:szCs w:val="20"/>
                <w:color w:val="auto"/>
              </w:rPr>
            </w:pPr>
            <w:r>
              <w:rPr>
                <w:rFonts w:ascii="Arial" w:cs="Arial" w:eastAsia="Arial" w:hAnsi="Arial"/>
                <w:sz w:val="14"/>
                <w:szCs w:val="14"/>
                <w:color w:val="auto"/>
                <w:w w:val="94"/>
              </w:rPr>
              <w:t>Observable transactions or residual approach</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w w:val="99"/>
              </w:rPr>
              <w:t>when prices are highly variable or uncertain</w:t>
            </w:r>
          </w:p>
        </w:tc>
        <w:tc>
          <w:tcPr>
            <w:tcW w:w="0" w:type="dxa"/>
            <w:vAlign w:val="bottom"/>
          </w:tcPr>
          <w:p>
            <w:pPr>
              <w:spacing w:after="0"/>
              <w:rPr>
                <w:sz w:val="1"/>
                <w:szCs w:val="1"/>
                <w:color w:val="auto"/>
              </w:rPr>
            </w:pPr>
          </w:p>
        </w:tc>
      </w:tr>
      <w:tr>
        <w:trPr>
          <w:trHeight w:val="143"/>
        </w:trPr>
        <w:tc>
          <w:tcPr>
            <w:tcW w:w="2820" w:type="dxa"/>
            <w:vAlign w:val="bottom"/>
            <w:gridSpan w:val="3"/>
            <w:shd w:val="clear" w:color="auto" w:fill="CCEEFF"/>
          </w:tcPr>
          <w:p>
            <w:pPr>
              <w:ind w:left="120"/>
              <w:spacing w:after="0" w:line="143" w:lineRule="exact"/>
              <w:rPr>
                <w:sz w:val="20"/>
                <w:szCs w:val="20"/>
                <w:color w:val="auto"/>
              </w:rPr>
            </w:pPr>
            <w:r>
              <w:rPr>
                <w:rFonts w:ascii="Arial" w:cs="Arial" w:eastAsia="Arial" w:hAnsi="Arial"/>
                <w:sz w:val="14"/>
                <w:szCs w:val="14"/>
                <w:color w:val="auto"/>
              </w:rPr>
              <w:t>Software License with significant</w:t>
            </w:r>
          </w:p>
        </w:tc>
        <w:tc>
          <w:tcPr>
            <w:tcW w:w="28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w w:val="96"/>
              </w:rPr>
              <w:t>Over the performance of the customization and</w:t>
            </w:r>
          </w:p>
        </w:tc>
        <w:tc>
          <w:tcPr>
            <w:tcW w:w="28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Within 90 days of services</w:t>
            </w:r>
          </w:p>
        </w:tc>
        <w:tc>
          <w:tcPr>
            <w:tcW w:w="27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Residual approach</w:t>
            </w:r>
          </w:p>
        </w:tc>
        <w:tc>
          <w:tcPr>
            <w:tcW w:w="0" w:type="dxa"/>
            <w:vAlign w:val="bottom"/>
          </w:tcPr>
          <w:p>
            <w:pPr>
              <w:spacing w:after="0"/>
              <w:rPr>
                <w:sz w:val="1"/>
                <w:szCs w:val="1"/>
                <w:color w:val="auto"/>
              </w:rPr>
            </w:pPr>
          </w:p>
        </w:tc>
      </w:tr>
      <w:tr>
        <w:trPr>
          <w:trHeight w:val="199"/>
        </w:trPr>
        <w:tc>
          <w:tcPr>
            <w:tcW w:w="28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customization</w:t>
            </w: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installation of the software (over time)</w:t>
            </w: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being performed</w:t>
            </w: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160"/>
        <w:spacing w:after="0"/>
        <w:tabs>
          <w:tab w:leader="none" w:pos="2840" w:val="left"/>
        </w:tabs>
        <w:rPr>
          <w:sz w:val="20"/>
          <w:szCs w:val="20"/>
          <w:color w:val="auto"/>
        </w:rPr>
      </w:pPr>
      <w:r>
        <w:rPr>
          <w:rFonts w:ascii="Arial" w:cs="Arial" w:eastAsia="Arial" w:hAnsi="Arial"/>
          <w:sz w:val="14"/>
          <w:szCs w:val="14"/>
          <w:color w:val="auto"/>
        </w:rPr>
        <w:t>Hosting Services</w:t>
      </w:r>
      <w:r>
        <w:rPr>
          <w:sz w:val="20"/>
          <w:szCs w:val="20"/>
          <w:color w:val="auto"/>
        </w:rPr>
        <w:tab/>
      </w:r>
      <w:r>
        <w:rPr>
          <w:rFonts w:ascii="Arial" w:cs="Arial" w:eastAsia="Arial" w:hAnsi="Arial"/>
          <w:sz w:val="12"/>
          <w:szCs w:val="12"/>
          <w:color w:val="auto"/>
        </w:rPr>
        <w:t>As hosting services are provided (over time)</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Estimated using a cost-plus margin approach</w:t>
      </w:r>
    </w:p>
    <w:p>
      <w:pPr>
        <w:spacing w:after="0"/>
        <w:rPr>
          <w:sz w:val="20"/>
          <w:szCs w:val="20"/>
          <w:color w:val="auto"/>
        </w:rPr>
      </w:pPr>
      <w:r>
        <w:rPr>
          <w:rFonts w:ascii="Arial" w:cs="Arial" w:eastAsia="Arial" w:hAnsi="Arial"/>
          <w:sz w:val="14"/>
          <w:szCs w:val="14"/>
          <w:color w:val="auto"/>
        </w:rPr>
        <w:t>being provided</w:t>
      </w:r>
    </w:p>
    <w:p>
      <w:pPr>
        <w:spacing w:after="0" w:line="22" w:lineRule="exact"/>
        <w:rPr>
          <w:sz w:val="20"/>
          <w:szCs w:val="20"/>
          <w:color w:val="auto"/>
        </w:rPr>
      </w:pPr>
    </w:p>
    <w:p>
      <w:pPr>
        <w:sectPr>
          <w:pgSz w:w="11900" w:h="16838" w:orient="portrait"/>
          <w:cols w:equalWidth="0" w:num="2">
            <w:col w:w="5380" w:space="320"/>
            <w:col w:w="5540"/>
          </w:cols>
          <w:pgMar w:left="320" w:top="127" w:right="3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u w:val="single" w:color="auto"/>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-81280</wp:posOffset>
            </wp:positionV>
            <wp:extent cx="7108825" cy="1263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8825" cy="12636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p>
      <w:pPr>
        <w:spacing w:after="0" w:line="65" w:lineRule="exact"/>
        <w:rPr>
          <w:sz w:val="20"/>
          <w:szCs w:val="20"/>
          <w:color w:val="auto"/>
        </w:rPr>
      </w:pPr>
    </w:p>
    <w:p>
      <w:pPr>
        <w:ind w:left="160"/>
        <w:spacing w:after="0"/>
        <w:tabs>
          <w:tab w:leader="none" w:pos="2840" w:val="left"/>
        </w:tabs>
        <w:rPr>
          <w:sz w:val="20"/>
          <w:szCs w:val="20"/>
          <w:color w:val="auto"/>
        </w:rPr>
      </w:pPr>
      <w:r>
        <w:rPr>
          <w:rFonts w:ascii="Arial" w:cs="Arial" w:eastAsia="Arial" w:hAnsi="Arial"/>
          <w:sz w:val="13"/>
          <w:szCs w:val="13"/>
          <w:color w:val="auto"/>
        </w:rPr>
        <w:t>Consulting</w:t>
      </w:r>
      <w:r>
        <w:rPr>
          <w:sz w:val="20"/>
          <w:szCs w:val="20"/>
          <w:color w:val="auto"/>
        </w:rPr>
        <w:tab/>
      </w:r>
      <w:r>
        <w:rPr>
          <w:rFonts w:ascii="Arial" w:cs="Arial" w:eastAsia="Arial" w:hAnsi="Arial"/>
          <w:sz w:val="13"/>
          <w:szCs w:val="13"/>
          <w:color w:val="auto"/>
        </w:rPr>
        <w:t>As work is performed (over time)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tabs>
          <w:tab w:leader="none" w:pos="280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being performed</w:t>
      </w:r>
    </w:p>
    <w:p>
      <w:pPr>
        <w:spacing w:after="0" w:line="4" w:lineRule="exact"/>
        <w:rPr>
          <w:sz w:val="20"/>
          <w:szCs w:val="20"/>
          <w:color w:val="auto"/>
        </w:rPr>
      </w:pPr>
    </w:p>
    <w:p>
      <w:pPr>
        <w:sectPr>
          <w:pgSz w:w="11900" w:h="16838" w:orient="portrait"/>
          <w:cols w:equalWidth="0" w:num="2">
            <w:col w:w="4980" w:space="720"/>
            <w:col w:w="5540"/>
          </w:cols>
          <w:pgMar w:left="320" w:top="127" w:right="3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20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Customization</w:t>
            </w: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9"/>
              </w:rPr>
              <w:t>SaaS: Over the remaining term of the SaaS</w:t>
            </w: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Within 90 days of services</w:t>
            </w:r>
          </w:p>
        </w:tc>
        <w:tc>
          <w:tcPr>
            <w:tcW w:w="32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Observable transactions</w:t>
            </w:r>
          </w:p>
        </w:tc>
      </w:tr>
      <w:tr>
        <w:trPr>
          <w:trHeight w:val="180"/>
        </w:trPr>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agreement</w:t>
            </w: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being performed</w:t>
            </w:r>
          </w:p>
        </w:tc>
        <w:tc>
          <w:tcPr>
            <w:tcW w:w="3280" w:type="dxa"/>
            <w:vAlign w:val="bottom"/>
            <w:shd w:val="clear" w:color="auto" w:fill="CCEEFF"/>
          </w:tcPr>
          <w:p>
            <w:pPr>
              <w:spacing w:after="0"/>
              <w:rPr>
                <w:sz w:val="15"/>
                <w:szCs w:val="15"/>
                <w:color w:val="auto"/>
              </w:rPr>
            </w:pPr>
          </w:p>
        </w:tc>
      </w:tr>
      <w:tr>
        <w:trPr>
          <w:trHeight w:val="240"/>
        </w:trPr>
        <w:tc>
          <w:tcPr>
            <w:tcW w:w="1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License: Over the performance of the</w:t>
            </w:r>
          </w:p>
        </w:tc>
        <w:tc>
          <w:tcPr>
            <w:tcW w:w="236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r>
      <w:tr>
        <w:trPr>
          <w:trHeight w:val="138"/>
        </w:trPr>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80" w:type="dxa"/>
            <w:vAlign w:val="bottom"/>
            <w:shd w:val="clear" w:color="auto" w:fill="CCEEFF"/>
          </w:tcPr>
          <w:p>
            <w:pPr>
              <w:ind w:left="760"/>
              <w:spacing w:after="0" w:line="139" w:lineRule="exact"/>
              <w:rPr>
                <w:sz w:val="20"/>
                <w:szCs w:val="20"/>
                <w:color w:val="auto"/>
              </w:rPr>
            </w:pPr>
            <w:r>
              <w:rPr>
                <w:rFonts w:ascii="Arial" w:cs="Arial" w:eastAsia="Arial" w:hAnsi="Arial"/>
                <w:sz w:val="14"/>
                <w:szCs w:val="14"/>
                <w:color w:val="auto"/>
                <w:w w:val="96"/>
              </w:rPr>
              <w:t>customization and installation of the software</w:t>
            </w:r>
          </w:p>
        </w:tc>
        <w:tc>
          <w:tcPr>
            <w:tcW w:w="23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99"/>
        </w:trPr>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(over time)</w:t>
            </w:r>
          </w:p>
        </w:tc>
        <w:tc>
          <w:tcPr>
            <w:tcW w:w="236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r>
      <w:tr>
        <w:trPr>
          <w:trHeight w:val="146"/>
        </w:trPr>
        <w:tc>
          <w:tcPr>
            <w:tcW w:w="2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Transaction Services</w:t>
            </w:r>
          </w:p>
        </w:tc>
        <w:tc>
          <w:tcPr>
            <w:tcW w:w="3480" w:type="dxa"/>
            <w:vAlign w:val="bottom"/>
          </w:tcPr>
          <w:p>
            <w:pPr>
              <w:ind w:left="760"/>
              <w:spacing w:after="0" w:line="147" w:lineRule="exact"/>
              <w:rPr>
                <w:sz w:val="20"/>
                <w:szCs w:val="20"/>
                <w:color w:val="auto"/>
              </w:rPr>
            </w:pPr>
            <w:r>
              <w:rPr>
                <w:rFonts w:ascii="Arial" w:cs="Arial" w:eastAsia="Arial" w:hAnsi="Arial"/>
                <w:sz w:val="14"/>
                <w:szCs w:val="14"/>
                <w:color w:val="auto"/>
              </w:rPr>
              <w:t>As transaction is processed (over time)</w:t>
            </w:r>
          </w:p>
        </w:tc>
        <w:tc>
          <w:tcPr>
            <w:tcW w:w="2360" w:type="dxa"/>
            <w:vAlign w:val="bottom"/>
          </w:tcPr>
          <w:p>
            <w:pPr>
              <w:ind w:left="120"/>
              <w:spacing w:after="0" w:line="147" w:lineRule="exact"/>
              <w:rPr>
                <w:sz w:val="20"/>
                <w:szCs w:val="20"/>
                <w:color w:val="auto"/>
              </w:rPr>
            </w:pPr>
            <w:r>
              <w:rPr>
                <w:rFonts w:ascii="Arial" w:cs="Arial" w:eastAsia="Arial" w:hAnsi="Arial"/>
                <w:sz w:val="14"/>
                <w:szCs w:val="14"/>
                <w:color w:val="auto"/>
              </w:rPr>
              <w:t>Within 90 days of transaction</w:t>
            </w:r>
          </w:p>
        </w:tc>
        <w:tc>
          <w:tcPr>
            <w:tcW w:w="3280" w:type="dxa"/>
            <w:vAlign w:val="bottom"/>
          </w:tcPr>
          <w:p>
            <w:pPr>
              <w:ind w:left="580"/>
              <w:spacing w:after="0" w:line="147" w:lineRule="exact"/>
              <w:rPr>
                <w:sz w:val="20"/>
                <w:szCs w:val="20"/>
                <w:color w:val="auto"/>
              </w:rPr>
            </w:pPr>
            <w:r>
              <w:rPr>
                <w:rFonts w:ascii="Arial" w:cs="Arial" w:eastAsia="Arial" w:hAnsi="Arial"/>
                <w:sz w:val="14"/>
                <w:szCs w:val="14"/>
                <w:color w:val="auto"/>
              </w:rPr>
              <w:t>Observable transactions</w:t>
            </w:r>
          </w:p>
        </w:tc>
      </w:tr>
      <w:tr>
        <w:trPr>
          <w:trHeight w:val="33"/>
        </w:trPr>
        <w:tc>
          <w:tcPr>
            <w:tcW w:w="12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146"/>
        </w:trPr>
        <w:tc>
          <w:tcPr>
            <w:tcW w:w="206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Subscription Services</w:t>
            </w:r>
          </w:p>
        </w:tc>
        <w:tc>
          <w:tcPr>
            <w:tcW w:w="34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33"/>
        </w:trPr>
        <w:tc>
          <w:tcPr>
            <w:tcW w:w="12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328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type w:val="continuous"/>
        </w:sectPr>
      </w:pPr>
    </w:p>
    <w:p>
      <w:pPr>
        <w:ind w:left="160"/>
        <w:spacing w:after="0"/>
        <w:tabs>
          <w:tab w:leader="none" w:pos="2840" w:val="left"/>
        </w:tabs>
        <w:rPr>
          <w:sz w:val="20"/>
          <w:szCs w:val="20"/>
          <w:color w:val="auto"/>
        </w:rPr>
      </w:pPr>
      <w:r>
        <w:rPr>
          <w:rFonts w:ascii="Arial" w:cs="Arial" w:eastAsia="Arial" w:hAnsi="Arial"/>
          <w:sz w:val="14"/>
          <w:szCs w:val="14"/>
          <w:color w:val="auto"/>
        </w:rPr>
        <w:t>Customer Support</w:t>
      </w:r>
      <w:r>
        <w:rPr>
          <w:sz w:val="20"/>
          <w:szCs w:val="20"/>
          <w:color w:val="auto"/>
        </w:rPr>
        <w:tab/>
      </w:r>
      <w:r>
        <w:rPr>
          <w:rFonts w:ascii="Arial" w:cs="Arial" w:eastAsia="Arial" w:hAnsi="Arial"/>
          <w:sz w:val="12"/>
          <w:szCs w:val="12"/>
          <w:color w:val="auto"/>
        </w:rPr>
        <w:t>Ratably over the course of the support contract</w:t>
      </w:r>
    </w:p>
    <w:p>
      <w:pPr>
        <w:ind w:left="2860"/>
        <w:spacing w:after="0"/>
        <w:rPr>
          <w:sz w:val="20"/>
          <w:szCs w:val="20"/>
          <w:color w:val="auto"/>
        </w:rPr>
      </w:pPr>
      <w:r>
        <w:rPr>
          <w:rFonts w:ascii="Arial" w:cs="Arial" w:eastAsia="Arial" w:hAnsi="Arial"/>
          <w:sz w:val="14"/>
          <w:szCs w:val="14"/>
          <w:color w:val="auto"/>
        </w:rPr>
        <w:t>(over time)</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4"/>
          <w:szCs w:val="14"/>
          <w:color w:val="auto"/>
        </w:rPr>
        <w:t>Within 90 days of the start of the contract</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period</w:t>
      </w:r>
    </w:p>
    <w:p>
      <w:pPr>
        <w:spacing w:after="0" w:line="4" w:lineRule="exact"/>
        <w:rPr>
          <w:sz w:val="20"/>
          <w:szCs w:val="20"/>
          <w:color w:val="auto"/>
        </w:rPr>
      </w:pPr>
    </w:p>
    <w:p>
      <w:pPr>
        <w:sectPr>
          <w:pgSz w:w="11900" w:h="16838" w:orient="portrait"/>
          <w:cols w:equalWidth="0" w:num="2">
            <w:col w:w="5520" w:space="180"/>
            <w:col w:w="5540"/>
          </w:cols>
          <w:pgMar w:left="320" w:top="127" w:right="3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SaaS</w:t>
            </w:r>
          </w:p>
        </w:tc>
        <w:tc>
          <w:tcPr>
            <w:tcW w:w="3880" w:type="dxa"/>
            <w:vAlign w:val="bottom"/>
            <w:shd w:val="clear" w:color="auto" w:fill="CCEEFF"/>
          </w:tcPr>
          <w:p>
            <w:pPr>
              <w:ind w:left="1200"/>
              <w:spacing w:after="0"/>
              <w:rPr>
                <w:sz w:val="20"/>
                <w:szCs w:val="20"/>
                <w:color w:val="auto"/>
              </w:rPr>
            </w:pPr>
            <w:r>
              <w:rPr>
                <w:rFonts w:ascii="Arial" w:cs="Arial" w:eastAsia="Arial" w:hAnsi="Arial"/>
                <w:sz w:val="14"/>
                <w:szCs w:val="14"/>
                <w:color w:val="auto"/>
                <w:w w:val="94"/>
              </w:rPr>
              <w:t>Over the course of the SaaS service once the</w:t>
            </w:r>
          </w:p>
        </w:tc>
        <w:tc>
          <w:tcPr>
            <w:tcW w:w="2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Within 90 days of services</w:t>
            </w:r>
          </w:p>
        </w:tc>
        <w:tc>
          <w:tcPr>
            <w:tcW w:w="336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5"/>
              </w:rPr>
              <w:t>Estimated using a cost-plus margin approach</w:t>
            </w:r>
          </w:p>
        </w:tc>
      </w:tr>
      <w:tr>
        <w:trPr>
          <w:trHeight w:val="141"/>
        </w:trPr>
        <w:tc>
          <w:tcPr>
            <w:tcW w:w="1620" w:type="dxa"/>
            <w:vAlign w:val="bottom"/>
            <w:shd w:val="clear" w:color="auto" w:fill="CCEEFF"/>
          </w:tcPr>
          <w:p>
            <w:pPr>
              <w:spacing w:after="0"/>
              <w:rPr>
                <w:sz w:val="12"/>
                <w:szCs w:val="12"/>
                <w:color w:val="auto"/>
              </w:rPr>
            </w:pPr>
          </w:p>
        </w:tc>
        <w:tc>
          <w:tcPr>
            <w:tcW w:w="3880" w:type="dxa"/>
            <w:vAlign w:val="bottom"/>
            <w:shd w:val="clear" w:color="auto" w:fill="CCEEFF"/>
          </w:tcPr>
          <w:p>
            <w:pPr>
              <w:ind w:left="1200"/>
              <w:spacing w:after="0" w:line="141" w:lineRule="exact"/>
              <w:rPr>
                <w:sz w:val="20"/>
                <w:szCs w:val="20"/>
                <w:color w:val="auto"/>
              </w:rPr>
            </w:pPr>
            <w:r>
              <w:rPr>
                <w:rFonts w:ascii="Arial" w:cs="Arial" w:eastAsia="Arial" w:hAnsi="Arial"/>
                <w:sz w:val="14"/>
                <w:szCs w:val="14"/>
                <w:color w:val="auto"/>
              </w:rPr>
              <w:t>system is available for use</w:t>
            </w:r>
          </w:p>
        </w:tc>
        <w:tc>
          <w:tcPr>
            <w:tcW w:w="232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being performed</w:t>
            </w:r>
          </w:p>
        </w:tc>
        <w:tc>
          <w:tcPr>
            <w:tcW w:w="3360" w:type="dxa"/>
            <w:vAlign w:val="bottom"/>
            <w:shd w:val="clear" w:color="auto" w:fill="CCEEFF"/>
          </w:tcPr>
          <w:p>
            <w:pPr>
              <w:spacing w:after="0"/>
              <w:rPr>
                <w:sz w:val="12"/>
                <w:szCs w:val="12"/>
                <w:color w:val="auto"/>
              </w:rPr>
            </w:pPr>
          </w:p>
        </w:tc>
      </w:tr>
      <w:tr>
        <w:trPr>
          <w:trHeight w:val="180"/>
        </w:trPr>
        <w:tc>
          <w:tcPr>
            <w:tcW w:w="1620" w:type="dxa"/>
            <w:vAlign w:val="bottom"/>
            <w:shd w:val="clear" w:color="auto" w:fill="CCEEFF"/>
          </w:tcPr>
          <w:p>
            <w:pPr>
              <w:spacing w:after="0"/>
              <w:rPr>
                <w:sz w:val="15"/>
                <w:szCs w:val="15"/>
                <w:color w:val="auto"/>
              </w:rPr>
            </w:pPr>
          </w:p>
        </w:tc>
        <w:tc>
          <w:tcPr>
            <w:tcW w:w="3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(over time)</w:t>
            </w:r>
          </w:p>
        </w:tc>
        <w:tc>
          <w:tcPr>
            <w:tcW w:w="232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r>
      <w:tr>
        <w:trPr>
          <w:trHeight w:val="24"/>
        </w:trPr>
        <w:tc>
          <w:tcPr>
            <w:tcW w:w="16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Deferred revenues represent billings to customers for services in advance of the performance of services, with revenues recognized as the services are rendered, and also include the fair value of deferred revenues recorded as a result of acquisitions.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Level Standards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2022, 2021 and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Cost of services includes all direct materials, direct labor and those indirect costs related to revenues such as indirect labor, materials and supplies and facilities cost, exclusive of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 xml:space="preserve">Software development costs are accounted for in accordance with either ASC 985-20, </w:t>
      </w:r>
      <w:r>
        <w:rPr>
          <w:rFonts w:ascii="Arial" w:cs="Arial" w:eastAsia="Arial" w:hAnsi="Arial"/>
          <w:sz w:val="18"/>
          <w:szCs w:val="18"/>
          <w:i w:val="1"/>
          <w:iCs w:val="1"/>
          <w:color w:val="auto"/>
        </w:rPr>
        <w:t>“Software - Costs of Software to be Sold, Leased or Marketed,”</w:t>
      </w:r>
      <w:r>
        <w:rPr>
          <w:rFonts w:ascii="Arial" w:cs="Arial" w:eastAsia="Arial" w:hAnsi="Arial"/>
          <w:sz w:val="18"/>
          <w:szCs w:val="18"/>
          <w:color w:val="auto"/>
        </w:rPr>
        <w:t xml:space="preserve">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2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unamortized software development costs and amortization expense were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11"/>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0"/>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1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Unamortized software development costs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w:t>
            </w:r>
          </w:p>
        </w:tc>
      </w:tr>
      <w:tr>
        <w:trPr>
          <w:trHeight w:val="225"/>
        </w:trPr>
        <w:tc>
          <w:tcPr>
            <w:tcW w:w="6700" w:type="dxa"/>
            <w:vAlign w:val="bottom"/>
          </w:tcPr>
          <w:p>
            <w:pPr>
              <w:spacing w:after="0"/>
              <w:rPr>
                <w:sz w:val="20"/>
                <w:szCs w:val="20"/>
                <w:color w:val="auto"/>
              </w:rPr>
            </w:pPr>
            <w:r>
              <w:rPr>
                <w:rFonts w:ascii="Arial" w:cs="Arial" w:eastAsia="Arial" w:hAnsi="Arial"/>
                <w:sz w:val="18"/>
                <w:szCs w:val="18"/>
                <w:color w:val="auto"/>
              </w:rPr>
              <w:t>Software development amortization expense</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18,211</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10,843</w:t>
            </w:r>
          </w:p>
        </w:tc>
      </w:tr>
    </w:tbl>
    <w:p>
      <w:pPr>
        <w:spacing w:after="0" w:line="32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recognized impairment charges to its capitalized software intangible assets, of nil, $1.3 million and $0.9 million for the years ended December 31, 2022, 2021 and 2020, respectively. The Company includes these impairments within depreciation and amortization in its Consolidated Statements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and accounts receivable. The Company maintains its cash and cash equivalents at several major financial institutions. The Company believes that concentration of credit risk with respect to accounts receivable is limited because of the creditworthiness of its major customers.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top five customers accounted for 73.4%, 68.2% and 68.0% of net revenues for the years ended December 31, 2022, 2021 and 2020, respectively. Contracts with these customers typically run for three to five years. Of these customers, Verizon accounted for more than 10% of the Company’s revenues in 2022, 2021, and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at the date of acquisition to be cash equivalents.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Accounts receivable include current notes, amounts billed to customers, claims, and unbilled revenue, which consists of amounts recognized as sales but not yet billed. Substantially all amounts of unbilled receivables are expected to be billed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collected in the subsequent year. The Company had unbilled receivable balances of $0.8 million and $4.0 million as of December 31, 2022 and 2021,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Customers are pooled based on sharing specific risk factors, including geographic location. Due to the short-term nature of such receivables, the estimated accounts receivable that may not be collected is based on aging of the accounts receivable balances.</w:t>
      </w:r>
    </w:p>
    <w:p>
      <w:pPr>
        <w:spacing w:after="0" w:line="18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our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uncollectible after all collection efforts have been exhausted. Estimates of potential credit losses are used to determine the allowance; they are based on assessment of anticipated payment and all other historical, current and future information that is reasonably available.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and Liabilities</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Company includes disclosures of fair value information about financial instruments and liabilities, whether or not recognized on the Consolidated Balance Sheets, for which it is practicable to estimate that value. Due to their short-term nature, the carrying amounts reported in the financial statements approximate the fair value for cash and cash equivalents, marketable securities, accounts receivable and accounts payable.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Amortization of property and equipment recorded under a capital lease is included with depreciation expense. Expenditures for routine maintenance and repairs are charged against operations, while major replacements, improvements and additions are capitalized.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and Mandatorily Redeemable Financial Instruments</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Noncontrolling interests (“NCI”) are evaluated by the Company and are shown as either a liability, temporary equity (shown between liabilities and equity) or as permanent equity depending on the nature of the redeemable features at amounts based on formulas specific to each entity. Generally, mandatorily redeemable NCIs are classified as liabilities and non-mandatorily redeemable NCIs are classified outside of stockholders’ equity in the Consolidated Balance Sheets as temporary equity under the caption, redeemable noncontrolling interests, and are measured at their redemption values at the end of each period. If the redemption value is greater than the carrying value, an adjustment is recorded in retained earnings to record the NCI at its redemption value. Redeemable NCIs that are mandatorily redeemable are classified as a liability in the Consolidated Balance Sheets under either other current liabilities or other long-term liabilities, depending on the remaining duration until settlement, and are measured at the amount of cash that would be paid if settlement occurred at the balance sheet date with any change from the prior period recognized as interest expense.</w:t>
      </w:r>
    </w:p>
    <w:p>
      <w:pPr>
        <w:spacing w:after="0" w:line="20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If the noncontrolling interest is not currently redeemable yet probable of becoming redeemable, the Company is required to either (1) accrete changes in the redemption value over the period from the date of issuance to the earliest redemption date of the instrument using an appropriate methodology, usually the interest method, or (2) recognize changes in the redemption value immediately as they occur and adjust the carrying value of the security to equal the redemption value at the end of each reporting period. The Company has elected to recognize changes in the redemption value immediately as they occur and adjust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carrying value of the noncontrolling interest to the greater of the estimated redemption value, which approximates fair value, at the end of each reporting period or the initial carrying amount.</w:t>
      </w:r>
    </w:p>
    <w:p>
      <w:pPr>
        <w:spacing w:after="0" w:line="206"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Net income attributable to NCIs reflects the portion of the net income (loss) of consolidated entities applicable to the NCI stockholders in the accompanying Consolidated Statements of Operations. The net income attributable to NCI is classified in the Consolidated Statements of Operations as part of consolidated net income and deducted from total consolidated net income to arrive at the net income attributable to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Affiliates and Other Entities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In the normal course of business, Synchronoss enters into various types of investment arrangements, each having unique terms and conditions. These investments may include equity interests held by Synchronoss in business entities, including general or limited partnerships, contractual ventures, or other forms of equity participation. Synchronoss determines whether such investments involve a variable interest entity (“VIE”) based on the characteristics of the subject entity. If the entity is determined to be a VIE, then management determines if Synchronoss is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Synchronoss is deemed to be the primary beneficiary, the VIE is consolidated and the other party’s equity interest in the VIE is accounted for as a noncontrolling interest.</w:t>
      </w:r>
    </w:p>
    <w:p>
      <w:pPr>
        <w:spacing w:after="0" w:line="20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 that other equity holders do not have substantive participating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Goodwill represents the excess of the purchase price over the fair value of assets acquired, including other definite-lived intangible assets. Goodwill is reviewed for impairment annually in the fourth quarter or when an interim triggering event has occurred indicating potential impairment. The Company has concluded that it has one operating segment and one reportable segment because the aggregation criteria and the quantitative threshold test was met. The Company tests for goodwill impairment on each of its reporting units, which is at the operating segment or one level below the operating segment.</w:t>
      </w:r>
    </w:p>
    <w:p>
      <w:pPr>
        <w:spacing w:after="0" w:line="189"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During the Company’s qualitative assessment, the Company makes significant estimates, assumptions, and judgments, around the financial performance of the Company, changes in share price, and forecasts of earnings, working capital requirements, and cash flows. The Company considers each reporting unit's historical results and operating trends as well as any strategic difference from the Company’s historical results when determining these assumptions.</w:t>
      </w:r>
    </w:p>
    <w:p>
      <w:pPr>
        <w:spacing w:after="0" w:line="18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can opt to perform a qualitative assessment to test a reporting unit’s goodwill for impairment or the Company can directly perform the quantitative impairment test. If the Company determines that the fair value of a reporting unit is more likely than not to be less than its carrying amount, a quantitative impairment test is performed.</w:t>
      </w:r>
    </w:p>
    <w:p>
      <w:pPr>
        <w:spacing w:after="0" w:line="21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the Company recognizes an impairment charge for the amount by which the carrying amount exceeds the reporting unit's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1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In order to assess the reasonableness of the estimated fair value of the Company’s reporting unit,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w:t>
      </w:r>
    </w:p>
    <w:p>
      <w:pPr>
        <w:spacing w:after="0" w:line="19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This re-evaluation could result in a change to the estimated fair value of the reporting unit. If the fair value of a reporting unit exceeds the carrying amount of the net assets assigned to that reporting unit, goodwill is not impaired.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21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adopted Accounting Standards Codification Topic 842, Leases (ASC 842) on January 1, 2019. ASC 842 applies to a number of arrangements to which the Company is party whereby the Company acts as a lessee.</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204"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allocated to each lease and non-lease component for accounting purposes. However, the Company has elected to not separate lease and non-lease components.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Each lease component is accounted for separately from other lease components, but together with the associated non-lease components.</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each lease, the Company must then determine:</w:t>
      </w:r>
    </w:p>
    <w:p>
      <w:pPr>
        <w:spacing w:after="0" w:line="245" w:lineRule="exact"/>
        <w:rPr>
          <w:sz w:val="20"/>
          <w:szCs w:val="20"/>
          <w:color w:val="auto"/>
        </w:rPr>
      </w:pPr>
    </w:p>
    <w:p>
      <w:pPr>
        <w:jc w:val="both"/>
        <w:ind w:left="1280" w:hanging="316"/>
        <w:spacing w:after="0" w:line="256" w:lineRule="auto"/>
        <w:tabs>
          <w:tab w:leader="none" w:pos="1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215" w:lineRule="exact"/>
        <w:rPr>
          <w:rFonts w:ascii="Arial" w:cs="Arial" w:eastAsia="Arial" w:hAnsi="Arial"/>
          <w:sz w:val="18"/>
          <w:szCs w:val="18"/>
          <w:color w:val="auto"/>
        </w:rPr>
      </w:pPr>
    </w:p>
    <w:p>
      <w:pPr>
        <w:ind w:left="1280" w:hanging="316"/>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present value of lease payments is calculated based on:</w:t>
      </w:r>
    </w:p>
    <w:p>
      <w:pPr>
        <w:spacing w:after="0" w:line="245" w:lineRule="exact"/>
        <w:rPr>
          <w:rFonts w:ascii="Arial" w:cs="Arial" w:eastAsia="Arial" w:hAnsi="Arial"/>
          <w:sz w:val="18"/>
          <w:szCs w:val="18"/>
          <w:color w:val="auto"/>
        </w:rPr>
      </w:pPr>
    </w:p>
    <w:p>
      <w:pPr>
        <w:jc w:val="both"/>
        <w:ind w:left="1280" w:firstLine="319"/>
        <w:spacing w:after="0" w:line="269" w:lineRule="auto"/>
        <w:rPr>
          <w:rFonts w:ascii="Arial" w:cs="Arial" w:eastAsia="Arial" w:hAnsi="Arial"/>
          <w:sz w:val="18"/>
          <w:szCs w:val="18"/>
          <w:color w:val="auto"/>
        </w:rPr>
      </w:pPr>
      <w:r>
        <w:rPr>
          <w:rFonts w:ascii="Arial" w:cs="Arial" w:eastAsia="Arial" w:hAnsi="Arial"/>
          <w:sz w:val="17"/>
          <w:szCs w:val="17"/>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207" w:lineRule="exact"/>
        <w:rPr>
          <w:rFonts w:ascii="Arial" w:cs="Arial" w:eastAsia="Arial" w:hAnsi="Arial"/>
          <w:sz w:val="18"/>
          <w:szCs w:val="18"/>
          <w:color w:val="auto"/>
        </w:rPr>
      </w:pPr>
    </w:p>
    <w:p>
      <w:pPr>
        <w:jc w:val="both"/>
        <w:ind w:left="1280" w:firstLine="319"/>
        <w:spacing w:after="0" w:line="294" w:lineRule="auto"/>
        <w:rPr>
          <w:rFonts w:ascii="Arial" w:cs="Arial" w:eastAsia="Arial" w:hAnsi="Arial"/>
          <w:sz w:val="18"/>
          <w:szCs w:val="18"/>
          <w:color w:val="auto"/>
        </w:rPr>
      </w:pPr>
      <w:r>
        <w:rPr>
          <w:rFonts w:ascii="Arial" w:cs="Arial" w:eastAsia="Arial" w:hAnsi="Arial"/>
          <w:sz w:val="16"/>
          <w:szCs w:val="16"/>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188" w:lineRule="exact"/>
        <w:rPr>
          <w:rFonts w:ascii="Arial" w:cs="Arial" w:eastAsia="Arial" w:hAnsi="Arial"/>
          <w:sz w:val="18"/>
          <w:szCs w:val="18"/>
          <w:color w:val="auto"/>
        </w:rPr>
      </w:pPr>
    </w:p>
    <w:p>
      <w:pPr>
        <w:jc w:val="both"/>
        <w:ind w:left="1280" w:hanging="316"/>
        <w:spacing w:after="0" w:line="303" w:lineRule="auto"/>
        <w:tabs>
          <w:tab w:leader="none" w:pos="12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18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2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or the lease term and assesses its ROU assets for impairment, similar to other long-lived assets.</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For finance leases, amortization expense and interest expense are recognized separately in the Consolidated Statements of Operations, with amortization expense generally recorded on a straight-line basis and interest expense recorded using the effective interest method. For operating leases, a single lease cost is generally recognized in the Consolidated Statements of Operations on a straight-line basis over the lease term. Lease costs for short-term leases not recognized in the Consolidated Balance Sheets are recognized in the Consolidated Statements of Operations and are expensed as incurred. Variable lease costs not initially included in the lease liability and ROU asset impairment charges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Loss provisions of the Tax Cuts and Jobs Act, allowing for the carryback of losses arising in tax years 2018, 2019 and 2020, to each of the five taxable years preceding the taxable year of loss.</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2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2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2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2018 and thereafter are subject to future examination by tax authorities. Additionally, to the extent we utilize our NOL carryforwards in the future, the tax years in which the attribute was generated may still be adjusted upon examination by the tax authorities in the future period when the attribute is utilized.</w:t>
      </w:r>
    </w:p>
    <w:p>
      <w:pPr>
        <w:spacing w:after="0" w:line="22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policy has been to leave our cumulative unremitted foreign earnings invested indefinitely outside the United States, and we intend to continue this policy. Although distributions to the U.S. are generally not subject to U.S. federal taxes,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functional currency of non-U.S. entities is translated into U.S.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Gains or losses resulting from transactions denominated in foreign currencies are included in other income or expense, within the Consolidated Statements of Operations and were as follows: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700" w:type="dxa"/>
            <w:vAlign w:val="bottom"/>
          </w:tcPr>
          <w:p>
            <w:pPr>
              <w:spacing w:after="0"/>
              <w:rPr>
                <w:sz w:val="20"/>
                <w:szCs w:val="20"/>
                <w:color w:val="auto"/>
              </w:rPr>
            </w:pPr>
          </w:p>
        </w:tc>
        <w:tc>
          <w:tcPr>
            <w:tcW w:w="44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Twelve Months Ended December 31,</w:t>
            </w:r>
          </w:p>
        </w:tc>
      </w:tr>
      <w:tr>
        <w:trPr>
          <w:trHeight w:val="220"/>
        </w:trPr>
        <w:tc>
          <w:tcPr>
            <w:tcW w:w="67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foreign currency translations</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and losses on available-for-sale securities. The components of comprehensive income are included in the Consolidated Statements of Comprehensive Income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Basic EPS is computed based upon the weighted average number of common shares outstanding for the year, excluding amounts associated with restricted shares.</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Diluted EPS is computed based upon the weighted average number of common shares outstanding for the year plus the potential dilutive effect of common stock equivalents using the treasury stock method and the average market price of the Company’s common stock for the year. The potential dilutive effect of common stock includes stock options, convertible debt and unvested restricted stock. The dilutive effects of stock options and restricted stock awards are based on the treasury stock method. The dilutive effect of the assumed conversion of convertible debt is determined using the if-converted method. The after-tax effect of interest expense related to the convertible securities is added back to net income, and the convertible debt is assumed to have been converted into common shares at the beginning of the period.</w:t>
      </w:r>
    </w:p>
    <w:p>
      <w:pPr>
        <w:spacing w:after="0" w:line="22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the Company maintains three stock-based compensation plans.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utilizes the Black-Scholes pricing model to determine the fair value of stock options on the dates of grant. Restricted stock awards are measured based on the fair market values of the underlying stock on the dates of grant. The Company recognizes stock-based compensation over the requisite service period with an offsetting credit to additional paid-in capital.</w:t>
      </w:r>
    </w:p>
    <w:p>
      <w:pPr>
        <w:spacing w:after="0" w:line="21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For the Company’s performance restricted stock awards and units, the Company estimates the number of shares the recipient is to receive by applying a probability of achieving the performance goals. The actual number of shares the recipient receives is determined at the end of the performance period based on the results achieved versus goals based on the performance targets, such as revenues and earnings before interest, tax, depreciation and amortization (“EBITDA”) after certain adjustments, and Total Shareholder Return (TSR). The compensation cost is recognized using straight line method over the requisite service period for each vesting tranche. Performance based stock awards are measured at the closing stock price on the grant date and are recognized straight line over the requisite service period. Performance based cash units are measured at the closing stock price at the reporting period end date and are recognized straight line over the requisite service period.</w:t>
      </w:r>
    </w:p>
    <w:p>
      <w:pPr>
        <w:spacing w:after="0" w:line="206"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Use of a valuation model requires management to make certain assumptions with respect to selected model inputs. Expected volatility was calculated based on historical information of the Company’s stock. The average expected life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determined using historical stock option exercise activity. The risk-free interest rate is based on U.S. Treasury zero-coupon issues with a remaining term equal to the expected life assumed at the date of grant. The Company has never declared or paid cash dividends on the common equity and does not anticipate paying any cash dividends on the common equity in the foreseeable future. Forfeitures are accounted for as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45" w:lineRule="exact"/>
        <w:rPr>
          <w:sz w:val="20"/>
          <w:szCs w:val="20"/>
          <w:color w:val="auto"/>
        </w:rPr>
      </w:pPr>
    </w:p>
    <w:p>
      <w:pPr>
        <w:jc w:val="both"/>
        <w:ind w:firstLine="319"/>
        <w:spacing w:after="0" w:line="215" w:lineRule="exact"/>
        <w:rPr>
          <w:sz w:val="20"/>
          <w:szCs w:val="20"/>
          <w:color w:val="auto"/>
        </w:rPr>
      </w:pPr>
      <w:r>
        <w:rPr>
          <w:rFonts w:ascii="Arial" w:cs="Arial" w:eastAsia="Arial" w:hAnsi="Arial"/>
          <w:sz w:val="18"/>
          <w:szCs w:val="18"/>
          <w:color w:val="auto"/>
        </w:rPr>
        <w:t>The Company’s chief operating decision</w:t>
      </w:r>
      <w:r>
        <w:rPr>
          <w:rFonts w:ascii="MS PGothic" w:cs="MS PGothic" w:eastAsia="MS PGothic" w:hAnsi="MS PGothic"/>
          <w:sz w:val="18"/>
          <w:szCs w:val="18"/>
          <w:color w:val="auto"/>
        </w:rPr>
        <w:t>‑</w:t>
      </w:r>
      <w:r>
        <w:rPr>
          <w:rFonts w:ascii="Arial" w:cs="Arial" w:eastAsia="Arial" w:hAnsi="Arial"/>
          <w:sz w:val="18"/>
          <w:szCs w:val="18"/>
          <w:color w:val="auto"/>
        </w:rPr>
        <w:t>maker is the Chief Executive Officer. The Company operates and offers various products in North America, Europe and Asia</w:t>
      </w:r>
      <w:r>
        <w:rPr>
          <w:rFonts w:ascii="MS PGothic" w:cs="MS PGothic" w:eastAsia="MS PGothic" w:hAnsi="MS PGothic"/>
          <w:sz w:val="18"/>
          <w:szCs w:val="18"/>
          <w:color w:val="auto"/>
        </w:rPr>
        <w:t>‑</w:t>
      </w:r>
      <w:r>
        <w:rPr>
          <w:rFonts w:ascii="Arial" w:cs="Arial" w:eastAsia="Arial" w:hAnsi="Arial"/>
          <w:sz w:val="18"/>
          <w:szCs w:val="18"/>
          <w:color w:val="auto"/>
        </w:rPr>
        <w:t>Pacific with the majority of the Company’s revenue and assets in the U.S. The Company assessed its current structure and operations and determined it has one reportable segment as the business is managed and assessed by the chief operating decision-maker based on the consolidated results of the organization.</w:t>
      </w:r>
    </w:p>
    <w:p>
      <w:pPr>
        <w:spacing w:after="0" w:line="23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Revenues by geography are based on the billing addresses of the Company’s customers. The following tables set forth revenues and property and equipment, net by geographic area:</w:t>
      </w:r>
    </w:p>
    <w:p>
      <w:pPr>
        <w:spacing w:after="0" w:line="12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Year Ended December 31,</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200,086</w:t>
            </w:r>
          </w:p>
        </w:tc>
        <w:tc>
          <w:tcPr>
            <w:tcW w:w="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225,433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228,639</w:t>
            </w:r>
          </w:p>
        </w:tc>
      </w:tr>
      <w:tr>
        <w:trPr>
          <w:trHeight w:val="226"/>
        </w:trPr>
        <w:tc>
          <w:tcPr>
            <w:tcW w:w="20" w:type="dxa"/>
            <w:vAlign w:val="bottom"/>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63,031</w:t>
            </w:r>
          </w:p>
        </w:tc>
      </w:tr>
      <w:tr>
        <w:trPr>
          <w:trHeight w:val="22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291,670</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6"/>
              </w:rPr>
              <w:t>Year Ended December 31,</w:t>
            </w:r>
          </w:p>
        </w:tc>
      </w:tr>
      <w:tr>
        <w:trPr>
          <w:trHeight w:val="220"/>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r>
      <w:tr>
        <w:trPr>
          <w:trHeight w:val="206"/>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Domestic</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26"/>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r>
      <w:tr>
        <w:trPr>
          <w:trHeight w:val="22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PPE,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9"/>
          </w:tcPr>
          <w:p>
            <w:pPr>
              <w:jc w:val="right"/>
              <w:ind w:right="26"/>
              <w:spacing w:after="0"/>
              <w:rPr>
                <w:sz w:val="20"/>
                <w:szCs w:val="20"/>
                <w:color w:val="auto"/>
              </w:rPr>
            </w:pPr>
            <w:r>
              <w:rPr>
                <w:rFonts w:ascii="Arial" w:cs="Arial" w:eastAsia="Arial" w:hAnsi="Arial"/>
                <w:sz w:val="14"/>
                <w:szCs w:val="14"/>
                <w:b w:val="1"/>
                <w:bCs w:val="1"/>
                <w:color w:val="auto"/>
              </w:rPr>
              <w:t>Twelve Months Ended December 31, 2022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Twelve Months Ended December 31, 2021</w:t>
            </w:r>
          </w:p>
        </w:tc>
        <w:tc>
          <w:tcPr>
            <w:tcW w:w="780" w:type="dxa"/>
            <w:vAlign w:val="bottom"/>
          </w:tcPr>
          <w:p>
            <w:pPr>
              <w:spacing w:after="0"/>
              <w:rPr>
                <w:sz w:val="16"/>
                <w:szCs w:val="16"/>
                <w:color w:val="auto"/>
              </w:rPr>
            </w:pPr>
          </w:p>
        </w:tc>
      </w:tr>
      <w:tr>
        <w:trPr>
          <w:trHeight w:val="24"/>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6"/>
        </w:trPr>
        <w:tc>
          <w:tcPr>
            <w:tcW w:w="2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Cloud</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Cloud</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Messaging</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19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Geography:</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0"/>
        </w:trPr>
        <w:tc>
          <w:tcPr>
            <w:tcW w:w="2500" w:type="dxa"/>
            <w:vAlign w:val="bottom"/>
          </w:tcPr>
          <w:p>
            <w:pPr>
              <w:ind w:left="22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155,296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35,535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9,255</w:t>
            </w:r>
          </w:p>
        </w:tc>
        <w:tc>
          <w:tcPr>
            <w:tcW w:w="10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200,086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158,283</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47,108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20,042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225,433</w:t>
            </w:r>
          </w:p>
        </w:tc>
      </w:tr>
      <w:tr>
        <w:trPr>
          <w:trHeight w:val="215"/>
        </w:trPr>
        <w:tc>
          <w:tcPr>
            <w:tcW w:w="2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32,572</w:t>
            </w:r>
          </w:p>
        </w:tc>
      </w:tr>
      <w:tr>
        <w:trPr>
          <w:trHeight w:val="210"/>
        </w:trPr>
        <w:tc>
          <w:tcPr>
            <w:tcW w:w="2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22,610</w:t>
            </w: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280,615</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Line: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250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14,278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10,080</w:t>
            </w:r>
          </w:p>
        </w:tc>
        <w:tc>
          <w:tcPr>
            <w:tcW w:w="10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28,428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15,131</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12,477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36,852</w:t>
            </w:r>
          </w:p>
        </w:tc>
      </w:tr>
      <w:tr>
        <w:trPr>
          <w:trHeight w:val="215"/>
        </w:trPr>
        <w:tc>
          <w:tcPr>
            <w:tcW w:w="2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12,585</w:t>
            </w:r>
          </w:p>
        </w:tc>
      </w:tr>
      <w:tr>
        <w:trPr>
          <w:trHeight w:val="210"/>
        </w:trPr>
        <w:tc>
          <w:tcPr>
            <w:tcW w:w="250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223,171</w:t>
            </w:r>
          </w:p>
        </w:tc>
      </w:tr>
      <w:tr>
        <w:trPr>
          <w:trHeight w:val="213"/>
        </w:trPr>
        <w:tc>
          <w:tcPr>
            <w:tcW w:w="2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8,007</w:t>
            </w: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163,331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48,959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252,628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165,982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60,177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280,615</w:t>
            </w: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at December 31, 2022 is $15.5 million.</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9720" w:type="dxa"/>
            <w:vAlign w:val="bottom"/>
          </w:tcPr>
          <w:p>
            <w:pPr>
              <w:ind w:left="28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1"/>
        </w:trPr>
        <w:tc>
          <w:tcPr>
            <w:tcW w:w="9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11"/>
              <w:spacing w:after="0" w:line="201" w:lineRule="exact"/>
              <w:rPr>
                <w:sz w:val="20"/>
                <w:szCs w:val="20"/>
                <w:color w:val="auto"/>
              </w:rPr>
            </w:pPr>
            <w:r>
              <w:rPr>
                <w:rFonts w:ascii="Arial" w:cs="Arial" w:eastAsia="Arial" w:hAnsi="Arial"/>
                <w:sz w:val="18"/>
                <w:szCs w:val="18"/>
                <w:b w:val="1"/>
                <w:bCs w:val="1"/>
                <w:color w:val="auto"/>
              </w:rPr>
              <w:t>Contract</w:t>
            </w:r>
          </w:p>
        </w:tc>
      </w:tr>
      <w:tr>
        <w:trPr>
          <w:trHeight w:val="239"/>
        </w:trPr>
        <w:tc>
          <w:tcPr>
            <w:tcW w:w="9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1"/>
              <w:spacing w:after="0" w:line="240"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3"/>
                <w:szCs w:val="23"/>
                <w:b w:val="1"/>
                <w:bCs w:val="1"/>
                <w:color w:val="auto"/>
                <w:vertAlign w:val="superscript"/>
              </w:rPr>
              <w:t>1</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2022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r>
      <w:tr>
        <w:trPr>
          <w:trHeight w:val="225"/>
        </w:trPr>
        <w:tc>
          <w:tcPr>
            <w:tcW w:w="9720" w:type="dxa"/>
            <w:vAlign w:val="bottom"/>
          </w:tcPr>
          <w:p>
            <w:pPr>
              <w:ind w:left="240"/>
              <w:spacing w:after="0"/>
              <w:rPr>
                <w:sz w:val="20"/>
                <w:szCs w:val="20"/>
                <w:color w:val="auto"/>
              </w:rPr>
            </w:pPr>
            <w:r>
              <w:rPr>
                <w:rFonts w:ascii="Arial" w:cs="Arial" w:eastAsia="Arial" w:hAnsi="Arial"/>
                <w:sz w:val="18"/>
                <w:szCs w:val="18"/>
                <w:color w:val="auto"/>
              </w:rPr>
              <w:t>Revenue recognized in the period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(253,822)</w:t>
            </w:r>
          </w:p>
        </w:tc>
      </w:tr>
      <w:tr>
        <w:trPr>
          <w:trHeight w:val="226"/>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billed but not recognized as revenue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245,089</w:t>
            </w:r>
          </w:p>
        </w:tc>
      </w:tr>
      <w:tr>
        <w:trPr>
          <w:trHeight w:val="220"/>
        </w:trPr>
        <w:tc>
          <w:tcPr>
            <w:tcW w:w="9720" w:type="dxa"/>
            <w:vAlign w:val="bottom"/>
          </w:tcPr>
          <w:p>
            <w:pPr>
              <w:ind w:left="20"/>
              <w:spacing w:after="0"/>
              <w:rPr>
                <w:sz w:val="20"/>
                <w:szCs w:val="20"/>
                <w:color w:val="auto"/>
              </w:rPr>
            </w:pPr>
            <w:r>
              <w:rPr>
                <w:rFonts w:ascii="Arial" w:cs="Arial" w:eastAsia="Arial" w:hAnsi="Arial"/>
                <w:sz w:val="18"/>
                <w:szCs w:val="18"/>
                <w:color w:val="auto"/>
              </w:rPr>
              <w:t>Balance - December 31, 2022</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14,183</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1" w:lineRule="exact"/>
        <w:rPr>
          <w:sz w:val="20"/>
          <w:szCs w:val="20"/>
          <w:color w:val="auto"/>
        </w:rPr>
      </w:pPr>
    </w:p>
    <w:p>
      <w:pPr>
        <w:ind w:left="220" w:hanging="214"/>
        <w:spacing w:after="0"/>
        <w:tabs>
          <w:tab w:leader="none" w:pos="22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Comprised of deferred revenue.</w:t>
      </w:r>
    </w:p>
    <w:p>
      <w:pPr>
        <w:spacing w:after="0" w:line="23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Revenues recognized during the year ended December 31, 2022 for performance obligations satisfied or partially satisfied in previous periods were immaterial.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For contracts that have a duration of less than one year, the Company follows a Topic 606 practical expedient and expenses these costs over the estimated customer life, because it does not pay commissions upon renewals that are commensurate with the initial contract. During the year ended December 31, 2022, the amount of amortization was immaterial and there was no impairment in relation to costs capitalized.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As of December 31, 2022 and 2021, the Company had $1.7 million and $1.5 million of capitalized contract fulfillment costs,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45" w:lineRule="exact"/>
        <w:rPr>
          <w:sz w:val="20"/>
          <w:szCs w:val="20"/>
          <w:color w:val="auto"/>
        </w:rPr>
      </w:pPr>
    </w:p>
    <w:p>
      <w:pPr>
        <w:jc w:val="both"/>
        <w:ind w:right="20" w:firstLine="319"/>
        <w:spacing w:after="0" w:line="329"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December 31, 2022. The Company has elected not to disclose transaction price allocated to remaining performance obligations for:</w:t>
      </w:r>
    </w:p>
    <w:p>
      <w:pPr>
        <w:spacing w:after="0" w:line="160" w:lineRule="exact"/>
        <w:rPr>
          <w:sz w:val="20"/>
          <w:szCs w:val="20"/>
          <w:color w:val="auto"/>
        </w:rPr>
      </w:pPr>
    </w:p>
    <w:p>
      <w:pPr>
        <w:ind w:left="640" w:hanging="315"/>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9" w:lineRule="exact"/>
        <w:rPr>
          <w:rFonts w:ascii="Arial" w:cs="Arial" w:eastAsia="Arial" w:hAnsi="Arial"/>
          <w:sz w:val="16"/>
          <w:szCs w:val="16"/>
          <w:color w:val="auto"/>
        </w:rPr>
      </w:pPr>
    </w:p>
    <w:p>
      <w:pPr>
        <w:ind w:left="640" w:hanging="315"/>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5" w:lineRule="exact"/>
        <w:rPr>
          <w:rFonts w:ascii="Arial" w:cs="Arial" w:eastAsia="Arial" w:hAnsi="Arial"/>
          <w:sz w:val="18"/>
          <w:szCs w:val="18"/>
          <w:color w:val="auto"/>
        </w:rPr>
      </w:pPr>
    </w:p>
    <w:p>
      <w:pPr>
        <w:jc w:val="both"/>
        <w:ind w:left="640" w:hanging="315"/>
        <w:spacing w:after="0" w:line="24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Company’s remaining performance obligations, all of which will be resolved in the period in which amounts are known:</w:t>
      </w:r>
    </w:p>
    <w:p>
      <w:pPr>
        <w:spacing w:after="0" w:line="234" w:lineRule="exact"/>
        <w:rPr>
          <w:sz w:val="20"/>
          <w:szCs w:val="20"/>
          <w:color w:val="auto"/>
        </w:rPr>
      </w:pPr>
    </w:p>
    <w:p>
      <w:pPr>
        <w:ind w:left="1280" w:hanging="396"/>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16" w:lineRule="exact"/>
        <w:rPr>
          <w:rFonts w:ascii="Arial" w:cs="Arial" w:eastAsia="Arial" w:hAnsi="Arial"/>
          <w:sz w:val="18"/>
          <w:szCs w:val="18"/>
          <w:color w:val="auto"/>
        </w:rPr>
      </w:pPr>
    </w:p>
    <w:p>
      <w:pPr>
        <w:ind w:left="1280" w:hanging="396"/>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third-party data;</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2022, the aggregate amount of transaction price allocated to remaining performance obligations, other than those meeting the exclusion criteria above, was $110.9 million, of which approximately 93.28% is expected to be recognized as revenues within 2 years, and the remainder thereafter.</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Credit Losses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Effective January 1, 2020, the Company adopted ASU 2016-13, “Financial Instruments – Credit Losses (Topic 326): Measurement of Credit Losses on Financial Instruments,” prospectively. ASU 2016-13 replaces the incurred loss impairment model with an expected credit loss impairment model for financial instruments, including trade receivables. The guidance requires entities to consider forward-looking information to estimate expected credit losses, resulting in earlier recognition of losses for receivables that are current or not yet due.</w:t>
      </w:r>
    </w:p>
    <w:p>
      <w:pPr>
        <w:spacing w:after="0" w:line="21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accounts receivable balance on the Company’s consolidated balance sheet as of December 31, 2022 was $47.0 million, net of $0.4 million of allowances. Changes in the allowance were not material for the year ended December 31, 2022. The following table provides a roll-forward of the allowance for credit losses that is deducted from the amortized cost basis of accounts receivable to present the net amount expected to be collected: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Allowance for</w:t>
            </w:r>
          </w:p>
        </w:tc>
      </w:tr>
      <w:tr>
        <w:trPr>
          <w:trHeight w:val="235"/>
        </w:trPr>
        <w:tc>
          <w:tcPr>
            <w:tcW w:w="9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1"/>
              </w:rPr>
              <w:t>credit losses</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811"/>
              <w:spacing w:after="0"/>
              <w:rPr>
                <w:sz w:val="20"/>
                <w:szCs w:val="20"/>
                <w:color w:val="auto"/>
              </w:rPr>
            </w:pPr>
            <w:r>
              <w:rPr>
                <w:rFonts w:ascii="Arial" w:cs="Arial" w:eastAsia="Arial" w:hAnsi="Arial"/>
                <w:sz w:val="18"/>
                <w:szCs w:val="18"/>
                <w:color w:val="auto"/>
                <w:w w:val="93"/>
              </w:rPr>
              <w:t>478</w:t>
            </w:r>
          </w:p>
        </w:tc>
      </w:tr>
      <w:tr>
        <w:trPr>
          <w:trHeight w:val="225"/>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period change for expected credit losses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0"/>
              </w:rPr>
              <w:t>(110)</w:t>
            </w:r>
          </w:p>
        </w:tc>
      </w:tr>
      <w:tr>
        <w:trPr>
          <w:trHeight w:val="245"/>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811"/>
              <w:spacing w:after="0"/>
              <w:rPr>
                <w:sz w:val="20"/>
                <w:szCs w:val="20"/>
                <w:color w:val="auto"/>
              </w:rPr>
            </w:pPr>
            <w:r>
              <w:rPr>
                <w:rFonts w:ascii="Arial" w:cs="Arial" w:eastAsia="Arial" w:hAnsi="Arial"/>
                <w:sz w:val="18"/>
                <w:szCs w:val="18"/>
                <w:color w:val="auto"/>
                <w:w w:val="93"/>
              </w:rPr>
              <w:t>368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15"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16" w:lineRule="exact"/>
        <w:rPr>
          <w:rFonts w:ascii="Arial" w:cs="Arial" w:eastAsia="Arial" w:hAnsi="Arial"/>
          <w:sz w:val="18"/>
          <w:szCs w:val="18"/>
          <w:color w:val="auto"/>
        </w:rPr>
      </w:pPr>
    </w:p>
    <w:p>
      <w:pPr>
        <w:jc w:val="both"/>
        <w:ind w:left="320" w:hanging="314"/>
        <w:spacing w:after="0" w:line="246" w:lineRule="auto"/>
        <w:tabs>
          <w:tab w:leader="none" w:pos="3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20" w:hanging="314"/>
        <w:spacing w:after="0" w:line="253" w:lineRule="auto"/>
        <w:tabs>
          <w:tab w:leader="none" w:pos="3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6"/>
        </w:trPr>
        <w:tc>
          <w:tcPr>
            <w:tcW w:w="52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11"/>
              <w:spacing w:after="0" w:line="194"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21,921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21,921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1"/>
              <w:spacing w:after="0" w:line="194" w:lineRule="exact"/>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1"/>
              <w:spacing w:after="0" w:line="194"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Temporary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9"/>
        </w:trPr>
        <w:tc>
          <w:tcPr>
            <w:tcW w:w="5240" w:type="dxa"/>
            <w:vAlign w:val="bottom"/>
          </w:tcPr>
          <w:p>
            <w:pPr>
              <w:ind w:left="20"/>
              <w:spacing w:after="0"/>
              <w:rPr>
                <w:sz w:val="20"/>
                <w:szCs w:val="20"/>
                <w:color w:val="auto"/>
              </w:rPr>
            </w:pPr>
            <w:r>
              <w:rPr>
                <w:rFonts w:ascii="Arial" w:cs="Arial" w:eastAsia="Arial" w:hAnsi="Arial"/>
                <w:sz w:val="18"/>
                <w:szCs w:val="18"/>
                <w:color w:val="auto"/>
              </w:rPr>
              <w:t>Total temporary equity</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1"/>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11"/>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6"/>
        </w:trPr>
        <w:tc>
          <w:tcPr>
            <w:tcW w:w="52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31,504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31,504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1"/>
              <w:spacing w:after="0" w:line="194"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Temporary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9"/>
        </w:trPr>
        <w:tc>
          <w:tcPr>
            <w:tcW w:w="5240" w:type="dxa"/>
            <w:vAlign w:val="bottom"/>
          </w:tcPr>
          <w:p>
            <w:pPr>
              <w:ind w:left="20"/>
              <w:spacing w:after="0"/>
              <w:rPr>
                <w:sz w:val="20"/>
                <w:szCs w:val="20"/>
                <w:color w:val="auto"/>
              </w:rPr>
            </w:pPr>
            <w:r>
              <w:rPr>
                <w:rFonts w:ascii="Arial" w:cs="Arial" w:eastAsia="Arial" w:hAnsi="Arial"/>
                <w:sz w:val="18"/>
                <w:szCs w:val="18"/>
                <w:color w:val="auto"/>
              </w:rPr>
              <w:t>Total temporary equity</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64" w:lineRule="exact"/>
        <w:rPr>
          <w:sz w:val="20"/>
          <w:szCs w:val="20"/>
          <w:color w:val="auto"/>
        </w:rPr>
      </w:pPr>
    </w:p>
    <w:p>
      <w:pPr>
        <w:ind w:left="160" w:hanging="154"/>
        <w:spacing w:after="0"/>
        <w:tabs>
          <w:tab w:leader="none" w:pos="160"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Put arrangements held by the noncontrolling interests in certain of the Company’s joint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Consolidated Balance Sheets.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year ended December 31, 2022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5"/>
              <w:spacing w:after="0"/>
              <w:rPr>
                <w:sz w:val="20"/>
                <w:szCs w:val="20"/>
                <w:color w:val="auto"/>
              </w:rPr>
            </w:pPr>
            <w:r>
              <w:rPr>
                <w:rFonts w:ascii="Arial" w:cs="Arial" w:eastAsia="Arial" w:hAnsi="Arial"/>
                <w:sz w:val="16"/>
                <w:szCs w:val="16"/>
                <w:b w:val="1"/>
                <w:bCs w:val="1"/>
                <w:color w:val="auto"/>
                <w:w w:val="86"/>
              </w:rPr>
              <w:t>Redeemable</w:t>
            </w:r>
          </w:p>
        </w:tc>
      </w:tr>
      <w:tr>
        <w:trPr>
          <w:trHeight w:val="160"/>
        </w:trPr>
        <w:tc>
          <w:tcPr>
            <w:tcW w:w="9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5"/>
              <w:spacing w:after="0" w:line="160" w:lineRule="exact"/>
              <w:rPr>
                <w:sz w:val="20"/>
                <w:szCs w:val="20"/>
                <w:color w:val="auto"/>
              </w:rPr>
            </w:pPr>
            <w:r>
              <w:rPr>
                <w:rFonts w:ascii="Arial" w:cs="Arial" w:eastAsia="Arial" w:hAnsi="Arial"/>
                <w:sz w:val="16"/>
                <w:szCs w:val="16"/>
                <w:b w:val="1"/>
                <w:bCs w:val="1"/>
                <w:color w:val="auto"/>
                <w:w w:val="87"/>
              </w:rPr>
              <w:t>noncontrolling</w:t>
            </w:r>
          </w:p>
        </w:tc>
      </w:tr>
      <w:tr>
        <w:trPr>
          <w:trHeight w:val="210"/>
        </w:trPr>
        <w:tc>
          <w:tcPr>
            <w:tcW w:w="9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6"/>
              </w:rPr>
              <w:t>interests</w:t>
            </w:r>
          </w:p>
        </w:tc>
      </w:tr>
      <w:tr>
        <w:trPr>
          <w:trHeight w:val="222"/>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5"/>
        </w:trPr>
        <w:tc>
          <w:tcPr>
            <w:tcW w:w="9780" w:type="dxa"/>
            <w:vAlign w:val="bottom"/>
          </w:tcPr>
          <w:p>
            <w:pPr>
              <w:ind w:left="220"/>
              <w:spacing w:after="0"/>
              <w:rPr>
                <w:sz w:val="20"/>
                <w:szCs w:val="20"/>
                <w:color w:val="auto"/>
              </w:rPr>
            </w:pPr>
            <w:r>
              <w:rPr>
                <w:rFonts w:ascii="Arial" w:cs="Arial" w:eastAsia="Arial" w:hAnsi="Arial"/>
                <w:sz w:val="18"/>
                <w:szCs w:val="18"/>
                <w:color w:val="auto"/>
              </w:rPr>
              <w:t>Fair value adjustment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6"/>
        </w:trPr>
        <w:tc>
          <w:tcPr>
            <w:tcW w:w="9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attributable to 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0"/>
        </w:trPr>
        <w:tc>
          <w:tcPr>
            <w:tcW w:w="97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21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The Note has been reflected in Loan Receivable on the Consolidated balance sheet. No gain or loss was recognized as a result of the transaction. As of December 31, 2022 the Company reassessed the fair value of the note and there were no material changes.</w:t>
      </w:r>
    </w:p>
    <w:p>
      <w:pPr>
        <w:spacing w:after="0" w:line="19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connection with the PIK note, the Company recorded a CECL adjustment of $0.8 million which offset the current year accretion of the interest of $0.8 million.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52"/>
        </w:trPr>
        <w:tc>
          <w:tcPr>
            <w:tcW w:w="40" w:type="dxa"/>
            <w:vAlign w:val="bottom"/>
          </w:tcPr>
          <w:p>
            <w:pPr>
              <w:spacing w:after="0"/>
              <w:rPr>
                <w:sz w:val="24"/>
                <w:szCs w:val="24"/>
                <w:color w:val="auto"/>
              </w:rPr>
            </w:pPr>
          </w:p>
        </w:tc>
        <w:tc>
          <w:tcPr>
            <w:tcW w:w="8200" w:type="dxa"/>
            <w:vAlign w:val="bottom"/>
          </w:tcPr>
          <w:p>
            <w:pPr>
              <w:ind w:left="280"/>
              <w:spacing w:after="0"/>
              <w:rPr>
                <w:sz w:val="20"/>
                <w:szCs w:val="20"/>
                <w:color w:val="auto"/>
              </w:rPr>
            </w:pPr>
            <w:r>
              <w:rPr>
                <w:rFonts w:ascii="Arial" w:cs="Arial" w:eastAsia="Arial" w:hAnsi="Arial"/>
                <w:sz w:val="18"/>
                <w:szCs w:val="18"/>
                <w:color w:val="auto"/>
              </w:rPr>
              <w:t>Property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4"/>
              </w:rPr>
              <w:t>2021</w:t>
            </w:r>
          </w:p>
        </w:tc>
      </w:tr>
      <w:tr>
        <w:trPr>
          <w:trHeight w:val="21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178,619</w:t>
            </w:r>
          </w:p>
        </w:tc>
      </w:tr>
      <w:tr>
        <w:trPr>
          <w:trHeight w:val="225"/>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52,061</w:t>
            </w:r>
          </w:p>
        </w:tc>
      </w:tr>
      <w:tr>
        <w:trPr>
          <w:trHeight w:val="227"/>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25"/>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Finance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7"/>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r>
      <w:tr>
        <w:trPr>
          <w:trHeight w:val="219"/>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255,727</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(248,748)</w:t>
            </w:r>
          </w:p>
        </w:tc>
      </w:tr>
      <w:tr>
        <w:trPr>
          <w:trHeight w:val="220"/>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w:t>
            </w:r>
          </w:p>
        </w:tc>
      </w:tr>
      <w:tr>
        <w:trPr>
          <w:trHeight w:val="20"/>
        </w:trPr>
        <w:tc>
          <w:tcPr>
            <w:tcW w:w="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Depreciation expense was approximately $3.6 million, $6.5 million and $15.6 million for the year ended December 31, 2022, 2021, and 2020, respectively. Amortization of property and equipment recorded under capital leases are included in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records goodwill which represents the excess of the purchase price over the fair value of assets acquired, including other definite-lived intangible assets. Goodwill is reviewed annually for impairment or upon the occurrence of events or changes in circumstances that would more likely than not reduce the fair value of the reporting unit below its carrying amount.</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9680" w:type="dxa"/>
            <w:vAlign w:val="bottom"/>
          </w:tcPr>
          <w:p>
            <w:pPr>
              <w:ind w:left="260"/>
              <w:spacing w:after="0"/>
              <w:rPr>
                <w:sz w:val="20"/>
                <w:szCs w:val="20"/>
                <w:color w:val="auto"/>
              </w:rPr>
            </w:pPr>
            <w:r>
              <w:rPr>
                <w:rFonts w:ascii="Arial" w:cs="Arial" w:eastAsia="Arial" w:hAnsi="Arial"/>
                <w:sz w:val="18"/>
                <w:szCs w:val="18"/>
                <w:color w:val="auto"/>
              </w:rPr>
              <w:t>The following table shows the adjustments to goodwill during 2022 and 2021: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73"/>
        </w:trPr>
        <w:tc>
          <w:tcPr>
            <w:tcW w:w="9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Goodwill</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232,771</w:t>
            </w:r>
          </w:p>
        </w:tc>
      </w:tr>
      <w:tr>
        <w:trPr>
          <w:trHeight w:val="225"/>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adjustments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224,577</w:t>
            </w: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0"/>
        <w:spacing w:after="0"/>
        <w:rPr>
          <w:sz w:val="20"/>
          <w:szCs w:val="20"/>
          <w:color w:val="auto"/>
        </w:rPr>
      </w:pPr>
      <w:r>
        <w:rPr>
          <w:rFonts w:ascii="Arial" w:cs="Arial" w:eastAsia="Arial" w:hAnsi="Arial"/>
          <w:sz w:val="16"/>
          <w:szCs w:val="16"/>
          <w:color w:val="auto"/>
        </w:rPr>
        <w:t>Goodwill allocated to the sale of DXP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26035</wp:posOffset>
            </wp:positionV>
            <wp:extent cx="7075170" cy="143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75170" cy="143510"/>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Translation adjustments</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(7,567)</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9290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12" w:lineRule="exact"/>
        <w:rPr>
          <w:sz w:val="20"/>
          <w:szCs w:val="20"/>
          <w:color w:val="auto"/>
        </w:rPr>
      </w:pPr>
    </w:p>
    <w:p>
      <w:pPr>
        <w:ind w:left="790" w:hanging="790"/>
        <w:spacing w:after="0"/>
        <w:tabs>
          <w:tab w:leader="none" w:pos="790" w:val="left"/>
        </w:tabs>
        <w:numPr>
          <w:ilvl w:val="0"/>
          <w:numId w:val="44"/>
        </w:numPr>
        <w:rPr>
          <w:rFonts w:ascii="Arial" w:cs="Arial" w:eastAsia="Arial" w:hAnsi="Arial"/>
          <w:sz w:val="17"/>
          <w:szCs w:val="17"/>
          <w:color w:val="auto"/>
        </w:rPr>
      </w:pPr>
      <w:r>
        <w:rPr>
          <w:rFonts w:ascii="Arial" w:cs="Arial" w:eastAsia="Arial" w:hAnsi="Arial"/>
          <w:sz w:val="17"/>
          <w:szCs w:val="17"/>
          <w:color w:val="auto"/>
        </w:rPr>
        <w:t>210,889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19050</wp:posOffset>
            </wp:positionV>
            <wp:extent cx="9290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2900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44450</wp:posOffset>
            </wp:positionV>
            <wp:extent cx="9290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30" w:space="720"/>
            <w:col w:w="1490"/>
          </w:cols>
          <w:pgMar w:left="320" w:top="127" w:right="339" w:bottom="1440" w:gutter="0" w:footer="0" w:header="0"/>
          <w:type w:val="continuous"/>
        </w:sectPr>
      </w:pPr>
    </w:p>
    <w:p>
      <w:pPr>
        <w:spacing w:after="0" w:line="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When performing its annual impairment test, the Company compares the fair value of each reporting unit to its carrying amount with the fair values derived from the market approach and the income approach. Under the market approach, the Company estimates fair value based on market multiples of revenue and earnings derived from comparable publicly-traded companies with similar operating and investment characteristics as the reporting unit. The Company weights the fair value derived from the market approach depending on the level of comparability of these publicly-traded companies to the reporting unit. When market comparables are not meaningful or not available, the Company estimates the fair value of a reporting unit using only the income approach. Under the income approach, the Company estimates the fair value of a reporting unit based on the present value of estimated future cash flows. The Company bases cash flow projections on management’s estimates of revenue growth rates and operating margins, taking into consideration industry and market conditions. The Company bases the discount rate on the weighted-average cost of capital adjusted for the relevant risk associated with business-specific characteristics and the uncertainty related to the reporting unit’s ability to execute on the projected cash flows.</w:t>
      </w:r>
    </w:p>
    <w:p>
      <w:pPr>
        <w:spacing w:after="0" w:line="19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In order to assess the reasonableness of the estimated fair value of the Company’s reporting units,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 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recognized no impairment charges to its goodwill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Company’s intangible assets with definite lives consist primarily of technology, capitalized software, trade names, and customer lists and relationships. These intangible assets are being amortized on the straight-line method over the estimated useful lives of the assets. Amortization expense related to intangible assets for the years ended December 31, 2022, 2021 and 2020 was $28.1 million, $28.3 million and $27.0 million, respectively.</w:t>
      </w:r>
    </w:p>
    <w:p>
      <w:pPr>
        <w:spacing w:after="0" w:line="181"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The Company recognized impairment charges to its intangible assets of nil, $1.3 million and $0.9 million for the years ended December 31, 2022, 2021 and 2020 respectively. The Company includes these impairments within depreciation and amortization in its Consolidated Statements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760" w:type="dxa"/>
            <w:vAlign w:val="bottom"/>
          </w:tcPr>
          <w:p>
            <w:pPr>
              <w:ind w:left="300"/>
              <w:spacing w:after="0"/>
              <w:rPr>
                <w:sz w:val="20"/>
                <w:szCs w:val="20"/>
                <w:color w:val="auto"/>
              </w:rPr>
            </w:pPr>
            <w:r>
              <w:rPr>
                <w:rFonts w:ascii="Arial" w:cs="Arial" w:eastAsia="Arial" w:hAnsi="Arial"/>
                <w:sz w:val="18"/>
                <w:szCs w:val="18"/>
                <w:color w:val="auto"/>
              </w:rPr>
              <w:t>The Company’s intangible assets consist of the following:</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3"/>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1"/>
              </w:rPr>
              <w:t>December 31, 2022</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ind w:left="80"/>
              <w:spacing w:after="0" w:line="175"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Borders>
              <w:top w:val="single" w:sz="8" w:color="auto"/>
            </w:tcBorders>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Customer lists and relationships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(102,271)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15,751</w:t>
            </w: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software and patents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31,063</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Trade name</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(263,359)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47,536</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December 31, 2021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ind w:left="60"/>
              <w:spacing w:after="0" w:line="175"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r>
      <w:tr>
        <w:trPr>
          <w:trHeight w:val="220"/>
        </w:trPr>
        <w:tc>
          <w:tcPr>
            <w:tcW w:w="20" w:type="dxa"/>
            <w:vAlign w:val="bottom"/>
          </w:tcPr>
          <w:p>
            <w:pPr>
              <w:spacing w:after="0"/>
              <w:rPr>
                <w:sz w:val="19"/>
                <w:szCs w:val="19"/>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Customer lists and relationships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(103,385)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21,730</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software and patents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5"/>
        </w:trPr>
        <w:tc>
          <w:tcPr>
            <w:tcW w:w="20" w:type="dxa"/>
            <w:vAlign w:val="bottom"/>
          </w:tcPr>
          <w:p>
            <w:pPr>
              <w:spacing w:after="0"/>
              <w:rPr>
                <w:sz w:val="20"/>
                <w:szCs w:val="20"/>
                <w:color w:val="auto"/>
              </w:rPr>
            </w:pPr>
          </w:p>
        </w:tc>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60,335</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7260" w:type="dxa"/>
            <w:vAlign w:val="bottom"/>
            <w:gridSpan w:val="2"/>
          </w:tcPr>
          <w:p>
            <w:pPr>
              <w:ind w:left="300"/>
              <w:spacing w:after="0"/>
              <w:rPr>
                <w:sz w:val="20"/>
                <w:szCs w:val="20"/>
                <w:color w:val="auto"/>
              </w:rPr>
            </w:pPr>
            <w:r>
              <w:rPr>
                <w:rFonts w:ascii="Arial" w:cs="Arial" w:eastAsia="Arial" w:hAnsi="Arial"/>
                <w:sz w:val="18"/>
                <w:szCs w:val="18"/>
                <w:color w:val="auto"/>
                <w:w w:val="89"/>
              </w:rPr>
              <w:t>Estimated future amortization expense of its intangible assets for the next five years is as follows: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20" w:type="dxa"/>
            <w:vAlign w:val="bottom"/>
          </w:tcPr>
          <w:p>
            <w:pPr>
              <w:spacing w:after="0"/>
              <w:rPr>
                <w:sz w:val="24"/>
                <w:szCs w:val="24"/>
                <w:color w:val="auto"/>
              </w:rPr>
            </w:pPr>
          </w:p>
        </w:tc>
        <w:tc>
          <w:tcPr>
            <w:tcW w:w="6760" w:type="dxa"/>
            <w:vAlign w:val="bottom"/>
          </w:tcPr>
          <w:p>
            <w:pPr>
              <w:ind w:left="120"/>
              <w:spacing w:after="0"/>
              <w:rPr>
                <w:sz w:val="20"/>
                <w:szCs w:val="20"/>
                <w:color w:val="auto"/>
              </w:rPr>
            </w:pPr>
            <w:r>
              <w:rPr>
                <w:rFonts w:ascii="Arial" w:cs="Arial" w:eastAsia="Arial" w:hAnsi="Arial"/>
                <w:sz w:val="18"/>
                <w:szCs w:val="18"/>
                <w:b w:val="1"/>
                <w:bCs w:val="1"/>
                <w:color w:val="auto"/>
              </w:rPr>
              <w:t>Year ending December 31,</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6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w:t>
            </w:r>
          </w:p>
        </w:tc>
        <w:tc>
          <w:tcPr>
            <w:tcW w:w="20" w:type="dxa"/>
            <w:vAlign w:val="bottom"/>
            <w:shd w:val="clear" w:color="auto" w:fill="CCEEFF"/>
          </w:tcPr>
          <w:p>
            <w:pPr>
              <w:spacing w:after="0"/>
              <w:rPr>
                <w:sz w:val="19"/>
                <w:szCs w:val="19"/>
                <w:color w:val="auto"/>
              </w:rPr>
            </w:pPr>
          </w:p>
        </w:tc>
      </w:tr>
      <w:tr>
        <w:trPr>
          <w:trHeight w:val="225"/>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11,733</w:t>
            </w:r>
          </w:p>
        </w:tc>
        <w:tc>
          <w:tcPr>
            <w:tcW w:w="20" w:type="dxa"/>
            <w:vAlign w:val="bottom"/>
          </w:tcPr>
          <w:p>
            <w:pPr>
              <w:spacing w:after="0"/>
              <w:rPr>
                <w:sz w:val="19"/>
                <w:szCs w:val="19"/>
                <w:color w:val="auto"/>
              </w:rPr>
            </w:pPr>
          </w:p>
        </w:tc>
      </w:tr>
      <w:tr>
        <w:trPr>
          <w:trHeight w:val="227"/>
        </w:trPr>
        <w:tc>
          <w:tcPr>
            <w:tcW w:w="6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20" w:type="dxa"/>
            <w:vAlign w:val="bottom"/>
            <w:shd w:val="clear" w:color="auto" w:fill="CCEEFF"/>
          </w:tcPr>
          <w:p>
            <w:pPr>
              <w:spacing w:after="0"/>
              <w:rPr>
                <w:sz w:val="19"/>
                <w:szCs w:val="19"/>
                <w:color w:val="auto"/>
              </w:rPr>
            </w:pPr>
          </w:p>
        </w:tc>
      </w:tr>
      <w:tr>
        <w:trPr>
          <w:trHeight w:val="225"/>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9"/>
                <w:szCs w:val="19"/>
                <w:color w:val="auto"/>
              </w:rPr>
            </w:pPr>
          </w:p>
        </w:tc>
      </w:tr>
      <w:tr>
        <w:trPr>
          <w:trHeight w:val="227"/>
        </w:trPr>
        <w:tc>
          <w:tcPr>
            <w:tcW w:w="6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line="22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40,183</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54" w:lineRule="exact"/>
        <w:rPr>
          <w:sz w:val="20"/>
          <w:szCs w:val="20"/>
          <w:color w:val="auto"/>
        </w:rPr>
      </w:pPr>
    </w:p>
    <w:p>
      <w:pPr>
        <w:ind w:left="320" w:hanging="314"/>
        <w:spacing w:after="0" w:line="227" w:lineRule="auto"/>
        <w:tabs>
          <w:tab w:leader="none" w:pos="301"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As of December 31, 2022, the Company had $7.4 million of capitalized software costs that are currently in the development stage. Amortization of these costs will begin once the software projects are complete and ready for their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b w:val="1"/>
                <w:bCs w:val="1"/>
                <w:color w:val="auto"/>
              </w:rPr>
              <w:t>9. Accrued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52"/>
        </w:trPr>
        <w:tc>
          <w:tcPr>
            <w:tcW w:w="8280" w:type="dxa"/>
            <w:vAlign w:val="bottom"/>
          </w:tcPr>
          <w:p>
            <w:pPr>
              <w:ind w:left="320"/>
              <w:spacing w:after="0"/>
              <w:rPr>
                <w:sz w:val="20"/>
                <w:szCs w:val="20"/>
                <w:color w:val="auto"/>
              </w:rPr>
            </w:pPr>
            <w:r>
              <w:rPr>
                <w:rFonts w:ascii="Arial" w:cs="Arial" w:eastAsia="Arial" w:hAnsi="Arial"/>
                <w:sz w:val="18"/>
                <w:szCs w:val="18"/>
                <w:color w:val="auto"/>
              </w:rPr>
              <w:t>Accrued expenses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3"/>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0"/>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89"/>
              </w:rPr>
              <w:t>2021</w:t>
            </w: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29,773</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Accrued professional service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3,259</w:t>
            </w: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telecommunications and hosting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Accrued income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1,844</w:t>
            </w: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Series B preferred dividend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Accrued 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7,491</w:t>
            </w: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third party tech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Accrued 2021 8.375% Senior Notes - Interest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r>
      <w:tr>
        <w:trPr>
          <w:trHeight w:val="220"/>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61,916</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2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is party to certain sublease arrangements, primarily related to the Company’s real estate leases, where it acts as the lessee and intermediate lessor. The Company does not have material sublease arrangements.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32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December 31, 2022:</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21"/>
        </w:trPr>
        <w:tc>
          <w:tcPr>
            <w:tcW w:w="9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Non-current operating lease ROU assets</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20,863</w:t>
            </w:r>
          </w:p>
        </w:tc>
      </w:tr>
      <w:tr>
        <w:trPr>
          <w:trHeight w:val="267"/>
        </w:trPr>
        <w:tc>
          <w:tcPr>
            <w:tcW w:w="98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98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r>
      <w:tr>
        <w:trPr>
          <w:trHeight w:val="225"/>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29,222</w:t>
            </w:r>
          </w:p>
        </w:tc>
      </w:tr>
      <w:tr>
        <w:trPr>
          <w:trHeight w:val="24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64" w:lineRule="exact"/>
        <w:rPr>
          <w:sz w:val="20"/>
          <w:szCs w:val="20"/>
          <w:color w:val="auto"/>
        </w:rPr>
      </w:pPr>
    </w:p>
    <w:p>
      <w:pPr>
        <w:ind w:left="240" w:hanging="234"/>
        <w:spacing w:after="0"/>
        <w:tabs>
          <w:tab w:leader="none" w:pos="24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Amounts are included in Accrued Expenses on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320"/>
              <w:spacing w:after="0"/>
              <w:rPr>
                <w:sz w:val="20"/>
                <w:szCs w:val="20"/>
                <w:color w:val="auto"/>
              </w:rPr>
            </w:pPr>
            <w:r>
              <w:rPr>
                <w:rFonts w:ascii="Arial" w:cs="Arial" w:eastAsia="Arial" w:hAnsi="Arial"/>
                <w:sz w:val="18"/>
                <w:szCs w:val="18"/>
                <w:color w:val="auto"/>
                <w:w w:val="96"/>
              </w:rPr>
              <w:t>The following table presents information about lease expense and sublease income for the year ended December 31, 2022:</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21"/>
        </w:trPr>
        <w:tc>
          <w:tcPr>
            <w:tcW w:w="9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26"/>
        </w:trPr>
        <w:tc>
          <w:tcPr>
            <w:tcW w:w="98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0"/>
                <w:szCs w:val="20"/>
                <w:color w:val="auto"/>
                <w:vertAlign w:val="superscript"/>
              </w:rPr>
              <w:t>1</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Other lease costs and income: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9800" w:type="dxa"/>
            <w:vAlign w:val="bottom"/>
            <w:shd w:val="clear" w:color="auto" w:fill="CCEEFF"/>
          </w:tcPr>
          <w:p>
            <w:pPr>
              <w:ind w:left="240"/>
              <w:spacing w:after="0" w:line="227"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0"/>
                <w:szCs w:val="20"/>
                <w:color w:val="auto"/>
                <w:vertAlign w:val="superscript"/>
              </w:rPr>
              <w:t>1,2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Operating lease impairments/remeasurements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7"/>
        </w:trPr>
        <w:tc>
          <w:tcPr>
            <w:tcW w:w="9800" w:type="dxa"/>
            <w:vAlign w:val="bottom"/>
            <w:shd w:val="clear" w:color="auto" w:fill="CCEEFF"/>
          </w:tcPr>
          <w:p>
            <w:pPr>
              <w:ind w:left="240"/>
              <w:spacing w:after="0" w:line="227" w:lineRule="exact"/>
              <w:rPr>
                <w:sz w:val="20"/>
                <w:szCs w:val="20"/>
                <w:color w:val="auto"/>
              </w:rPr>
            </w:pPr>
            <w:r>
              <w:rPr>
                <w:rFonts w:ascii="Arial" w:cs="Arial" w:eastAsia="Arial" w:hAnsi="Arial"/>
                <w:sz w:val="18"/>
                <w:szCs w:val="18"/>
                <w:color w:val="auto"/>
              </w:rPr>
              <w:t>Sublease income</w:t>
            </w:r>
            <w:r>
              <w:rPr>
                <w:rFonts w:ascii="Arial" w:cs="Arial" w:eastAsia="Arial" w:hAnsi="Arial"/>
                <w:sz w:val="20"/>
                <w:szCs w:val="20"/>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19"/>
        </w:trPr>
        <w:tc>
          <w:tcPr>
            <w:tcW w:w="980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01" w:lineRule="exact"/>
        <w:rPr>
          <w:sz w:val="20"/>
          <w:szCs w:val="20"/>
          <w:color w:val="auto"/>
        </w:rPr>
      </w:pPr>
    </w:p>
    <w:p>
      <w:pPr>
        <w:ind w:left="320" w:hanging="314"/>
        <w:spacing w:after="0" w:line="220" w:lineRule="auto"/>
        <w:tabs>
          <w:tab w:leader="none" w:pos="247"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each underlying leased asset supports. This is reflected in the Consolidated Statements of Operations.</w:t>
      </w:r>
    </w:p>
    <w:p>
      <w:pPr>
        <w:spacing w:after="0" w:line="75" w:lineRule="exact"/>
        <w:rPr>
          <w:sz w:val="20"/>
          <w:szCs w:val="20"/>
          <w:color w:val="auto"/>
        </w:rPr>
      </w:pPr>
    </w:p>
    <w:p>
      <w:pPr>
        <w:ind w:left="320" w:hanging="314"/>
        <w:spacing w:after="0" w:line="241" w:lineRule="auto"/>
        <w:tabs>
          <w:tab w:leader="none" w:pos="246"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As part of the Company’s in year cost savings initiatives, the Company closed certain office spaces and terminated various lease agreements. These actions resulted in a $0.7 million ROU asset impairment charge, which was determined by the present value of the forecasted future cash flows for the remaining lease term.</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following table provides the undiscounted amount of future cash flows included in the Company’s lease liabilities at December 31, 2022 for each of the five years subsequent to December 31, 2022 and thereafter, as well as a reconciliation of such undiscounted cash flows to the Company’s lease liabilities at December 31,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8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Operating Leases</w:t>
            </w:r>
          </w:p>
        </w:tc>
      </w:tr>
      <w:tr>
        <w:trPr>
          <w:trHeight w:val="22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8,170</w:t>
            </w:r>
          </w:p>
        </w:tc>
      </w:tr>
      <w:tr>
        <w:trPr>
          <w:trHeight w:val="227"/>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7,857</w:t>
            </w:r>
          </w:p>
        </w:tc>
      </w:tr>
      <w:tr>
        <w:trPr>
          <w:trHeight w:val="227"/>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r>
      <w:tr>
        <w:trPr>
          <w:trHeight w:val="225"/>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42,516</w:t>
            </w:r>
          </w:p>
        </w:tc>
      </w:tr>
      <w:tr>
        <w:trPr>
          <w:trHeight w:val="22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w:t>
            </w:r>
          </w:p>
        </w:tc>
      </w:tr>
      <w:tr>
        <w:trPr>
          <w:trHeight w:val="245"/>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future lease payments (lease liability)</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provides the weighted-average remaining lease term and weighted-average discount rates for the Company’s leases as of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980" w:type="dxa"/>
            <w:vAlign w:val="bottom"/>
            <w:shd w:val="clear" w:color="auto" w:fill="CCEEFF"/>
          </w:tcPr>
          <w:p>
            <w:pPr>
              <w:spacing w:after="0"/>
              <w:rPr>
                <w:sz w:val="19"/>
                <w:szCs w:val="19"/>
                <w:color w:val="auto"/>
              </w:rPr>
            </w:pPr>
          </w:p>
        </w:tc>
      </w:tr>
      <w:tr>
        <w:trPr>
          <w:trHeight w:val="225"/>
        </w:trPr>
        <w:tc>
          <w:tcPr>
            <w:tcW w:w="9260" w:type="dxa"/>
            <w:vAlign w:val="bottom"/>
          </w:tcPr>
          <w:p>
            <w:pPr>
              <w:ind w:left="14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9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7"/>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the Company’s lease liabilities for the year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8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9,903</w:t>
            </w:r>
          </w:p>
        </w:tc>
      </w:tr>
      <w:tr>
        <w:trPr>
          <w:trHeight w:val="227"/>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 arising from obtaining right-of-use assets</w:t>
            </w:r>
          </w:p>
        </w:tc>
        <w:tc>
          <w:tcPr>
            <w:tcW w:w="2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2021 Senior Notes due 2026</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21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8"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6"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9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80" w:type="dxa"/>
            <w:vAlign w:val="bottom"/>
          </w:tcPr>
          <w:p>
            <w:pPr>
              <w:ind w:left="320"/>
              <w:spacing w:after="0"/>
              <w:rPr>
                <w:sz w:val="20"/>
                <w:szCs w:val="20"/>
                <w:color w:val="auto"/>
              </w:rPr>
            </w:pPr>
            <w:r>
              <w:rPr>
                <w:rFonts w:ascii="Arial" w:cs="Arial" w:eastAsia="Arial" w:hAnsi="Arial"/>
                <w:sz w:val="18"/>
                <w:szCs w:val="18"/>
                <w:color w:val="auto"/>
              </w:rPr>
              <w:t>The carrying amounts of the Company’s borrowings were as follows: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40"/>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r>
      <w:tr>
        <w:trPr>
          <w:trHeight w:val="23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Senior Notes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Non-convertible 8.375% Senior Notes due 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141,077</w:t>
            </w:r>
          </w:p>
        </w:tc>
      </w:tr>
      <w:tr>
        <w:trPr>
          <w:trHeight w:val="225"/>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Unamortized discount and debt issuance cost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w:t>
            </w: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Senior Notes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issuance are deferred and amortized into interest expense using the effective interest method.</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fair value of the outstanding Senior Notes was $101.3 million as of December 31, 2022. The Company is in compliance with its debt covenants as of December 31,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0.0%.</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June 30, 2021, the Company paid off the outstanding balance and closed the Revolving Credit Facility.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52"/>
        </w:trPr>
        <w:tc>
          <w:tcPr>
            <w:tcW w:w="6740" w:type="dxa"/>
            <w:vAlign w:val="bottom"/>
          </w:tcPr>
          <w:p>
            <w:pPr>
              <w:ind w:left="320"/>
              <w:spacing w:after="0"/>
              <w:rPr>
                <w:sz w:val="20"/>
                <w:szCs w:val="20"/>
                <w:color w:val="auto"/>
              </w:rPr>
            </w:pPr>
            <w:r>
              <w:rPr>
                <w:rFonts w:ascii="Arial" w:cs="Arial" w:eastAsia="Arial" w:hAnsi="Arial"/>
                <w:sz w:val="18"/>
                <w:szCs w:val="18"/>
                <w:color w:val="auto"/>
              </w:rPr>
              <w:t>The following table summarizes the Company’s interest expense: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3"/>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71"/>
              <w:spacing w:after="0"/>
              <w:rPr>
                <w:sz w:val="20"/>
                <w:szCs w:val="20"/>
                <w:color w:val="auto"/>
              </w:rPr>
            </w:pPr>
            <w:r>
              <w:rPr>
                <w:rFonts w:ascii="Arial" w:cs="Arial" w:eastAsia="Arial" w:hAnsi="Arial"/>
                <w:sz w:val="18"/>
                <w:szCs w:val="18"/>
                <w:b w:val="1"/>
                <w:bCs w:val="1"/>
                <w:color w:val="auto"/>
              </w:rPr>
              <w:t>Twelve Months Ended December 31,</w:t>
            </w:r>
          </w:p>
        </w:tc>
      </w:tr>
      <w:tr>
        <w:trPr>
          <w:trHeight w:val="220"/>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6"/>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2021 Non-Convertible 8.375% Senior Notes due 2026: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674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740" w:type="dxa"/>
            <w:vAlign w:val="bottom"/>
          </w:tcPr>
          <w:p>
            <w:pPr>
              <w:ind w:left="22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Revolving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674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7"/>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Commitment fee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6740" w:type="dxa"/>
            <w:vAlign w:val="bottom"/>
          </w:tcPr>
          <w:p>
            <w:pPr>
              <w:ind w:left="240"/>
              <w:spacing w:after="0"/>
              <w:rPr>
                <w:sz w:val="20"/>
                <w:szCs w:val="20"/>
                <w:color w:val="auto"/>
              </w:rPr>
            </w:pPr>
            <w:r>
              <w:rPr>
                <w:rFonts w:ascii="Arial" w:cs="Arial" w:eastAsia="Arial" w:hAnsi="Arial"/>
                <w:sz w:val="18"/>
                <w:szCs w:val="18"/>
                <w:color w:val="auto"/>
              </w:rPr>
              <w:t>Interest on borrowings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0"/>
        </w:trPr>
        <w:tc>
          <w:tcPr>
            <w:tcW w:w="674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 / Income</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accumulated other comprehensive (loss) income during the years ended December 31,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7"/>
              </w:rPr>
              <w:t>Balance at</w:t>
            </w:r>
          </w:p>
        </w:tc>
        <w:tc>
          <w:tcPr>
            <w:tcW w:w="16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6"/>
                <w:szCs w:val="1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Tax effect</w:t>
            </w: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00" w:type="dxa"/>
            <w:vAlign w:val="bottom"/>
            <w:tcBorders>
              <w:bottom w:val="single" w:sz="8" w:color="CCEEFF"/>
            </w:tcBorders>
            <w:gridSpan w:val="2"/>
          </w:tcPr>
          <w:p>
            <w:pPr>
              <w:spacing w:after="0"/>
              <w:rPr>
                <w:sz w:val="18"/>
                <w:szCs w:val="18"/>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5"/>
              </w:rPr>
              <w:t>comprehensive loss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December 31, 2022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Unrealized (loss) income on intercompany foreign currency transactions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color w:val="auto"/>
                <w:w w:val="89"/>
              </w:rPr>
              <w:t>Balance at</w:t>
            </w:r>
          </w:p>
        </w:tc>
        <w:tc>
          <w:tcPr>
            <w:tcW w:w="16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60"/>
              <w:spacing w:after="0" w:line="160" w:lineRule="exact"/>
              <w:rPr>
                <w:sz w:val="20"/>
                <w:szCs w:val="20"/>
                <w:color w:val="auto"/>
              </w:rPr>
            </w:pPr>
            <w:r>
              <w:rPr>
                <w:rFonts w:ascii="Arial" w:cs="Arial" w:eastAsia="Arial" w:hAnsi="Arial"/>
                <w:sz w:val="16"/>
                <w:szCs w:val="16"/>
                <w:b w:val="1"/>
                <w:bCs w:val="1"/>
                <w:color w:val="auto"/>
                <w:w w:val="86"/>
              </w:rPr>
              <w:t>comprehensive</w:t>
            </w:r>
          </w:p>
        </w:tc>
        <w:tc>
          <w:tcPr>
            <w:tcW w:w="240" w:type="dxa"/>
            <w:vAlign w:val="bottom"/>
          </w:tcPr>
          <w:p>
            <w:pPr>
              <w:spacing w:after="0"/>
              <w:rPr>
                <w:sz w:val="13"/>
                <w:szCs w:val="13"/>
                <w:color w:val="auto"/>
              </w:rPr>
            </w:pPr>
          </w:p>
        </w:tc>
        <w:tc>
          <w:tcPr>
            <w:tcW w:w="1180" w:type="dxa"/>
            <w:vAlign w:val="bottom"/>
            <w:vMerge w:val="restart"/>
          </w:tcPr>
          <w:p>
            <w:pPr>
              <w:jc w:val="right"/>
              <w:ind w:right="294"/>
              <w:spacing w:after="0"/>
              <w:rPr>
                <w:sz w:val="20"/>
                <w:szCs w:val="20"/>
                <w:color w:val="auto"/>
              </w:rPr>
            </w:pPr>
            <w:r>
              <w:rPr>
                <w:rFonts w:ascii="Arial" w:cs="Arial" w:eastAsia="Arial" w:hAnsi="Arial"/>
                <w:sz w:val="16"/>
                <w:szCs w:val="16"/>
                <w:b w:val="1"/>
                <w:bCs w:val="1"/>
                <w:color w:val="auto"/>
              </w:rPr>
              <w:t>Tax effect</w:t>
            </w:r>
          </w:p>
        </w:tc>
        <w:tc>
          <w:tcPr>
            <w:tcW w:w="100" w:type="dxa"/>
            <w:vAlign w:val="bottom"/>
            <w:gridSpan w:val="2"/>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December 31, 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5"/>
              </w:rPr>
              <w:t>(loss) income</w:t>
            </w:r>
          </w:p>
        </w:tc>
        <w:tc>
          <w:tcPr>
            <w:tcW w:w="100" w:type="dxa"/>
            <w:vAlign w:val="bottom"/>
            <w:tcBorders>
              <w:bottom w:val="single" w:sz="8" w:color="CCEEFF"/>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Unrealized (loss) income on intercompany foreign currency transactions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w:t>
      </w:r>
    </w:p>
    <w:p>
      <w:pPr>
        <w:spacing w:after="0" w:line="19" w:lineRule="exact"/>
        <w:rPr>
          <w:sz w:val="20"/>
          <w:szCs w:val="20"/>
          <w:color w:val="auto"/>
        </w:rPr>
      </w:pPr>
    </w:p>
    <w:p>
      <w:pPr>
        <w:ind w:left="20"/>
        <w:spacing w:after="0" w:line="320" w:lineRule="auto"/>
        <w:rPr>
          <w:sz w:val="20"/>
          <w:szCs w:val="20"/>
          <w:color w:val="auto"/>
        </w:rPr>
      </w:pPr>
      <w:r>
        <w:rPr>
          <w:rFonts w:ascii="Arial" w:cs="Arial" w:eastAsia="Arial" w:hAnsi="Arial"/>
          <w:sz w:val="16"/>
          <w:szCs w:val="16"/>
          <w:color w:val="auto"/>
        </w:rPr>
        <w:t>Unrealized (loss) income on intercompany foreign currency transactions Unrealized holding gains (losses) on marketable debt securities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7"/>
              </w:rPr>
              <w:t>Balance at</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40"/>
              <w:spacing w:after="0" w:line="160" w:lineRule="exact"/>
              <w:rPr>
                <w:sz w:val="20"/>
                <w:szCs w:val="20"/>
                <w:color w:val="auto"/>
              </w:rPr>
            </w:pPr>
            <w:r>
              <w:rPr>
                <w:rFonts w:ascii="Arial" w:cs="Arial" w:eastAsia="Arial" w:hAnsi="Arial"/>
                <w:sz w:val="16"/>
                <w:szCs w:val="16"/>
                <w:b w:val="1"/>
                <w:bCs w:val="1"/>
                <w:color w:val="auto"/>
                <w:w w:val="85"/>
              </w:rPr>
              <w:t>comprehensive</w:t>
            </w:r>
          </w:p>
        </w:tc>
        <w:tc>
          <w:tcPr>
            <w:tcW w:w="260" w:type="dxa"/>
            <w:vAlign w:val="bottom"/>
          </w:tcPr>
          <w:p>
            <w:pPr>
              <w:spacing w:after="0"/>
              <w:rPr>
                <w:sz w:val="13"/>
                <w:szCs w:val="13"/>
                <w:color w:val="auto"/>
              </w:rPr>
            </w:pPr>
          </w:p>
        </w:tc>
        <w:tc>
          <w:tcPr>
            <w:tcW w:w="11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Tax effect</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5"/>
              </w:rPr>
              <w:t>(loss) income</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20"/>
        </w:trPr>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(28,213)</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-624205</wp:posOffset>
            </wp:positionV>
            <wp:extent cx="7134225" cy="151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-328930</wp:posOffset>
            </wp:positionV>
            <wp:extent cx="7134225" cy="143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80"/>
            <w:col w:w="6000"/>
          </w:cols>
          <w:pgMar w:left="320" w:top="127" w:right="3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Structure</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2022, the Company’s authorized capital stock was 160 million shares of stock with a par value of $0.0001, of which 150 million shares were designated as common stock and 10 million shares were designated as preferred stock, 150 thousand of which were designated Series B Perpetual Non-Convertible Preferred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5" w:lineRule="exact"/>
        <w:rPr>
          <w:sz w:val="20"/>
          <w:szCs w:val="20"/>
          <w:color w:val="auto"/>
        </w:rPr>
      </w:pPr>
    </w:p>
    <w:p>
      <w:pPr>
        <w:jc w:val="both"/>
        <w:ind w:right="20" w:firstLine="319"/>
        <w:spacing w:after="0" w:line="296"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common stock dividends have ever been declared or paid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 shares of common stock issued pursuant to the full exercise of the Underwriters’ option to purchase additional shares of common stock. The Company used the net proceeds for the redemption of the Series A Convertible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February 4, 2016, the Company announced that the Board of Directors approved a share repurchase program under which the Company may repurchase up to $100.0 million of its outstanding common stock for 12 to 18 months following the announcement. In 2016, the Company repurchased approximately 1.3 million shares of the Company’s common stock under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program for an aggregate repurchase price of $40.0 million. There were no share repurchases subsequent to 2016. In 2018, in connection with execution of the Share Purchase Agreement, the Company received approximately 6.0 million shares of Synchronoss common stock, which have been recorded as Treasury shares as of December 31, 2020. Additionally, in 2018 the Company retired 3.9 million shares of common stock that were previously repurchased in prior years. Any related additional paid in capital and par values were removed from the common stock numbers. In the second quarter of 2021, the entire balance of Treasury Stock was sold in the underwritten public offering. Treasury Stock balance is nil as of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December 31, 2022, except for the Common Stock offering and the issuance of Senior Notes, the Company has not raised additional capital using the 2020 Shelf Registration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Non-Convertible Preferred Stock</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B Preferred Stock</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2022, the Liquidation Value and Redemption Value of the Series B Preferred Shares was $73.0 million.</w:t>
      </w:r>
    </w:p>
    <w:p>
      <w:pPr>
        <w:spacing w:after="0" w:line="197"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20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Company is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4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25"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A summary of the Company’s Series B Preferred Stock balance at December 31, 2022 and changes during the year ended December 31, 2022, are presented below:</w:t>
      </w:r>
    </w:p>
    <w:p>
      <w:pPr>
        <w:spacing w:after="0" w:line="1"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Series B Preferred Stock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Shares</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Amount</w:t>
            </w:r>
          </w:p>
        </w:tc>
      </w:tr>
      <w:tr>
        <w:trPr>
          <w:trHeight w:val="21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72,505</w:t>
            </w:r>
          </w:p>
        </w:tc>
      </w:tr>
      <w:tr>
        <w:trPr>
          <w:trHeight w:val="225"/>
        </w:trPr>
        <w:tc>
          <w:tcPr>
            <w:tcW w:w="9360" w:type="dxa"/>
            <w:vAlign w:val="bottom"/>
            <w:gridSpan w:val="2"/>
          </w:tcPr>
          <w:p>
            <w:pPr>
              <w:ind w:left="140"/>
              <w:spacing w:after="0"/>
              <w:rPr>
                <w:sz w:val="20"/>
                <w:szCs w:val="20"/>
                <w:color w:val="auto"/>
              </w:rPr>
            </w:pPr>
            <w:r>
              <w:rPr>
                <w:rFonts w:ascii="Arial" w:cs="Arial" w:eastAsia="Arial" w:hAnsi="Arial"/>
                <w:sz w:val="18"/>
                <w:szCs w:val="18"/>
                <w:color w:val="auto"/>
              </w:rPr>
              <w:t>Amortization of preferred stock issuance costs</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7"/>
        </w:trPr>
        <w:tc>
          <w:tcPr>
            <w:tcW w:w="9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 of preferred PIK dividend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of Series B preferred shares</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r>
      <w:tr>
        <w:trPr>
          <w:trHeight w:val="240"/>
        </w:trPr>
        <w:tc>
          <w:tcPr>
            <w:tcW w:w="93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8"/>
                <w:szCs w:val="18"/>
                <w:color w:val="auto"/>
              </w:rPr>
              <w:t>Balance at December 31, 2022</w:t>
            </w:r>
            <w:r>
              <w:rPr>
                <w:rFonts w:ascii="Arial" w:cs="Arial" w:eastAsia="Arial" w:hAnsi="Arial"/>
                <w:sz w:val="23"/>
                <w:szCs w:val="23"/>
                <w:color w:val="auto"/>
                <w:vertAlign w:val="superscript"/>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216" w:lineRule="exact"/>
        <w:rPr>
          <w:sz w:val="20"/>
          <w:szCs w:val="20"/>
          <w:color w:val="auto"/>
        </w:rPr>
      </w:pPr>
    </w:p>
    <w:p>
      <w:pPr>
        <w:ind w:left="160" w:hanging="154"/>
        <w:spacing w:after="0"/>
        <w:tabs>
          <w:tab w:leader="none" w:pos="160" w:val="left"/>
        </w:tabs>
        <w:numPr>
          <w:ilvl w:val="0"/>
          <w:numId w:val="49"/>
        </w:numPr>
        <w:rPr>
          <w:rFonts w:ascii="Arial" w:cs="Arial" w:eastAsia="Arial" w:hAnsi="Arial"/>
          <w:sz w:val="20"/>
          <w:szCs w:val="20"/>
          <w:color w:val="auto"/>
          <w:vertAlign w:val="superscript"/>
        </w:rPr>
      </w:pPr>
      <w:r>
        <w:rPr>
          <w:rFonts w:ascii="Arial" w:cs="Arial" w:eastAsia="Arial" w:hAnsi="Arial"/>
          <w:sz w:val="15"/>
          <w:szCs w:val="15"/>
          <w:color w:val="auto"/>
        </w:rPr>
        <w:t>Series B preferred stock net principal balance of $68.3 million is presented as gross principal balance of $70.7 million net of $2.4 million unamortized issuance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were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“Series A Preferred Dividends”). The Series A Preferred Dividends were due on January 1, April 1, July 1 and October 1 of each year (each, a “Series A Dividend Payment Date”).</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had the option to choose to pay the Series A Preferred Dividends in cash or in additional shares of Series A Preferred Stock. In the event the Company did not declare and pay a dividend in-kind or in cash on any Series A Dividend Payment Date, the unpaid amount of the Series A Preferred Dividend was added to the Liquidation Preference.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net proceeds from the common stock public offering, Senior Note offering and the Series B Transaction was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2022. In addition, on June 30, 2021, in connection with the redemption of the Series A Preferred Stock, the Investor Rights Agreement between the Company and Silver terminated.</w:t>
      </w:r>
    </w:p>
    <w:p>
      <w:pPr>
        <w:spacing w:after="0" w:line="222"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The Company and Siris Capital Group, LLC (“Siris”) entered into an Advisory Services Agreement dated as of May 18, 2020 under which Siris may provide consulting and advisory services to the Company on operational, business, financial and strategic matters. All obligations related to this Advisory Services Agreement were paid by the Company and the Advisory Services Agreement was terminated as of June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Plans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March 2015, the Company adopted the 2015 Equity Incentive Plan (the “2015 Plan”). The 2015 Plan replaces the Company’s prior 2000 Equity Incentive Plan (the “2000 Plan”) and the 2006 Equity Incentive Plan (the “2006 Plan”) (collectively, the “Plans”). Beginning March 2015, all awards were granted under the 2015 Plan. In addition, any awards that were previously granted under any prior Plans that terminate without issuance of shares, shall be eligible for issuance under the 2015 Plan.</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Under the 2015 Plan, the Company may grant to its employees, outside directors and consultants awards in the form of non-qualified stock options, shares of restricted stock, stock units, or stock appreciation rights and performance shares. The Company’s Board of Directors administers the Plan and is responsible for determining the individuals to be granted options or shares, the number of options or shares each individual will receive, the price per share and the exercise period of each option.</w:t>
      </w:r>
    </w:p>
    <w:p>
      <w:pPr>
        <w:spacing w:after="0" w:line="2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At the annual meeting of stockholders the Company held on June 16, 2022, the stockholders of the Company approved and adopted the Certificate of Amendment of the Company’s restated certificate of incorporation to increase the total number of shares of authorized common stock from 100 million shares to 150 million shares. Additionally, the Company’s stockholders approved the amendment and restatement of the Company’s 2015 Equity Incentive Plan to increase the maximum total number of shares of common stock issuable under the Plans by 12.9 million shares from 29,297,175 shares to a new aggregate total of 42,197,175 shares.</w:t>
      </w:r>
    </w:p>
    <w:p>
      <w:pPr>
        <w:spacing w:after="0" w:line="22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On December 15, 2017, the Compensation Committee adopted the 2017 New Hire Equity Incentive Plan (“2017 New Hire Plan”), which is intended to be exempt from the stockholder approval requirements under the “inducement grant exception” provided by the Inducement Rule. The Committee authorized the issuance of up to 1.5 million Common Shares to new hires, with the purpose of promoting the long-term success of the Company and the creation of stockholder value by (a) providing for the attraction and retention of new employees with exceptional qualifications, (b) encouraging new employees to focus on critical long-range objectives, and (c) linking new employees directly to stockholder interests through increased stock ownership. As required by the Inducement Rule, the Company issues a press release promptly upon issuing shares to new employees pursuant to the 2017 New Hire Plan.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On November 1, 2021 Synchronoss Technologies, Inc. 2017 New Hire Equity Incentive Plan was amended to increase the maximum number of shares of Common Stock authorized for issuance under the 2017 Incentive Plan by 566,711 shares from 1,500,000 shares to a new aggregate total of 2,066,711 shares.</w:t>
      </w:r>
    </w:p>
    <w:p>
      <w:pPr>
        <w:spacing w:after="0" w:line="1" w:lineRule="exact"/>
        <w:rPr>
          <w:sz w:val="20"/>
          <w:szCs w:val="20"/>
          <w:color w:val="auto"/>
        </w:rPr>
      </w:pPr>
    </w:p>
    <w:p>
      <w:pPr>
        <w:jc w:val="both"/>
        <w:ind w:right="20" w:firstLine="319"/>
        <w:spacing w:after="0" w:line="253" w:lineRule="auto"/>
        <w:rPr>
          <w:sz w:val="20"/>
          <w:szCs w:val="20"/>
          <w:color w:val="auto"/>
        </w:rPr>
      </w:pPr>
      <w:r>
        <w:rPr>
          <w:rFonts w:ascii="Arial" w:cs="Arial" w:eastAsia="Arial" w:hAnsi="Arial"/>
          <w:sz w:val="18"/>
          <w:szCs w:val="18"/>
          <w:color w:val="auto"/>
        </w:rPr>
        <w:t>As of December 31, 2022, there were 8.0 million shares available for the grant or award under the Company’s 2015 Plan and 1.0 million shares available for the grant or award under the Company’s 2017 New Hire Equity Incentive Plan.</w:t>
      </w:r>
    </w:p>
    <w:p>
      <w:pPr>
        <w:spacing w:after="0" w:line="21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has reflected such awards in accrued expenses. As of December 31, 2022, the liability for such awards is approximately $0.2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680" w:type="dxa"/>
            <w:vAlign w:val="bottom"/>
          </w:tcPr>
          <w:p>
            <w:pPr>
              <w:spacing w:after="0"/>
              <w:rPr>
                <w:sz w:val="20"/>
                <w:szCs w:val="20"/>
                <w:color w:val="auto"/>
              </w:rPr>
            </w:pPr>
          </w:p>
        </w:tc>
        <w:tc>
          <w:tcPr>
            <w:tcW w:w="4500" w:type="dxa"/>
            <w:vAlign w:val="bottom"/>
            <w:tcBorders>
              <w:bottom w:val="single" w:sz="8" w:color="auto"/>
            </w:tcBorders>
            <w:gridSpan w:val="8"/>
          </w:tcPr>
          <w:p>
            <w:pPr>
              <w:jc w:val="right"/>
              <w:ind w:right="791"/>
              <w:spacing w:after="0"/>
              <w:rPr>
                <w:sz w:val="20"/>
                <w:szCs w:val="20"/>
                <w:color w:val="auto"/>
              </w:rPr>
            </w:pPr>
            <w:r>
              <w:rPr>
                <w:rFonts w:ascii="Arial" w:cs="Arial" w:eastAsia="Arial" w:hAnsi="Arial"/>
                <w:sz w:val="18"/>
                <w:szCs w:val="18"/>
                <w:b w:val="1"/>
                <w:bCs w:val="1"/>
                <w:color w:val="auto"/>
              </w:rPr>
              <w:t>Twelve Months Ended December 31,</w:t>
            </w:r>
          </w:p>
        </w:tc>
      </w:tr>
      <w:tr>
        <w:trPr>
          <w:trHeight w:val="220"/>
        </w:trPr>
        <w:tc>
          <w:tcPr>
            <w:tcW w:w="66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25"/>
        </w:trPr>
        <w:tc>
          <w:tcPr>
            <w:tcW w:w="66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1,728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26"/>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r>
      <w:tr>
        <w:trPr>
          <w:trHeight w:val="220"/>
        </w:trPr>
        <w:tc>
          <w:tcPr>
            <w:tcW w:w="66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5,461</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9,305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680" w:type="dxa"/>
            <w:vAlign w:val="bottom"/>
          </w:tcPr>
          <w:p>
            <w:pPr>
              <w:spacing w:after="0"/>
              <w:rPr>
                <w:sz w:val="20"/>
                <w:szCs w:val="20"/>
                <w:color w:val="auto"/>
              </w:rPr>
            </w:pPr>
          </w:p>
        </w:tc>
        <w:tc>
          <w:tcPr>
            <w:tcW w:w="4500" w:type="dxa"/>
            <w:vAlign w:val="bottom"/>
            <w:tcBorders>
              <w:bottom w:val="single" w:sz="8" w:color="auto"/>
            </w:tcBorders>
            <w:gridSpan w:val="8"/>
          </w:tcPr>
          <w:p>
            <w:pPr>
              <w:jc w:val="right"/>
              <w:ind w:right="791"/>
              <w:spacing w:after="0"/>
              <w:rPr>
                <w:sz w:val="20"/>
                <w:szCs w:val="20"/>
                <w:color w:val="auto"/>
              </w:rPr>
            </w:pPr>
            <w:r>
              <w:rPr>
                <w:rFonts w:ascii="Arial" w:cs="Arial" w:eastAsia="Arial" w:hAnsi="Arial"/>
                <w:sz w:val="18"/>
                <w:szCs w:val="18"/>
                <w:b w:val="1"/>
                <w:bCs w:val="1"/>
                <w:color w:val="auto"/>
              </w:rPr>
              <w:t>Twelve Months Ended December 31,</w:t>
            </w:r>
          </w:p>
        </w:tc>
      </w:tr>
      <w:tr>
        <w:trPr>
          <w:trHeight w:val="220"/>
        </w:trPr>
        <w:tc>
          <w:tcPr>
            <w:tcW w:w="66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25"/>
        </w:trPr>
        <w:tc>
          <w:tcPr>
            <w:tcW w:w="668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2,899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9,743</w:t>
            </w:r>
          </w:p>
        </w:tc>
      </w:tr>
      <w:tr>
        <w:trPr>
          <w:trHeight w:val="226"/>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Based Cash Units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0"/>
        </w:trPr>
        <w:tc>
          <w:tcPr>
            <w:tcW w:w="6680" w:type="dxa"/>
            <w:vAlign w:val="bottom"/>
          </w:tcPr>
          <w:p>
            <w:pPr>
              <w:ind w:left="20"/>
              <w:spacing w:after="0"/>
              <w:rPr>
                <w:sz w:val="20"/>
                <w:szCs w:val="20"/>
                <w:color w:val="auto"/>
              </w:rPr>
            </w:pPr>
            <w:r>
              <w:rPr>
                <w:rFonts w:ascii="Arial" w:cs="Arial" w:eastAsia="Arial" w:hAnsi="Arial"/>
                <w:sz w:val="18"/>
                <w:szCs w:val="18"/>
                <w:color w:val="auto"/>
              </w:rPr>
              <w:t>Total stock-based compensation before taxes</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5,461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r>
    </w:tbl>
    <w:p>
      <w:pPr>
        <w:spacing w:after="0" w:line="32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stock-based compensation cost related to unvested equity awards as of December 31, 2022 was approximately $7.6 million. The expense is expected to be recognized over a weighted-average period of approximately 1.8 years.</w:t>
      </w:r>
    </w:p>
    <w:p>
      <w:pPr>
        <w:spacing w:after="0" w:line="206"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total stock-based compensation cost related to unvested performance-based cash units as of December 31, 2022 was approximately $0.3 million. The expense is expected to be recognized over a weighted-average period of approximately 1.8 years.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Stock options that were granted under the Company’s Plans generally vest 25% of the applicable shares on the first anniversary of the date of grant and thereafter an additional 1/48th for each month of continuous service.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than as set forth above, there were no significant changes to the Company’s Stock Option Plans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10"/>
          </w:tcPr>
          <w:p>
            <w:pPr>
              <w:jc w:val="right"/>
              <w:ind w:right="914"/>
              <w:spacing w:after="0"/>
              <w:rPr>
                <w:sz w:val="20"/>
                <w:szCs w:val="20"/>
                <w:color w:val="auto"/>
              </w:rPr>
            </w:pPr>
            <w:r>
              <w:rPr>
                <w:rFonts w:ascii="Arial" w:cs="Arial" w:eastAsia="Arial" w:hAnsi="Arial"/>
                <w:sz w:val="18"/>
                <w:szCs w:val="18"/>
                <w:b w:val="1"/>
                <w:bCs w:val="1"/>
                <w:color w:val="auto"/>
              </w:rPr>
              <w:t>Twelve Months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fair value of the options</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8060" w:type="dxa"/>
            <w:vAlign w:val="bottom"/>
            <w:gridSpan w:val="8"/>
          </w:tcPr>
          <w:p>
            <w:pPr>
              <w:ind w:left="300"/>
              <w:spacing w:after="0"/>
              <w:rPr>
                <w:sz w:val="20"/>
                <w:szCs w:val="20"/>
                <w:color w:val="auto"/>
              </w:rPr>
            </w:pPr>
            <w:r>
              <w:rPr>
                <w:rFonts w:ascii="Arial" w:cs="Arial" w:eastAsia="Arial" w:hAnsi="Arial"/>
                <w:sz w:val="18"/>
                <w:szCs w:val="18"/>
                <w:color w:val="auto"/>
                <w:w w:val="94"/>
              </w:rPr>
              <w:t>The following table summarizes information about stock options outstanding as of December 31, 2022: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Weighted-Average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6"/>
                <w:szCs w:val="16"/>
                <w:b w:val="1"/>
                <w:bCs w:val="1"/>
                <w:color w:val="auto"/>
              </w:rPr>
              <w:t>Number of</w:t>
            </w:r>
          </w:p>
        </w:tc>
        <w:tc>
          <w:tcPr>
            <w:tcW w:w="152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w w:val="88"/>
              </w:rPr>
              <w:t>Weighted-Average</w:t>
            </w:r>
          </w:p>
        </w:tc>
        <w:tc>
          <w:tcPr>
            <w:tcW w:w="14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0"/>
              </w:rPr>
              <w:t>Remaining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Options</w:t>
            </w:r>
          </w:p>
        </w:tc>
        <w:tc>
          <w:tcPr>
            <w:tcW w:w="80" w:type="dxa"/>
            <w:vAlign w:val="bottom"/>
            <w:vMerge w:val="restart"/>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520" w:type="dxa"/>
            <w:vAlign w:val="bottom"/>
            <w:gridSpan w:val="5"/>
            <w:vMerge w:val="continue"/>
          </w:tcPr>
          <w:p>
            <w:pPr>
              <w:spacing w:after="0"/>
              <w:rPr>
                <w:sz w:val="13"/>
                <w:szCs w:val="13"/>
                <w:color w:val="auto"/>
              </w:rPr>
            </w:pPr>
          </w:p>
        </w:tc>
        <w:tc>
          <w:tcPr>
            <w:tcW w:w="14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2"/>
              </w:rPr>
              <w:t>Contractual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34"/>
              <w:spacing w:after="0" w:line="160" w:lineRule="exact"/>
              <w:rPr>
                <w:sz w:val="20"/>
                <w:szCs w:val="20"/>
                <w:color w:val="auto"/>
              </w:rPr>
            </w:pPr>
            <w:r>
              <w:rPr>
                <w:rFonts w:ascii="Arial" w:cs="Arial" w:eastAsia="Arial" w:hAnsi="Arial"/>
                <w:sz w:val="16"/>
                <w:szCs w:val="16"/>
                <w:b w:val="1"/>
                <w:bCs w:val="1"/>
                <w:color w:val="auto"/>
                <w:w w:val="93"/>
              </w:rPr>
              <w:t>Intrinsic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87"/>
              </w:rPr>
              <w:t>Exercise Price</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Term (Years)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20" w:type="dxa"/>
            <w:vAlign w:val="bottom"/>
            <w:gridSpan w:val="2"/>
          </w:tcPr>
          <w:p>
            <w:pPr>
              <w:spacing w:after="0" w:line="199" w:lineRule="exact"/>
              <w:rPr>
                <w:sz w:val="20"/>
                <w:szCs w:val="20"/>
                <w:color w:val="auto"/>
              </w:rPr>
            </w:pPr>
            <w:r>
              <w:rPr>
                <w:rFonts w:ascii="Arial" w:cs="Arial" w:eastAsia="Arial" w:hAnsi="Arial"/>
                <w:sz w:val="18"/>
                <w:szCs w:val="18"/>
                <w:color w:val="auto"/>
              </w:rPr>
              <w:t>Vested and exercisable at December 31, 2022</w:t>
            </w:r>
          </w:p>
        </w:tc>
        <w:tc>
          <w:tcPr>
            <w:tcW w:w="14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2,445</w:t>
            </w:r>
          </w:p>
        </w:tc>
        <w:tc>
          <w:tcPr>
            <w:tcW w:w="100" w:type="dxa"/>
            <w:vAlign w:val="bottom"/>
          </w:tcPr>
          <w:p>
            <w:pPr>
              <w:spacing w:after="0"/>
              <w:rPr>
                <w:sz w:val="17"/>
                <w:szCs w:val="17"/>
                <w:color w:val="auto"/>
              </w:rPr>
            </w:pPr>
          </w:p>
        </w:tc>
        <w:tc>
          <w:tcPr>
            <w:tcW w:w="18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7.08</w:t>
            </w:r>
          </w:p>
        </w:tc>
        <w:tc>
          <w:tcPr>
            <w:tcW w:w="80" w:type="dxa"/>
            <w:vAlign w:val="bottom"/>
          </w:tcPr>
          <w:p>
            <w:pPr>
              <w:spacing w:after="0"/>
              <w:rPr>
                <w:sz w:val="17"/>
                <w:szCs w:val="17"/>
                <w:color w:val="auto"/>
              </w:rPr>
            </w:pPr>
          </w:p>
        </w:tc>
        <w:tc>
          <w:tcPr>
            <w:tcW w:w="144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3.84</w:t>
            </w:r>
          </w:p>
        </w:tc>
        <w:tc>
          <w:tcPr>
            <w:tcW w:w="340" w:type="dxa"/>
            <w:vAlign w:val="bottom"/>
            <w:gridSpan w:val="2"/>
          </w:tcPr>
          <w:p>
            <w:pPr>
              <w:jc w:val="right"/>
              <w:ind w:right="51"/>
              <w:spacing w:after="0" w:line="19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intrinsic value of stock options exercised during the year ended December 31, 2022 and 2021 was nil and nil, respectively. The total intrinsic value of stock options exercisable as of December 31, 2022 and 2021 was nil and nil,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Restricted stock awards (“Restricted Stock”) granted under the Company’s Plans generally vest one-third of the applicable shares on the first, second, and third anniversary of the date of grant, considering a continuous service is provided.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Generally, performance stock awards granted under the Company’s 2015 Plan vest at the end of a three-year period based on service and achievement of certain performance objectives determined by the Company’s Board of Directors.</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 summary of the Company’s unvested restricted stock at December 31, 2022, and changes during the year ended December 31, 2022, is presented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5"/>
                <w:szCs w:val="15"/>
                <w:color w:val="auto"/>
              </w:rPr>
            </w:pPr>
          </w:p>
        </w:tc>
        <w:tc>
          <w:tcPr>
            <w:tcW w:w="1240" w:type="dxa"/>
            <w:vAlign w:val="bottom"/>
          </w:tcPr>
          <w:p>
            <w:pPr>
              <w:jc w:val="center"/>
              <w:ind w:right="91"/>
              <w:spacing w:after="0" w:line="173"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1"/>
              <w:spacing w:after="0" w:line="173"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Unvested Restricted Stock</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Awards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3,205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7"/>
        </w:trPr>
        <w:tc>
          <w:tcPr>
            <w:tcW w:w="8280" w:type="dxa"/>
            <w:vAlign w:val="bottom"/>
            <w:gridSpan w:val="2"/>
            <w:shd w:val="clear" w:color="auto" w:fill="CCEEFF"/>
          </w:tcPr>
          <w:p>
            <w:pPr>
              <w:ind w:left="260"/>
              <w:spacing w:after="0" w:line="226" w:lineRule="exact"/>
              <w:rPr>
                <w:sz w:val="20"/>
                <w:szCs w:val="20"/>
                <w:color w:val="auto"/>
              </w:rPr>
            </w:pPr>
            <w:r>
              <w:rPr>
                <w:rFonts w:ascii="Arial" w:cs="Arial" w:eastAsia="Arial" w:hAnsi="Arial"/>
                <w:sz w:val="18"/>
                <w:szCs w:val="18"/>
                <w:color w:val="auto"/>
              </w:rPr>
              <w:t>Granted adjustment</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6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7"/>
        </w:trPr>
        <w:tc>
          <w:tcPr>
            <w:tcW w:w="8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Unvested at December 31,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64" w:lineRule="exact"/>
        <w:rPr>
          <w:sz w:val="20"/>
          <w:szCs w:val="20"/>
          <w:color w:val="auto"/>
        </w:rPr>
      </w:pPr>
    </w:p>
    <w:p>
      <w:pPr>
        <w:ind w:left="160" w:hanging="154"/>
        <w:spacing w:after="0"/>
        <w:tabs>
          <w:tab w:leader="none" w:pos="16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Represents performance based cash units grants that vested and were paid out in form of shares of stock during the period.</w:t>
      </w:r>
    </w:p>
    <w:p>
      <w:pPr>
        <w:spacing w:after="0" w:line="21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45"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Performance based cash units (PBCU) generally vest at the end of a three-year period based on service and achievement of certain performance objectives determined by the Company’s Board of Directors. The PBCU can be settled in cash or in equity as determined by the Compensation Committee.</w:t>
      </w:r>
    </w:p>
    <w:p>
      <w:pPr>
        <w:spacing w:after="0" w:line="16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 summary of the Company’s unvested performance-based cash units at December 31, 2022 and changes during the year ended December 31, 2022, is presented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220" w:type="dxa"/>
            <w:vAlign w:val="bottom"/>
          </w:tcPr>
          <w:p>
            <w:pPr>
              <w:jc w:val="right"/>
              <w:ind w:right="211"/>
              <w:spacing w:after="0"/>
              <w:rPr>
                <w:sz w:val="20"/>
                <w:szCs w:val="20"/>
                <w:color w:val="auto"/>
              </w:rPr>
            </w:pPr>
            <w:r>
              <w:rPr>
                <w:rFonts w:ascii="Arial" w:cs="Arial" w:eastAsia="Arial" w:hAnsi="Arial"/>
                <w:sz w:val="18"/>
                <w:szCs w:val="18"/>
                <w:b w:val="1"/>
                <w:bCs w:val="1"/>
                <w:color w:val="auto"/>
                <w:w w:val="96"/>
              </w:rPr>
              <w:t>Period end</w:t>
            </w:r>
          </w:p>
        </w:tc>
      </w:tr>
      <w:tr>
        <w:trPr>
          <w:trHeight w:val="23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Unvested Cash Units</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Awards</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Fair Value</w:t>
            </w: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5"/>
        </w:trPr>
        <w:tc>
          <w:tcPr>
            <w:tcW w:w="82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4,672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8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Granted adjustment </w:t>
            </w:r>
            <w:r>
              <w:rPr>
                <w:rFonts w:ascii="Arial" w:cs="Arial" w:eastAsia="Arial" w:hAnsi="Arial"/>
                <w:sz w:val="10"/>
                <w:szCs w:val="10"/>
                <w:color w:val="auto"/>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8280" w:type="dxa"/>
            <w:vAlign w:val="bottom"/>
            <w:gridSpan w:val="2"/>
          </w:tcPr>
          <w:p>
            <w:pPr>
              <w:ind w:left="26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8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Unvested at December 31,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line="205"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0.62</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1" w:lineRule="exact"/>
        <w:rPr>
          <w:sz w:val="20"/>
          <w:szCs w:val="20"/>
          <w:color w:val="auto"/>
        </w:rPr>
      </w:pPr>
    </w:p>
    <w:p>
      <w:pPr>
        <w:ind w:left="160" w:hanging="154"/>
        <w:spacing w:after="0"/>
        <w:tabs>
          <w:tab w:leader="none" w:pos="16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Includes changes in the unvested units due to performance adjustments.</w:t>
      </w:r>
    </w:p>
    <w:p>
      <w:pPr>
        <w:spacing w:after="0" w:line="23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as well as the percentage achievement of the performance metrics at each reporting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has a 401(k) plan (the “401(k) Plan”) covering all eligible employees. The 401(k) Plan allows for a discretionary employer match. The Company incurred and expensed $1.8 million, $2.5 million, and $2.9 million for the years ended December 31, 2022, 2021 and 2020, respectively, in 401(k) Plan match contributions.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continues to identify workforce optimization opportunities to better align the Company’s resources with its key strategic priorities.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the Company’s restructuring accrual at December 31, 2022 and changes during the year ended December 31, 2022, are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 at</w:t>
            </w:r>
          </w:p>
        </w:tc>
        <w:tc>
          <w:tcPr>
            <w:tcW w:w="260" w:type="dxa"/>
            <w:vAlign w:val="bottom"/>
          </w:tcPr>
          <w:p>
            <w:pPr>
              <w:spacing w:after="0"/>
              <w:rPr>
                <w:sz w:val="16"/>
                <w:szCs w:val="1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Charges</w:t>
            </w:r>
          </w:p>
        </w:tc>
        <w:tc>
          <w:tcPr>
            <w:tcW w:w="240" w:type="dxa"/>
            <w:vAlign w:val="bottom"/>
          </w:tcPr>
          <w:p>
            <w:pPr>
              <w:spacing w:after="0"/>
              <w:rPr>
                <w:sz w:val="16"/>
                <w:szCs w:val="16"/>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Other Adjustments</w:t>
            </w:r>
          </w:p>
        </w:tc>
        <w:tc>
          <w:tcPr>
            <w:tcW w:w="220" w:type="dxa"/>
            <w:vAlign w:val="bottom"/>
          </w:tcPr>
          <w:p>
            <w:pPr>
              <w:spacing w:after="0"/>
              <w:rPr>
                <w:sz w:val="16"/>
                <w:szCs w:val="16"/>
                <w:color w:val="auto"/>
              </w:rPr>
            </w:pPr>
          </w:p>
        </w:tc>
        <w:tc>
          <w:tcPr>
            <w:tcW w:w="1200" w:type="dxa"/>
            <w:vAlign w:val="bottom"/>
          </w:tcPr>
          <w:p>
            <w:pPr>
              <w:jc w:val="right"/>
              <w:ind w:right="276"/>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December 31, 2021</w:t>
            </w: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22"/>
        </w:trPr>
        <w:tc>
          <w:tcPr>
            <w:tcW w:w="3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Employment termination costs</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or (loss) from continuing operations before income taxes are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Arial" w:cs="Arial" w:eastAsia="Arial" w:hAnsi="Arial"/>
                <w:sz w:val="18"/>
                <w:szCs w:val="18"/>
                <w:b w:val="1"/>
                <w:bCs w:val="1"/>
                <w:color w:val="auto"/>
                <w:w w:val="88"/>
              </w:rPr>
              <w:t>Year Ended December 31,</w:t>
            </w:r>
          </w:p>
        </w:tc>
        <w:tc>
          <w:tcPr>
            <w:tcW w:w="1080" w:type="dxa"/>
            <w:vAlign w:val="bottom"/>
            <w:tcBorders>
              <w:bottom w:val="single" w:sz="8" w:color="auto"/>
            </w:tcBorders>
          </w:tcPr>
          <w:p>
            <w:pPr>
              <w:spacing w:after="0"/>
              <w:rPr>
                <w:sz w:val="20"/>
                <w:szCs w:val="20"/>
                <w:color w:val="auto"/>
              </w:rPr>
            </w:pPr>
          </w:p>
        </w:tc>
      </w:tr>
      <w:tr>
        <w:trPr>
          <w:trHeight w:val="220"/>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19"/>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(43,457)</w:t>
            </w:r>
          </w:p>
        </w:tc>
      </w:tr>
      <w:tr>
        <w:trPr>
          <w:trHeight w:val="225"/>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w:t>
            </w:r>
          </w:p>
        </w:tc>
      </w:tr>
      <w:tr>
        <w:trPr>
          <w:trHeight w:val="245"/>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7040" w:type="dxa"/>
            <w:vAlign w:val="bottom"/>
            <w:gridSpan w:val="2"/>
          </w:tcPr>
          <w:p>
            <w:pPr>
              <w:jc w:val="right"/>
              <w:ind w:right="131"/>
              <w:spacing w:after="0"/>
              <w:rPr>
                <w:sz w:val="20"/>
                <w:szCs w:val="20"/>
                <w:color w:val="auto"/>
              </w:rPr>
            </w:pPr>
            <w:r>
              <w:rPr>
                <w:rFonts w:ascii="Arial" w:cs="Arial" w:eastAsia="Arial" w:hAnsi="Arial"/>
                <w:sz w:val="18"/>
                <w:szCs w:val="18"/>
                <w:color w:val="auto"/>
                <w:w w:val="93"/>
              </w:rPr>
              <w:t>The components of income tax (expense) benefit from continuing operations are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3"/>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Arial" w:cs="Arial" w:eastAsia="Arial" w:hAnsi="Arial"/>
                <w:sz w:val="18"/>
                <w:szCs w:val="18"/>
                <w:b w:val="1"/>
                <w:bCs w:val="1"/>
                <w:color w:val="auto"/>
                <w:w w:val="88"/>
              </w:rPr>
              <w:t>Year Ended December 31,</w:t>
            </w:r>
          </w:p>
        </w:tc>
        <w:tc>
          <w:tcPr>
            <w:tcW w:w="1080" w:type="dxa"/>
            <w:vAlign w:val="bottom"/>
            <w:tcBorders>
              <w:bottom w:val="single" w:sz="8" w:color="auto"/>
            </w:tcBorders>
          </w:tcPr>
          <w:p>
            <w:pPr>
              <w:spacing w:after="0"/>
              <w:rPr>
                <w:sz w:val="24"/>
                <w:szCs w:val="24"/>
                <w:color w:val="auto"/>
              </w:rPr>
            </w:pPr>
          </w:p>
        </w:tc>
      </w:tr>
      <w:tr>
        <w:trPr>
          <w:trHeight w:val="220"/>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6"/>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30,365</w:t>
            </w:r>
          </w:p>
        </w:tc>
      </w:tr>
      <w:tr>
        <w:trPr>
          <w:trHeight w:val="227"/>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7"/>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5"/>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The Company recognized approximately $1.9 million in related income tax expense and $7.2 million in related income tax benefit during the years ended December 31, 2022 and 2021, respectively. The effective tax rate was approximately (31.7)% for the year ended December 31, 2022, which was lower than the U.S. federal statutory rate primarily due to the impact of Global Intangible Low-Taxed Income, attributable to income in foreign jurisdictions and the impact of the U.S. capitalization of research expenses effective January 1, 2022, and the divestiture of the DXP and Activation assets during the second quarter. This decrease was partially offset by loss jurisdictions where full valuation allowances have been recorded and foreign income tax credits generated in the period. The Company’s effective tax rate was approximately 23.7% for the year ended December 31, 2021, which was higher than the U.S. statutory rate primarily due to the benefit of the CARES Act provision allowing for a 5 year carryback of Net Operating Losses arising in 2018, 2019 and 2020, offset by certain unfavorable permanent book-tax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Reconciliations of the statutory tax rates and the effective tax rates from continuing operations for the years ended December 31, 2022, 2021 and 2020 are as follows: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420" w:type="dxa"/>
            <w:vAlign w:val="bottom"/>
          </w:tcPr>
          <w:p>
            <w:pPr>
              <w:spacing w:after="0"/>
              <w:rPr>
                <w:sz w:val="20"/>
                <w:szCs w:val="20"/>
                <w:color w:val="auto"/>
              </w:rPr>
            </w:pPr>
          </w:p>
        </w:tc>
        <w:tc>
          <w:tcPr>
            <w:tcW w:w="3620" w:type="dxa"/>
            <w:vAlign w:val="bottom"/>
            <w:tcBorders>
              <w:bottom w:val="single" w:sz="8" w:color="auto"/>
            </w:tcBorders>
            <w:gridSpan w:val="5"/>
          </w:tcPr>
          <w:p>
            <w:pPr>
              <w:ind w:left="1420"/>
              <w:spacing w:after="0"/>
              <w:rPr>
                <w:sz w:val="20"/>
                <w:szCs w:val="20"/>
                <w:color w:val="auto"/>
              </w:rPr>
            </w:pPr>
            <w:r>
              <w:rPr>
                <w:rFonts w:ascii="Arial" w:cs="Arial" w:eastAsia="Arial" w:hAnsi="Arial"/>
                <w:sz w:val="18"/>
                <w:szCs w:val="18"/>
                <w:b w:val="1"/>
                <w:bCs w:val="1"/>
                <w:color w:val="auto"/>
                <w:w w:val="98"/>
              </w:rPr>
              <w:t>Year Ended December 31,</w:t>
            </w:r>
          </w:p>
        </w:tc>
        <w:tc>
          <w:tcPr>
            <w:tcW w:w="1160" w:type="dxa"/>
            <w:vAlign w:val="bottom"/>
            <w:tcBorders>
              <w:bottom w:val="single" w:sz="8" w:color="auto"/>
            </w:tcBorders>
          </w:tcPr>
          <w:p>
            <w:pPr>
              <w:spacing w:after="0"/>
              <w:rPr>
                <w:sz w:val="20"/>
                <w:szCs w:val="20"/>
                <w:color w:val="auto"/>
              </w:rPr>
            </w:pPr>
          </w:p>
        </w:tc>
      </w:tr>
      <w:tr>
        <w:trPr>
          <w:trHeight w:val="220"/>
        </w:trPr>
        <w:tc>
          <w:tcPr>
            <w:tcW w:w="64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State taxes, net of federal benefit</w:t>
            </w:r>
          </w:p>
        </w:tc>
        <w:tc>
          <w:tcPr>
            <w:tcW w:w="154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Non-deductible bad debt adjustment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Stock based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basis differences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Regulatory matters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permanent adjustments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Federal and foreign tax credits</w:t>
            </w:r>
          </w:p>
        </w:tc>
        <w:tc>
          <w:tcPr>
            <w:tcW w:w="1540" w:type="dxa"/>
            <w:vAlign w:val="bottom"/>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Uncertain tax positions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Divestiture of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98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Global intangible low-taxed income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Base Erosion Anti-Abuse Tax and related elections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98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7"/>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NOL carryback and other refund claims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45.4 %</w:t>
            </w:r>
          </w:p>
        </w:tc>
      </w:tr>
      <w:tr>
        <w:trPr>
          <w:trHeight w:val="225"/>
        </w:trPr>
        <w:tc>
          <w:tcPr>
            <w:tcW w:w="6420" w:type="dxa"/>
            <w:vAlign w:val="bottom"/>
          </w:tcPr>
          <w:p>
            <w:pPr>
              <w:ind w:left="120"/>
              <w:spacing w:after="0"/>
              <w:rPr>
                <w:sz w:val="20"/>
                <w:szCs w:val="20"/>
                <w:color w:val="auto"/>
              </w:rPr>
            </w:pPr>
            <w:r>
              <w:rPr>
                <w:rFonts w:ascii="Arial" w:cs="Arial" w:eastAsia="Arial" w:hAnsi="Arial"/>
                <w:sz w:val="18"/>
                <w:szCs w:val="18"/>
                <w:color w:val="auto"/>
              </w:rPr>
              <w:t>Deferred tax adjustments</w:t>
            </w:r>
          </w:p>
        </w:tc>
        <w:tc>
          <w:tcPr>
            <w:tcW w:w="15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98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Return to provision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0"/>
        </w:trPr>
        <w:tc>
          <w:tcPr>
            <w:tcW w:w="6420" w:type="dxa"/>
            <w:vAlign w:val="bottom"/>
          </w:tcPr>
          <w:p>
            <w:pPr>
              <w:ind w:left="340"/>
              <w:spacing w:after="0"/>
              <w:rPr>
                <w:sz w:val="20"/>
                <w:szCs w:val="20"/>
                <w:color w:val="auto"/>
              </w:rPr>
            </w:pPr>
            <w:r>
              <w:rPr>
                <w:rFonts w:ascii="Arial" w:cs="Arial" w:eastAsia="Arial" w:hAnsi="Arial"/>
                <w:sz w:val="18"/>
                <w:szCs w:val="18"/>
                <w:color w:val="auto"/>
              </w:rPr>
              <w:t>Effective tax rate</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72.4 %</w:t>
            </w:r>
          </w:p>
        </w:tc>
      </w:tr>
      <w:tr>
        <w:trPr>
          <w:trHeight w:val="20"/>
        </w:trPr>
        <w:tc>
          <w:tcPr>
            <w:tcW w:w="6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8"/>
                <w:szCs w:val="18"/>
                <w:b w:val="1"/>
                <w:bCs w:val="1"/>
                <w:color w:val="auto"/>
              </w:rPr>
              <w:t>As of December 31,</w:t>
            </w:r>
          </w:p>
        </w:tc>
      </w:tr>
      <w:tr>
        <w:trPr>
          <w:trHeight w:val="220"/>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r>
      <w:tr>
        <w:trPr>
          <w:trHeight w:val="206"/>
        </w:trPr>
        <w:tc>
          <w:tcPr>
            <w:tcW w:w="82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Bad debts reserve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Federal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13,419</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net operating loss carry 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Foreign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9,001</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Capital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6,120</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Basis difference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6,268</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limitation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Capitalization of research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9"/>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83,685</w:t>
            </w:r>
          </w:p>
        </w:tc>
      </w:tr>
      <w:tr>
        <w:trPr>
          <w:trHeight w:val="233"/>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Basis difference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Lease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(4,978)</w:t>
            </w:r>
          </w:p>
        </w:tc>
      </w:tr>
      <w:tr>
        <w:trPr>
          <w:trHeight w:val="227"/>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19"/>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(10,804)</w:t>
            </w: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(73,441)</w:t>
            </w: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income tax (liabilities) assets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of December 31, 2022, the Company has federal and state income tax net operating loss (“NOL”) carryforwards of $25.4 million and $148.5 million, respectively, including NOL carryforwards which will expire at various dates from 2025 through 2041, and NOL carryforwards which do not expire. The Company also has foreign NOL carryforwards in various jurisdictions of $54.5 million that have various carryforward periods. Such NOL carryforwards expire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8"/>
                <w:szCs w:val="18"/>
                <w:b w:val="1"/>
                <w:bCs w:val="1"/>
                <w:color w:val="auto"/>
              </w:rPr>
              <w:t>NOL</w:t>
            </w:r>
          </w:p>
        </w:tc>
      </w:tr>
      <w:tr>
        <w:trPr>
          <w:trHeight w:val="23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Year</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6"/>
              </w:rPr>
              <w:t>carryforward</w:t>
            </w:r>
          </w:p>
        </w:tc>
      </w:tr>
      <w:tr>
        <w:trPr>
          <w:trHeight w:val="22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2025 - 2041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178,993</w:t>
            </w:r>
          </w:p>
        </w:tc>
      </w:tr>
      <w:tr>
        <w:trPr>
          <w:trHeight w:val="225"/>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49,369</w:t>
            </w:r>
          </w:p>
        </w:tc>
      </w:tr>
      <w:tr>
        <w:trPr>
          <w:trHeight w:val="245"/>
        </w:trPr>
        <w:tc>
          <w:tcPr>
            <w:tcW w:w="9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228,362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2022, the Company has federal and state income tax credit carryforwards of $6.6 million and $1.5 million, respectively, including credits which will expire at various dates from 2024 through 2039 and credits which do not expire. The Company also has foreign income tax credit carryforwards of $0.5 million which do not expire.</w:t>
      </w:r>
    </w:p>
    <w:p>
      <w:pPr>
        <w:spacing w:after="0" w:line="21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In evaluating the Company’s ability to recover its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incorporates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the Company is using to manage the underlying businesses.</w:t>
      </w:r>
    </w:p>
    <w:p>
      <w:pPr>
        <w:spacing w:after="0" w:line="206" w:lineRule="exact"/>
        <w:rPr>
          <w:sz w:val="20"/>
          <w:szCs w:val="20"/>
          <w:color w:val="auto"/>
        </w:rPr>
      </w:pPr>
    </w:p>
    <w:p>
      <w:pPr>
        <w:jc w:val="both"/>
        <w:ind w:right="20" w:firstLine="319"/>
        <w:spacing w:after="0" w:line="296" w:lineRule="auto"/>
        <w:rPr>
          <w:sz w:val="20"/>
          <w:szCs w:val="20"/>
          <w:color w:val="auto"/>
        </w:rPr>
      </w:pPr>
      <w:r>
        <w:rPr>
          <w:rFonts w:ascii="Arial" w:cs="Arial" w:eastAsia="Arial" w:hAnsi="Arial"/>
          <w:sz w:val="17"/>
          <w:szCs w:val="17"/>
          <w:color w:val="auto"/>
        </w:rPr>
        <w:t>The foreign NOL carryforwards in the income tax returns filed included unrecognized tax benefits taken in prior years. The NOLs for which a deferred tax asset is recognized for financial statement purposes in accordance with ASC 740 are presented net of these unrecognized tax benefits.</w:t>
      </w:r>
    </w:p>
    <w:p>
      <w:pPr>
        <w:spacing w:after="0" w:line="183"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Company continues to evaluate the ability to realize all of its net deferred tax assets at each reporting date and records a benefit for deferred tax assets to the extent it has deferred tax liabilities that provide a source of income to benefit the deferred tax asset. As a result of this analysis, the Company recorded a valuation allowance against the net deferred tax assets of certain foreign jurisdictions as the realization of these assets is not more likely than not, given uncertainty of future earnings in these jurisdictions. The valuation allowance decreased by $5.8 million and by $1.5 million during the years ended December 31, 2022 and December 31, 2021, respectively. The decrease in tax year ended December 31, 2022 is primarily related to a decrease in deferred tax assets including deferred revenue, intangibles and net operating loss, interest expense and tax credit carryforwards, net of capitalization of research expenditures. This decrease was partially offset by a decrease in deferred tax liabilities primarily associated with intangible assets during the period. The decrease in tax year ended December 31, 2021 is primarily related to a decrease in deferred tax assets including deferred revenue, partially offset by a decrease in deferred tax liabilities primarily associated with intangible assets during the period.</w:t>
      </w:r>
    </w:p>
    <w:p>
      <w:pPr>
        <w:spacing w:after="0" w:line="19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As of December 31, 2022, the Company’s tax years for 2018 through 2022 are subject to examination by the tax authorities. With few exceptions, as of December 31, 2022, the Company is no longer subject to U.S. federal, state, local, or foreign examinations by tax authorities for years before 2017. Additionally, to the extent we utilize our NOL carryforwards in the future, the tax years in which the attribute was generated may still be adjusted upon examination by the tax authorities in the future period when the attribute is utilized.</w:t>
      </w:r>
    </w:p>
    <w:p>
      <w:pPr>
        <w:spacing w:after="0" w:line="22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During 2021 the Internal Revenue Service commenced an audit of certain of the Company’s prior year U.S. federal income tax filings, including the 2013 through 2020 tax years. The audit is currently ongoing and the receipt of the associated refunds would materially improve the Company’s financial position. Due to the ongoing audit, U.S. federal tax returns for years 2013–2020 remain subject to future examination by the tax authorities.</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received $4.3 million in federal tax refunds in the second quarter of 2022. There is no change to the Company’s position on the remaining tax refunds.</w:t>
      </w:r>
    </w:p>
    <w:p>
      <w:pPr>
        <w:spacing w:after="0" w:line="20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In 2017, the TCJA included a transition tax based on undistributed, untaxed foreign earnings analyzed in aggregate. The final analysis performed by the Company resulted in an overall untaxed deficit and no transition tax. In addition, no income taxes have been provided for any remaining undistributed foreign earnings not subject to the transition tax, or any additional outside basis difference inherent in these entities, as these amounts continue to be indefinitely reinvested in foreign operations. Should the Company decide to repatriate the foreign earnings, it would need to adjust its income tax provision in the period it determined that the earnings will no longer be indefinitely invested outside the United States. Due to the timing and circumstances of repatriation of such earnings, if any, it is not practicable to determine the unrecognized deferred tax liability relating to such amounts.</w:t>
      </w:r>
    </w:p>
    <w:p>
      <w:pPr>
        <w:spacing w:after="0" w:line="19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Loss provisions of the Tax Cuts and Jobs Act, allowing for the carryback of losses arising in tax years 2018, 2019 and 2020, to each of the five taxable years preceding the taxable year of loss.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March 11, 2021 the American Rescue Plan Act ("ARPA") was signed into law. The legislation was aimed at addressing the continuing economic and health impacts of the COVID-19 pandemic. This legislative relief, along with the previous governmental relief packages provide for numerous changes to current tax law. ARPA does not materially impact the Company’s financial statements.</w:t>
      </w:r>
    </w:p>
    <w:p>
      <w:pPr>
        <w:spacing w:after="0" w:line="21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August 16, 2022, the Inflation Reduction Act of 2022 ("IRA") was signed into law. This legislation includes significant changes relating to tax, climate change, energy and health care. Among other provisions, the IRA introduces a book minimum tax assessed on financial statement income of certain large corporations and an excise tax on share repurchases. The Company does not anticipate these provisions will have a material impact on our results of operations or financial position, when effective.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320"/>
              <w:spacing w:after="0"/>
              <w:rPr>
                <w:sz w:val="20"/>
                <w:szCs w:val="20"/>
                <w:color w:val="auto"/>
              </w:rPr>
            </w:pPr>
            <w:r>
              <w:rPr>
                <w:rFonts w:ascii="Arial" w:cs="Arial" w:eastAsia="Arial" w:hAnsi="Arial"/>
                <w:sz w:val="18"/>
                <w:szCs w:val="18"/>
                <w:color w:val="auto"/>
              </w:rPr>
              <w:t>A reconciliation of the amounts of unrecognized tax benefits excluding interest, are as follows: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9"/>
        </w:trPr>
        <w:tc>
          <w:tcPr>
            <w:tcW w:w="98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Unrecognized tax</w:t>
            </w:r>
          </w:p>
        </w:tc>
      </w:tr>
      <w:tr>
        <w:trPr>
          <w:trHeight w:val="231"/>
        </w:trPr>
        <w:tc>
          <w:tcPr>
            <w:tcW w:w="9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benefits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r>
      <w:tr>
        <w:trPr>
          <w:trHeight w:val="225"/>
        </w:trPr>
        <w:tc>
          <w:tcPr>
            <w:tcW w:w="9800" w:type="dxa"/>
            <w:vAlign w:val="bottom"/>
          </w:tcPr>
          <w:p>
            <w:pPr>
              <w:ind w:left="260"/>
              <w:spacing w:after="0"/>
              <w:rPr>
                <w:sz w:val="20"/>
                <w:szCs w:val="20"/>
                <w:color w:val="auto"/>
              </w:rPr>
            </w:pPr>
            <w:r>
              <w:rPr>
                <w:rFonts w:ascii="Arial" w:cs="Arial" w:eastAsia="Arial" w:hAnsi="Arial"/>
                <w:sz w:val="18"/>
                <w:szCs w:val="18"/>
                <w:color w:val="auto"/>
              </w:rPr>
              <w:t>Decrease related to lapse of Statute of Limitations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7"/>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Increases for tax positions of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9"/>
        </w:trPr>
        <w:tc>
          <w:tcPr>
            <w:tcW w:w="9800" w:type="dxa"/>
            <w:vAlign w:val="bottom"/>
          </w:tcPr>
          <w:p>
            <w:pPr>
              <w:ind w:left="40"/>
              <w:spacing w:after="0"/>
              <w:rPr>
                <w:sz w:val="20"/>
                <w:szCs w:val="20"/>
                <w:color w:val="auto"/>
              </w:rPr>
            </w:pPr>
            <w:r>
              <w:rPr>
                <w:rFonts w:ascii="Arial" w:cs="Arial" w:eastAsia="Arial" w:hAnsi="Arial"/>
                <w:sz w:val="18"/>
                <w:szCs w:val="18"/>
                <w:color w:val="auto"/>
              </w:rPr>
              <w:t>Balance at December 31, 2020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3,283</w:t>
            </w:r>
          </w:p>
        </w:tc>
      </w:tr>
      <w:tr>
        <w:trPr>
          <w:trHeight w:val="227"/>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Decrease related to lapse of Statute of Limitations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25"/>
        </w:trPr>
        <w:tc>
          <w:tcPr>
            <w:tcW w:w="9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Increase for tax positions of current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Decrease related to lapse of Statute of Limitations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for tax positions of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20"/>
        </w:trPr>
        <w:tc>
          <w:tcPr>
            <w:tcW w:w="980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r>
      <w:tr>
        <w:trPr>
          <w:trHeight w:val="20"/>
        </w:trPr>
        <w:tc>
          <w:tcPr>
            <w:tcW w:w="9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Included in the balance of unrecognized tax benefits as of the years ended December 31, 2022 and 2021, are $3.9 million and $3.9 million, respectively, of tax benefits that, if recognized, would affect the effective tax rate.</w:t>
      </w:r>
    </w:p>
    <w:p>
      <w:pPr>
        <w:spacing w:after="0" w:line="193" w:lineRule="exact"/>
        <w:rPr>
          <w:sz w:val="20"/>
          <w:szCs w:val="20"/>
          <w:color w:val="auto"/>
        </w:rPr>
      </w:pPr>
    </w:p>
    <w:p>
      <w:pPr>
        <w:jc w:val="both"/>
        <w:ind w:firstLine="319"/>
        <w:spacing w:after="0" w:line="277" w:lineRule="auto"/>
        <w:rPr>
          <w:sz w:val="20"/>
          <w:szCs w:val="20"/>
          <w:color w:val="auto"/>
        </w:rPr>
      </w:pPr>
      <w:r>
        <w:rPr>
          <w:rFonts w:ascii="Arial" w:cs="Arial" w:eastAsia="Arial" w:hAnsi="Arial"/>
          <w:sz w:val="16"/>
          <w:szCs w:val="16"/>
          <w:color w:val="auto"/>
        </w:rPr>
        <w:t>The Company recognizes interest and penalties, if any, related to unrecognized tax benefits in interest expense. The liability for unrecognized tax benefits excludes accrued interest of $0.4 million, $0.4 million and $0.3 million, for the years ended December 31, 2022, 2021 and 2020, respectively. The Company believes that it is reasonably possible that approximately $0.6 million of its currently unrecognized tax benefits primarily related to research and development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credits and uncertain tax benefits in non-U.S. jurisdictions, which are individually insignificant, may be recognized by the end of 2023 as a result of a lapse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Common Share (“EPS”)</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operations.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jc w:val="right"/>
              <w:ind w:right="771"/>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 - Basic:</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Net loss from operations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(7,716)</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redeemable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Preferred stock dividend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(37,981)</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Synchronoss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 attributable to Synchronoss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(48,683)</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Synchronoss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41,950</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shd w:val="clear" w:color="auto" w:fill="CCEEFF"/>
          </w:tcPr>
          <w:p>
            <w:pPr>
              <w:ind w:left="240"/>
              <w:spacing w:after="0" w:line="200" w:lineRule="exact"/>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31"/>
              <w:spacing w:after="0" w:line="17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8"/>
                <w:szCs w:val="18"/>
                <w:color w:val="auto"/>
              </w:rPr>
              <w:t>(0.20)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1"/>
              <w:spacing w:after="0" w:line="17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8"/>
                <w:szCs w:val="18"/>
                <w:color w:val="auto"/>
              </w:rPr>
              <w:t>(0.90)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31"/>
              <w:spacing w:after="0" w:line="17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Anti-dilutive stock options excluded</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agreements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has various non-cancelable arrangements such as services for hosting, support, and software that expire at various dates, with the latest expiration in 2025.</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Aggregate annual future minimum payments under non-cancelable agreements as of December 31, 2022 are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7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6"/>
                <w:szCs w:val="16"/>
                <w:color w:val="auto"/>
              </w:rPr>
            </w:pPr>
          </w:p>
        </w:tc>
        <w:tc>
          <w:tcPr>
            <w:tcW w:w="1280" w:type="dxa"/>
            <w:vAlign w:val="bottom"/>
          </w:tcPr>
          <w:p>
            <w:pPr>
              <w:jc w:val="right"/>
              <w:ind w:right="94"/>
              <w:spacing w:after="0"/>
              <w:rPr>
                <w:sz w:val="20"/>
                <w:szCs w:val="20"/>
                <w:color w:val="auto"/>
              </w:rPr>
            </w:pPr>
            <w:r>
              <w:rPr>
                <w:rFonts w:ascii="Arial" w:cs="Arial" w:eastAsia="Arial" w:hAnsi="Arial"/>
                <w:sz w:val="16"/>
                <w:szCs w:val="16"/>
                <w:b w:val="1"/>
                <w:bCs w:val="1"/>
                <w:color w:val="auto"/>
                <w:w w:val="91"/>
              </w:rPr>
              <w:t>Non-cancelable</w:t>
            </w:r>
          </w:p>
        </w:tc>
        <w:tc>
          <w:tcPr>
            <w:tcW w:w="0" w:type="dxa"/>
            <w:vAlign w:val="bottom"/>
          </w:tcPr>
          <w:p>
            <w:pPr>
              <w:spacing w:after="0"/>
              <w:rPr>
                <w:sz w:val="1"/>
                <w:szCs w:val="1"/>
                <w:color w:val="auto"/>
              </w:rPr>
            </w:pPr>
          </w:p>
        </w:tc>
      </w:tr>
      <w:tr>
        <w:trPr>
          <w:trHeight w:val="210"/>
        </w:trPr>
        <w:tc>
          <w:tcPr>
            <w:tcW w:w="97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agreements</w:t>
            </w:r>
          </w:p>
        </w:tc>
        <w:tc>
          <w:tcPr>
            <w:tcW w:w="0" w:type="dxa"/>
            <w:vAlign w:val="bottom"/>
          </w:tcPr>
          <w:p>
            <w:pPr>
              <w:spacing w:after="0"/>
              <w:rPr>
                <w:sz w:val="1"/>
                <w:szCs w:val="1"/>
                <w:color w:val="auto"/>
              </w:rPr>
            </w:pPr>
          </w:p>
        </w:tc>
      </w:tr>
      <w:tr>
        <w:trPr>
          <w:trHeight w:val="222"/>
        </w:trPr>
        <w:tc>
          <w:tcPr>
            <w:tcW w:w="9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0" w:type="dxa"/>
            <w:vAlign w:val="bottom"/>
          </w:tcPr>
          <w:p>
            <w:pPr>
              <w:spacing w:after="0"/>
              <w:rPr>
                <w:sz w:val="1"/>
                <w:szCs w:val="1"/>
                <w:color w:val="auto"/>
              </w:rPr>
            </w:pPr>
          </w:p>
        </w:tc>
      </w:tr>
      <w:tr>
        <w:trPr>
          <w:trHeight w:val="225"/>
        </w:trPr>
        <w:tc>
          <w:tcPr>
            <w:tcW w:w="9780" w:type="dxa"/>
            <w:vAlign w:val="bottom"/>
          </w:tcPr>
          <w:p>
            <w:pPr>
              <w:ind w:left="1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26"/>
        </w:trPr>
        <w:tc>
          <w:tcPr>
            <w:tcW w:w="9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10,691</w:t>
            </w:r>
          </w:p>
        </w:tc>
        <w:tc>
          <w:tcPr>
            <w:tcW w:w="0" w:type="dxa"/>
            <w:vAlign w:val="bottom"/>
          </w:tcPr>
          <w:p>
            <w:pPr>
              <w:spacing w:after="0"/>
              <w:rPr>
                <w:sz w:val="1"/>
                <w:szCs w:val="1"/>
                <w:color w:val="auto"/>
              </w:rPr>
            </w:pPr>
          </w:p>
        </w:tc>
      </w:tr>
      <w:tr>
        <w:trPr>
          <w:trHeight w:val="220"/>
        </w:trPr>
        <w:tc>
          <w:tcPr>
            <w:tcW w:w="978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48,599</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Legal Matters</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98"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6"/>
          <w:szCs w:val="16"/>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(2)(B) of the Exchange Act and the associated rules thereunder. The expense associated with this settlement of the SEC Order has previously been accrued in the Company’s financial statements.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Due to the inherent uncertainty of litigation, the Company cannot predict the outcome of the litigation and can give no assurance that the asserted claims will not have a material adverse effect on its financial position, prospects, or results of operations. In addition, failure to comply with the provisions of the SEC Order could result in further actions by one or both governmental agencies which could have a material adverse effect on the Company’s results of operations.</w:t>
      </w:r>
    </w:p>
    <w:p>
      <w:pPr>
        <w:spacing w:after="0" w:line="22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w:t>
      </w:r>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Additional 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components of Other income (expense), net included in the Consolidated Statements of Operations: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4480" w:type="dxa"/>
            <w:vAlign w:val="bottom"/>
            <w:tcBorders>
              <w:bottom w:val="single" w:sz="8" w:color="auto"/>
            </w:tcBorders>
            <w:gridSpan w:val="8"/>
          </w:tcPr>
          <w:p>
            <w:pPr>
              <w:jc w:val="right"/>
              <w:ind w:right="771"/>
              <w:spacing w:after="0"/>
              <w:rPr>
                <w:sz w:val="20"/>
                <w:szCs w:val="20"/>
                <w:color w:val="auto"/>
              </w:rPr>
            </w:pPr>
            <w:r>
              <w:rPr>
                <w:rFonts w:ascii="Arial" w:cs="Arial" w:eastAsia="Arial" w:hAnsi="Arial"/>
                <w:sz w:val="18"/>
                <w:szCs w:val="18"/>
                <w:b w:val="1"/>
                <w:bCs w:val="1"/>
                <w:color w:val="auto"/>
              </w:rPr>
              <w:t>Twelve Months Ended December 31,</w:t>
            </w:r>
          </w:p>
        </w:tc>
      </w:tr>
      <w:tr>
        <w:trPr>
          <w:trHeight w:val="220"/>
        </w:trPr>
        <w:tc>
          <w:tcPr>
            <w:tcW w:w="67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19"/>
        </w:trPr>
        <w:tc>
          <w:tcPr>
            <w:tcW w:w="672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r>
      <w:tr>
        <w:trPr>
          <w:trHeight w:val="226"/>
        </w:trPr>
        <w:tc>
          <w:tcPr>
            <w:tcW w:w="67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Government refunds </w:t>
            </w:r>
            <w:r>
              <w:rPr>
                <w:rFonts w:ascii="Arial" w:cs="Arial" w:eastAsia="Arial" w:hAnsi="Arial"/>
                <w:sz w:val="23"/>
                <w:szCs w:val="23"/>
                <w:color w:val="auto"/>
                <w:vertAlign w:val="superscript"/>
              </w:rPr>
              <w:t>2</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26"/>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Income from sale of intangible assets </w:t>
            </w:r>
            <w:r>
              <w:rPr>
                <w:rFonts w:ascii="Arial" w:cs="Arial" w:eastAsia="Arial" w:hAnsi="Arial"/>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26"/>
        </w:trPr>
        <w:tc>
          <w:tcPr>
            <w:tcW w:w="672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60" w:lineRule="exact"/>
        <w:rPr>
          <w:sz w:val="20"/>
          <w:szCs w:val="20"/>
          <w:color w:val="auto"/>
        </w:rPr>
      </w:pPr>
    </w:p>
    <w:p>
      <w:pPr>
        <w:ind w:left="480" w:hanging="155"/>
        <w:spacing w:after="0"/>
        <w:tabs>
          <w:tab w:leader="none" w:pos="480" w:val="left"/>
        </w:tabs>
        <w:numPr>
          <w:ilvl w:val="1"/>
          <w:numId w:val="52"/>
        </w:numPr>
        <w:rPr>
          <w:rFonts w:ascii="Arial" w:cs="Arial" w:eastAsia="Arial" w:hAnsi="Arial"/>
          <w:sz w:val="21"/>
          <w:szCs w:val="21"/>
          <w:color w:val="auto"/>
          <w:vertAlign w:val="superscript"/>
        </w:rPr>
      </w:pPr>
      <w:r>
        <w:rPr>
          <w:rFonts w:ascii="Arial" w:cs="Arial" w:eastAsia="Arial" w:hAnsi="Arial"/>
          <w:sz w:val="16"/>
          <w:szCs w:val="16"/>
          <w:color w:val="auto"/>
        </w:rPr>
        <w:t>Represents fair value of foreign exchange gains and losses.</w:t>
      </w:r>
    </w:p>
    <w:p>
      <w:pPr>
        <w:ind w:left="320"/>
        <w:spacing w:after="0" w:line="208"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Represents government and tax refunds.</w:t>
      </w:r>
    </w:p>
    <w:p>
      <w:pPr>
        <w:ind w:left="320" w:right="6420"/>
        <w:spacing w:after="0" w:line="274" w:lineRule="auto"/>
        <w:rPr>
          <w:rFonts w:ascii="Arial" w:cs="Arial" w:eastAsia="Arial" w:hAnsi="Arial"/>
          <w:sz w:val="21"/>
          <w:szCs w:val="21"/>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gain on sale on the Company’s IP addresses and patents. </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an aggregate of individually immaterial transactions.</w:t>
      </w:r>
    </w:p>
    <w:p>
      <w:pPr>
        <w:spacing w:after="0" w:line="129" w:lineRule="exact"/>
        <w:rPr>
          <w:rFonts w:ascii="Arial" w:cs="Arial" w:eastAsia="Arial" w:hAnsi="Arial"/>
          <w:sz w:val="21"/>
          <w:szCs w:val="21"/>
          <w:color w:val="auto"/>
          <w:vertAlign w:val="superscript"/>
        </w:rPr>
      </w:pPr>
    </w:p>
    <w:p>
      <w:pPr>
        <w:ind w:left="280" w:hanging="274"/>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March 10, 2023 the Company received a non-binding proposal from B. Riley Financial, Inc. (“B. Riley”) to acquire all outstanding shares of the Company’s common stock for a price of $1.15 per share, payable in cash (the “B. Riley Proposal”).</w:t>
      </w:r>
    </w:p>
    <w:p>
      <w:pPr>
        <w:spacing w:after="0" w:line="206"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B. Riley, together with its affiliates, owns approximately 13.9% of the Company’s outstanding common stock as of March 10, 2023, and is the largest holder of the Company’s common stock. B. Riley also nominated one of the Company’s directors pursuant to a pre-existing agreement with the Company.</w:t>
      </w:r>
    </w:p>
    <w:p>
      <w:pPr>
        <w:spacing w:after="0" w:line="160"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During 2022, the Company engaged UBS Securities, LLC (“UBS”) as its financial advisor to assist in exploring and evaluating potential strategic transactions involving the Company or certain of its lines of business, all with the objective of maximizing value for the Company’s stockholders.</w:t>
      </w:r>
    </w:p>
    <w:p>
      <w:pPr>
        <w:spacing w:after="0" w:line="183"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Consistent with its fiduciary duties and in consultation with UBS and its legal advisors, the Company’s Board of Directors will carefully review the B. Riley Proposal and other potential strategic transactions to determine the course of action that it believes will maximize value for the Company’s stockholders. However, there is no guarantee that a strategic transaction involving B. Riley or any other party will be completed.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We maintain disclosure controls and procedures (as defined in Rule 13a-15(e) or Rule 15d-15(e) under the Exchange Act) that are designed to ensure that information required to be disclosed by us in reports that we file under the Exchange Act is recorded, processed, summarized, and reported within the time periods specified in the SEC’s rules and forms and that such information required to be disclosed by us in reports that we file under the Exchange Act is accumulated and communicated to our management, including our Chief Executive Officer, or CEO, and our Chief Financial Officer, or CFO, to allow timely decisions regarding required disclosure. Management, with the participation of our CEO and CFO, performed an evaluation of the effectiveness of our disclosure controls and procedures as of December 31, 2022. Based on that evaluation, our CEO and CFO concluded that our disclosure controls and procedures were effective as of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Rule 15d-15(f) under the Exchange Act). Under the supervision and with the participation of our management, including our CEO and CFO, we conducted an evaluation of the effectiveness of our internal control over financial reporting based on the framework in Internal Control-Integrated Framework issued by the Committee of Sponsoring Organizations of the Treadway Commission (2013 Framework). Based on that evaluation, our management concluded that our internal control over financial reporting was effective as of December 31, 2022 to provide reasonable assurance regarding the reliability of financial reporting and the preparation of consolidated financial statements for external reporting purposes in accordance with GAAP.</w:t>
      </w:r>
    </w:p>
    <w:p>
      <w:pPr>
        <w:spacing w:after="0" w:line="19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Ernst &amp; Young LLP, the independent registered public accounting firm that audited our consolidated financial statements included in this Annual Report on Form 10-K, audited the effectiveness of our internal control over financial reporting as of December 31, 2022. Ernst &amp; Young LLP has issued their report which is included elsewhere herein.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Rule 15d-15(f) under the Exchange Act) identified in connection with the evaluation of our controls performed during the year ended December 31, 2022 that have materially affected, or are reasonably likely to materially affect, our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Synchronoss Technologies, Inc.’s internal control over financial reporting as of December 31, 2022, based on criteria established in Internal Control—Integrated Framework issued by the Committee of Sponsoring Organizations of the Treadway Commission (2013 framework) (the COSO criteria). In our opinion, Synchronoss Technologies, Inc. (the Company) maintained, in all material respects, effective internal control over financial reporting as of December 31, 2022, based on the COSO criteria.</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income, stockholders’ equity and cash flows for each of the three years in the period ended December 31, 2022, and the related notes and financial statement schedule listed in the Index at Item 15(a)(2) and our report dated March 15, 2023 expressed an unqualified opinion thereon.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1" w:lineRule="exact"/>
        <w:rPr>
          <w:sz w:val="20"/>
          <w:szCs w:val="20"/>
          <w:color w:val="auto"/>
        </w:rPr>
      </w:pPr>
    </w:p>
    <w:p>
      <w:pPr>
        <w:ind w:left="640" w:hanging="315"/>
        <w:spacing w:after="0" w:line="266" w:lineRule="auto"/>
        <w:tabs>
          <w:tab w:leader="none" w:pos="6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Identification of Directors. Information concerning the directors of Synchronoss is set forth under the heading “Election of Directors” in the Synchronoss Proxy Statement for the 2022 Annual Meeting of Stockholders and is incorporated herein by reference.</w:t>
      </w:r>
    </w:p>
    <w:p>
      <w:pPr>
        <w:spacing w:after="0" w:line="205" w:lineRule="exact"/>
        <w:rPr>
          <w:rFonts w:ascii="Arial" w:cs="Arial" w:eastAsia="Arial" w:hAnsi="Arial"/>
          <w:sz w:val="18"/>
          <w:szCs w:val="18"/>
          <w:color w:val="auto"/>
        </w:rPr>
      </w:pPr>
    </w:p>
    <w:p>
      <w:pPr>
        <w:ind w:left="640" w:hanging="315"/>
        <w:spacing w:after="0" w:line="296"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Audit Committee Financial Expert. Information concerning Synchronoss’ audit committee financial expert is set forth under the heading “Audit Committee” in the Synchronoss Proxy Statement for the 2022 Annual Meeting of Stockholders and is incorporated herein by reference.</w:t>
      </w:r>
    </w:p>
    <w:p>
      <w:pPr>
        <w:spacing w:after="0" w:line="182" w:lineRule="exact"/>
        <w:rPr>
          <w:rFonts w:ascii="Arial" w:cs="Arial" w:eastAsia="Arial" w:hAnsi="Arial"/>
          <w:sz w:val="17"/>
          <w:szCs w:val="17"/>
          <w:color w:val="auto"/>
        </w:rPr>
      </w:pPr>
    </w:p>
    <w:p>
      <w:pPr>
        <w:ind w:left="640" w:hanging="315"/>
        <w:spacing w:after="0" w:line="296" w:lineRule="auto"/>
        <w:tabs>
          <w:tab w:leader="none" w:pos="6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Identification of the Audit Committee. Information concerning the audit committee of Synchronoss is set forth under the heading “Audit Committee” in the Synchronoss Proxy Statement for the 2022 Annual Meeting of Stockholders and is incorporated herein by reference.</w:t>
      </w:r>
    </w:p>
    <w:p>
      <w:pPr>
        <w:spacing w:after="0" w:line="182"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Delinquent Section 16(a) Reports. Information concerning non-compliance, if any, with beneficial ownership reporting requirements is set forth under the caption “Delinquent Section 16(a) Reports” in the Synchronoss Proxy Statement for the 2022 Annual Meeting of Stockholders and is incorporated herein by reference.</w:t>
      </w:r>
    </w:p>
    <w:p>
      <w:pPr>
        <w:spacing w:after="0" w:line="215" w:lineRule="exact"/>
        <w:rPr>
          <w:rFonts w:ascii="Arial" w:cs="Arial" w:eastAsia="Arial" w:hAnsi="Arial"/>
          <w:sz w:val="18"/>
          <w:szCs w:val="18"/>
          <w:color w:val="auto"/>
        </w:rPr>
      </w:pPr>
    </w:p>
    <w:p>
      <w:pPr>
        <w:jc w:val="both"/>
        <w:ind w:left="640" w:hanging="315"/>
        <w:spacing w:after="0" w:line="256" w:lineRule="auto"/>
        <w:tabs>
          <w:tab w:leader="none" w:pos="6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about our Executive Officers. Information concerning the executive officers of Synchronoss is set forth under the heading “Information about our Executive Officers” in the Synchronoss Proxy Statement for the 2022 Annual Meeting of Stockholders and is incorporated herein by reference.</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Code of Ethics. Information concerning the Synchronoss Workplace Code of Ethics and Business Conduct is set forth under the caption “Workplace Code of Ethics and Business Conduct” in the Synchronoss Proxy Statement for the 2022 Annual Meeting of Stockholders and is incorporated herein by reference. The Company intends to disclose on its website any amendments to, or waivers from, its Code of Business Conduct that are required to be disclosed pursuant to the rules of the SEC. Information contained on, or connected to, our website is not incorporated by reference into this annual report and should not be considered part of this report or any other filing that we make with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Information concerning executive compensation is set forth under the headings “Compensation of Executive Officers” and “Securities Authorized for Issuance Under Equity Compensation Plans” in the Synchronoss Proxy Statement for the 2022 Annual Meeting of Stockholders and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63"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2022 Annual Meeting of Stockholders and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Information concerning certain relationships and related transactions is set forth under the heading “Certain Related Party Transactions” in the Synchronoss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Information concerning fees and services of the Company’s principal accountants is set forth under the heading “Report of the Audit Committee” and “Independent Registered Public Accounting Firm’s Fees” in the Synchronoss Proxy Statement for the 2022 Annual Meeting of Stockholders and is incorporated herein by reference.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60" w:type="dxa"/>
            <w:vAlign w:val="bottom"/>
            <w:gridSpan w:val="2"/>
          </w:tcPr>
          <w:p>
            <w:pPr>
              <w:jc w:val="right"/>
              <w:ind w:right="5131"/>
              <w:spacing w:after="0"/>
              <w:rPr>
                <w:sz w:val="20"/>
                <w:szCs w:val="20"/>
                <w:color w:val="auto"/>
              </w:rPr>
            </w:pPr>
            <w:r>
              <w:rPr>
                <w:rFonts w:ascii="Arial" w:cs="Arial" w:eastAsia="Arial" w:hAnsi="Arial"/>
                <w:sz w:val="18"/>
                <w:szCs w:val="18"/>
                <w:b w:val="1"/>
                <w:bCs w:val="1"/>
                <w:color w:val="auto"/>
              </w:rPr>
              <w:t>PART IV</w:t>
            </w:r>
          </w:p>
        </w:tc>
      </w:tr>
      <w:tr>
        <w:trPr>
          <w:trHeight w:val="612"/>
        </w:trPr>
        <w:tc>
          <w:tcPr>
            <w:tcW w:w="474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w:t>
            </w: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4700" w:type="dxa"/>
            <w:vAlign w:val="bottom"/>
            <w:gridSpan w:val="7"/>
          </w:tcPr>
          <w:p>
            <w:pPr>
              <w:ind w:left="280"/>
              <w:spacing w:after="0"/>
              <w:rPr>
                <w:sz w:val="20"/>
                <w:szCs w:val="20"/>
                <w:color w:val="auto"/>
              </w:rPr>
            </w:pPr>
            <w:r>
              <w:rPr>
                <w:rFonts w:ascii="Arial" w:cs="Arial" w:eastAsia="Arial" w:hAnsi="Arial"/>
                <w:sz w:val="18"/>
                <w:szCs w:val="18"/>
                <w:color w:val="auto"/>
              </w:rPr>
              <w:t>(a)(1) Financial Statements:</w:t>
            </w: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6"/>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No.</w:t>
            </w:r>
          </w:p>
        </w:tc>
      </w:tr>
      <w:tr>
        <w:trPr>
          <w:trHeight w:val="187"/>
        </w:trPr>
        <w:tc>
          <w:tcPr>
            <w:tcW w:w="40" w:type="dxa"/>
            <w:vAlign w:val="bottom"/>
          </w:tcPr>
          <w:p>
            <w:pPr>
              <w:spacing w:after="0"/>
              <w:rPr>
                <w:sz w:val="16"/>
                <w:szCs w:val="16"/>
                <w:color w:val="auto"/>
              </w:rPr>
            </w:pPr>
          </w:p>
        </w:tc>
        <w:tc>
          <w:tcPr>
            <w:tcW w:w="4160" w:type="dxa"/>
            <w:vAlign w:val="bottom"/>
            <w:tcBorders>
              <w:bottom w:val="single" w:sz="8" w:color="0000FF"/>
            </w:tcBorders>
            <w:gridSpan w:val="5"/>
          </w:tcPr>
          <w:p>
            <w:pPr>
              <w:spacing w:after="0" w:line="188" w:lineRule="exact"/>
              <w:rPr>
                <w:sz w:val="20"/>
                <w:szCs w:val="20"/>
                <w:color w:val="auto"/>
              </w:rPr>
            </w:pPr>
            <w:r>
              <w:rPr>
                <w:rFonts w:ascii="Arial" w:cs="Arial" w:eastAsia="Arial" w:hAnsi="Arial"/>
                <w:sz w:val="18"/>
                <w:szCs w:val="18"/>
                <w:color w:val="0000FF"/>
                <w:w w:val="89"/>
              </w:rPr>
              <w:t>Report of Independent Registered Public Accounting Firm</w:t>
            </w:r>
          </w:p>
        </w:tc>
        <w:tc>
          <w:tcPr>
            <w:tcW w:w="540" w:type="dxa"/>
            <w:vAlign w:val="bottom"/>
            <w:gridSpan w:val="2"/>
          </w:tcPr>
          <w:p>
            <w:pPr>
              <w:spacing w:after="0"/>
              <w:rPr>
                <w:sz w:val="16"/>
                <w:szCs w:val="16"/>
                <w:color w:val="auto"/>
              </w:rPr>
            </w:pPr>
          </w:p>
        </w:tc>
        <w:tc>
          <w:tcPr>
            <w:tcW w:w="62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8" w:lineRule="exact"/>
              <w:rPr>
                <w:sz w:val="20"/>
                <w:szCs w:val="20"/>
                <w:color w:val="auto"/>
              </w:rPr>
            </w:pPr>
            <w:r>
              <w:rPr>
                <w:rFonts w:ascii="Arial" w:cs="Arial" w:eastAsia="Arial" w:hAnsi="Arial"/>
                <w:sz w:val="18"/>
                <w:szCs w:val="18"/>
                <w:color w:val="0000FF"/>
                <w:w w:val="79"/>
              </w:rPr>
              <w:t>57</w:t>
            </w:r>
          </w:p>
        </w:tc>
      </w:tr>
      <w:tr>
        <w:trPr>
          <w:trHeight w:val="206"/>
        </w:trPr>
        <w:tc>
          <w:tcPr>
            <w:tcW w:w="40" w:type="dxa"/>
            <w:vAlign w:val="bottom"/>
          </w:tcPr>
          <w:p>
            <w:pPr>
              <w:spacing w:after="0"/>
              <w:rPr>
                <w:sz w:val="17"/>
                <w:szCs w:val="17"/>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0000FF"/>
              </w:rPr>
              <w:t>59</w:t>
            </w:r>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7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Consolidated Statements of Operations</w:t>
            </w:r>
          </w:p>
        </w:tc>
        <w:tc>
          <w:tcPr>
            <w:tcW w:w="1920" w:type="dxa"/>
            <w:vAlign w:val="bottom"/>
            <w:gridSpan w:val="5"/>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60</w:t>
            </w:r>
          </w:p>
        </w:tc>
      </w:tr>
      <w:tr>
        <w:trPr>
          <w:trHeight w:val="206"/>
        </w:trPr>
        <w:tc>
          <w:tcPr>
            <w:tcW w:w="40" w:type="dxa"/>
            <w:vAlign w:val="bottom"/>
          </w:tcPr>
          <w:p>
            <w:pPr>
              <w:spacing w:after="0"/>
              <w:rPr>
                <w:sz w:val="17"/>
                <w:szCs w:val="17"/>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Comprehensive (Loss) Income</w:t>
            </w:r>
          </w:p>
        </w:tc>
        <w:tc>
          <w:tcPr>
            <w:tcW w:w="6460" w:type="dxa"/>
            <w:vAlign w:val="bottom"/>
            <w:gridSpan w:val="2"/>
          </w:tcPr>
          <w:p>
            <w:pPr>
              <w:jc w:val="right"/>
              <w:spacing w:after="0"/>
              <w:rPr>
                <w:sz w:val="20"/>
                <w:szCs w:val="20"/>
                <w:color w:val="auto"/>
              </w:rPr>
            </w:pPr>
            <w:r>
              <w:rPr>
                <w:rFonts w:ascii="Arial" w:cs="Arial" w:eastAsia="Arial" w:hAnsi="Arial"/>
                <w:sz w:val="18"/>
                <w:szCs w:val="18"/>
                <w:color w:val="0000FF"/>
              </w:rPr>
              <w:t>61</w:t>
            </w:r>
          </w:p>
        </w:tc>
      </w:tr>
      <w:tr>
        <w:trPr>
          <w:trHeight w:val="206"/>
        </w:trPr>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Stockholders’ Equity</w:t>
            </w:r>
          </w:p>
        </w:tc>
        <w:tc>
          <w:tcPr>
            <w:tcW w:w="680" w:type="dxa"/>
            <w:vAlign w:val="bottom"/>
            <w:tcBorders>
              <w:top w:val="single" w:sz="8" w:color="0000FF"/>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206"/>
        </w:trPr>
        <w:tc>
          <w:tcPr>
            <w:tcW w:w="40" w:type="dxa"/>
            <w:vAlign w:val="bottom"/>
          </w:tcPr>
          <w:p>
            <w:pPr>
              <w:spacing w:after="0"/>
              <w:rPr>
                <w:sz w:val="17"/>
                <w:szCs w:val="17"/>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6460" w:type="dxa"/>
            <w:vAlign w:val="bottom"/>
            <w:gridSpan w:val="2"/>
          </w:tcPr>
          <w:p>
            <w:pPr>
              <w:jc w:val="right"/>
              <w:spacing w:after="0"/>
              <w:rPr>
                <w:sz w:val="20"/>
                <w:szCs w:val="20"/>
                <w:color w:val="auto"/>
              </w:rPr>
            </w:pPr>
            <w:r>
              <w:rPr>
                <w:rFonts w:ascii="Arial" w:cs="Arial" w:eastAsia="Arial" w:hAnsi="Arial"/>
                <w:sz w:val="18"/>
                <w:szCs w:val="18"/>
                <w:color w:val="0000FF"/>
              </w:rPr>
              <w:t>63</w:t>
            </w:r>
          </w:p>
        </w:tc>
      </w:tr>
      <w:tr>
        <w:trPr>
          <w:trHeight w:val="206"/>
        </w:trPr>
        <w:tc>
          <w:tcPr>
            <w:tcW w:w="40" w:type="dxa"/>
            <w:vAlign w:val="bottom"/>
          </w:tcPr>
          <w:p>
            <w:pPr>
              <w:spacing w:after="0"/>
              <w:rPr>
                <w:sz w:val="17"/>
                <w:szCs w:val="17"/>
                <w:color w:val="auto"/>
              </w:rPr>
            </w:pPr>
          </w:p>
        </w:tc>
        <w:tc>
          <w:tcPr>
            <w:tcW w:w="28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Notes to Financial Statements</w:t>
            </w:r>
          </w:p>
        </w:tc>
        <w:tc>
          <w:tcPr>
            <w:tcW w:w="1880" w:type="dxa"/>
            <w:vAlign w:val="bottom"/>
            <w:gridSpan w:val="4"/>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(a)(2) Schedule for the years ended December 31, 2022, 2021,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140" w:type="dxa"/>
            <w:vAlign w:val="bottom"/>
          </w:tcPr>
          <w:p>
            <w:pPr>
              <w:ind w:left="120"/>
              <w:spacing w:after="0"/>
              <w:rPr>
                <w:sz w:val="20"/>
                <w:szCs w:val="20"/>
                <w:color w:val="auto"/>
              </w:rPr>
            </w:pPr>
            <w:r>
              <w:rPr>
                <w:rFonts w:ascii="Arial" w:cs="Arial" w:eastAsia="Arial" w:hAnsi="Arial"/>
                <w:sz w:val="18"/>
                <w:szCs w:val="18"/>
                <w:b w:val="1"/>
                <w:bCs w:val="1"/>
                <w:color w:val="auto"/>
              </w:rPr>
              <w:t>December 31, 2022, 2021, 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Arial" w:cs="Arial" w:eastAsia="Arial" w:hAnsi="Arial"/>
                <w:sz w:val="18"/>
                <w:szCs w:val="18"/>
                <w:b w:val="1"/>
                <w:bCs w:val="1"/>
                <w:color w:val="auto"/>
                <w:w w:val="86"/>
              </w:rPr>
              <w:t>Beginning</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5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6"/>
              </w:rPr>
              <w:t>Balance</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Additions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3"/>
              </w:rPr>
              <w:t>Reductions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7"/>
              </w:rPr>
              <w:t>Ending Balance</w:t>
            </w:r>
          </w:p>
        </w:tc>
        <w:tc>
          <w:tcPr>
            <w:tcW w:w="20" w:type="dxa"/>
            <w:vAlign w:val="bottom"/>
          </w:tcPr>
          <w:p>
            <w:pPr>
              <w:spacing w:after="0"/>
              <w:rPr>
                <w:sz w:val="20"/>
                <w:szCs w:val="20"/>
                <w:color w:val="auto"/>
              </w:rPr>
            </w:pPr>
          </w:p>
        </w:tc>
      </w:tr>
      <w:tr>
        <w:trPr>
          <w:trHeight w:val="220"/>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2022</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9"/>
                <w:szCs w:val="19"/>
                <w:color w:val="auto"/>
              </w:rPr>
            </w:pPr>
          </w:p>
        </w:tc>
      </w:tr>
      <w:tr>
        <w:trPr>
          <w:trHeight w:val="227"/>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1,864</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9"/>
                <w:szCs w:val="19"/>
                <w:color w:val="auto"/>
              </w:rPr>
            </w:pPr>
          </w:p>
        </w:tc>
      </w:tr>
      <w:tr>
        <w:trPr>
          <w:trHeight w:val="533"/>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51"/>
              <w:spacing w:after="0"/>
              <w:rPr>
                <w:sz w:val="20"/>
                <w:szCs w:val="20"/>
                <w:color w:val="auto"/>
              </w:rPr>
            </w:pPr>
            <w:r>
              <w:rPr>
                <w:rFonts w:ascii="Arial" w:cs="Arial" w:eastAsia="Arial" w:hAnsi="Arial"/>
                <w:sz w:val="18"/>
                <w:szCs w:val="18"/>
                <w:b w:val="1"/>
                <w:bCs w:val="1"/>
                <w:color w:val="auto"/>
                <w:w w:val="86"/>
              </w:rPr>
              <w:t>Beginning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6"/>
              </w:rPr>
              <w:t>Balance</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Additions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3"/>
              </w:rPr>
              <w:t>Reductions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7"/>
              </w:rPr>
              <w:t>Ending Balance</w:t>
            </w:r>
          </w:p>
        </w:tc>
        <w:tc>
          <w:tcPr>
            <w:tcW w:w="20" w:type="dxa"/>
            <w:vAlign w:val="bottom"/>
            <w:tcBorders>
              <w:bottom w:val="single" w:sz="8" w:color="auto"/>
            </w:tcBorders>
          </w:tcPr>
          <w:p>
            <w:pPr>
              <w:spacing w:after="0"/>
              <w:rPr>
                <w:sz w:val="20"/>
                <w:szCs w:val="20"/>
                <w:color w:val="auto"/>
              </w:rPr>
            </w:pPr>
          </w:p>
        </w:tc>
      </w:tr>
      <w:tr>
        <w:trPr>
          <w:trHeight w:val="220"/>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3"/>
          </w:tcPr>
          <w:p>
            <w:pPr>
              <w:jc w:val="right"/>
              <w:ind w:right="871"/>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2022</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73,441</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67,671</w:t>
            </w:r>
          </w:p>
        </w:tc>
        <w:tc>
          <w:tcPr>
            <w:tcW w:w="20" w:type="dxa"/>
            <w:vAlign w:val="bottom"/>
          </w:tcPr>
          <w:p>
            <w:pPr>
              <w:spacing w:after="0"/>
              <w:rPr>
                <w:sz w:val="19"/>
                <w:szCs w:val="19"/>
                <w:color w:val="auto"/>
              </w:rPr>
            </w:pPr>
          </w:p>
        </w:tc>
      </w:tr>
      <w:tr>
        <w:trPr>
          <w:trHeight w:val="227"/>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74,961</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73,441</w:t>
            </w:r>
          </w:p>
        </w:tc>
        <w:tc>
          <w:tcPr>
            <w:tcW w:w="20" w:type="dxa"/>
            <w:vAlign w:val="bottom"/>
            <w:shd w:val="clear" w:color="auto" w:fill="CCEEFF"/>
          </w:tcPr>
          <w:p>
            <w:pPr>
              <w:spacing w:after="0"/>
              <w:rPr>
                <w:sz w:val="19"/>
                <w:szCs w:val="19"/>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73,346</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7,402</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(5,787)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74,961</w:t>
            </w:r>
          </w:p>
        </w:tc>
        <w:tc>
          <w:tcPr>
            <w:tcW w:w="20" w:type="dxa"/>
            <w:vAlign w:val="bottom"/>
          </w:tcPr>
          <w:p>
            <w:pPr>
              <w:spacing w:after="0"/>
              <w:rPr>
                <w:sz w:val="19"/>
                <w:szCs w:val="19"/>
                <w:color w:val="auto"/>
              </w:rPr>
            </w:pPr>
          </w:p>
        </w:tc>
      </w:tr>
    </w:tbl>
    <w:p>
      <w:pPr>
        <w:spacing w:after="0" w:line="32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of the Notes to Consolidated Financial Statements in Part II, Item 8 of this Form 10-K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(a)(3)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3"/>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180" w:type="dxa"/>
            <w:vAlign w:val="bottom"/>
            <w:gridSpan w:val="31"/>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Form</w:t>
            </w: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80" w:type="dxa"/>
            <w:vAlign w:val="bottom"/>
            <w:gridSpan w:val="31"/>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980" w:type="dxa"/>
            <w:vAlign w:val="bottom"/>
            <w:tcBorders>
              <w:top w:val="single" w:sz="8" w:color="auto"/>
            </w:tcBorders>
            <w:gridSpan w:val="41"/>
          </w:tcPr>
          <w:p>
            <w:pPr>
              <w:spacing w:after="0" w:line="147" w:lineRule="exact"/>
              <w:rPr>
                <w:rFonts w:ascii="Arial" w:cs="Arial" w:eastAsia="Arial" w:hAnsi="Arial"/>
                <w:sz w:val="14"/>
                <w:szCs w:val="14"/>
                <w:color w:val="0000FF"/>
              </w:rPr>
            </w:pPr>
            <w:hyperlink r:id="rId142">
              <w:r>
                <w:rPr>
                  <w:rFonts w:ascii="Arial" w:cs="Arial" w:eastAsia="Arial" w:hAnsi="Arial"/>
                  <w:sz w:val="14"/>
                  <w:szCs w:val="14"/>
                  <w:color w:val="0000FF"/>
                </w:rPr>
                <w:t>Asset Purchase Agreement, dated as of March 7, 2022, by and between</w:t>
              </w:r>
            </w:hyperlink>
          </w:p>
        </w:tc>
        <w:tc>
          <w:tcPr>
            <w:tcW w:w="20" w:type="dxa"/>
            <w:vAlign w:val="bottom"/>
          </w:tcPr>
          <w:p>
            <w:pPr>
              <w:spacing w:after="0"/>
              <w:rPr>
                <w:sz w:val="12"/>
                <w:szCs w:val="12"/>
                <w:color w:val="auto"/>
              </w:rPr>
            </w:pPr>
          </w:p>
        </w:tc>
        <w:tc>
          <w:tcPr>
            <w:tcW w:w="540" w:type="dxa"/>
            <w:vAlign w:val="bottom"/>
            <w:tcBorders>
              <w:top w:val="single" w:sz="8" w:color="auto"/>
            </w:tcBorders>
          </w:tcPr>
          <w:p>
            <w:pPr>
              <w:jc w:val="center"/>
              <w:ind w:right="169"/>
              <w:spacing w:after="0" w:line="147" w:lineRule="exact"/>
              <w:rPr>
                <w:sz w:val="20"/>
                <w:szCs w:val="20"/>
                <w:color w:val="auto"/>
              </w:rPr>
            </w:pPr>
            <w:r>
              <w:rPr>
                <w:rFonts w:ascii="Arial" w:cs="Arial" w:eastAsia="Arial" w:hAnsi="Arial"/>
                <w:sz w:val="14"/>
                <w:szCs w:val="14"/>
                <w:color w:val="auto"/>
              </w:rPr>
              <w:t>8-K</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49"/>
              <w:spacing w:after="0" w:line="147" w:lineRule="exact"/>
              <w:rPr>
                <w:sz w:val="20"/>
                <w:szCs w:val="20"/>
                <w:color w:val="auto"/>
              </w:rPr>
            </w:pPr>
            <w:r>
              <w:rPr>
                <w:rFonts w:ascii="Arial" w:cs="Arial" w:eastAsia="Arial" w:hAnsi="Arial"/>
                <w:sz w:val="14"/>
                <w:szCs w:val="14"/>
                <w:color w:val="auto"/>
                <w:w w:val="91"/>
              </w:rPr>
              <w:t>March 8, 2022</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tcBorders>
            <w:gridSpan w:val="28"/>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Synchronoss Technologies, Inc. and iQmetrix Global Ltd.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43">
              <w:r>
                <w:rPr>
                  <w:rFonts w:ascii="Arial" w:cs="Arial" w:eastAsia="Arial" w:hAnsi="Arial"/>
                  <w:sz w:val="14"/>
                  <w:szCs w:val="14"/>
                  <w:color w:val="0000FF"/>
                </w:rPr>
                <w:t>Amendment to Asset Purchase Agreement dated as of May 11, 2022, by and</w:t>
              </w:r>
            </w:hyperlink>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May 11,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Borders>
              <w:top w:val="single" w:sz="8" w:color="0000FF"/>
            </w:tcBorders>
            <w:gridSpan w:val="30"/>
          </w:tcPr>
          <w:p>
            <w:pPr>
              <w:spacing w:after="0" w:line="113" w:lineRule="exact"/>
              <w:rPr>
                <w:rFonts w:ascii="Arial" w:cs="Arial" w:eastAsia="Arial" w:hAnsi="Arial"/>
                <w:sz w:val="13"/>
                <w:szCs w:val="13"/>
                <w:color w:val="0000FF"/>
              </w:rPr>
            </w:pPr>
            <w:hyperlink r:id="rId143">
              <w:r>
                <w:rPr>
                  <w:rFonts w:ascii="Arial" w:cs="Arial" w:eastAsia="Arial" w:hAnsi="Arial"/>
                  <w:sz w:val="13"/>
                  <w:szCs w:val="13"/>
                  <w:color w:val="0000FF"/>
                </w:rPr>
                <w:t>between Synchronoss technologies, Inc. and Synchronoss Software Ireland Ltd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tcBorders>
              <w:top w:val="single" w:sz="8" w:color="0000FF"/>
            </w:tcBorders>
            <w:gridSpan w:val="23"/>
          </w:tcPr>
          <w:p>
            <w:pPr>
              <w:spacing w:after="0" w:line="127" w:lineRule="exact"/>
              <w:rPr>
                <w:rFonts w:ascii="Arial" w:cs="Arial" w:eastAsia="Arial" w:hAnsi="Arial"/>
                <w:sz w:val="14"/>
                <w:szCs w:val="14"/>
                <w:color w:val="0000FF"/>
              </w:rPr>
            </w:pPr>
            <w:hyperlink r:id="rId143">
              <w:r>
                <w:rPr>
                  <w:rFonts w:ascii="Arial" w:cs="Arial" w:eastAsia="Arial" w:hAnsi="Arial"/>
                  <w:sz w:val="14"/>
                  <w:szCs w:val="14"/>
                  <w:color w:val="0000FF"/>
                </w:rPr>
                <w:t>and iQmetrix Global Ltd.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sz w:val="20"/>
                <w:szCs w:val="20"/>
                <w:color w:val="auto"/>
              </w:rPr>
            </w:pPr>
            <w:r>
              <w:rPr>
                <w:rFonts w:ascii="Arial" w:cs="Arial" w:eastAsia="Arial" w:hAnsi="Arial"/>
                <w:sz w:val="14"/>
                <w:szCs w:val="14"/>
                <w:color w:val="0000FF"/>
              </w:rPr>
              <w:t>Restated Certificate of Incorporation of the Registrant.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16"/>
          </w:tcPr>
          <w:p>
            <w:pPr>
              <w:spacing w:after="0"/>
              <w:rPr>
                <w:rFonts w:ascii="Arial" w:cs="Arial" w:eastAsia="Arial" w:hAnsi="Arial"/>
                <w:sz w:val="14"/>
                <w:szCs w:val="14"/>
                <w:color w:val="0000FF"/>
                <w:w w:val="90"/>
              </w:rPr>
            </w:pPr>
            <w:hyperlink r:id="rId144">
              <w:r>
                <w:rPr>
                  <w:rFonts w:ascii="Arial" w:cs="Arial" w:eastAsia="Arial" w:hAnsi="Arial"/>
                  <w:sz w:val="14"/>
                  <w:szCs w:val="14"/>
                  <w:color w:val="0000FF"/>
                  <w:w w:val="90"/>
                </w:rPr>
                <w:t>Amended and Restated Bylaws of the Registrant.</w:t>
              </w:r>
            </w:hyperlink>
          </w:p>
        </w:tc>
        <w:tc>
          <w:tcPr>
            <w:tcW w:w="300" w:type="dxa"/>
            <w:vAlign w:val="bottom"/>
            <w:tcBorders>
              <w:top w:val="single" w:sz="8" w:color="0000FF"/>
            </w:tcBorders>
            <w:gridSpan w:val="2"/>
          </w:tcPr>
          <w:p>
            <w:pPr>
              <w:spacing w:after="0"/>
              <w:rPr>
                <w:sz w:val="15"/>
                <w:szCs w:val="15"/>
                <w:color w:val="auto"/>
              </w:rPr>
            </w:pPr>
          </w:p>
        </w:tc>
        <w:tc>
          <w:tcPr>
            <w:tcW w:w="1900" w:type="dxa"/>
            <w:vAlign w:val="bottom"/>
            <w:gridSpan w:val="24"/>
          </w:tcPr>
          <w:p>
            <w:pPr>
              <w:spacing w:after="0"/>
              <w:rPr>
                <w:sz w:val="15"/>
                <w:szCs w:val="15"/>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S-1</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May 9,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45">
              <w:r>
                <w:rPr>
                  <w:rFonts w:ascii="Arial" w:cs="Arial" w:eastAsia="Arial" w:hAnsi="Arial"/>
                  <w:sz w:val="14"/>
                  <w:szCs w:val="14"/>
                  <w:color w:val="0000FF"/>
                </w:rPr>
                <w:t>Amendment No. 1 to the Amended and Restated Bylaws of Synchronoss</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February 20,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145">
              <w:r>
                <w:rPr>
                  <w:rFonts w:ascii="Arial" w:cs="Arial" w:eastAsia="Arial" w:hAnsi="Arial"/>
                  <w:sz w:val="13"/>
                  <w:szCs w:val="13"/>
                  <w:color w:val="0000FF"/>
                </w:rPr>
                <w:t>Technologies,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46">
              <w:r>
                <w:rPr>
                  <w:rFonts w:ascii="Arial" w:cs="Arial" w:eastAsia="Arial" w:hAnsi="Arial"/>
                  <w:sz w:val="14"/>
                  <w:szCs w:val="14"/>
                  <w:color w:val="0000FF"/>
                </w:rPr>
                <w:t>Amendment No. 2 to the Amended and Restated Bylaws of Synchronoss</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146">
              <w:r>
                <w:rPr>
                  <w:rFonts w:ascii="Arial" w:cs="Arial" w:eastAsia="Arial" w:hAnsi="Arial"/>
                  <w:sz w:val="13"/>
                  <w:szCs w:val="13"/>
                  <w:color w:val="0000FF"/>
                </w:rPr>
                <w:t>Technologies,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47">
              <w:r>
                <w:rPr>
                  <w:rFonts w:ascii="Arial" w:cs="Arial" w:eastAsia="Arial" w:hAnsi="Arial"/>
                  <w:sz w:val="14"/>
                  <w:szCs w:val="14"/>
                  <w:color w:val="0000FF"/>
                </w:rPr>
                <w:t>Certificate of Designations of the Series B Perpetual Non-Convertible Preferred</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r:id="rId147">
              <w:r>
                <w:rPr>
                  <w:rFonts w:ascii="Arial" w:cs="Arial" w:eastAsia="Arial" w:hAnsi="Arial"/>
                  <w:sz w:val="13"/>
                  <w:szCs w:val="13"/>
                  <w:color w:val="0000FF"/>
                </w:rPr>
                <w:t>Stock</w:t>
              </w:r>
              <w:r>
                <w:rPr>
                  <w:rFonts w:ascii="Arial" w:cs="Arial" w:eastAsia="Arial" w:hAnsi="Arial"/>
                  <w:sz w:val="13"/>
                  <w:szCs w:val="13"/>
                  <w:color w:val="000000"/>
                </w:rPr>
                <w:t>.</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48">
              <w:r>
                <w:rPr>
                  <w:rFonts w:ascii="Arial" w:cs="Arial" w:eastAsia="Arial" w:hAnsi="Arial"/>
                  <w:sz w:val="14"/>
                  <w:szCs w:val="14"/>
                  <w:color w:val="0000FF"/>
                </w:rPr>
                <w:t>Certificate of Amendment of the Restated Certificate of Incorporation of</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11"/>
          </w:tcPr>
          <w:p>
            <w:pPr>
              <w:spacing w:after="0" w:line="113" w:lineRule="exact"/>
              <w:rPr>
                <w:rFonts w:ascii="Arial" w:cs="Arial" w:eastAsia="Arial" w:hAnsi="Arial"/>
                <w:sz w:val="13"/>
                <w:szCs w:val="13"/>
                <w:color w:val="0000FF"/>
                <w:w w:val="97"/>
              </w:rPr>
            </w:pPr>
            <w:hyperlink r:id="rId148">
              <w:r>
                <w:rPr>
                  <w:rFonts w:ascii="Arial" w:cs="Arial" w:eastAsia="Arial" w:hAnsi="Arial"/>
                  <w:sz w:val="13"/>
                  <w:szCs w:val="13"/>
                  <w:color w:val="0000FF"/>
                  <w:w w:val="97"/>
                </w:rPr>
                <w:t>Synchronoss Technologies, Inc.</w:t>
              </w:r>
            </w:hyperlink>
          </w:p>
        </w:tc>
        <w:tc>
          <w:tcPr>
            <w:tcW w:w="296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bottom w:val="single" w:sz="8" w:color="0000FF"/>
            </w:tcBorders>
            <w:gridSpan w:val="20"/>
          </w:tcPr>
          <w:p>
            <w:pPr>
              <w:spacing w:after="0"/>
              <w:rPr>
                <w:rFonts w:ascii="Arial" w:cs="Arial" w:eastAsia="Arial" w:hAnsi="Arial"/>
                <w:sz w:val="14"/>
                <w:szCs w:val="14"/>
                <w:color w:val="0000FF"/>
                <w:w w:val="90"/>
              </w:rPr>
            </w:pPr>
            <w:hyperlink r:id="rId149">
              <w:r>
                <w:rPr>
                  <w:rFonts w:ascii="Arial" w:cs="Arial" w:eastAsia="Arial" w:hAnsi="Arial"/>
                  <w:sz w:val="14"/>
                  <w:szCs w:val="14"/>
                  <w:color w:val="0000FF"/>
                  <w:w w:val="90"/>
                </w:rPr>
                <w:t>Reference is made to Exhibits 3.1, 3.2, 3.3, 3.4, 3.7 and 3.8.</w:t>
              </w:r>
            </w:hyperlink>
          </w:p>
        </w:tc>
        <w:tc>
          <w:tcPr>
            <w:tcW w:w="1600" w:type="dxa"/>
            <w:vAlign w:val="bottom"/>
            <w:gridSpan w:val="22"/>
          </w:tcPr>
          <w:p>
            <w:pPr>
              <w:spacing w:after="0"/>
              <w:rPr>
                <w:sz w:val="15"/>
                <w:szCs w:val="15"/>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S-1</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May 9,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0">
              <w:r>
                <w:rPr>
                  <w:rFonts w:ascii="Arial" w:cs="Arial" w:eastAsia="Arial" w:hAnsi="Arial"/>
                  <w:sz w:val="14"/>
                  <w:szCs w:val="14"/>
                  <w:color w:val="0000FF"/>
                </w:rPr>
                <w:t>Form of Common Stock Certificate</w:t>
              </w:r>
            </w:hyperlink>
            <w:r>
              <w:rPr>
                <w:rFonts w:ascii="Arial" w:cs="Arial" w:eastAsia="Arial" w:hAnsi="Arial"/>
                <w:sz w:val="14"/>
                <w:szCs w:val="14"/>
                <w:color w:val="000000"/>
              </w:rPr>
              <w:t>.</w:t>
            </w: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S-1</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12,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Indenture for Convertible Senior Notes</w:t>
              </w:r>
            </w:hyperlink>
            <w:r>
              <w:rPr>
                <w:rFonts w:ascii="Arial" w:cs="Arial" w:eastAsia="Arial" w:hAnsi="Arial"/>
                <w:sz w:val="14"/>
                <w:szCs w:val="14"/>
                <w:color w:val="000000"/>
              </w:rPr>
              <w:t>.</w:t>
            </w: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S-3</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333-197871</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August 5, 2014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sz w:val="20"/>
                <w:szCs w:val="20"/>
                <w:color w:val="auto"/>
              </w:rPr>
            </w:pPr>
            <w:r>
              <w:rPr>
                <w:rFonts w:ascii="Arial" w:cs="Arial" w:eastAsia="Arial" w:hAnsi="Arial"/>
                <w:sz w:val="14"/>
                <w:szCs w:val="14"/>
                <w:color w:val="0000FF"/>
                <w:w w:val="99"/>
              </w:rPr>
              <w:t>Description of Securities Registered under Section 12 of the Securities Exchange</w:t>
            </w: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10-K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March 15,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gridSpan w:val="4"/>
          </w:tcPr>
          <w:p>
            <w:pPr>
              <w:spacing w:after="0" w:line="113" w:lineRule="exact"/>
              <w:rPr>
                <w:sz w:val="20"/>
                <w:szCs w:val="20"/>
                <w:color w:val="auto"/>
              </w:rPr>
            </w:pPr>
            <w:r>
              <w:rPr>
                <w:rFonts w:ascii="Arial" w:cs="Arial" w:eastAsia="Arial" w:hAnsi="Arial"/>
                <w:sz w:val="13"/>
                <w:szCs w:val="13"/>
                <w:color w:val="0000FF"/>
              </w:rPr>
              <w:t>Act of 1934.</w:t>
            </w:r>
          </w:p>
        </w:tc>
        <w:tc>
          <w:tcPr>
            <w:tcW w:w="4020" w:type="dxa"/>
            <w:vAlign w:val="bottom"/>
            <w:tcBorders>
              <w:top w:val="single" w:sz="8" w:color="0000FF"/>
            </w:tcBorders>
            <w:gridSpan w:val="25"/>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2">
              <w:r>
                <w:rPr>
                  <w:rFonts w:ascii="Arial" w:cs="Arial" w:eastAsia="Arial" w:hAnsi="Arial"/>
                  <w:sz w:val="14"/>
                  <w:szCs w:val="14"/>
                  <w:color w:val="0000FF"/>
                </w:rPr>
                <w:t>Base Indenture, dated as of June 30, 2021, by and between Synchronoss</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6"/>
          </w:tcPr>
          <w:p>
            <w:pPr>
              <w:spacing w:after="0" w:line="113" w:lineRule="exact"/>
              <w:rPr>
                <w:rFonts w:ascii="Arial" w:cs="Arial" w:eastAsia="Arial" w:hAnsi="Arial"/>
                <w:sz w:val="13"/>
                <w:szCs w:val="13"/>
                <w:color w:val="0000FF"/>
              </w:rPr>
            </w:pPr>
            <w:hyperlink r:id="rId152">
              <w:r>
                <w:rPr>
                  <w:rFonts w:ascii="Arial" w:cs="Arial" w:eastAsia="Arial" w:hAnsi="Arial"/>
                  <w:sz w:val="13"/>
                  <w:szCs w:val="13"/>
                  <w:color w:val="0000FF"/>
                </w:rPr>
                <w:t>Technologies, Inc. and The Bank of New York Mellon Trust Company, N.A., 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24"/>
          </w:tcPr>
          <w:p>
            <w:pPr>
              <w:spacing w:after="0" w:line="127" w:lineRule="exact"/>
              <w:rPr>
                <w:rFonts w:ascii="Arial" w:cs="Arial" w:eastAsia="Arial" w:hAnsi="Arial"/>
                <w:sz w:val="14"/>
                <w:szCs w:val="14"/>
                <w:color w:val="0000FF"/>
              </w:rPr>
            </w:pPr>
            <w:hyperlink r:id="rId152">
              <w:r>
                <w:rPr>
                  <w:rFonts w:ascii="Arial" w:cs="Arial" w:eastAsia="Arial" w:hAnsi="Arial"/>
                  <w:sz w:val="14"/>
                  <w:szCs w:val="14"/>
                  <w:color w:val="0000FF"/>
                </w:rPr>
                <w:t>trustee</w:t>
              </w:r>
              <w:r>
                <w:rPr>
                  <w:rFonts w:ascii="Arial" w:cs="Arial" w:eastAsia="Arial" w:hAnsi="Arial"/>
                  <w:sz w:val="14"/>
                  <w:szCs w:val="14"/>
                  <w:color w:val="000000"/>
                </w:rPr>
                <w:t>.</w:t>
              </w:r>
            </w:hyperlink>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First Supplemental Indenture, dated as of June 30, 2021, by and between</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6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Synchronoss Technologies, Inc. and The Bank of New York Mellon Trust</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32"/>
          </w:tcPr>
          <w:p>
            <w:pPr>
              <w:spacing w:after="0" w:line="127" w:lineRule="exact"/>
              <w:rPr>
                <w:rFonts w:ascii="Arial" w:cs="Arial" w:eastAsia="Arial" w:hAnsi="Arial"/>
                <w:sz w:val="14"/>
                <w:szCs w:val="14"/>
                <w:color w:val="0000FF"/>
              </w:rPr>
            </w:pPr>
            <w:hyperlink r:id="rId153">
              <w:r>
                <w:rPr>
                  <w:rFonts w:ascii="Arial" w:cs="Arial" w:eastAsia="Arial" w:hAnsi="Arial"/>
                  <w:sz w:val="14"/>
                  <w:szCs w:val="14"/>
                  <w:color w:val="0000FF"/>
                </w:rPr>
                <w:t>Company, N.A., as trustee</w:t>
              </w:r>
              <w:r>
                <w:rPr>
                  <w:rFonts w:ascii="Arial" w:cs="Arial" w:eastAsia="Arial" w:hAnsi="Arial"/>
                  <w:sz w:val="14"/>
                  <w:szCs w:val="14"/>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4">
              <w:r>
                <w:rPr>
                  <w:rFonts w:ascii="Arial" w:cs="Arial" w:eastAsia="Arial" w:hAnsi="Arial"/>
                  <w:sz w:val="14"/>
                  <w:szCs w:val="14"/>
                  <w:color w:val="0000FF"/>
                </w:rPr>
                <w:t>Investor Rights Agreement by and between Synchronoss Technologies, Inc., B.</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4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Riley Financial, Inc. and B. Riley Principal Investments, LLC dated June 30,</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0000FF"/>
            </w:tcBorders>
          </w:tcPr>
          <w:p>
            <w:pPr>
              <w:spacing w:after="0" w:line="127" w:lineRule="exact"/>
              <w:rPr>
                <w:rFonts w:ascii="Arial" w:cs="Arial" w:eastAsia="Arial" w:hAnsi="Arial"/>
                <w:sz w:val="14"/>
                <w:szCs w:val="14"/>
                <w:color w:val="0000FF"/>
                <w:w w:val="74"/>
              </w:rPr>
            </w:pPr>
            <w:hyperlink r:id="rId154">
              <w:r>
                <w:rPr>
                  <w:rFonts w:ascii="Arial" w:cs="Arial" w:eastAsia="Arial" w:hAnsi="Arial"/>
                  <w:sz w:val="14"/>
                  <w:szCs w:val="14"/>
                  <w:color w:val="0000FF"/>
                  <w:w w:val="74"/>
                </w:rPr>
                <w:t>2021</w:t>
              </w:r>
              <w:r>
                <w:rPr>
                  <w:rFonts w:ascii="Arial" w:cs="Arial" w:eastAsia="Arial" w:hAnsi="Arial"/>
                  <w:sz w:val="14"/>
                  <w:szCs w:val="14"/>
                  <w:color w:val="000000"/>
                  <w:w w:val="74"/>
                </w:rPr>
                <w:t>.</w:t>
              </w:r>
            </w:hyperlink>
          </w:p>
        </w:tc>
        <w:tc>
          <w:tcPr>
            <w:tcW w:w="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Form of 8.375% Senior Notes due 2026</w:t>
              </w:r>
            </w:hyperlink>
            <w:r>
              <w:rPr>
                <w:rFonts w:ascii="Arial" w:cs="Arial" w:eastAsia="Arial" w:hAnsi="Arial"/>
                <w:sz w:val="14"/>
                <w:szCs w:val="14"/>
                <w:color w:val="000000"/>
              </w:rPr>
              <w:t>.</w:t>
            </w:r>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5">
              <w:r>
                <w:rPr>
                  <w:rFonts w:ascii="Arial" w:cs="Arial" w:eastAsia="Arial" w:hAnsi="Arial"/>
                  <w:sz w:val="14"/>
                  <w:szCs w:val="14"/>
                  <w:color w:val="0000FF"/>
                </w:rPr>
                <w:t>Form of Indemnification Agreement between the Registrant and each of its</w:t>
              </w:r>
            </w:hyperlink>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6"/>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directors and executive officers</w:t>
              </w:r>
              <w:r>
                <w:rPr>
                  <w:rFonts w:ascii="Arial" w:cs="Arial" w:eastAsia="Arial" w:hAnsi="Arial"/>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10.2†</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6">
              <w:r>
                <w:rPr>
                  <w:rFonts w:ascii="Arial" w:cs="Arial" w:eastAsia="Arial" w:hAnsi="Arial"/>
                  <w:sz w:val="14"/>
                  <w:szCs w:val="14"/>
                  <w:color w:val="0000FF"/>
                </w:rPr>
                <w:t>Synchronoss Technologies, Inc. 2000 Stock Plan and forms of agreements</w:t>
              </w:r>
            </w:hyperlink>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S-1</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February 28,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20" w:type="dxa"/>
            <w:vAlign w:val="bottom"/>
            <w:tcBorders>
              <w:top w:val="single" w:sz="8" w:color="0000FF"/>
            </w:tcBorders>
            <w:gridSpan w:val="38"/>
          </w:tcPr>
          <w:p>
            <w:pPr>
              <w:spacing w:after="0" w:line="113" w:lineRule="exact"/>
              <w:rPr>
                <w:rFonts w:ascii="Arial" w:cs="Arial" w:eastAsia="Arial" w:hAnsi="Arial"/>
                <w:sz w:val="13"/>
                <w:szCs w:val="13"/>
                <w:color w:val="0000FF"/>
              </w:rPr>
            </w:pPr>
            <w:hyperlink r:id="rId156">
              <w:r>
                <w:rPr>
                  <w:rFonts w:ascii="Arial" w:cs="Arial" w:eastAsia="Arial" w:hAnsi="Arial"/>
                  <w:sz w:val="13"/>
                  <w:szCs w:val="13"/>
                  <w:color w:val="0000FF"/>
                </w:rPr>
                <w:t>thereunder</w:t>
              </w:r>
              <w:r>
                <w:rPr>
                  <w:rFonts w:ascii="Arial" w:cs="Arial" w:eastAsia="Arial" w:hAnsi="Arial"/>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10.3†</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57">
              <w:r>
                <w:rPr>
                  <w:rFonts w:ascii="Arial" w:cs="Arial" w:eastAsia="Arial" w:hAnsi="Arial"/>
                  <w:sz w:val="14"/>
                  <w:szCs w:val="14"/>
                  <w:color w:val="0000FF"/>
                </w:rPr>
                <w:t>Amendment No. 1 to Synchronoss Technologies, Inc. 2000 Stock Plan</w:t>
              </w:r>
            </w:hyperlink>
            <w:r>
              <w:rPr>
                <w:rFonts w:ascii="Arial" w:cs="Arial" w:eastAsia="Arial" w:hAnsi="Arial"/>
                <w:sz w:val="14"/>
                <w:szCs w:val="14"/>
                <w:color w:val="000000"/>
              </w:rPr>
              <w:t>.</w:t>
            </w: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S-1</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May 9,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10.4†</w:t>
            </w:r>
          </w:p>
        </w:tc>
        <w:tc>
          <w:tcPr>
            <w:tcW w:w="20" w:type="dxa"/>
            <w:vAlign w:val="bottom"/>
          </w:tcPr>
          <w:p>
            <w:pPr>
              <w:spacing w:after="0"/>
              <w:rPr>
                <w:sz w:val="15"/>
                <w:szCs w:val="15"/>
                <w:color w:val="auto"/>
              </w:rPr>
            </w:pPr>
          </w:p>
        </w:tc>
        <w:tc>
          <w:tcPr>
            <w:tcW w:w="4000" w:type="dxa"/>
            <w:vAlign w:val="bottom"/>
            <w:tcBorders>
              <w:top w:val="single" w:sz="8" w:color="0000FF"/>
            </w:tcBorders>
            <w:gridSpan w:val="22"/>
          </w:tcPr>
          <w:p>
            <w:pPr>
              <w:spacing w:after="0"/>
              <w:rPr>
                <w:rFonts w:ascii="Arial" w:cs="Arial" w:eastAsia="Arial" w:hAnsi="Arial"/>
                <w:sz w:val="14"/>
                <w:szCs w:val="14"/>
                <w:color w:val="0000FF"/>
              </w:rPr>
            </w:pPr>
            <w:hyperlink r:id="rId158">
              <w:r>
                <w:rPr>
                  <w:rFonts w:ascii="Arial" w:cs="Arial" w:eastAsia="Arial" w:hAnsi="Arial"/>
                  <w:sz w:val="14"/>
                  <w:szCs w:val="14"/>
                  <w:color w:val="0000FF"/>
                </w:rPr>
                <w:t>2006 Equity Incentive Plan, as amended and restated</w:t>
              </w:r>
            </w:hyperlink>
            <w:r>
              <w:rPr>
                <w:rFonts w:ascii="Arial" w:cs="Arial" w:eastAsia="Arial" w:hAnsi="Arial"/>
                <w:sz w:val="14"/>
                <w:szCs w:val="14"/>
                <w:color w:val="000000"/>
              </w:rPr>
              <w:t>.</w:t>
            </w:r>
          </w:p>
        </w:tc>
        <w:tc>
          <w:tcPr>
            <w:tcW w:w="1000" w:type="dxa"/>
            <w:vAlign w:val="bottom"/>
            <w:gridSpan w:val="20"/>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73"/>
              </w:rPr>
              <w:t>DEF 14A</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April 8, 2010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10.5†</w:t>
            </w:r>
          </w:p>
        </w:tc>
        <w:tc>
          <w:tcPr>
            <w:tcW w:w="20" w:type="dxa"/>
            <w:vAlign w:val="bottom"/>
          </w:tcPr>
          <w:p>
            <w:pPr>
              <w:spacing w:after="0"/>
              <w:rPr>
                <w:sz w:val="15"/>
                <w:szCs w:val="15"/>
                <w:color w:val="auto"/>
              </w:rPr>
            </w:pPr>
          </w:p>
        </w:tc>
        <w:tc>
          <w:tcPr>
            <w:tcW w:w="3000" w:type="dxa"/>
            <w:vAlign w:val="bottom"/>
            <w:tcBorders>
              <w:top w:val="single" w:sz="8" w:color="0000FF"/>
            </w:tcBorders>
            <w:gridSpan w:val="17"/>
          </w:tcPr>
          <w:p>
            <w:pPr>
              <w:spacing w:after="0"/>
              <w:rPr>
                <w:rFonts w:ascii="Arial" w:cs="Arial" w:eastAsia="Arial" w:hAnsi="Arial"/>
                <w:sz w:val="14"/>
                <w:szCs w:val="14"/>
                <w:color w:val="0000FF"/>
              </w:rPr>
            </w:pPr>
            <w:hyperlink r:id="rId159">
              <w:r>
                <w:rPr>
                  <w:rFonts w:ascii="Arial" w:cs="Arial" w:eastAsia="Arial" w:hAnsi="Arial"/>
                  <w:sz w:val="14"/>
                  <w:szCs w:val="14"/>
                  <w:color w:val="0000FF"/>
                </w:rPr>
                <w:t>2010 New Hire Equity Incentive Plan</w:t>
              </w:r>
            </w:hyperlink>
            <w:r>
              <w:rPr>
                <w:rFonts w:ascii="Arial" w:cs="Arial" w:eastAsia="Arial" w:hAnsi="Arial"/>
                <w:sz w:val="14"/>
                <w:szCs w:val="14"/>
                <w:color w:val="000000"/>
              </w:rPr>
              <w:t>.</w:t>
            </w:r>
          </w:p>
        </w:tc>
        <w:tc>
          <w:tcPr>
            <w:tcW w:w="2000" w:type="dxa"/>
            <w:vAlign w:val="bottom"/>
            <w:gridSpan w:val="25"/>
          </w:tcPr>
          <w:p>
            <w:pPr>
              <w:spacing w:after="0"/>
              <w:rPr>
                <w:sz w:val="15"/>
                <w:szCs w:val="15"/>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S-8</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333-168745</w:t>
            </w:r>
          </w:p>
        </w:tc>
        <w:tc>
          <w:tcPr>
            <w:tcW w:w="10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10.4A</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August 11, 2010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10.6†</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0">
              <w:r>
                <w:rPr>
                  <w:rFonts w:ascii="Arial" w:cs="Arial" w:eastAsia="Arial" w:hAnsi="Arial"/>
                  <w:sz w:val="14"/>
                  <w:szCs w:val="14"/>
                  <w:color w:val="0000FF"/>
                </w:rPr>
                <w:t>Synchronoss Technologies, Inc. Amended and Restated 2015 Equity Incentive</w:t>
              </w:r>
            </w:hyperlink>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S-8</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333-265780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22,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87"/>
              </w:rPr>
            </w:pPr>
            <w:hyperlink r:id="rId160">
              <w:r>
                <w:rPr>
                  <w:rFonts w:ascii="Arial" w:cs="Arial" w:eastAsia="Arial" w:hAnsi="Arial"/>
                  <w:sz w:val="13"/>
                  <w:szCs w:val="13"/>
                  <w:color w:val="0000FF"/>
                  <w:w w:val="87"/>
                </w:rPr>
                <w:t>Plan.</w:t>
              </w:r>
            </w:hyperlink>
          </w:p>
        </w:tc>
        <w:tc>
          <w:tcPr>
            <w:tcW w:w="4640" w:type="dxa"/>
            <w:vAlign w:val="bottom"/>
            <w:tcBorders>
              <w:top w:val="single" w:sz="8" w:color="0000FF"/>
            </w:tcBorders>
            <w:gridSpan w:val="38"/>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10.7†</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1">
              <w:r>
                <w:rPr>
                  <w:rFonts w:ascii="Arial" w:cs="Arial" w:eastAsia="Arial" w:hAnsi="Arial"/>
                  <w:sz w:val="14"/>
                  <w:szCs w:val="14"/>
                  <w:color w:val="0000FF"/>
                </w:rPr>
                <w:t>2017 New Hire Equity Incentive Plan</w:t>
              </w:r>
            </w:hyperlink>
            <w:r>
              <w:rPr>
                <w:rFonts w:ascii="Arial" w:cs="Arial" w:eastAsia="Arial" w:hAnsi="Arial"/>
                <w:sz w:val="14"/>
                <w:szCs w:val="14"/>
                <w:color w:val="000000"/>
              </w:rPr>
              <w:t>.</w:t>
            </w:r>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December 21, 2017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10.8†</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2">
              <w:r>
                <w:rPr>
                  <w:rFonts w:ascii="Arial" w:cs="Arial" w:eastAsia="Arial" w:hAnsi="Arial"/>
                  <w:sz w:val="14"/>
                  <w:szCs w:val="14"/>
                  <w:color w:val="0000FF"/>
                </w:rPr>
                <w:t>Amendment  No.  1  effective  as  of  November  1,  2021  to  Synchronoss</w:t>
              </w:r>
            </w:hyperlink>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10-K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March 15,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tcBorders>
              <w:top w:val="single" w:sz="8" w:color="0000FF"/>
              <w:bottom w:val="single" w:sz="8" w:color="0000FF"/>
            </w:tcBorders>
            <w:gridSpan w:val="19"/>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Technologies, Inc. 2017 New Hire Equity Incentive Plan.</w:t>
              </w:r>
            </w:hyperlink>
          </w:p>
        </w:tc>
        <w:tc>
          <w:tcPr>
            <w:tcW w:w="1620" w:type="dxa"/>
            <w:vAlign w:val="bottom"/>
            <w:tcBorders>
              <w:top w:val="single" w:sz="8" w:color="0000FF"/>
            </w:tcBorders>
            <w:gridSpan w:val="18"/>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10.9†</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3">
              <w:r>
                <w:rPr>
                  <w:rFonts w:ascii="Arial" w:cs="Arial" w:eastAsia="Arial" w:hAnsi="Arial"/>
                  <w:sz w:val="14"/>
                  <w:szCs w:val="14"/>
                  <w:color w:val="0000FF"/>
                </w:rPr>
                <w:t>Employee Stock Purchase Plan</w:t>
              </w:r>
            </w:hyperlink>
            <w:r>
              <w:rPr>
                <w:rFonts w:ascii="Arial" w:cs="Arial" w:eastAsia="Arial" w:hAnsi="Arial"/>
                <w:sz w:val="14"/>
                <w:szCs w:val="14"/>
                <w:color w:val="000000"/>
              </w:rPr>
              <w:t>.</w:t>
            </w: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10-K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February 28, 2012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4">
              <w:r>
                <w:rPr>
                  <w:rFonts w:ascii="Arial" w:cs="Arial" w:eastAsia="Arial" w:hAnsi="Arial"/>
                  <w:sz w:val="14"/>
                  <w:szCs w:val="14"/>
                  <w:color w:val="0000FF"/>
                </w:rPr>
                <w:t>Lease Agreement between the Registrant and Wells Reit-Bridgewater NJ, LLC</w:t>
              </w:r>
            </w:hyperlink>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10-K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10.10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February 28, 2012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bottom w:val="single" w:sz="8" w:color="0000FF"/>
            </w:tcBorders>
            <w:gridSpan w:val="26"/>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for the premises located at 200 Crossing Boulevard, Bridgewater, New Jersey,</w:t>
              </w:r>
            </w:hyperlink>
          </w:p>
        </w:tc>
        <w:tc>
          <w:tcPr>
            <w:tcW w:w="140" w:type="dxa"/>
            <w:vAlign w:val="bottom"/>
            <w:tcBorders>
              <w:bottom w:val="single" w:sz="8" w:color="0000FF"/>
            </w:tcBorders>
            <w:gridSpan w:val="7"/>
          </w:tcPr>
          <w:p>
            <w:pPr>
              <w:spacing w:after="0"/>
              <w:rPr>
                <w:sz w:val="9"/>
                <w:szCs w:val="9"/>
                <w:color w:val="auto"/>
              </w:rPr>
            </w:pPr>
          </w:p>
        </w:tc>
        <w:tc>
          <w:tcPr>
            <w:tcW w:w="140" w:type="dxa"/>
            <w:vAlign w:val="bottom"/>
            <w:gridSpan w:val="7"/>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0000FF"/>
            </w:tcBorders>
            <w:gridSpan w:val="9"/>
          </w:tcPr>
          <w:p>
            <w:pPr>
              <w:spacing w:after="0" w:line="127" w:lineRule="exact"/>
              <w:rPr>
                <w:rFonts w:ascii="Arial" w:cs="Arial" w:eastAsia="Arial" w:hAnsi="Arial"/>
                <w:sz w:val="14"/>
                <w:szCs w:val="14"/>
                <w:color w:val="0000FF"/>
                <w:w w:val="89"/>
              </w:rPr>
            </w:pPr>
            <w:hyperlink r:id="rId164">
              <w:r>
                <w:rPr>
                  <w:rFonts w:ascii="Arial" w:cs="Arial" w:eastAsia="Arial" w:hAnsi="Arial"/>
                  <w:sz w:val="14"/>
                  <w:szCs w:val="14"/>
                  <w:color w:val="0000FF"/>
                  <w:w w:val="89"/>
                </w:rPr>
                <w:t>dated as of October 27, 2011.</w:t>
              </w:r>
            </w:hyperlink>
          </w:p>
        </w:tc>
        <w:tc>
          <w:tcPr>
            <w:tcW w:w="3140" w:type="dxa"/>
            <w:vAlign w:val="bottom"/>
            <w:gridSpan w:val="24"/>
          </w:tcPr>
          <w:p>
            <w:pPr>
              <w:spacing w:after="0"/>
              <w:rPr>
                <w:sz w:val="10"/>
                <w:szCs w:val="10"/>
                <w:color w:val="auto"/>
              </w:rPr>
            </w:pPr>
          </w:p>
        </w:tc>
        <w:tc>
          <w:tcPr>
            <w:tcW w:w="140" w:type="dxa"/>
            <w:vAlign w:val="bottom"/>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10.11†</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5">
              <w:r>
                <w:rPr>
                  <w:rFonts w:ascii="Arial" w:cs="Arial" w:eastAsia="Arial" w:hAnsi="Arial"/>
                  <w:sz w:val="14"/>
                  <w:szCs w:val="14"/>
                  <w:color w:val="0000FF"/>
                </w:rPr>
                <w:t>Employment Agreement dated as of April 27, 2017 between the Registrant and</w:t>
              </w:r>
            </w:hyperlink>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tcBorders>
            <w:gridSpan w:val="40"/>
          </w:tcPr>
          <w:p>
            <w:pPr>
              <w:spacing w:after="0" w:line="113" w:lineRule="exact"/>
              <w:rPr>
                <w:rFonts w:ascii="Arial" w:cs="Arial" w:eastAsia="Arial" w:hAnsi="Arial"/>
                <w:sz w:val="13"/>
                <w:szCs w:val="13"/>
                <w:color w:val="0000FF"/>
              </w:rPr>
            </w:pPr>
            <w:hyperlink r:id="rId165">
              <w:r>
                <w:rPr>
                  <w:rFonts w:ascii="Arial" w:cs="Arial" w:eastAsia="Arial" w:hAnsi="Arial"/>
                  <w:sz w:val="13"/>
                  <w:szCs w:val="13"/>
                  <w:color w:val="0000FF"/>
                </w:rPr>
                <w:t>Stephen G. Waldis</w:t>
              </w:r>
              <w:r>
                <w:rPr>
                  <w:rFonts w:ascii="Arial" w:cs="Arial" w:eastAsia="Arial" w:hAnsi="Arial"/>
                  <w:sz w:val="13"/>
                  <w:szCs w:val="13"/>
                  <w:color w:val="000000"/>
                </w:rPr>
                <w:t>.</w:t>
              </w:r>
            </w:hyperlink>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580" w:type="dxa"/>
            <w:vAlign w:val="bottom"/>
            <w:gridSpan w:val="15"/>
          </w:tcPr>
          <w:p>
            <w:pPr>
              <w:spacing w:after="0" w:line="20" w:lineRule="exact"/>
              <w:rPr>
                <w:sz w:val="1"/>
                <w:szCs w:val="1"/>
                <w:color w:val="auto"/>
              </w:rPr>
            </w:pPr>
          </w:p>
        </w:tc>
        <w:tc>
          <w:tcPr>
            <w:tcW w:w="1360" w:type="dxa"/>
            <w:vAlign w:val="bottom"/>
            <w:gridSpan w:val="2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10.12†</w:t>
            </w:r>
          </w:p>
        </w:tc>
        <w:tc>
          <w:tcPr>
            <w:tcW w:w="20" w:type="dxa"/>
            <w:vAlign w:val="bottom"/>
          </w:tcPr>
          <w:p>
            <w:pPr>
              <w:spacing w:after="0"/>
              <w:rPr>
                <w:sz w:val="15"/>
                <w:szCs w:val="15"/>
                <w:color w:val="auto"/>
              </w:rPr>
            </w:pPr>
          </w:p>
        </w:tc>
        <w:tc>
          <w:tcPr>
            <w:tcW w:w="5000" w:type="dxa"/>
            <w:vAlign w:val="bottom"/>
            <w:gridSpan w:val="42"/>
          </w:tcPr>
          <w:p>
            <w:pPr>
              <w:spacing w:after="0"/>
              <w:rPr>
                <w:rFonts w:ascii="Arial" w:cs="Arial" w:eastAsia="Arial" w:hAnsi="Arial"/>
                <w:sz w:val="14"/>
                <w:szCs w:val="14"/>
                <w:color w:val="0000FF"/>
              </w:rPr>
            </w:pPr>
            <w:hyperlink r:id="rId166">
              <w:r>
                <w:rPr>
                  <w:rFonts w:ascii="Arial" w:cs="Arial" w:eastAsia="Arial" w:hAnsi="Arial"/>
                  <w:sz w:val="14"/>
                  <w:szCs w:val="14"/>
                  <w:color w:val="0000FF"/>
                </w:rPr>
                <w:t>Tier One Executive Employment Plan effective March 24, 2017</w:t>
              </w:r>
            </w:hyperlink>
            <w:r>
              <w:rPr>
                <w:rFonts w:ascii="Arial" w:cs="Arial" w:eastAsia="Arial" w:hAnsi="Arial"/>
                <w:sz w:val="14"/>
                <w:szCs w:val="14"/>
                <w:color w:val="000000"/>
              </w:rPr>
              <w:t>.</w:t>
            </w: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3"/>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40" w:type="dxa"/>
            <w:vAlign w:val="bottom"/>
            <w:gridSpan w:val="48"/>
          </w:tcPr>
          <w:p>
            <w:pPr>
              <w:spacing w:after="0"/>
              <w:rPr>
                <w:sz w:val="2"/>
                <w:szCs w:val="2"/>
                <w:color w:val="auto"/>
              </w:rPr>
            </w:pPr>
          </w:p>
        </w:tc>
        <w:tc>
          <w:tcPr>
            <w:tcW w:w="3920" w:type="dxa"/>
            <w:vAlign w:val="bottom"/>
            <w:tcBorders>
              <w:bottom w:val="single" w:sz="8" w:color="auto"/>
            </w:tcBorders>
            <w:gridSpan w:val="8"/>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20" w:type="dxa"/>
            <w:vAlign w:val="bottom"/>
            <w:gridSpan w:val="37"/>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50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71"/>
              </w:rPr>
              <w:t>Form</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File No.</w:t>
            </w: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gridSpan w:val="37"/>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10.13</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120" w:type="dxa"/>
            <w:vAlign w:val="bottom"/>
            <w:tcBorders>
              <w:top w:val="single" w:sz="8" w:color="auto"/>
            </w:tcBorders>
            <w:gridSpan w:val="44"/>
          </w:tcPr>
          <w:p>
            <w:pPr>
              <w:spacing w:after="0" w:line="147" w:lineRule="exact"/>
              <w:rPr>
                <w:rFonts w:ascii="Arial" w:cs="Arial" w:eastAsia="Arial" w:hAnsi="Arial"/>
                <w:sz w:val="14"/>
                <w:szCs w:val="14"/>
                <w:color w:val="0000FF"/>
              </w:rPr>
            </w:pPr>
            <w:hyperlink r:id="rId168">
              <w:r>
                <w:rPr>
                  <w:rFonts w:ascii="Arial" w:cs="Arial" w:eastAsia="Arial" w:hAnsi="Arial"/>
                  <w:sz w:val="14"/>
                  <w:szCs w:val="14"/>
                  <w:color w:val="0000FF"/>
                </w:rPr>
                <w:t>Application Service Provider Agreement retroactively effective as of April 1,</w:t>
              </w:r>
            </w:hyperlink>
          </w:p>
        </w:tc>
        <w:tc>
          <w:tcPr>
            <w:tcW w:w="20" w:type="dxa"/>
            <w:vAlign w:val="bottom"/>
          </w:tcPr>
          <w:p>
            <w:pPr>
              <w:spacing w:after="0"/>
              <w:rPr>
                <w:sz w:val="12"/>
                <w:szCs w:val="12"/>
                <w:color w:val="auto"/>
              </w:rPr>
            </w:pPr>
          </w:p>
        </w:tc>
        <w:tc>
          <w:tcPr>
            <w:tcW w:w="400" w:type="dxa"/>
            <w:vAlign w:val="bottom"/>
            <w:tcBorders>
              <w:top w:val="single" w:sz="8" w:color="auto"/>
            </w:tcBorders>
          </w:tcPr>
          <w:p>
            <w:pPr>
              <w:jc w:val="center"/>
              <w:ind w:right="214"/>
              <w:spacing w:after="0"/>
              <w:rPr>
                <w:sz w:val="20"/>
                <w:szCs w:val="20"/>
                <w:color w:val="auto"/>
              </w:rPr>
            </w:pPr>
            <w:r>
              <w:rPr>
                <w:rFonts w:ascii="Arial" w:cs="Arial" w:eastAsia="Arial" w:hAnsi="Arial"/>
                <w:sz w:val="8"/>
                <w:szCs w:val="8"/>
                <w:color w:val="auto"/>
                <w:w w:val="78"/>
              </w:rPr>
              <w:t>10-Q</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85"/>
              </w:rPr>
              <w:t>10.12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49"/>
              <w:spacing w:after="0" w:line="147" w:lineRule="exact"/>
              <w:rPr>
                <w:sz w:val="20"/>
                <w:szCs w:val="20"/>
                <w:color w:val="auto"/>
              </w:rPr>
            </w:pPr>
            <w:r>
              <w:rPr>
                <w:rFonts w:ascii="Arial" w:cs="Arial" w:eastAsia="Arial" w:hAnsi="Arial"/>
                <w:sz w:val="14"/>
                <w:szCs w:val="14"/>
                <w:color w:val="auto"/>
                <w:w w:val="91"/>
              </w:rPr>
              <w:t>August 9, 2018</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168">
              <w:r>
                <w:rPr>
                  <w:rFonts w:ascii="Arial" w:cs="Arial" w:eastAsia="Arial" w:hAnsi="Arial"/>
                  <w:sz w:val="13"/>
                  <w:szCs w:val="13"/>
                  <w:color w:val="0000FF"/>
                </w:rPr>
                <w:t>2013 by and between the Registrant and Verizon Sourcing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69">
              <w:r>
                <w:rPr>
                  <w:rFonts w:ascii="Arial" w:cs="Arial" w:eastAsia="Arial" w:hAnsi="Arial"/>
                  <w:sz w:val="14"/>
                  <w:szCs w:val="14"/>
                  <w:color w:val="0000FF"/>
                </w:rPr>
                <w:t>Change Request No 8 effective January 1, 2018 to SOW No. 1 Application</w:t>
              </w:r>
            </w:hyperlink>
          </w:p>
        </w:tc>
        <w:tc>
          <w:tcPr>
            <w:tcW w:w="500" w:type="dxa"/>
            <w:vAlign w:val="bottom"/>
            <w:gridSpan w:val="2"/>
          </w:tcPr>
          <w:p>
            <w:pPr>
              <w:jc w:val="center"/>
              <w:ind w:right="360"/>
              <w:spacing w:after="0"/>
              <w:rPr>
                <w:sz w:val="20"/>
                <w:szCs w:val="20"/>
                <w:color w:val="auto"/>
              </w:rPr>
            </w:pPr>
            <w:r>
              <w:rPr>
                <w:rFonts w:ascii="Arial" w:cs="Arial" w:eastAsia="Arial" w:hAnsi="Arial"/>
                <w:sz w:val="8"/>
                <w:szCs w:val="8"/>
                <w:color w:val="auto"/>
                <w:w w:val="78"/>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10.13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bottom w:val="single" w:sz="8" w:color="0000FF"/>
            </w:tcBorders>
            <w:gridSpan w:val="36"/>
          </w:tcPr>
          <w:p>
            <w:pPr>
              <w:spacing w:after="0" w:line="113" w:lineRule="exact"/>
              <w:rPr>
                <w:rFonts w:ascii="Arial" w:cs="Arial" w:eastAsia="Arial" w:hAnsi="Arial"/>
                <w:sz w:val="13"/>
                <w:szCs w:val="13"/>
                <w:color w:val="0000FF"/>
              </w:rPr>
            </w:pPr>
            <w:hyperlink r:id="rId169">
              <w:r>
                <w:rPr>
                  <w:rFonts w:ascii="Arial" w:cs="Arial" w:eastAsia="Arial" w:hAnsi="Arial"/>
                  <w:sz w:val="13"/>
                  <w:szCs w:val="13"/>
                  <w:color w:val="0000FF"/>
                </w:rPr>
                <w:t>Service Provider Agreement effective as of April 1, 2013 by and between the</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20" w:type="dxa"/>
            <w:vAlign w:val="bottom"/>
            <w:gridSpan w:val="39"/>
          </w:tcPr>
          <w:p>
            <w:pPr>
              <w:spacing w:after="0" w:line="127" w:lineRule="exact"/>
              <w:rPr>
                <w:rFonts w:ascii="Arial" w:cs="Arial" w:eastAsia="Arial" w:hAnsi="Arial"/>
                <w:sz w:val="14"/>
                <w:szCs w:val="14"/>
                <w:color w:val="0000FF"/>
              </w:rPr>
            </w:pPr>
            <w:hyperlink r:id="rId169">
              <w:r>
                <w:rPr>
                  <w:rFonts w:ascii="Arial" w:cs="Arial" w:eastAsia="Arial" w:hAnsi="Arial"/>
                  <w:sz w:val="14"/>
                  <w:szCs w:val="14"/>
                  <w:color w:val="0000FF"/>
                </w:rPr>
                <w:t>Registrant and Verizon Sourcing LLC</w:t>
              </w:r>
              <w:r>
                <w:rPr>
                  <w:rFonts w:ascii="Arial" w:cs="Arial" w:eastAsia="Arial" w:hAnsi="Arial"/>
                  <w:sz w:val="14"/>
                  <w:szCs w:val="14"/>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0">
              <w:r>
                <w:rPr>
                  <w:rFonts w:ascii="Arial" w:cs="Arial" w:eastAsia="Arial" w:hAnsi="Arial"/>
                  <w:sz w:val="14"/>
                  <w:szCs w:val="14"/>
                  <w:color w:val="0000FF"/>
                </w:rPr>
                <w:t>At Market Issuance Sales Agreement between Synchronoss Technologies, Inc.</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October 26,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2"/>
          </w:tcPr>
          <w:p>
            <w:pPr>
              <w:spacing w:after="0" w:line="113" w:lineRule="exact"/>
              <w:rPr>
                <w:rFonts w:ascii="Arial" w:cs="Arial" w:eastAsia="Arial" w:hAnsi="Arial"/>
                <w:sz w:val="13"/>
                <w:szCs w:val="13"/>
                <w:color w:val="0000FF"/>
              </w:rPr>
            </w:pPr>
            <w:hyperlink r:id="rId170">
              <w:r>
                <w:rPr>
                  <w:rFonts w:ascii="Arial" w:cs="Arial" w:eastAsia="Arial" w:hAnsi="Arial"/>
                  <w:sz w:val="13"/>
                  <w:szCs w:val="13"/>
                  <w:color w:val="0000FF"/>
                </w:rPr>
                <w:t>and B. Riley Securities, Inc., dated October 25, 2021</w:t>
              </w:r>
              <w:r>
                <w:rPr>
                  <w:rFonts w:ascii="Arial" w:cs="Arial" w:eastAsia="Arial" w:hAnsi="Arial"/>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10.16‡</w:t>
            </w: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1">
              <w:r>
                <w:rPr>
                  <w:rFonts w:ascii="Arial" w:cs="Arial" w:eastAsia="Arial" w:hAnsi="Arial"/>
                  <w:sz w:val="14"/>
                  <w:szCs w:val="14"/>
                  <w:color w:val="0000FF"/>
                </w:rPr>
                <w:t>Change Request No 12 effective August 7, 2020 to SOW No.1 Application</w:t>
              </w:r>
            </w:hyperlink>
          </w:p>
        </w:tc>
        <w:tc>
          <w:tcPr>
            <w:tcW w:w="500" w:type="dxa"/>
            <w:vAlign w:val="bottom"/>
            <w:gridSpan w:val="2"/>
          </w:tcPr>
          <w:p>
            <w:pPr>
              <w:jc w:val="center"/>
              <w:ind w:right="360"/>
              <w:spacing w:after="0"/>
              <w:rPr>
                <w:sz w:val="20"/>
                <w:szCs w:val="20"/>
                <w:color w:val="auto"/>
              </w:rPr>
            </w:pPr>
            <w:r>
              <w:rPr>
                <w:rFonts w:ascii="Arial" w:cs="Arial" w:eastAsia="Arial" w:hAnsi="Arial"/>
                <w:sz w:val="8"/>
                <w:szCs w:val="8"/>
                <w:color w:val="auto"/>
                <w:w w:val="78"/>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November 9, 2020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100" w:type="dxa"/>
            <w:vAlign w:val="bottom"/>
            <w:tcBorders>
              <w:top w:val="single" w:sz="8" w:color="0000FF"/>
            </w:tcBorders>
            <w:gridSpan w:val="43"/>
          </w:tcPr>
          <w:p>
            <w:pPr>
              <w:spacing w:after="0" w:line="113" w:lineRule="exact"/>
              <w:rPr>
                <w:rFonts w:ascii="Arial" w:cs="Arial" w:eastAsia="Arial" w:hAnsi="Arial"/>
                <w:sz w:val="13"/>
                <w:szCs w:val="13"/>
                <w:color w:val="0000FF"/>
              </w:rPr>
            </w:pPr>
            <w:hyperlink r:id="rId171">
              <w:r>
                <w:rPr>
                  <w:rFonts w:ascii="Arial" w:cs="Arial" w:eastAsia="Arial" w:hAnsi="Arial"/>
                  <w:sz w:val="13"/>
                  <w:szCs w:val="13"/>
                  <w:color w:val="0000FF"/>
                </w:rPr>
                <w:t>Service Provider Agreement effective as of April 1, 2013 by and between the</w:t>
              </w:r>
            </w:hyperlink>
          </w:p>
        </w:tc>
        <w:tc>
          <w:tcPr>
            <w:tcW w:w="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11"/>
          </w:tcPr>
          <w:p>
            <w:pPr>
              <w:spacing w:after="0" w:line="127" w:lineRule="exact"/>
              <w:rPr>
                <w:rFonts w:ascii="Arial" w:cs="Arial" w:eastAsia="Arial" w:hAnsi="Arial"/>
                <w:sz w:val="14"/>
                <w:szCs w:val="14"/>
                <w:color w:val="0000FF"/>
                <w:w w:val="93"/>
              </w:rPr>
            </w:pPr>
            <w:hyperlink r:id="rId171">
              <w:r>
                <w:rPr>
                  <w:rFonts w:ascii="Arial" w:cs="Arial" w:eastAsia="Arial" w:hAnsi="Arial"/>
                  <w:sz w:val="14"/>
                  <w:szCs w:val="14"/>
                  <w:color w:val="0000FF"/>
                  <w:w w:val="93"/>
                </w:rPr>
                <w:t>Registrant and Verizon Sourcing LLC.</w:t>
              </w:r>
            </w:hyperlink>
          </w:p>
        </w:tc>
        <w:tc>
          <w:tcPr>
            <w:tcW w:w="280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10.17†</w:t>
            </w:r>
          </w:p>
        </w:tc>
        <w:tc>
          <w:tcPr>
            <w:tcW w:w="20" w:type="dxa"/>
            <w:vAlign w:val="bottom"/>
          </w:tcPr>
          <w:p>
            <w:pPr>
              <w:spacing w:after="0"/>
              <w:rPr>
                <w:sz w:val="15"/>
                <w:szCs w:val="15"/>
                <w:color w:val="auto"/>
              </w:rPr>
            </w:pPr>
          </w:p>
        </w:tc>
        <w:tc>
          <w:tcPr>
            <w:tcW w:w="5140" w:type="dxa"/>
            <w:vAlign w:val="bottom"/>
            <w:gridSpan w:val="45"/>
          </w:tcPr>
          <w:p>
            <w:pPr>
              <w:spacing w:after="0"/>
              <w:rPr>
                <w:sz w:val="20"/>
                <w:szCs w:val="20"/>
                <w:color w:val="auto"/>
              </w:rPr>
            </w:pPr>
            <w:r>
              <w:rPr>
                <w:rFonts w:ascii="Arial" w:cs="Arial" w:eastAsia="Arial" w:hAnsi="Arial"/>
                <w:sz w:val="14"/>
                <w:szCs w:val="14"/>
                <w:color w:val="0000FF"/>
              </w:rPr>
              <w:t>Executive Employment Letter dated April 18, 2017 between the Registrant and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top w:val="single" w:sz="8" w:color="0000FF"/>
              <w:bottom w:val="single" w:sz="8" w:color="0000FF"/>
            </w:tcBorders>
            <w:gridSpan w:val="4"/>
          </w:tcPr>
          <w:p>
            <w:pPr>
              <w:spacing w:after="0" w:line="113" w:lineRule="exact"/>
              <w:rPr>
                <w:sz w:val="20"/>
                <w:szCs w:val="20"/>
                <w:color w:val="auto"/>
              </w:rPr>
            </w:pPr>
            <w:r>
              <w:rPr>
                <w:rFonts w:ascii="Arial" w:cs="Arial" w:eastAsia="Arial" w:hAnsi="Arial"/>
                <w:sz w:val="13"/>
                <w:szCs w:val="13"/>
                <w:color w:val="0000FF"/>
                <w:w w:val="99"/>
              </w:rPr>
              <w:t>Patrick Doran.</w:t>
            </w:r>
          </w:p>
        </w:tc>
        <w:tc>
          <w:tcPr>
            <w:tcW w:w="3960" w:type="dxa"/>
            <w:vAlign w:val="bottom"/>
            <w:tcBorders>
              <w:top w:val="single" w:sz="8" w:color="0000FF"/>
            </w:tcBorders>
            <w:gridSpan w:val="2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10.18†</w:t>
            </w: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2">
              <w:r>
                <w:rPr>
                  <w:rFonts w:ascii="Arial" w:cs="Arial" w:eastAsia="Arial" w:hAnsi="Arial"/>
                  <w:sz w:val="14"/>
                  <w:szCs w:val="14"/>
                  <w:color w:val="0000FF"/>
                </w:rPr>
                <w:t>Employment agreement dated as of March 8, 2021 between the Registrant and</w:t>
              </w:r>
            </w:hyperlink>
          </w:p>
        </w:tc>
        <w:tc>
          <w:tcPr>
            <w:tcW w:w="500" w:type="dxa"/>
            <w:vAlign w:val="bottom"/>
            <w:gridSpan w:val="2"/>
          </w:tcPr>
          <w:p>
            <w:pPr>
              <w:jc w:val="center"/>
              <w:ind w:right="360"/>
              <w:spacing w:after="0"/>
              <w:rPr>
                <w:sz w:val="20"/>
                <w:szCs w:val="20"/>
                <w:color w:val="auto"/>
              </w:rPr>
            </w:pPr>
            <w:r>
              <w:rPr>
                <w:rFonts w:ascii="Arial" w:cs="Arial" w:eastAsia="Arial" w:hAnsi="Arial"/>
                <w:sz w:val="8"/>
                <w:szCs w:val="8"/>
                <w:color w:val="auto"/>
                <w:w w:val="78"/>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May 5,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20"/>
          </w:tcPr>
          <w:p>
            <w:pPr>
              <w:spacing w:after="0" w:line="113" w:lineRule="exact"/>
              <w:rPr>
                <w:rFonts w:ascii="Arial" w:cs="Arial" w:eastAsia="Arial" w:hAnsi="Arial"/>
                <w:sz w:val="13"/>
                <w:szCs w:val="13"/>
                <w:color w:val="0000FF"/>
              </w:rPr>
            </w:pPr>
            <w:hyperlink r:id="rId172">
              <w:r>
                <w:rPr>
                  <w:rFonts w:ascii="Arial" w:cs="Arial" w:eastAsia="Arial" w:hAnsi="Arial"/>
                  <w:sz w:val="13"/>
                  <w:szCs w:val="13"/>
                  <w:color w:val="0000FF"/>
                </w:rPr>
                <w:t>Jeff Miller</w:t>
              </w:r>
              <w:r>
                <w:rPr>
                  <w:rFonts w:ascii="Arial" w:cs="Arial" w:eastAsia="Arial" w:hAnsi="Arial"/>
                  <w:sz w:val="13"/>
                  <w:szCs w:val="13"/>
                  <w:color w:val="000000"/>
                </w:rPr>
                <w:t>.</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10.19†</w:t>
            </w:r>
          </w:p>
        </w:tc>
        <w:tc>
          <w:tcPr>
            <w:tcW w:w="20" w:type="dxa"/>
            <w:vAlign w:val="bottom"/>
          </w:tcPr>
          <w:p>
            <w:pPr>
              <w:spacing w:after="0"/>
              <w:rPr>
                <w:sz w:val="15"/>
                <w:szCs w:val="15"/>
                <w:color w:val="auto"/>
              </w:rPr>
            </w:pPr>
          </w:p>
        </w:tc>
        <w:tc>
          <w:tcPr>
            <w:tcW w:w="5140" w:type="dxa"/>
            <w:vAlign w:val="bottom"/>
            <w:gridSpan w:val="45"/>
          </w:tcPr>
          <w:p>
            <w:pPr>
              <w:spacing w:after="0"/>
              <w:rPr>
                <w:sz w:val="20"/>
                <w:szCs w:val="20"/>
                <w:color w:val="auto"/>
              </w:rPr>
            </w:pPr>
            <w:r>
              <w:rPr>
                <w:rFonts w:ascii="Arial" w:cs="Arial" w:eastAsia="Arial" w:hAnsi="Arial"/>
                <w:sz w:val="14"/>
                <w:szCs w:val="14"/>
                <w:color w:val="0000FF"/>
              </w:rPr>
              <w:t>Tier One Executive Employment Plan Dated April 30, 2021 between the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top w:val="single" w:sz="8" w:color="0000FF"/>
              <w:bottom w:val="single" w:sz="8" w:color="0000FF"/>
            </w:tcBorders>
            <w:gridSpan w:val="6"/>
          </w:tcPr>
          <w:p>
            <w:pPr>
              <w:spacing w:after="0" w:line="113" w:lineRule="exact"/>
              <w:rPr>
                <w:sz w:val="20"/>
                <w:szCs w:val="20"/>
                <w:color w:val="auto"/>
              </w:rPr>
            </w:pPr>
            <w:r>
              <w:rPr>
                <w:rFonts w:ascii="Arial" w:cs="Arial" w:eastAsia="Arial" w:hAnsi="Arial"/>
                <w:sz w:val="13"/>
                <w:szCs w:val="13"/>
                <w:color w:val="0000FF"/>
                <w:w w:val="98"/>
              </w:rPr>
              <w:t>Registrant and Louis Ferraro.</w:t>
            </w:r>
          </w:p>
        </w:tc>
        <w:tc>
          <w:tcPr>
            <w:tcW w:w="302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10.20†</w:t>
            </w:r>
          </w:p>
        </w:tc>
        <w:tc>
          <w:tcPr>
            <w:tcW w:w="20" w:type="dxa"/>
            <w:vAlign w:val="bottom"/>
          </w:tcPr>
          <w:p>
            <w:pPr>
              <w:spacing w:after="0"/>
              <w:rPr>
                <w:sz w:val="15"/>
                <w:szCs w:val="15"/>
                <w:color w:val="auto"/>
              </w:rPr>
            </w:pPr>
          </w:p>
        </w:tc>
        <w:tc>
          <w:tcPr>
            <w:tcW w:w="5140" w:type="dxa"/>
            <w:vAlign w:val="bottom"/>
            <w:gridSpan w:val="45"/>
          </w:tcPr>
          <w:p>
            <w:pPr>
              <w:spacing w:after="0"/>
              <w:rPr>
                <w:sz w:val="20"/>
                <w:szCs w:val="20"/>
                <w:color w:val="auto"/>
              </w:rPr>
            </w:pPr>
            <w:r>
              <w:rPr>
                <w:rFonts w:ascii="Arial" w:cs="Arial" w:eastAsia="Arial" w:hAnsi="Arial"/>
                <w:sz w:val="14"/>
                <w:szCs w:val="14"/>
                <w:color w:val="0000FF"/>
              </w:rPr>
              <w:t>Tier One Executive Employment Plan Dated April 30, 2021 between the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tcBorders>
            <w:gridSpan w:val="23"/>
          </w:tcPr>
          <w:p>
            <w:pPr>
              <w:spacing w:after="0" w:line="113" w:lineRule="exact"/>
              <w:rPr>
                <w:sz w:val="20"/>
                <w:szCs w:val="20"/>
                <w:color w:val="auto"/>
              </w:rPr>
            </w:pPr>
            <w:r>
              <w:rPr>
                <w:rFonts w:ascii="Arial" w:cs="Arial" w:eastAsia="Arial" w:hAnsi="Arial"/>
                <w:sz w:val="13"/>
                <w:szCs w:val="13"/>
                <w:color w:val="0000FF"/>
              </w:rPr>
              <w:t>Registrant and Christopher Hill.</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10.21†</w:t>
            </w: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3">
              <w:r>
                <w:rPr>
                  <w:rFonts w:ascii="Arial" w:cs="Arial" w:eastAsia="Arial" w:hAnsi="Arial"/>
                  <w:sz w:val="14"/>
                  <w:szCs w:val="14"/>
                  <w:color w:val="0000FF"/>
                </w:rPr>
                <w:t>Tier  One  Executive  Employment  Plan  dated  July  27,  2021  between  the</w:t>
              </w:r>
            </w:hyperlink>
          </w:p>
        </w:tc>
        <w:tc>
          <w:tcPr>
            <w:tcW w:w="500" w:type="dxa"/>
            <w:vAlign w:val="bottom"/>
            <w:gridSpan w:val="2"/>
          </w:tcPr>
          <w:p>
            <w:pPr>
              <w:jc w:val="center"/>
              <w:ind w:right="360"/>
              <w:spacing w:after="0"/>
              <w:rPr>
                <w:sz w:val="20"/>
                <w:szCs w:val="20"/>
                <w:color w:val="auto"/>
              </w:rPr>
            </w:pPr>
            <w:r>
              <w:rPr>
                <w:rFonts w:ascii="Arial" w:cs="Arial" w:eastAsia="Arial" w:hAnsi="Arial"/>
                <w:sz w:val="8"/>
                <w:szCs w:val="8"/>
                <w:color w:val="auto"/>
                <w:w w:val="78"/>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November 9,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73">
              <w:r>
                <w:rPr>
                  <w:rFonts w:ascii="Arial" w:cs="Arial" w:eastAsia="Arial" w:hAnsi="Arial"/>
                  <w:sz w:val="13"/>
                  <w:szCs w:val="13"/>
                  <w:color w:val="0000FF"/>
                </w:rPr>
                <w:t>Registrant and Christina Gabrys</w:t>
              </w:r>
              <w:r>
                <w:rPr>
                  <w:rFonts w:ascii="Arial" w:cs="Arial" w:eastAsia="Arial" w:hAnsi="Arial"/>
                  <w:sz w:val="13"/>
                  <w:szCs w:val="13"/>
                  <w:color w:val="000000"/>
                </w:rPr>
                <w:t>.</w:t>
              </w:r>
            </w:hyperlink>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10.22†</w:t>
            </w:r>
          </w:p>
        </w:tc>
        <w:tc>
          <w:tcPr>
            <w:tcW w:w="20" w:type="dxa"/>
            <w:vAlign w:val="bottom"/>
          </w:tcPr>
          <w:p>
            <w:pPr>
              <w:spacing w:after="0"/>
              <w:rPr>
                <w:sz w:val="15"/>
                <w:szCs w:val="15"/>
                <w:color w:val="auto"/>
              </w:rPr>
            </w:pPr>
          </w:p>
        </w:tc>
        <w:tc>
          <w:tcPr>
            <w:tcW w:w="5140" w:type="dxa"/>
            <w:vAlign w:val="bottom"/>
            <w:gridSpan w:val="45"/>
          </w:tcPr>
          <w:p>
            <w:pPr>
              <w:spacing w:after="0"/>
              <w:rPr>
                <w:sz w:val="20"/>
                <w:szCs w:val="20"/>
                <w:color w:val="auto"/>
              </w:rPr>
            </w:pPr>
            <w:r>
              <w:rPr>
                <w:rFonts w:ascii="Arial" w:cs="Arial" w:eastAsia="Arial" w:hAnsi="Arial"/>
                <w:sz w:val="14"/>
                <w:szCs w:val="14"/>
                <w:color w:val="0000FF"/>
              </w:rPr>
              <w:t>Tier One Executive Employment Plan Dated November 2, 2022 between the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top w:val="single" w:sz="8" w:color="0000FF"/>
              <w:bottom w:val="single" w:sz="8" w:color="0000FF"/>
            </w:tcBorders>
            <w:gridSpan w:val="7"/>
          </w:tcPr>
          <w:p>
            <w:pPr>
              <w:spacing w:after="0" w:line="113" w:lineRule="exact"/>
              <w:rPr>
                <w:sz w:val="20"/>
                <w:szCs w:val="20"/>
                <w:color w:val="auto"/>
              </w:rPr>
            </w:pPr>
            <w:r>
              <w:rPr>
                <w:rFonts w:ascii="Arial" w:cs="Arial" w:eastAsia="Arial" w:hAnsi="Arial"/>
                <w:sz w:val="13"/>
                <w:szCs w:val="13"/>
                <w:color w:val="0000FF"/>
                <w:w w:val="98"/>
              </w:rPr>
              <w:t>Registrant and Mina Lackner.</w:t>
            </w:r>
          </w:p>
        </w:tc>
        <w:tc>
          <w:tcPr>
            <w:tcW w:w="3080" w:type="dxa"/>
            <w:vAlign w:val="bottom"/>
            <w:tcBorders>
              <w:top w:val="single" w:sz="8" w:color="0000FF"/>
            </w:tcBorders>
            <w:gridSpan w:val="2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10.23†</w:t>
            </w: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4">
              <w:r>
                <w:rPr>
                  <w:rFonts w:ascii="Arial" w:cs="Arial" w:eastAsia="Arial" w:hAnsi="Arial"/>
                  <w:sz w:val="14"/>
                  <w:szCs w:val="14"/>
                  <w:color w:val="0000FF"/>
                </w:rPr>
                <w:t>Transition and Separation Agreement dated September 2, 2021 between the</w:t>
              </w:r>
            </w:hyperlink>
          </w:p>
        </w:tc>
        <w:tc>
          <w:tcPr>
            <w:tcW w:w="500" w:type="dxa"/>
            <w:vAlign w:val="bottom"/>
            <w:gridSpan w:val="2"/>
          </w:tcPr>
          <w:p>
            <w:pPr>
              <w:jc w:val="center"/>
              <w:ind w:right="360"/>
              <w:spacing w:after="0"/>
              <w:rPr>
                <w:sz w:val="20"/>
                <w:szCs w:val="20"/>
                <w:color w:val="auto"/>
              </w:rPr>
            </w:pPr>
            <w:r>
              <w:rPr>
                <w:rFonts w:ascii="Arial" w:cs="Arial" w:eastAsia="Arial" w:hAnsi="Arial"/>
                <w:sz w:val="8"/>
                <w:szCs w:val="8"/>
                <w:color w:val="auto"/>
                <w:w w:val="78"/>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November 9,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tcBorders>
              <w:top w:val="single" w:sz="8" w:color="0000FF"/>
            </w:tcBorders>
            <w:gridSpan w:val="40"/>
          </w:tcPr>
          <w:p>
            <w:pPr>
              <w:spacing w:after="0" w:line="113" w:lineRule="exact"/>
              <w:rPr>
                <w:rFonts w:ascii="Arial" w:cs="Arial" w:eastAsia="Arial" w:hAnsi="Arial"/>
                <w:sz w:val="13"/>
                <w:szCs w:val="13"/>
                <w:color w:val="0000FF"/>
              </w:rPr>
            </w:pPr>
            <w:hyperlink r:id="rId174">
              <w:r>
                <w:rPr>
                  <w:rFonts w:ascii="Arial" w:cs="Arial" w:eastAsia="Arial" w:hAnsi="Arial"/>
                  <w:sz w:val="13"/>
                  <w:szCs w:val="13"/>
                  <w:color w:val="0000FF"/>
                </w:rPr>
                <w:t>Registrant and Ronald Prague</w:t>
              </w:r>
              <w:r>
                <w:rPr>
                  <w:rFonts w:ascii="Arial" w:cs="Arial" w:eastAsia="Arial" w:hAnsi="Arial"/>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5">
              <w:r>
                <w:rPr>
                  <w:rFonts w:ascii="Arial" w:cs="Arial" w:eastAsia="Arial" w:hAnsi="Arial"/>
                  <w:sz w:val="14"/>
                  <w:szCs w:val="14"/>
                  <w:color w:val="0000FF"/>
                </w:rPr>
                <w:t>Receivables  Purchase  Agreements,  dated  as  of  June  22,  2022,  among</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40" w:type="dxa"/>
            <w:vAlign w:val="bottom"/>
            <w:tcBorders>
              <w:top w:val="single" w:sz="8" w:color="0000FF"/>
            </w:tcBorders>
            <w:gridSpan w:val="30"/>
          </w:tcPr>
          <w:p>
            <w:pPr>
              <w:spacing w:after="0" w:line="113" w:lineRule="exact"/>
              <w:rPr>
                <w:rFonts w:ascii="Arial" w:cs="Arial" w:eastAsia="Arial" w:hAnsi="Arial"/>
                <w:sz w:val="13"/>
                <w:szCs w:val="13"/>
                <w:color w:val="0000FF"/>
              </w:rPr>
            </w:pPr>
            <w:hyperlink r:id="rId175">
              <w:r>
                <w:rPr>
                  <w:rFonts w:ascii="Arial" w:cs="Arial" w:eastAsia="Arial" w:hAnsi="Arial"/>
                  <w:sz w:val="13"/>
                  <w:szCs w:val="13"/>
                  <w:color w:val="0000FF"/>
                </w:rPr>
                <w:t>Synchronoss  Technologies,  Inc.,  SN  Technologies,  LLC,  Norddeutsche</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tcBorders>
              <w:top w:val="single" w:sz="8" w:color="0000FF"/>
            </w:tcBorders>
            <w:gridSpan w:val="29"/>
          </w:tcPr>
          <w:p>
            <w:pPr>
              <w:spacing w:after="0" w:line="127" w:lineRule="exact"/>
              <w:rPr>
                <w:rFonts w:ascii="Arial" w:cs="Arial" w:eastAsia="Arial" w:hAnsi="Arial"/>
                <w:sz w:val="14"/>
                <w:szCs w:val="14"/>
                <w:color w:val="0000FF"/>
                <w:w w:val="97"/>
              </w:rPr>
            </w:pPr>
            <w:hyperlink r:id="rId175">
              <w:r>
                <w:rPr>
                  <w:rFonts w:ascii="Arial" w:cs="Arial" w:eastAsia="Arial" w:hAnsi="Arial"/>
                  <w:sz w:val="14"/>
                  <w:szCs w:val="14"/>
                  <w:color w:val="0000FF"/>
                  <w:w w:val="97"/>
                </w:rPr>
                <w:t>Landesbank Girozentrale, [the purchasers party thereto, the group agents party</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12"/>
          </w:tcPr>
          <w:p>
            <w:pPr>
              <w:spacing w:after="0" w:line="127" w:lineRule="exact"/>
              <w:rPr>
                <w:rFonts w:ascii="Arial" w:cs="Arial" w:eastAsia="Arial" w:hAnsi="Arial"/>
                <w:sz w:val="14"/>
                <w:szCs w:val="14"/>
                <w:color w:val="0000FF"/>
                <w:w w:val="91"/>
              </w:rPr>
            </w:pPr>
            <w:hyperlink r:id="rId175">
              <w:r>
                <w:rPr>
                  <w:rFonts w:ascii="Arial" w:cs="Arial" w:eastAsia="Arial" w:hAnsi="Arial"/>
                  <w:sz w:val="14"/>
                  <w:szCs w:val="14"/>
                  <w:color w:val="0000FF"/>
                  <w:w w:val="91"/>
                </w:rPr>
                <w:t>thereto and the originators party thereto].</w:t>
              </w:r>
            </w:hyperlink>
          </w:p>
        </w:tc>
        <w:tc>
          <w:tcPr>
            <w:tcW w:w="2460" w:type="dxa"/>
            <w:vAlign w:val="bottom"/>
            <w:tcBorders>
              <w:top w:val="single" w:sz="8" w:color="0000FF"/>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w w:val="99"/>
              </w:rPr>
            </w:pPr>
            <w:hyperlink r:id="rId176">
              <w:r>
                <w:rPr>
                  <w:rFonts w:ascii="Arial" w:cs="Arial" w:eastAsia="Arial" w:hAnsi="Arial"/>
                  <w:sz w:val="14"/>
                  <w:szCs w:val="14"/>
                  <w:color w:val="0000FF"/>
                  <w:w w:val="99"/>
                </w:rPr>
                <w:t>Purchase and Sale Agreements, dated as of June 22, 2022, between Synchronoss</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60" w:type="dxa"/>
            <w:vAlign w:val="bottom"/>
            <w:tcBorders>
              <w:top w:val="single" w:sz="8" w:color="0000FF"/>
            </w:tcBorders>
            <w:gridSpan w:val="41"/>
          </w:tcPr>
          <w:p>
            <w:pPr>
              <w:spacing w:after="0" w:line="113" w:lineRule="exact"/>
              <w:rPr>
                <w:rFonts w:ascii="Arial" w:cs="Arial" w:eastAsia="Arial" w:hAnsi="Arial"/>
                <w:sz w:val="13"/>
                <w:szCs w:val="13"/>
                <w:color w:val="0000FF"/>
              </w:rPr>
            </w:pPr>
            <w:hyperlink r:id="rId176">
              <w:r>
                <w:rPr>
                  <w:rFonts w:ascii="Arial" w:cs="Arial" w:eastAsia="Arial" w:hAnsi="Arial"/>
                  <w:sz w:val="13"/>
                  <w:szCs w:val="13"/>
                  <w:color w:val="0000FF"/>
                </w:rPr>
                <w:t>Technologies, Inc. and SN Technologies, LLC.</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7">
              <w:r>
                <w:rPr>
                  <w:rFonts w:ascii="Arial" w:cs="Arial" w:eastAsia="Arial" w:hAnsi="Arial"/>
                  <w:sz w:val="14"/>
                  <w:szCs w:val="14"/>
                  <w:color w:val="0000FF"/>
                </w:rPr>
                <w:t>Administration Agreement, dated as of June 22, 2022, between Synchronoss</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0" w:type="dxa"/>
            <w:vAlign w:val="bottom"/>
            <w:tcBorders>
              <w:top w:val="single" w:sz="8" w:color="0000FF"/>
            </w:tcBorders>
            <w:gridSpan w:val="38"/>
          </w:tcPr>
          <w:p>
            <w:pPr>
              <w:spacing w:after="0" w:line="113" w:lineRule="exact"/>
              <w:rPr>
                <w:rFonts w:ascii="Arial" w:cs="Arial" w:eastAsia="Arial" w:hAnsi="Arial"/>
                <w:sz w:val="13"/>
                <w:szCs w:val="13"/>
                <w:color w:val="0000FF"/>
              </w:rPr>
            </w:pPr>
            <w:hyperlink r:id="rId177">
              <w:r>
                <w:rPr>
                  <w:rFonts w:ascii="Arial" w:cs="Arial" w:eastAsia="Arial" w:hAnsi="Arial"/>
                  <w:sz w:val="13"/>
                  <w:szCs w:val="13"/>
                  <w:color w:val="0000FF"/>
                </w:rPr>
                <w:t>Technologies, Inc. and Finacity Corporation.</w:t>
              </w:r>
            </w:hyperlink>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8">
              <w:r>
                <w:rPr>
                  <w:rFonts w:ascii="Arial" w:cs="Arial" w:eastAsia="Arial" w:hAnsi="Arial"/>
                  <w:sz w:val="14"/>
                  <w:szCs w:val="14"/>
                  <w:color w:val="0000FF"/>
                </w:rPr>
                <w:t>Performance Guaranty, dated as of June 22, 2022, made by Synchronoss</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178">
              <w:r>
                <w:rPr>
                  <w:rFonts w:ascii="Arial" w:cs="Arial" w:eastAsia="Arial" w:hAnsi="Arial"/>
                  <w:sz w:val="13"/>
                  <w:szCs w:val="13"/>
                  <w:color w:val="0000FF"/>
                </w:rPr>
                <w:t>Technologies, Inc. in favor of Norddeutsche Landesbank Girozentrale.</w:t>
              </w:r>
            </w:hyperlink>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10.28†</w:t>
            </w: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79">
              <w:r>
                <w:rPr>
                  <w:rFonts w:ascii="Arial" w:cs="Arial" w:eastAsia="Arial" w:hAnsi="Arial"/>
                  <w:sz w:val="14"/>
                  <w:szCs w:val="14"/>
                  <w:color w:val="0000FF"/>
                </w:rPr>
                <w:t>Appointment Letter, dated August 9, 2022 between the Registrant and Lou</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5"/>
              </w:rPr>
            </w:pPr>
            <w:hyperlink r:id="rId179">
              <w:r>
                <w:rPr>
                  <w:rFonts w:ascii="Arial" w:cs="Arial" w:eastAsia="Arial" w:hAnsi="Arial"/>
                  <w:sz w:val="13"/>
                  <w:szCs w:val="13"/>
                  <w:color w:val="0000FF"/>
                  <w:w w:val="95"/>
                </w:rPr>
                <w:t>Ferraro.</w:t>
              </w:r>
            </w:hyperlink>
          </w:p>
        </w:tc>
        <w:tc>
          <w:tcPr>
            <w:tcW w:w="4300" w:type="dxa"/>
            <w:vAlign w:val="bottom"/>
            <w:tcBorders>
              <w:top w:val="single" w:sz="8" w:color="0000FF"/>
            </w:tcBorders>
            <w:gridSpan w:val="24"/>
          </w:tcPr>
          <w:p>
            <w:pPr>
              <w:spacing w:after="0"/>
              <w:rPr>
                <w:sz w:val="9"/>
                <w:szCs w:val="9"/>
                <w:color w:val="auto"/>
              </w:rPr>
            </w:pPr>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10.29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80">
              <w:r>
                <w:rPr>
                  <w:rFonts w:ascii="Arial" w:cs="Arial" w:eastAsia="Arial" w:hAnsi="Arial"/>
                  <w:sz w:val="14"/>
                  <w:szCs w:val="14"/>
                  <w:color w:val="0000FF"/>
                </w:rPr>
                <w:t>Order Instituting Cease-And-Desist Proceedings pursuant to Section 21C of the</w:t>
              </w:r>
            </w:hyperlink>
          </w:p>
        </w:tc>
        <w:tc>
          <w:tcPr>
            <w:tcW w:w="500" w:type="dxa"/>
            <w:vAlign w:val="bottom"/>
            <w:gridSpan w:val="2"/>
          </w:tcPr>
          <w:p>
            <w:pPr>
              <w:jc w:val="center"/>
              <w:ind w:right="360"/>
              <w:spacing w:after="0"/>
              <w:rPr>
                <w:sz w:val="20"/>
                <w:szCs w:val="20"/>
                <w:color w:val="auto"/>
              </w:rPr>
            </w:pPr>
            <w:r>
              <w:rPr>
                <w:rFonts w:ascii="Arial" w:cs="Arial" w:eastAsia="Arial" w:hAnsi="Arial"/>
                <w:sz w:val="8"/>
                <w:szCs w:val="8"/>
                <w:color w:val="auto"/>
                <w:w w:val="78"/>
              </w:rPr>
              <w:t>10-Q</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20" w:type="dxa"/>
            <w:vAlign w:val="bottom"/>
            <w:tcBorders>
              <w:top w:val="single" w:sz="8" w:color="0000FF"/>
              <w:bottom w:val="single" w:sz="8" w:color="0000FF"/>
            </w:tcBorders>
            <w:gridSpan w:val="34"/>
          </w:tcPr>
          <w:p>
            <w:pPr>
              <w:spacing w:after="0" w:line="113" w:lineRule="exact"/>
              <w:rPr>
                <w:rFonts w:ascii="Arial" w:cs="Arial" w:eastAsia="Arial" w:hAnsi="Arial"/>
                <w:sz w:val="13"/>
                <w:szCs w:val="13"/>
                <w:color w:val="0000FF"/>
              </w:rPr>
            </w:pPr>
            <w:hyperlink r:id="rId180">
              <w:r>
                <w:rPr>
                  <w:rFonts w:ascii="Arial" w:cs="Arial" w:eastAsia="Arial" w:hAnsi="Arial"/>
                  <w:sz w:val="13"/>
                  <w:szCs w:val="13"/>
                  <w:color w:val="0000FF"/>
                </w:rPr>
                <w:t>Securities Exchange Act of 1934, Making Findings, and Imposing a Cease-And-</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100" w:type="dxa"/>
            <w:vAlign w:val="bottom"/>
            <w:tcBorders>
              <w:bottom w:val="single" w:sz="8" w:color="0000FF"/>
            </w:tcBorders>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80" w:type="dxa"/>
            <w:vAlign w:val="bottom"/>
            <w:gridSpan w:val="42"/>
          </w:tcPr>
          <w:p>
            <w:pPr>
              <w:spacing w:after="0" w:line="127" w:lineRule="exact"/>
              <w:rPr>
                <w:rFonts w:ascii="Arial" w:cs="Arial" w:eastAsia="Arial" w:hAnsi="Arial"/>
                <w:sz w:val="14"/>
                <w:szCs w:val="14"/>
                <w:color w:val="0000FF"/>
              </w:rPr>
            </w:pPr>
            <w:hyperlink r:id="rId180">
              <w:r>
                <w:rPr>
                  <w:rFonts w:ascii="Arial" w:cs="Arial" w:eastAsia="Arial" w:hAnsi="Arial"/>
                  <w:sz w:val="14"/>
                  <w:szCs w:val="14"/>
                  <w:color w:val="0000FF"/>
                </w:rPr>
                <w:t>Desist Order, dated June 7, 2022, between the United States Securities and</w:t>
              </w:r>
            </w:hyperlink>
          </w:p>
        </w:tc>
        <w:tc>
          <w:tcPr>
            <w:tcW w:w="60" w:type="dxa"/>
            <w:vAlign w:val="bottom"/>
            <w:gridSpan w:val="3"/>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16"/>
          </w:tcPr>
          <w:p>
            <w:pPr>
              <w:spacing w:after="0" w:line="127" w:lineRule="exact"/>
              <w:rPr>
                <w:rFonts w:ascii="Arial" w:cs="Arial" w:eastAsia="Arial" w:hAnsi="Arial"/>
                <w:sz w:val="14"/>
                <w:szCs w:val="14"/>
                <w:color w:val="0000FF"/>
                <w:w w:val="90"/>
              </w:rPr>
            </w:pPr>
            <w:hyperlink r:id="rId180">
              <w:r>
                <w:rPr>
                  <w:rFonts w:ascii="Arial" w:cs="Arial" w:eastAsia="Arial" w:hAnsi="Arial"/>
                  <w:sz w:val="14"/>
                  <w:szCs w:val="14"/>
                  <w:color w:val="0000FF"/>
                  <w:w w:val="90"/>
                </w:rPr>
                <w:t>Exchange Commission and Synchronoss Technologies, Inc.</w:t>
              </w:r>
            </w:hyperlink>
          </w:p>
        </w:tc>
        <w:tc>
          <w:tcPr>
            <w:tcW w:w="154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10.30*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81">
              <w:r>
                <w:rPr>
                  <w:rFonts w:ascii="Arial" w:cs="Arial" w:eastAsia="Arial" w:hAnsi="Arial"/>
                  <w:sz w:val="14"/>
                  <w:szCs w:val="14"/>
                  <w:color w:val="0000FF"/>
                </w:rPr>
                <w:t>Change Request No. 17 effective November 1, 2022 to SOW No. 1 Application</w:t>
              </w:r>
            </w:hyperlink>
          </w:p>
        </w:tc>
        <w:tc>
          <w:tcPr>
            <w:tcW w:w="500" w:type="dxa"/>
            <w:vAlign w:val="bottom"/>
            <w:gridSpan w:val="2"/>
          </w:tcPr>
          <w:p>
            <w:pPr>
              <w:jc w:val="center"/>
              <w:ind w:right="380"/>
              <w:spacing w:after="0"/>
              <w:rPr>
                <w:sz w:val="20"/>
                <w:szCs w:val="20"/>
                <w:color w:val="auto"/>
              </w:rPr>
            </w:pPr>
            <w:r>
              <w:rPr>
                <w:rFonts w:ascii="Arial" w:cs="Arial" w:eastAsia="Arial" w:hAnsi="Arial"/>
                <w:sz w:val="10"/>
                <w:szCs w:val="10"/>
                <w:color w:val="auto"/>
                <w:w w:val="76"/>
              </w:rPr>
              <w:t>8-K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November 7,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00" w:type="dxa"/>
            <w:vAlign w:val="bottom"/>
            <w:tcBorders>
              <w:top w:val="single" w:sz="8" w:color="0000FF"/>
            </w:tcBorders>
            <w:gridSpan w:val="33"/>
          </w:tcPr>
          <w:p>
            <w:pPr>
              <w:spacing w:after="0" w:line="113" w:lineRule="exact"/>
              <w:rPr>
                <w:rFonts w:ascii="Arial" w:cs="Arial" w:eastAsia="Arial" w:hAnsi="Arial"/>
                <w:sz w:val="13"/>
                <w:szCs w:val="13"/>
                <w:color w:val="0000FF"/>
              </w:rPr>
            </w:pPr>
            <w:hyperlink r:id="rId181">
              <w:r>
                <w:rPr>
                  <w:rFonts w:ascii="Arial" w:cs="Arial" w:eastAsia="Arial" w:hAnsi="Arial"/>
                  <w:sz w:val="13"/>
                  <w:szCs w:val="13"/>
                  <w:color w:val="0000FF"/>
                </w:rPr>
                <w:t>Service Provider Agreement effective as of April 1, 2013 by and between the</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60" w:type="dxa"/>
            <w:vAlign w:val="bottom"/>
            <w:gridSpan w:val="8"/>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10"/>
          </w:tcPr>
          <w:p>
            <w:pPr>
              <w:spacing w:after="0" w:line="127" w:lineRule="exact"/>
              <w:rPr>
                <w:rFonts w:ascii="Arial" w:cs="Arial" w:eastAsia="Arial" w:hAnsi="Arial"/>
                <w:sz w:val="14"/>
                <w:szCs w:val="14"/>
                <w:color w:val="0000FF"/>
                <w:w w:val="92"/>
              </w:rPr>
            </w:pPr>
            <w:hyperlink r:id="rId181">
              <w:r>
                <w:rPr>
                  <w:rFonts w:ascii="Arial" w:cs="Arial" w:eastAsia="Arial" w:hAnsi="Arial"/>
                  <w:sz w:val="14"/>
                  <w:szCs w:val="14"/>
                  <w:color w:val="0000FF"/>
                  <w:w w:val="92"/>
                </w:rPr>
                <w:t>Registrant and Verizon Sourcing LLC.</w:t>
              </w:r>
            </w:hyperlink>
          </w:p>
        </w:tc>
        <w:tc>
          <w:tcPr>
            <w:tcW w:w="2820" w:type="dxa"/>
            <w:vAlign w:val="bottom"/>
            <w:tcBorders>
              <w:top w:val="single" w:sz="8" w:color="0000FF"/>
            </w:tcBorders>
            <w:gridSpan w:val="29"/>
          </w:tcPr>
          <w:p>
            <w:pPr>
              <w:spacing w:after="0"/>
              <w:rPr>
                <w:sz w:val="10"/>
                <w:szCs w:val="10"/>
                <w:color w:val="auto"/>
              </w:rPr>
            </w:pPr>
          </w:p>
        </w:tc>
        <w:tc>
          <w:tcPr>
            <w:tcW w:w="120" w:type="dxa"/>
            <w:vAlign w:val="bottom"/>
            <w:gridSpan w:val="6"/>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87"/>
              </w:rPr>
              <w:t>21.1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rFonts w:ascii="Arial" w:cs="Arial" w:eastAsia="Arial" w:hAnsi="Arial"/>
                <w:sz w:val="14"/>
                <w:szCs w:val="14"/>
                <w:color w:val="0000FF"/>
              </w:rPr>
            </w:pPr>
            <w:hyperlink r:id="rId182">
              <w:r>
                <w:rPr>
                  <w:rFonts w:ascii="Arial" w:cs="Arial" w:eastAsia="Arial" w:hAnsi="Arial"/>
                  <w:sz w:val="14"/>
                  <w:szCs w:val="14"/>
                  <w:color w:val="0000FF"/>
                </w:rPr>
                <w:t>List of subsidiaries.</w:t>
              </w:r>
            </w:hyperlink>
          </w:p>
        </w:tc>
        <w:tc>
          <w:tcPr>
            <w:tcW w:w="500" w:type="dxa"/>
            <w:vAlign w:val="bottom"/>
            <w:gridSpan w:val="2"/>
          </w:tcPr>
          <w:p>
            <w:pPr>
              <w:jc w:val="center"/>
              <w:ind w:right="360"/>
              <w:spacing w:after="0"/>
              <w:rPr>
                <w:sz w:val="20"/>
                <w:szCs w:val="20"/>
                <w:color w:val="auto"/>
              </w:rPr>
            </w:pPr>
            <w:r>
              <w:rPr>
                <w:rFonts w:ascii="Arial" w:cs="Arial" w:eastAsia="Arial" w:hAnsi="Arial"/>
                <w:sz w:val="9"/>
                <w:szCs w:val="9"/>
                <w:color w:val="auto"/>
                <w:w w:val="73"/>
              </w:rPr>
              <w:t>10-K</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21.1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July 2,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56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87"/>
              </w:rPr>
              <w:t>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rPr>
                <w:sz w:val="20"/>
                <w:szCs w:val="20"/>
                <w:color w:val="auto"/>
              </w:rPr>
            </w:pPr>
            <w:r>
              <w:rPr>
                <w:rFonts w:ascii="Arial" w:cs="Arial" w:eastAsia="Arial" w:hAnsi="Arial"/>
                <w:sz w:val="14"/>
                <w:szCs w:val="14"/>
                <w:color w:val="0000FF"/>
              </w:rPr>
              <w:t>Consent of Ernst &amp; Young, LLP, Independent Registered Public Accounting</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sz w:val="20"/>
                <w:szCs w:val="20"/>
                <w:color w:val="auto"/>
              </w:rPr>
            </w:pPr>
            <w:r>
              <w:rPr>
                <w:rFonts w:ascii="Arial" w:cs="Arial" w:eastAsia="Arial" w:hAnsi="Arial"/>
                <w:sz w:val="13"/>
                <w:szCs w:val="13"/>
                <w:color w:val="0000FF"/>
              </w:rPr>
              <w:t>Firm.</w:t>
            </w:r>
          </w:p>
        </w:tc>
        <w:tc>
          <w:tcPr>
            <w:tcW w:w="4540" w:type="dxa"/>
            <w:vAlign w:val="bottom"/>
            <w:tcBorders>
              <w:top w:val="single" w:sz="8" w:color="0000FF"/>
            </w:tcBorders>
            <w:gridSpan w:val="30"/>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160" w:type="dxa"/>
            <w:vAlign w:val="bottom"/>
            <w:gridSpan w:val="8"/>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line="161" w:lineRule="exact"/>
              <w:rPr>
                <w:sz w:val="20"/>
                <w:szCs w:val="20"/>
                <w:color w:val="auto"/>
              </w:rPr>
            </w:pPr>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tcBorders>
            <w:gridSpan w:val="22"/>
          </w:tcPr>
          <w:p>
            <w:pPr>
              <w:spacing w:after="0" w:line="113" w:lineRule="exact"/>
              <w:rPr>
                <w:sz w:val="20"/>
                <w:szCs w:val="20"/>
                <w:color w:val="auto"/>
              </w:rPr>
            </w:pPr>
            <w:r>
              <w:rPr>
                <w:rFonts w:ascii="Arial" w:cs="Arial" w:eastAsia="Arial" w:hAnsi="Arial"/>
                <w:sz w:val="13"/>
                <w:szCs w:val="13"/>
                <w:color w:val="0000FF"/>
              </w:rPr>
              <w:t>Exchange Act, as adopted pursuant to section 302 of the Sarbanes</w:t>
            </w:r>
            <w:r>
              <w:rPr>
                <w:rFonts w:ascii="MS PGothic" w:cs="MS PGothic" w:eastAsia="MS PGothic" w:hAnsi="MS PGothic"/>
                <w:sz w:val="13"/>
                <w:szCs w:val="13"/>
                <w:color w:val="0000FF"/>
              </w:rPr>
              <w:t>‑</w:t>
            </w:r>
            <w:r>
              <w:rPr>
                <w:rFonts w:ascii="Arial" w:cs="Arial" w:eastAsia="Arial" w:hAnsi="Arial"/>
                <w:sz w:val="13"/>
                <w:szCs w:val="13"/>
                <w:color w:val="0000FF"/>
              </w:rPr>
              <w:t>Oxley Act of</w:t>
            </w:r>
          </w:p>
        </w:tc>
        <w:tc>
          <w:tcPr>
            <w:tcW w:w="40" w:type="dxa"/>
            <w:vAlign w:val="bottom"/>
            <w:gridSpan w:val="2"/>
          </w:tcPr>
          <w:p>
            <w:pPr>
              <w:spacing w:after="0"/>
              <w:rPr>
                <w:sz w:val="9"/>
                <w:szCs w:val="9"/>
                <w:color w:val="auto"/>
              </w:rPr>
            </w:pPr>
          </w:p>
        </w:tc>
        <w:tc>
          <w:tcPr>
            <w:tcW w:w="220" w:type="dxa"/>
            <w:vAlign w:val="bottom"/>
            <w:gridSpan w:val="11"/>
          </w:tcPr>
          <w:p>
            <w:pPr>
              <w:spacing w:after="0"/>
              <w:rPr>
                <w:sz w:val="9"/>
                <w:szCs w:val="9"/>
                <w:color w:val="auto"/>
              </w:rPr>
            </w:pPr>
          </w:p>
        </w:tc>
        <w:tc>
          <w:tcPr>
            <w:tcW w:w="40" w:type="dxa"/>
            <w:vAlign w:val="bottom"/>
            <w:gridSpan w:val="2"/>
          </w:tcPr>
          <w:p>
            <w:pPr>
              <w:spacing w:after="0"/>
              <w:rPr>
                <w:sz w:val="9"/>
                <w:szCs w:val="9"/>
                <w:color w:val="auto"/>
              </w:rPr>
            </w:pPr>
          </w:p>
        </w:tc>
        <w:tc>
          <w:tcPr>
            <w:tcW w:w="160" w:type="dxa"/>
            <w:vAlign w:val="bottom"/>
            <w:gridSpan w:val="8"/>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00" w:type="dxa"/>
            <w:vAlign w:val="bottom"/>
            <w:gridSpan w:val="3"/>
          </w:tcPr>
          <w:p>
            <w:pPr>
              <w:spacing w:after="0"/>
              <w:rPr>
                <w:sz w:val="10"/>
                <w:szCs w:val="10"/>
                <w:color w:val="auto"/>
              </w:rPr>
            </w:pPr>
          </w:p>
        </w:tc>
        <w:tc>
          <w:tcPr>
            <w:tcW w:w="320" w:type="dxa"/>
            <w:vAlign w:val="bottom"/>
            <w:tcBorders>
              <w:top w:val="single" w:sz="8" w:color="0000FF"/>
              <w:bottom w:val="single" w:sz="8" w:color="0000FF"/>
            </w:tcBorders>
          </w:tcPr>
          <w:p>
            <w:pPr>
              <w:spacing w:after="0" w:line="127" w:lineRule="exact"/>
              <w:rPr>
                <w:sz w:val="20"/>
                <w:szCs w:val="20"/>
                <w:color w:val="auto"/>
              </w:rPr>
            </w:pPr>
            <w:r>
              <w:rPr>
                <w:rFonts w:ascii="Arial" w:cs="Arial" w:eastAsia="Arial" w:hAnsi="Arial"/>
                <w:sz w:val="14"/>
                <w:szCs w:val="14"/>
                <w:color w:val="0000FF"/>
                <w:w w:val="85"/>
              </w:rPr>
              <w:t>2002.</w:t>
            </w:r>
          </w:p>
        </w:tc>
        <w:tc>
          <w:tcPr>
            <w:tcW w:w="4640" w:type="dxa"/>
            <w:vAlign w:val="bottom"/>
            <w:tcBorders>
              <w:top w:val="single" w:sz="8" w:color="0000FF"/>
            </w:tcBorders>
            <w:gridSpan w:val="35"/>
          </w:tcPr>
          <w:p>
            <w:pPr>
              <w:spacing w:after="0"/>
              <w:rPr>
                <w:sz w:val="10"/>
                <w:szCs w:val="10"/>
                <w:color w:val="auto"/>
              </w:rPr>
            </w:pPr>
          </w:p>
        </w:tc>
        <w:tc>
          <w:tcPr>
            <w:tcW w:w="50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line="161" w:lineRule="exact"/>
              <w:rPr>
                <w:sz w:val="20"/>
                <w:szCs w:val="20"/>
                <w:color w:val="auto"/>
              </w:rPr>
            </w:pPr>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tcBorders>
            <w:gridSpan w:val="24"/>
          </w:tcPr>
          <w:p>
            <w:pPr>
              <w:spacing w:after="0" w:line="113" w:lineRule="exact"/>
              <w:rPr>
                <w:sz w:val="20"/>
                <w:szCs w:val="20"/>
                <w:color w:val="auto"/>
              </w:rPr>
            </w:pPr>
            <w:r>
              <w:rPr>
                <w:rFonts w:ascii="Arial" w:cs="Arial" w:eastAsia="Arial" w:hAnsi="Arial"/>
                <w:sz w:val="13"/>
                <w:szCs w:val="13"/>
                <w:color w:val="0000FF"/>
              </w:rPr>
              <w:t>Exchange Act, as adopted pursuant to section 302 of the Sarbanes</w:t>
            </w:r>
            <w:r>
              <w:rPr>
                <w:rFonts w:ascii="MS PGothic" w:cs="MS PGothic" w:eastAsia="MS PGothic" w:hAnsi="MS PGothic"/>
                <w:sz w:val="13"/>
                <w:szCs w:val="13"/>
                <w:color w:val="0000FF"/>
              </w:rPr>
              <w:t>‑</w:t>
            </w:r>
            <w:r>
              <w:rPr>
                <w:rFonts w:ascii="Arial" w:cs="Arial" w:eastAsia="Arial" w:hAnsi="Arial"/>
                <w:sz w:val="13"/>
                <w:szCs w:val="13"/>
                <w:color w:val="0000FF"/>
              </w:rPr>
              <w:t>Oxley Act of</w:t>
            </w:r>
          </w:p>
        </w:tc>
        <w:tc>
          <w:tcPr>
            <w:tcW w:w="260" w:type="dxa"/>
            <w:vAlign w:val="bottom"/>
            <w:gridSpan w:val="13"/>
          </w:tcPr>
          <w:p>
            <w:pPr>
              <w:spacing w:after="0"/>
              <w:rPr>
                <w:sz w:val="9"/>
                <w:szCs w:val="9"/>
                <w:color w:val="auto"/>
              </w:rPr>
            </w:pPr>
          </w:p>
        </w:tc>
        <w:tc>
          <w:tcPr>
            <w:tcW w:w="160" w:type="dxa"/>
            <w:vAlign w:val="bottom"/>
            <w:gridSpan w:val="8"/>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00" w:type="dxa"/>
            <w:vAlign w:val="bottom"/>
            <w:gridSpan w:val="3"/>
          </w:tcPr>
          <w:p>
            <w:pPr>
              <w:spacing w:after="0"/>
              <w:rPr>
                <w:sz w:val="10"/>
                <w:szCs w:val="10"/>
                <w:color w:val="auto"/>
              </w:rPr>
            </w:pPr>
          </w:p>
        </w:tc>
        <w:tc>
          <w:tcPr>
            <w:tcW w:w="320" w:type="dxa"/>
            <w:vAlign w:val="bottom"/>
            <w:tcBorders>
              <w:top w:val="single" w:sz="8" w:color="0000FF"/>
              <w:bottom w:val="single" w:sz="8" w:color="0000FF"/>
            </w:tcBorders>
          </w:tcPr>
          <w:p>
            <w:pPr>
              <w:spacing w:after="0" w:line="127" w:lineRule="exact"/>
              <w:rPr>
                <w:sz w:val="20"/>
                <w:szCs w:val="20"/>
                <w:color w:val="auto"/>
              </w:rPr>
            </w:pPr>
            <w:r>
              <w:rPr>
                <w:rFonts w:ascii="Arial" w:cs="Arial" w:eastAsia="Arial" w:hAnsi="Arial"/>
                <w:sz w:val="14"/>
                <w:szCs w:val="14"/>
                <w:color w:val="0000FF"/>
                <w:w w:val="85"/>
              </w:rPr>
              <w:t>2002.</w:t>
            </w:r>
          </w:p>
        </w:tc>
        <w:tc>
          <w:tcPr>
            <w:tcW w:w="4640" w:type="dxa"/>
            <w:vAlign w:val="bottom"/>
            <w:tcBorders>
              <w:top w:val="single" w:sz="8" w:color="0000FF"/>
            </w:tcBorders>
            <w:gridSpan w:val="35"/>
          </w:tcPr>
          <w:p>
            <w:pPr>
              <w:spacing w:after="0"/>
              <w:rPr>
                <w:sz w:val="10"/>
                <w:szCs w:val="10"/>
                <w:color w:val="auto"/>
              </w:rPr>
            </w:pPr>
          </w:p>
        </w:tc>
        <w:tc>
          <w:tcPr>
            <w:tcW w:w="50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Arial" w:cs="Arial" w:eastAsia="Arial" w:hAnsi="Arial"/>
                <w:sz w:val="14"/>
                <w:szCs w:val="14"/>
                <w:color w:val="auto"/>
                <w:w w:val="99"/>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45"/>
          </w:tcPr>
          <w:p>
            <w:pPr>
              <w:spacing w:after="0" w:line="161" w:lineRule="exact"/>
              <w:rPr>
                <w:sz w:val="20"/>
                <w:szCs w:val="20"/>
                <w:color w:val="auto"/>
              </w:rPr>
            </w:pPr>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80" w:type="dxa"/>
            <w:vAlign w:val="bottom"/>
            <w:tcBorders>
              <w:top w:val="single" w:sz="8" w:color="0000FF"/>
            </w:tcBorders>
            <w:gridSpan w:val="37"/>
          </w:tcPr>
          <w:p>
            <w:pPr>
              <w:spacing w:after="0" w:line="120" w:lineRule="exact"/>
              <w:rPr>
                <w:sz w:val="20"/>
                <w:szCs w:val="20"/>
                <w:color w:val="auto"/>
              </w:rPr>
            </w:pPr>
            <w:r>
              <w:rPr>
                <w:rFonts w:ascii="Arial" w:cs="Arial" w:eastAsia="Arial" w:hAnsi="Arial"/>
                <w:sz w:val="13"/>
                <w:szCs w:val="13"/>
                <w:u w:val="single" w:color="auto"/>
                <w:color w:val="0000FF"/>
              </w:rPr>
              <w:t>Exchange Act and section 18 U.S.C. Section 1350, as adopted pursuant to</w:t>
            </w:r>
          </w:p>
        </w:tc>
        <w:tc>
          <w:tcPr>
            <w:tcW w:w="160" w:type="dxa"/>
            <w:vAlign w:val="bottom"/>
            <w:gridSpan w:val="8"/>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00"/>
        <w:spacing w:after="0" w:line="161" w:lineRule="exact"/>
        <w:rPr>
          <w:sz w:val="20"/>
          <w:szCs w:val="20"/>
          <w:color w:val="auto"/>
        </w:rPr>
      </w:pPr>
      <w:r>
        <w:rPr>
          <w:rFonts w:ascii="Arial" w:cs="Arial" w:eastAsia="Arial" w:hAnsi="Arial"/>
          <w:sz w:val="14"/>
          <w:szCs w:val="14"/>
          <w:u w:val="single" w:color="auto"/>
          <w:color w:val="0000FF"/>
        </w:rPr>
        <w:t>section 906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440"/>
              <w:spacing w:after="0"/>
              <w:rPr>
                <w:sz w:val="20"/>
                <w:szCs w:val="20"/>
                <w:color w:val="auto"/>
              </w:rPr>
            </w:pPr>
            <w:r>
              <w:rPr>
                <w:rFonts w:ascii="Arial" w:cs="Arial" w:eastAsia="Arial" w:hAnsi="Arial"/>
                <w:sz w:val="14"/>
                <w:szCs w:val="14"/>
                <w:b w:val="1"/>
                <w:bCs w:val="1"/>
                <w:color w:val="auto"/>
                <w:w w:val="99"/>
              </w:rPr>
              <w:t>Incorporated by Reference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Exhibit No.</w:t>
            </w:r>
          </w:p>
        </w:tc>
        <w:tc>
          <w:tcPr>
            <w:tcW w:w="20" w:type="dxa"/>
            <w:vAlign w:val="bottom"/>
          </w:tcPr>
          <w:p>
            <w:pPr>
              <w:spacing w:after="0"/>
              <w:rPr>
                <w:sz w:val="9"/>
                <w:szCs w:val="9"/>
                <w:color w:val="auto"/>
              </w:rPr>
            </w:pPr>
          </w:p>
        </w:tc>
        <w:tc>
          <w:tcPr>
            <w:tcW w:w="4740" w:type="dxa"/>
            <w:vAlign w:val="bottom"/>
            <w:gridSpan w:val="5"/>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5"/>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9"/>
              </w:rPr>
              <w:t>32.2**</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6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bottom w:val="single" w:sz="8" w:color="0000FF"/>
            </w:tcBorders>
            <w:gridSpan w:val="2"/>
          </w:tcPr>
          <w:p>
            <w:pPr>
              <w:spacing w:after="0" w:line="113" w:lineRule="exact"/>
              <w:rPr>
                <w:sz w:val="20"/>
                <w:szCs w:val="20"/>
                <w:color w:val="auto"/>
              </w:rPr>
            </w:pPr>
            <w:r>
              <w:rPr>
                <w:rFonts w:ascii="Arial" w:cs="Arial" w:eastAsia="Arial" w:hAnsi="Arial"/>
                <w:sz w:val="13"/>
                <w:szCs w:val="13"/>
                <w:color w:val="0000FF"/>
              </w:rPr>
              <w:t>Exchange Act and section 18 U.S.C. Section 1350, as adopted pursuant to</w:t>
            </w:r>
          </w:p>
        </w:tc>
        <w:tc>
          <w:tcPr>
            <w:tcW w:w="20" w:type="dxa"/>
            <w:vAlign w:val="bottom"/>
            <w:tcBorders>
              <w:bottom w:val="single" w:sz="8" w:color="0000FF"/>
            </w:tcBorders>
          </w:tcPr>
          <w:p>
            <w:pPr>
              <w:spacing w:after="0"/>
              <w:rPr>
                <w:sz w:val="9"/>
                <w:szCs w:val="9"/>
                <w:color w:val="auto"/>
              </w:rPr>
            </w:pPr>
          </w:p>
        </w:tc>
        <w:tc>
          <w:tcPr>
            <w:tcW w:w="10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3"/>
          </w:tcPr>
          <w:p>
            <w:pPr>
              <w:spacing w:after="0" w:line="127" w:lineRule="exact"/>
              <w:rPr>
                <w:sz w:val="20"/>
                <w:szCs w:val="20"/>
                <w:color w:val="auto"/>
              </w:rPr>
            </w:pPr>
            <w:r>
              <w:rPr>
                <w:rFonts w:ascii="Arial" w:cs="Arial" w:eastAsia="Arial" w:hAnsi="Arial"/>
                <w:sz w:val="14"/>
                <w:szCs w:val="14"/>
                <w:color w:val="0000FF"/>
              </w:rPr>
              <w:t>section 906 of the 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w:t>
            </w: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18"/>
                <w:szCs w:val="18"/>
                <w:color w:val="auto"/>
              </w:rPr>
            </w:pPr>
          </w:p>
        </w:tc>
        <w:tc>
          <w:tcPr>
            <w:tcW w:w="270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XBRL Instance Document</w:t>
            </w:r>
          </w:p>
        </w:tc>
        <w:tc>
          <w:tcPr>
            <w:tcW w:w="20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17"/>
                <w:szCs w:val="17"/>
                <w:color w:val="auto"/>
              </w:rPr>
            </w:pPr>
          </w:p>
        </w:tc>
        <w:tc>
          <w:tcPr>
            <w:tcW w:w="4740" w:type="dxa"/>
            <w:vAlign w:val="bottom"/>
            <w:gridSpan w:val="5"/>
          </w:tcPr>
          <w:p>
            <w:pPr>
              <w:spacing w:after="0"/>
              <w:rPr>
                <w:sz w:val="20"/>
                <w:szCs w:val="20"/>
                <w:color w:val="auto"/>
              </w:rPr>
            </w:pPr>
            <w:r>
              <w:rPr>
                <w:rFonts w:ascii="Arial" w:cs="Arial" w:eastAsia="Arial" w:hAnsi="Arial"/>
                <w:sz w:val="14"/>
                <w:szCs w:val="14"/>
                <w:color w:val="auto"/>
              </w:rPr>
              <w:t>XBRL Schema Document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101.CAL</w:t>
            </w:r>
          </w:p>
        </w:tc>
        <w:tc>
          <w:tcPr>
            <w:tcW w:w="20" w:type="dxa"/>
            <w:vAlign w:val="bottom"/>
          </w:tcPr>
          <w:p>
            <w:pPr>
              <w:spacing w:after="0"/>
              <w:rPr>
                <w:sz w:val="17"/>
                <w:szCs w:val="17"/>
                <w:color w:val="auto"/>
              </w:rPr>
            </w:pPr>
          </w:p>
        </w:tc>
        <w:tc>
          <w:tcPr>
            <w:tcW w:w="4740" w:type="dxa"/>
            <w:vAlign w:val="bottom"/>
            <w:gridSpan w:val="5"/>
          </w:tcPr>
          <w:p>
            <w:pPr>
              <w:spacing w:after="0"/>
              <w:rPr>
                <w:sz w:val="20"/>
                <w:szCs w:val="20"/>
                <w:color w:val="auto"/>
              </w:rPr>
            </w:pPr>
            <w:r>
              <w:rPr>
                <w:rFonts w:ascii="Arial" w:cs="Arial" w:eastAsia="Arial" w:hAnsi="Arial"/>
                <w:sz w:val="14"/>
                <w:szCs w:val="14"/>
                <w:color w:val="auto"/>
              </w:rPr>
              <w:t>XBRL Calculation Linkbase Document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7"/>
                <w:szCs w:val="17"/>
                <w:color w:val="auto"/>
              </w:rPr>
            </w:pPr>
          </w:p>
        </w:tc>
        <w:tc>
          <w:tcPr>
            <w:tcW w:w="4740" w:type="dxa"/>
            <w:vAlign w:val="bottom"/>
            <w:gridSpan w:val="5"/>
          </w:tcPr>
          <w:p>
            <w:pPr>
              <w:spacing w:after="0"/>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7"/>
                <w:szCs w:val="17"/>
                <w:color w:val="auto"/>
              </w:rPr>
            </w:pPr>
          </w:p>
        </w:tc>
        <w:tc>
          <w:tcPr>
            <w:tcW w:w="4740" w:type="dxa"/>
            <w:vAlign w:val="bottom"/>
            <w:gridSpan w:val="5"/>
          </w:tcPr>
          <w:p>
            <w:pPr>
              <w:spacing w:after="0"/>
              <w:rPr>
                <w:sz w:val="20"/>
                <w:szCs w:val="20"/>
                <w:color w:val="auto"/>
              </w:rPr>
            </w:pPr>
            <w:r>
              <w:rPr>
                <w:rFonts w:ascii="Arial" w:cs="Arial" w:eastAsia="Arial" w:hAnsi="Arial"/>
                <w:sz w:val="14"/>
                <w:szCs w:val="14"/>
                <w:color w:val="auto"/>
              </w:rPr>
              <w:t>XBRL Labels Linkbase Document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101.PRE</w:t>
            </w:r>
          </w:p>
        </w:tc>
        <w:tc>
          <w:tcPr>
            <w:tcW w:w="20" w:type="dxa"/>
            <w:vAlign w:val="bottom"/>
          </w:tcPr>
          <w:p>
            <w:pPr>
              <w:spacing w:after="0"/>
              <w:rPr>
                <w:sz w:val="17"/>
                <w:szCs w:val="17"/>
                <w:color w:val="auto"/>
              </w:rPr>
            </w:pPr>
          </w:p>
        </w:tc>
        <w:tc>
          <w:tcPr>
            <w:tcW w:w="4740" w:type="dxa"/>
            <w:vAlign w:val="bottom"/>
            <w:gridSpan w:val="5"/>
          </w:tcPr>
          <w:p>
            <w:pPr>
              <w:spacing w:after="0"/>
              <w:rPr>
                <w:sz w:val="20"/>
                <w:szCs w:val="20"/>
                <w:color w:val="auto"/>
              </w:rPr>
            </w:pPr>
            <w:r>
              <w:rPr>
                <w:rFonts w:ascii="Arial" w:cs="Arial" w:eastAsia="Arial" w:hAnsi="Arial"/>
                <w:sz w:val="14"/>
                <w:szCs w:val="14"/>
                <w:color w:val="auto"/>
              </w:rPr>
              <w:t>XBRL Presentation Linkbase Document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460" w:hanging="436"/>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4"/>
          <w:szCs w:val="14"/>
          <w:color w:val="auto"/>
        </w:rPr>
        <w:t>Compensation Arrangement.</w:t>
      </w:r>
    </w:p>
    <w:p>
      <w:pPr>
        <w:spacing w:after="0" w:line="148" w:lineRule="exact"/>
        <w:rPr>
          <w:sz w:val="20"/>
          <w:szCs w:val="20"/>
          <w:color w:val="auto"/>
        </w:rPr>
      </w:pPr>
    </w:p>
    <w:p>
      <w:pPr>
        <w:ind w:left="460" w:hanging="436"/>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4"/>
          <w:szCs w:val="14"/>
          <w:color w:val="auto"/>
        </w:rPr>
        <w:t>Confidential treatment has been granted with respect to certain provisions of this exhibit.</w:t>
      </w:r>
    </w:p>
    <w:p>
      <w:pPr>
        <w:spacing w:after="0" w:line="72" w:lineRule="exact"/>
        <w:rPr>
          <w:sz w:val="20"/>
          <w:szCs w:val="20"/>
          <w:color w:val="auto"/>
        </w:rPr>
      </w:pPr>
    </w:p>
    <w:p>
      <w:pPr>
        <w:jc w:val="both"/>
        <w:ind w:left="460" w:right="340" w:hanging="436"/>
        <w:spacing w:after="0" w:line="182" w:lineRule="auto"/>
        <w:tabs>
          <w:tab w:leader="none" w:pos="460" w:val="left"/>
        </w:tabs>
        <w:numPr>
          <w:ilvl w:val="0"/>
          <w:numId w:val="56"/>
        </w:numPr>
        <w:rPr>
          <w:rFonts w:ascii="Arial" w:cs="Arial" w:eastAsia="Arial" w:hAnsi="Arial"/>
          <w:sz w:val="28"/>
          <w:szCs w:val="28"/>
          <w:color w:val="auto"/>
          <w:vertAlign w:val="subscript"/>
        </w:rPr>
      </w:pPr>
      <w:r>
        <w:rPr>
          <w:rFonts w:ascii="Arial" w:cs="Arial" w:eastAsia="Arial" w:hAnsi="Arial"/>
          <w:sz w:val="13"/>
          <w:szCs w:val="13"/>
          <w:color w:val="auto"/>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333" w:lineRule="exact"/>
        <w:rPr>
          <w:sz w:val="20"/>
          <w:szCs w:val="20"/>
          <w:color w:val="auto"/>
        </w:rPr>
      </w:pPr>
    </w:p>
    <w:p>
      <w:pPr>
        <w:ind w:left="320" w:right="9700" w:firstLine="5"/>
        <w:spacing w:after="0" w:line="673" w:lineRule="auto"/>
        <w:tabs>
          <w:tab w:leader="none" w:pos="6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Exhibits. See (a)(3) above.</w:t>
      </w:r>
    </w:p>
    <w:p>
      <w:pPr>
        <w:spacing w:after="0" w:line="1" w:lineRule="exact"/>
        <w:rPr>
          <w:rFonts w:ascii="Arial" w:cs="Arial" w:eastAsia="Arial" w:hAnsi="Arial"/>
          <w:sz w:val="14"/>
          <w:szCs w:val="14"/>
          <w:color w:val="auto"/>
        </w:rPr>
      </w:pPr>
    </w:p>
    <w:p>
      <w:pPr>
        <w:ind w:left="320" w:right="8440" w:firstLine="5"/>
        <w:spacing w:after="0" w:line="520" w:lineRule="auto"/>
        <w:tabs>
          <w:tab w:leader="none" w:pos="6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 See (a)(2)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24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SYNCHRONOSS TECHNOLOGIES, INC.</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5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11430</wp:posOffset>
            </wp:positionV>
            <wp:extent cx="25838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Jeff Miller</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Chief Executive Officer</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11430</wp:posOffset>
            </wp:positionV>
            <wp:extent cx="25838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Louis Ferraro</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Chief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020" w:type="dxa"/>
            <w:vAlign w:val="bottom"/>
          </w:tcPr>
          <w:p>
            <w:pPr>
              <w:ind w:left="1120"/>
              <w:spacing w:after="0"/>
              <w:rPr>
                <w:sz w:val="20"/>
                <w:szCs w:val="20"/>
                <w:color w:val="auto"/>
              </w:rPr>
            </w:pPr>
            <w:r>
              <w:rPr>
                <w:rFonts w:ascii="Arial" w:cs="Arial" w:eastAsia="Arial" w:hAnsi="Arial"/>
                <w:sz w:val="18"/>
                <w:szCs w:val="18"/>
                <w:b w:val="1"/>
                <w:bCs w:val="1"/>
                <w:color w:val="auto"/>
              </w:rPr>
              <w:t>Title</w:t>
            </w:r>
          </w:p>
        </w:tc>
        <w:tc>
          <w:tcPr>
            <w:tcW w:w="1960" w:type="dxa"/>
            <w:vAlign w:val="bottom"/>
          </w:tcPr>
          <w:p>
            <w:pPr>
              <w:ind w:left="840"/>
              <w:spacing w:after="0"/>
              <w:rPr>
                <w:sz w:val="20"/>
                <w:szCs w:val="20"/>
                <w:color w:val="auto"/>
              </w:rPr>
            </w:pPr>
            <w:r>
              <w:rPr>
                <w:rFonts w:ascii="Arial" w:cs="Arial" w:eastAsia="Arial" w:hAnsi="Arial"/>
                <w:sz w:val="18"/>
                <w:szCs w:val="18"/>
                <w:b w:val="1"/>
                <w:bCs w:val="1"/>
                <w:color w:val="auto"/>
              </w:rPr>
              <w:t>Date</w:t>
            </w: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Jeff Miller</w:t>
            </w:r>
          </w:p>
        </w:tc>
        <w:tc>
          <w:tcPr>
            <w:tcW w:w="4020" w:type="dxa"/>
            <w:vAlign w:val="bottom"/>
          </w:tcPr>
          <w:p>
            <w:pPr>
              <w:ind w:left="1120"/>
              <w:spacing w:after="0"/>
              <w:rPr>
                <w:sz w:val="20"/>
                <w:szCs w:val="20"/>
                <w:color w:val="auto"/>
              </w:rPr>
            </w:pPr>
            <w:r>
              <w:rPr>
                <w:rFonts w:ascii="Arial" w:cs="Arial" w:eastAsia="Arial" w:hAnsi="Arial"/>
                <w:sz w:val="18"/>
                <w:szCs w:val="18"/>
                <w:color w:val="auto"/>
              </w:rPr>
              <w:t>Chief Executive Officer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Jeff Miller</w:t>
            </w:r>
          </w:p>
        </w:tc>
        <w:tc>
          <w:tcPr>
            <w:tcW w:w="4020" w:type="dxa"/>
            <w:vAlign w:val="bottom"/>
          </w:tcPr>
          <w:p>
            <w:pPr>
              <w:ind w:left="1120"/>
              <w:spacing w:after="0"/>
              <w:rPr>
                <w:sz w:val="20"/>
                <w:szCs w:val="20"/>
                <w:color w:val="auto"/>
              </w:rPr>
            </w:pPr>
            <w:r>
              <w:rPr>
                <w:rFonts w:ascii="Arial" w:cs="Arial" w:eastAsia="Arial" w:hAnsi="Arial"/>
                <w:sz w:val="18"/>
                <w:szCs w:val="18"/>
                <w:color w:val="auto"/>
              </w:rPr>
              <w:t>(Principal Executive Officer)</w:t>
            </w:r>
          </w:p>
        </w:tc>
        <w:tc>
          <w:tcPr>
            <w:tcW w:w="1960" w:type="dxa"/>
            <w:vAlign w:val="bottom"/>
          </w:tcPr>
          <w:p>
            <w:pPr>
              <w:spacing w:after="0"/>
              <w:rPr>
                <w:sz w:val="19"/>
                <w:szCs w:val="19"/>
                <w:color w:val="auto"/>
              </w:rPr>
            </w:pP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Louis Ferraro</w:t>
            </w:r>
          </w:p>
        </w:tc>
        <w:tc>
          <w:tcPr>
            <w:tcW w:w="4020" w:type="dxa"/>
            <w:vAlign w:val="bottom"/>
          </w:tcPr>
          <w:p>
            <w:pPr>
              <w:ind w:left="1120"/>
              <w:spacing w:after="0"/>
              <w:rPr>
                <w:sz w:val="20"/>
                <w:szCs w:val="20"/>
                <w:color w:val="auto"/>
              </w:rPr>
            </w:pPr>
            <w:r>
              <w:rPr>
                <w:rFonts w:ascii="Arial" w:cs="Arial" w:eastAsia="Arial" w:hAnsi="Arial"/>
                <w:sz w:val="18"/>
                <w:szCs w:val="18"/>
                <w:color w:val="auto"/>
              </w:rPr>
              <w:t>Chief Financial Officer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Louis Ferraro</w:t>
            </w:r>
          </w:p>
        </w:tc>
        <w:tc>
          <w:tcPr>
            <w:tcW w:w="4020" w:type="dxa"/>
            <w:vAlign w:val="bottom"/>
          </w:tcPr>
          <w:p>
            <w:pPr>
              <w:ind w:left="1120"/>
              <w:spacing w:after="0"/>
              <w:rPr>
                <w:sz w:val="20"/>
                <w:szCs w:val="20"/>
                <w:color w:val="auto"/>
              </w:rPr>
            </w:pPr>
            <w:r>
              <w:rPr>
                <w:rFonts w:ascii="Arial" w:cs="Arial" w:eastAsia="Arial" w:hAnsi="Arial"/>
                <w:sz w:val="18"/>
                <w:szCs w:val="18"/>
                <w:color w:val="auto"/>
              </w:rPr>
              <w:t>(Principal Financial Officer)</w:t>
            </w:r>
          </w:p>
        </w:tc>
        <w:tc>
          <w:tcPr>
            <w:tcW w:w="1960" w:type="dxa"/>
            <w:vAlign w:val="bottom"/>
          </w:tcPr>
          <w:p>
            <w:pPr>
              <w:spacing w:after="0"/>
              <w:rPr>
                <w:sz w:val="19"/>
                <w:szCs w:val="19"/>
                <w:color w:val="auto"/>
              </w:rPr>
            </w:pP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Stephen Waldis</w:t>
            </w:r>
          </w:p>
        </w:tc>
        <w:tc>
          <w:tcPr>
            <w:tcW w:w="402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Stephen Waldis</w:t>
            </w:r>
          </w:p>
        </w:tc>
        <w:tc>
          <w:tcPr>
            <w:tcW w:w="4020" w:type="dxa"/>
            <w:vAlign w:val="bottom"/>
          </w:tcPr>
          <w:p>
            <w:pPr>
              <w:ind w:left="1120"/>
              <w:spacing w:after="0"/>
              <w:rPr>
                <w:sz w:val="20"/>
                <w:szCs w:val="20"/>
                <w:color w:val="auto"/>
              </w:rPr>
            </w:pPr>
            <w:r>
              <w:rPr>
                <w:rFonts w:ascii="Arial" w:cs="Arial" w:eastAsia="Arial" w:hAnsi="Arial"/>
                <w:sz w:val="18"/>
                <w:szCs w:val="18"/>
                <w:color w:val="auto"/>
              </w:rPr>
              <w:t>Executive Chairman</w:t>
            </w:r>
          </w:p>
        </w:tc>
        <w:tc>
          <w:tcPr>
            <w:tcW w:w="1960" w:type="dxa"/>
            <w:vAlign w:val="bottom"/>
          </w:tcPr>
          <w:p>
            <w:pPr>
              <w:spacing w:after="0"/>
              <w:rPr>
                <w:sz w:val="19"/>
                <w:szCs w:val="19"/>
                <w:color w:val="auto"/>
              </w:rPr>
            </w:pP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Laurie L. Harris</w:t>
            </w:r>
          </w:p>
        </w:tc>
        <w:tc>
          <w:tcPr>
            <w:tcW w:w="402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Laurie L. Harris</w:t>
            </w:r>
          </w:p>
        </w:tc>
        <w:tc>
          <w:tcPr>
            <w:tcW w:w="40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Kristin S. Rinne</w:t>
            </w:r>
          </w:p>
        </w:tc>
        <w:tc>
          <w:tcPr>
            <w:tcW w:w="402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Kristin S. Rinne</w:t>
            </w:r>
          </w:p>
        </w:tc>
        <w:tc>
          <w:tcPr>
            <w:tcW w:w="40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Mohan Gyani</w:t>
            </w:r>
          </w:p>
        </w:tc>
        <w:tc>
          <w:tcPr>
            <w:tcW w:w="402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Mohan Gyani</w:t>
            </w:r>
          </w:p>
        </w:tc>
        <w:tc>
          <w:tcPr>
            <w:tcW w:w="40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2"/>
        </w:trPr>
        <w:tc>
          <w:tcPr>
            <w:tcW w:w="2560" w:type="dxa"/>
            <w:vAlign w:val="bottom"/>
          </w:tcPr>
          <w:p>
            <w:pPr>
              <w:spacing w:after="0"/>
              <w:rPr>
                <w:sz w:val="20"/>
                <w:szCs w:val="20"/>
                <w:color w:val="auto"/>
              </w:rPr>
            </w:pPr>
            <w:r>
              <w:rPr>
                <w:rFonts w:ascii="Arial" w:cs="Arial" w:eastAsia="Arial" w:hAnsi="Arial"/>
                <w:sz w:val="18"/>
                <w:szCs w:val="18"/>
                <w:color w:val="auto"/>
              </w:rPr>
              <w:t>/s/ Martin Bernstein</w:t>
            </w:r>
          </w:p>
        </w:tc>
        <w:tc>
          <w:tcPr>
            <w:tcW w:w="402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2023</w:t>
            </w:r>
          </w:p>
        </w:tc>
      </w:tr>
      <w:tr>
        <w:trPr>
          <w:trHeight w:val="226"/>
        </w:trPr>
        <w:tc>
          <w:tcPr>
            <w:tcW w:w="2560" w:type="dxa"/>
            <w:vAlign w:val="bottom"/>
          </w:tcPr>
          <w:p>
            <w:pPr>
              <w:spacing w:after="0"/>
              <w:rPr>
                <w:sz w:val="20"/>
                <w:szCs w:val="20"/>
                <w:color w:val="auto"/>
              </w:rPr>
            </w:pPr>
            <w:r>
              <w:rPr>
                <w:rFonts w:ascii="Arial" w:cs="Arial" w:eastAsia="Arial" w:hAnsi="Arial"/>
                <w:sz w:val="18"/>
                <w:szCs w:val="18"/>
                <w:color w:val="auto"/>
              </w:rPr>
              <w:t>Martin Bernstein</w:t>
            </w:r>
          </w:p>
        </w:tc>
        <w:tc>
          <w:tcPr>
            <w:tcW w:w="40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851"/>
        </w:trPr>
        <w:tc>
          <w:tcPr>
            <w:tcW w:w="2560" w:type="dxa"/>
            <w:vAlign w:val="bottom"/>
          </w:tcPr>
          <w:p>
            <w:pPr>
              <w:spacing w:after="0"/>
              <w:rPr>
                <w:sz w:val="24"/>
                <w:szCs w:val="24"/>
                <w:color w:val="auto"/>
              </w:rPr>
            </w:pPr>
          </w:p>
        </w:tc>
        <w:tc>
          <w:tcPr>
            <w:tcW w:w="4020" w:type="dxa"/>
            <w:vAlign w:val="bottom"/>
          </w:tcPr>
          <w:p>
            <w:pPr>
              <w:ind w:left="2600"/>
              <w:spacing w:after="0"/>
              <w:rPr>
                <w:sz w:val="20"/>
                <w:szCs w:val="20"/>
                <w:color w:val="auto"/>
              </w:rPr>
            </w:pPr>
            <w:r>
              <w:rPr>
                <w:rFonts w:ascii="Arial" w:cs="Arial" w:eastAsia="Arial" w:hAnsi="Arial"/>
                <w:sz w:val="18"/>
                <w:szCs w:val="18"/>
                <w:color w:val="auto"/>
              </w:rPr>
              <w:t>111</w:t>
            </w: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ind w:left="2820"/>
        <w:spacing w:after="0" w:line="215" w:lineRule="auto"/>
        <w:rPr>
          <w:sz w:val="20"/>
          <w:szCs w:val="20"/>
          <w:color w:val="auto"/>
        </w:rPr>
      </w:pPr>
      <w:r>
        <w:rPr>
          <w:rFonts w:ascii="Arial" w:cs="Arial" w:eastAsia="Arial" w:hAnsi="Arial"/>
          <w:sz w:val="85"/>
          <w:szCs w:val="85"/>
          <w:u w:val="single" w:color="auto"/>
          <w:color w:val="auto"/>
        </w:rPr>
        <w:t>Delaware</w:t>
      </w:r>
    </w:p>
    <w:p>
      <w:pPr>
        <w:spacing w:after="0" w:line="2" w:lineRule="exact"/>
        <w:rPr>
          <w:sz w:val="20"/>
          <w:szCs w:val="20"/>
          <w:color w:val="auto"/>
        </w:rPr>
      </w:pPr>
    </w:p>
    <w:p>
      <w:pPr>
        <w:ind w:left="3460"/>
        <w:spacing w:after="0"/>
        <w:rPr>
          <w:sz w:val="20"/>
          <w:szCs w:val="20"/>
          <w:color w:val="auto"/>
        </w:rPr>
      </w:pPr>
      <w:r>
        <w:rPr>
          <w:rFonts w:ascii="Arial" w:cs="Arial" w:eastAsia="Arial" w:hAnsi="Arial"/>
          <w:sz w:val="28"/>
          <w:szCs w:val="28"/>
          <w:color w:val="auto"/>
        </w:rPr>
        <w:t>The First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20" w:right="980" w:firstLine="558"/>
        <w:spacing w:after="0" w:line="506" w:lineRule="auto"/>
        <w:rPr>
          <w:sz w:val="20"/>
          <w:szCs w:val="20"/>
          <w:color w:val="auto"/>
        </w:rPr>
      </w:pPr>
      <w:r>
        <w:rPr>
          <w:rFonts w:ascii="Courier New" w:cs="Courier New" w:eastAsia="Courier New" w:hAnsi="Courier New"/>
          <w:sz w:val="19"/>
          <w:szCs w:val="19"/>
          <w:b w:val="1"/>
          <w:bCs w:val="1"/>
          <w:i w:val="1"/>
          <w:iCs w:val="1"/>
          <w:color w:val="auto"/>
        </w:rPr>
        <w:t>I, JEFFREY W. BULLOCK, SECRETARY OF STATE OF THE STATE OF DELAWARE, DO HEREBY CERTIFY THE ATTACHED IS A TRUE AND CORRECT COPY OF THE RESTATED CERTIFICATE OF “SYNCHRONOSS TECHNOLOGIES, INC.”, FILED IN THIS OFFICE ON THE TWENTIETH DAY OF JUNE, A.D. 2006, AT 9:24 O`CLOCK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color w:val="auto"/>
        </w:rPr>
        <w:t>3289853 8100</w:t>
        <w:tab/>
        <w:t>Authentication: 203750636</w:t>
      </w:r>
    </w:p>
    <w:p>
      <w:pPr>
        <w:spacing w:after="0"/>
        <w:tabs>
          <w:tab w:leader="none" w:pos="1820" w:val="left"/>
        </w:tabs>
        <w:rPr>
          <w:sz w:val="20"/>
          <w:szCs w:val="20"/>
          <w:color w:val="auto"/>
        </w:rPr>
      </w:pPr>
      <w:r>
        <w:rPr>
          <w:rFonts w:ascii="Arial" w:cs="Arial" w:eastAsia="Arial" w:hAnsi="Arial"/>
          <w:sz w:val="19"/>
          <w:szCs w:val="19"/>
          <w:color w:val="auto"/>
        </w:rPr>
        <w:t>SR# 20197443577</w:t>
        <w:tab/>
        <w:t>Date: 10-08-19</w:t>
      </w:r>
    </w:p>
    <w:p>
      <w:pPr>
        <w:sectPr>
          <w:pgSz w:w="11900" w:h="16838" w:orient="portrait"/>
          <w:cols w:equalWidth="0" w:num="1">
            <w:col w:w="11140"/>
          </w:cols>
          <w:pgMar w:left="420" w:top="108" w:right="3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You may verify this certificate online at corp.delaware.gov/authver.shtml</w:t>
      </w:r>
    </w:p>
    <w:p>
      <w:pPr>
        <w:sectPr>
          <w:pgSz w:w="11900" w:h="16838" w:orient="portrait"/>
          <w:cols w:equalWidth="0" w:num="1">
            <w:col w:w="11140"/>
          </w:cols>
          <w:pgMar w:left="420" w:top="108" w:right="339" w:bottom="1440" w:gutter="0" w:footer="0" w:header="0"/>
          <w:type w:val="continuous"/>
        </w:sectPr>
      </w:pPr>
    </w:p>
    <w:bookmarkStart w:id="112" w:name="page113"/>
    <w:bookmarkEnd w:id="112"/>
    <w:p>
      <w:pPr>
        <w:jc w:val="center"/>
        <w:ind w:right="180"/>
        <w:spacing w:after="0"/>
        <w:rPr>
          <w:sz w:val="20"/>
          <w:szCs w:val="20"/>
          <w:color w:val="auto"/>
        </w:rPr>
      </w:pPr>
      <w:r>
        <w:rPr>
          <w:rFonts w:ascii="Arial" w:cs="Arial" w:eastAsia="Arial" w:hAnsi="Arial"/>
          <w:sz w:val="20"/>
          <w:szCs w:val="20"/>
          <w:b w:val="1"/>
          <w:bCs w:val="1"/>
          <w:color w:val="auto"/>
        </w:rPr>
        <w:t>RESTATED CERTIFICATE OF INCORPORATION OF SYNCHRONOSS</w:t>
      </w:r>
    </w:p>
    <w:p>
      <w:pPr>
        <w:spacing w:after="0" w:line="34"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TECHNOLOGIES, INC.</w:t>
      </w:r>
    </w:p>
    <w:p>
      <w:pPr>
        <w:spacing w:after="0" w:line="20"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 Delaware corporation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auto"/>
        </w:rPr>
        <w:t>(Pursuant to Sections 242 and 245 of the Delaware General Corporation Law)</w:t>
      </w:r>
    </w:p>
    <w:p>
      <w:pPr>
        <w:spacing w:after="0" w:line="191" w:lineRule="exact"/>
        <w:rPr>
          <w:sz w:val="20"/>
          <w:szCs w:val="20"/>
          <w:color w:val="auto"/>
        </w:rPr>
      </w:pPr>
    </w:p>
    <w:p>
      <w:pPr>
        <w:ind w:left="40" w:right="100" w:firstLine="3319"/>
        <w:spacing w:after="0" w:line="353" w:lineRule="auto"/>
        <w:rPr>
          <w:sz w:val="20"/>
          <w:szCs w:val="20"/>
          <w:color w:val="auto"/>
        </w:rPr>
      </w:pPr>
      <w:r>
        <w:rPr>
          <w:rFonts w:ascii="Arial" w:cs="Arial" w:eastAsia="Arial" w:hAnsi="Arial"/>
          <w:sz w:val="20"/>
          <w:szCs w:val="20"/>
          <w:color w:val="auto"/>
        </w:rPr>
        <w:t>Synchronoss Technologies, Inc., a corporation organized and ex1stmg under an by virtue of the provisions of the Delaware General Corporation Law,</w:t>
      </w:r>
    </w:p>
    <w:p>
      <w:pPr>
        <w:spacing w:after="0" w:line="2"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DOES HEREBY CERTIFY:</w:t>
      </w:r>
    </w:p>
    <w:p>
      <w:pPr>
        <w:spacing w:after="0" w:line="222" w:lineRule="exact"/>
        <w:rPr>
          <w:sz w:val="20"/>
          <w:szCs w:val="20"/>
          <w:color w:val="auto"/>
        </w:rPr>
      </w:pPr>
    </w:p>
    <w:p>
      <w:pPr>
        <w:jc w:val="both"/>
        <w:ind w:left="20" w:firstLine="1297"/>
        <w:spacing w:after="0" w:line="272" w:lineRule="auto"/>
        <w:rPr>
          <w:sz w:val="20"/>
          <w:szCs w:val="20"/>
          <w:color w:val="auto"/>
        </w:rPr>
      </w:pPr>
      <w:r>
        <w:rPr>
          <w:rFonts w:ascii="Arial" w:cs="Arial" w:eastAsia="Arial" w:hAnsi="Arial"/>
          <w:sz w:val="20"/>
          <w:szCs w:val="20"/>
          <w:color w:val="auto"/>
        </w:rPr>
        <w:t>FIRST: That the name of this corporation is Synchronoss Technologies, Inc. and that this corporation was originally incorporated pursuant to the Delaware General Corporation Law on September 19, 2000 under the name Synchronoss Technologies, Inc.</w:t>
      </w:r>
    </w:p>
    <w:p>
      <w:pPr>
        <w:spacing w:after="0" w:line="202" w:lineRule="exact"/>
        <w:rPr>
          <w:sz w:val="20"/>
          <w:szCs w:val="20"/>
          <w:color w:val="auto"/>
        </w:rPr>
      </w:pPr>
    </w:p>
    <w:p>
      <w:pPr>
        <w:jc w:val="both"/>
        <w:ind w:left="20" w:right="20" w:firstLine="1290"/>
        <w:spacing w:after="0" w:line="280" w:lineRule="auto"/>
        <w:rPr>
          <w:sz w:val="20"/>
          <w:szCs w:val="20"/>
          <w:color w:val="auto"/>
        </w:rPr>
      </w:pPr>
      <w:r>
        <w:rPr>
          <w:rFonts w:ascii="Arial" w:cs="Arial" w:eastAsia="Arial" w:hAnsi="Arial"/>
          <w:sz w:val="20"/>
          <w:szCs w:val="20"/>
          <w:color w:val="auto"/>
        </w:rPr>
        <w:t>SECOND: That the Restated Certificate of Incorporation of this corporation shall be amended and restated to read in full as follows:</w:t>
      </w:r>
    </w:p>
    <w:p>
      <w:pPr>
        <w:spacing w:after="0" w:line="16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ARTICLE I</w:t>
      </w:r>
    </w:p>
    <w:p>
      <w:pPr>
        <w:spacing w:after="0" w:line="235"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The name of the corporation is Synchronoss Technologies, Inc. (the "Corporation").</w:t>
      </w: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ARTICLE II</w:t>
      </w:r>
    </w:p>
    <w:p>
      <w:pPr>
        <w:spacing w:after="0" w:line="222" w:lineRule="exact"/>
        <w:rPr>
          <w:sz w:val="20"/>
          <w:szCs w:val="20"/>
          <w:color w:val="auto"/>
        </w:rPr>
      </w:pPr>
    </w:p>
    <w:p>
      <w:pPr>
        <w:jc w:val="both"/>
        <w:ind w:left="20" w:firstLine="1292"/>
        <w:spacing w:after="0" w:line="272" w:lineRule="auto"/>
        <w:rPr>
          <w:sz w:val="20"/>
          <w:szCs w:val="20"/>
          <w:color w:val="auto"/>
        </w:rPr>
      </w:pPr>
      <w:r>
        <w:rPr>
          <w:rFonts w:ascii="Arial" w:cs="Arial" w:eastAsia="Arial" w:hAnsi="Arial"/>
          <w:sz w:val="20"/>
          <w:szCs w:val="20"/>
          <w:color w:val="auto"/>
        </w:rPr>
        <w:t>The address of the registered office of this corporation in the State of Delaware is 1209 Orange Street, City of Wilmington, County of New Castle, Delaware 19801. The name of the registered agent of the Corporation in the State of Delaware at such address is Corporation Trust Center.</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ARTICLE III</w:t>
      </w:r>
    </w:p>
    <w:p>
      <w:pPr>
        <w:spacing w:after="0" w:line="222" w:lineRule="exact"/>
        <w:rPr>
          <w:sz w:val="20"/>
          <w:szCs w:val="20"/>
          <w:color w:val="auto"/>
        </w:rPr>
      </w:pPr>
    </w:p>
    <w:p>
      <w:pPr>
        <w:jc w:val="both"/>
        <w:ind w:left="20" w:right="20" w:firstLine="1287"/>
        <w:spacing w:after="0" w:line="280" w:lineRule="auto"/>
        <w:rPr>
          <w:sz w:val="20"/>
          <w:szCs w:val="20"/>
          <w:color w:val="auto"/>
        </w:rPr>
      </w:pPr>
      <w:r>
        <w:rPr>
          <w:rFonts w:ascii="Arial" w:cs="Arial" w:eastAsia="Arial" w:hAnsi="Arial"/>
          <w:sz w:val="20"/>
          <w:szCs w:val="20"/>
          <w:color w:val="auto"/>
        </w:rPr>
        <w:t>The nature of the business or purposes to be conducted or promoted is to engage in any lawful act or activity for which corporations may be organized under the Delaware General Corporation Law.</w:t>
      </w:r>
    </w:p>
    <w:p>
      <w:pPr>
        <w:spacing w:after="0" w:line="18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ARTICLE IV</w:t>
      </w:r>
    </w:p>
    <w:p>
      <w:pPr>
        <w:spacing w:after="0" w:line="222" w:lineRule="exact"/>
        <w:rPr>
          <w:sz w:val="20"/>
          <w:szCs w:val="20"/>
          <w:color w:val="auto"/>
        </w:rPr>
      </w:pPr>
    </w:p>
    <w:p>
      <w:pPr>
        <w:jc w:val="both"/>
        <w:ind w:right="20" w:firstLine="1291"/>
        <w:spacing w:after="0" w:line="265" w:lineRule="auto"/>
        <w:rPr>
          <w:sz w:val="20"/>
          <w:szCs w:val="20"/>
          <w:color w:val="auto"/>
        </w:rPr>
      </w:pPr>
      <w:r>
        <w:rPr>
          <w:rFonts w:ascii="Arial" w:cs="Arial" w:eastAsia="Arial" w:hAnsi="Arial"/>
          <w:sz w:val="20"/>
          <w:szCs w:val="20"/>
          <w:color w:val="auto"/>
        </w:rPr>
        <w:t>The Corporation is authorized to issue two classes of stock to be designated common stock ("Common Stock") and preferred stock ("Preferred Stock"). The number of shares of Common Stock authorized to be issued is one hundred million ( I 00,000,000), par value</w:t>
      </w:r>
    </w:p>
    <w:p>
      <w:pPr>
        <w:spacing w:after="0" w:line="1" w:lineRule="exact"/>
        <w:rPr>
          <w:sz w:val="20"/>
          <w:szCs w:val="20"/>
          <w:color w:val="auto"/>
        </w:rPr>
      </w:pPr>
    </w:p>
    <w:p>
      <w:pPr>
        <w:jc w:val="both"/>
        <w:ind w:right="20" w:firstLine="3"/>
        <w:spacing w:after="0" w:line="261" w:lineRule="auto"/>
        <w:rPr>
          <w:sz w:val="20"/>
          <w:szCs w:val="20"/>
          <w:color w:val="auto"/>
        </w:rPr>
      </w:pPr>
      <w:r>
        <w:rPr>
          <w:rFonts w:ascii="Arial" w:cs="Arial" w:eastAsia="Arial" w:hAnsi="Arial"/>
          <w:sz w:val="20"/>
          <w:szCs w:val="20"/>
          <w:color w:val="auto"/>
        </w:rPr>
        <w:t>$0.000 I per share, and the number of shares of Preferred Stock authorized to be issued is ten million (I 0,000,000), par value $0.0001 per share.</w:t>
      </w:r>
    </w:p>
    <w:p>
      <w:pPr>
        <w:spacing w:after="0" w:line="213" w:lineRule="exact"/>
        <w:rPr>
          <w:sz w:val="20"/>
          <w:szCs w:val="20"/>
          <w:color w:val="auto"/>
        </w:rPr>
      </w:pPr>
    </w:p>
    <w:p>
      <w:pPr>
        <w:jc w:val="both"/>
        <w:ind w:right="40" w:firstLine="1292"/>
        <w:spacing w:after="0" w:line="272" w:lineRule="auto"/>
        <w:rPr>
          <w:sz w:val="20"/>
          <w:szCs w:val="20"/>
          <w:color w:val="auto"/>
        </w:rPr>
      </w:pPr>
      <w:r>
        <w:rPr>
          <w:rFonts w:ascii="Arial" w:cs="Arial" w:eastAsia="Arial" w:hAnsi="Arial"/>
          <w:sz w:val="20"/>
          <w:szCs w:val="20"/>
          <w:color w:val="auto"/>
        </w:rPr>
        <w:t>The Board of Directors is authorized, without further stockholder approval and subject to any limitations prescribed by law, to provide for the issuance of shares of Preferred Stock in series, and by filing a certificate pursuant to the applicable law of the State of Delaware (such</w:t>
      </w:r>
    </w:p>
    <w:p>
      <w:pPr>
        <w:sectPr>
          <w:pgSz w:w="11900" w:h="16838" w:orient="portrait"/>
          <w:cols w:equalWidth="0" w:num="1">
            <w:col w:w="9920"/>
          </w:cols>
          <w:pgMar w:left="1080" w:top="1372" w:right="899" w:bottom="1440" w:gutter="0" w:footer="0" w:header="0"/>
        </w:sectPr>
      </w:pPr>
    </w:p>
    <w:bookmarkStart w:id="113" w:name="page114"/>
    <w:bookmarkEnd w:id="113"/>
    <w:p>
      <w:pPr>
        <w:spacing w:after="0" w:line="189" w:lineRule="exact"/>
        <w:rPr>
          <w:sz w:val="20"/>
          <w:szCs w:val="20"/>
          <w:color w:val="auto"/>
        </w:rPr>
      </w:pPr>
    </w:p>
    <w:p>
      <w:pPr>
        <w:jc w:val="both"/>
        <w:ind w:left="520" w:hanging="3"/>
        <w:spacing w:after="0" w:line="297" w:lineRule="auto"/>
        <w:rPr>
          <w:sz w:val="20"/>
          <w:szCs w:val="20"/>
          <w:color w:val="auto"/>
        </w:rPr>
      </w:pPr>
      <w:r>
        <w:rPr>
          <w:rFonts w:ascii="Arial" w:cs="Arial" w:eastAsia="Arial" w:hAnsi="Arial"/>
          <w:sz w:val="18"/>
          <w:szCs w:val="18"/>
          <w:color w:val="auto"/>
        </w:rPr>
        <w:t>certificate being hereinafter referred to as a "Preferred Stock Designation"), to establish from time to time the number of shares to be included in each such series, and to fix the designation, powers, preferences and rights of the shares of each such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of any series thereof, unless a vote of any such holders is required pursuant to the terms of any Preferred Stock Designation. In case the number of shares of any series shall be so decreased, the shares constituting such decrease shall resume the status that they had prior to the adoption of the resolution originally fixing the number of shares of such series.</w:t>
      </w:r>
    </w:p>
    <w:p>
      <w:pPr>
        <w:spacing w:after="0" w:line="145" w:lineRule="exact"/>
        <w:rPr>
          <w:sz w:val="20"/>
          <w:szCs w:val="20"/>
          <w:color w:val="auto"/>
        </w:rPr>
      </w:pPr>
    </w:p>
    <w:p>
      <w:pPr>
        <w:jc w:val="both"/>
        <w:ind w:left="520" w:firstLine="1296"/>
        <w:spacing w:after="0" w:line="297" w:lineRule="auto"/>
        <w:rPr>
          <w:sz w:val="20"/>
          <w:szCs w:val="20"/>
          <w:color w:val="auto"/>
        </w:rPr>
      </w:pPr>
      <w:r>
        <w:rPr>
          <w:rFonts w:ascii="Arial" w:cs="Arial" w:eastAsia="Arial" w:hAnsi="Arial"/>
          <w:sz w:val="18"/>
          <w:szCs w:val="18"/>
          <w:color w:val="auto"/>
        </w:rPr>
        <w:t>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Restated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Designations relating to any series of Preferred Stock).</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ARTICLE V</w:t>
      </w:r>
    </w:p>
    <w:p>
      <w:pPr>
        <w:spacing w:after="0" w:line="235" w:lineRule="exact"/>
        <w:rPr>
          <w:sz w:val="20"/>
          <w:szCs w:val="20"/>
          <w:color w:val="auto"/>
        </w:rPr>
      </w:pPr>
    </w:p>
    <w:p>
      <w:pPr>
        <w:jc w:val="both"/>
        <w:ind w:left="520" w:firstLine="1287"/>
        <w:spacing w:after="0" w:line="272" w:lineRule="auto"/>
        <w:rPr>
          <w:sz w:val="20"/>
          <w:szCs w:val="20"/>
          <w:color w:val="auto"/>
        </w:rPr>
      </w:pPr>
      <w:r>
        <w:rPr>
          <w:rFonts w:ascii="Arial" w:cs="Arial" w:eastAsia="Arial" w:hAnsi="Arial"/>
          <w:sz w:val="20"/>
          <w:szCs w:val="20"/>
          <w:color w:val="auto"/>
        </w:rPr>
        <w:t>The following provisions are inserted for the management of the business and the conduct of the affairs of the Corporation and for further definition, limitation and re1,&gt;1.ilation of the powers of the Corporation and of its directors and stockholders:</w:t>
      </w:r>
    </w:p>
    <w:p>
      <w:pPr>
        <w:spacing w:after="0" w:line="202" w:lineRule="exact"/>
        <w:rPr>
          <w:sz w:val="20"/>
          <w:szCs w:val="20"/>
          <w:color w:val="auto"/>
        </w:rPr>
      </w:pPr>
    </w:p>
    <w:p>
      <w:pPr>
        <w:jc w:val="both"/>
        <w:ind w:left="520" w:firstLine="1301"/>
        <w:spacing w:after="0" w:line="269" w:lineRule="auto"/>
        <w:tabs>
          <w:tab w:leader="none" w:pos="2302"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business and affairs of the Corporation shall be managed by or under the direction of the Board of Directors. In addition to the powers and authority expressly conferred upon them by statute or by this Restated Certificate of Incorporation or the Bylaws of the Corporation, the directors are hereby empowered to exercise all such powers and do all such acts and things as may be exercised or done by the Corporation.</w:t>
      </w:r>
    </w:p>
    <w:p>
      <w:pPr>
        <w:spacing w:after="0" w:line="192" w:lineRule="exact"/>
        <w:rPr>
          <w:rFonts w:ascii="Arial" w:cs="Arial" w:eastAsia="Arial" w:hAnsi="Arial"/>
          <w:sz w:val="20"/>
          <w:szCs w:val="20"/>
          <w:color w:val="auto"/>
        </w:rPr>
      </w:pPr>
    </w:p>
    <w:p>
      <w:pPr>
        <w:ind w:left="2320" w:hanging="501"/>
        <w:spacing w:after="0"/>
        <w:tabs>
          <w:tab w:leader="none" w:pos="23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directors of the Corporation need not be elected by written ballot unless the Bylaws so</w:t>
      </w:r>
    </w:p>
    <w:p>
      <w:pPr>
        <w:spacing w:after="0" w:line="14" w:lineRule="exact"/>
        <w:rPr>
          <w:rFonts w:ascii="Arial" w:cs="Arial" w:eastAsia="Arial" w:hAnsi="Arial"/>
          <w:sz w:val="20"/>
          <w:szCs w:val="20"/>
          <w:color w:val="auto"/>
        </w:rPr>
      </w:pPr>
    </w:p>
    <w:p>
      <w:pPr>
        <w:ind w:left="520"/>
        <w:spacing w:after="0"/>
        <w:rPr>
          <w:rFonts w:ascii="Arial" w:cs="Arial" w:eastAsia="Arial" w:hAnsi="Arial"/>
          <w:sz w:val="20"/>
          <w:szCs w:val="20"/>
          <w:color w:val="auto"/>
        </w:rPr>
      </w:pPr>
      <w:r>
        <w:rPr>
          <w:rFonts w:ascii="Arial" w:cs="Arial" w:eastAsia="Arial" w:hAnsi="Arial"/>
          <w:sz w:val="20"/>
          <w:szCs w:val="20"/>
          <w:color w:val="auto"/>
        </w:rPr>
        <w:t>provide.</w:t>
      </w:r>
    </w:p>
    <w:p>
      <w:pPr>
        <w:spacing w:after="0" w:line="230" w:lineRule="exact"/>
        <w:rPr>
          <w:rFonts w:ascii="Arial" w:cs="Arial" w:eastAsia="Arial" w:hAnsi="Arial"/>
          <w:sz w:val="20"/>
          <w:szCs w:val="20"/>
          <w:color w:val="auto"/>
        </w:rPr>
      </w:pPr>
    </w:p>
    <w:p>
      <w:pPr>
        <w:jc w:val="both"/>
        <w:ind w:left="520" w:right="20" w:firstLine="1295"/>
        <w:spacing w:after="0" w:line="272" w:lineRule="auto"/>
        <w:tabs>
          <w:tab w:leader="none" w:pos="2305"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8" w:lineRule="exact"/>
        <w:rPr>
          <w:rFonts w:ascii="Arial" w:cs="Arial" w:eastAsia="Arial" w:hAnsi="Arial"/>
          <w:sz w:val="20"/>
          <w:szCs w:val="20"/>
          <w:color w:val="auto"/>
        </w:rPr>
      </w:pPr>
    </w:p>
    <w:p>
      <w:pPr>
        <w:jc w:val="both"/>
        <w:ind w:left="520" w:right="20" w:firstLine="1293"/>
        <w:spacing w:after="0" w:line="287" w:lineRule="auto"/>
        <w:tabs>
          <w:tab w:leader="none" w:pos="2321" w:val="left"/>
        </w:tabs>
        <w:numPr>
          <w:ilvl w:val="0"/>
          <w:numId w:val="58"/>
        </w:numPr>
        <w:rPr>
          <w:rFonts w:ascii="Arial" w:cs="Arial" w:eastAsia="Arial" w:hAnsi="Arial"/>
          <w:sz w:val="19"/>
          <w:szCs w:val="19"/>
          <w:color w:val="auto"/>
        </w:rPr>
      </w:pPr>
      <w:r>
        <w:rPr>
          <w:rFonts w:ascii="Arial" w:cs="Arial" w:eastAsia="Arial" w:hAnsi="Arial"/>
          <w:sz w:val="19"/>
          <w:szCs w:val="19"/>
          <w:color w:val="auto"/>
        </w:rPr>
        <w:t>Special meetings of stockholders of the Corporation may be called only by the Chairman of the Board or the Chief Executive Officer or by the Board of Directors acting pursuant to a resolution adopted by a majority of the Whole Board. For purposes of this Restated Certificate of Incorporation, the term "Whole Board" shall mean the total number of authorized directors whether or not there exist any vacancies in previously authorized directorships.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0"/>
          </w:cols>
          <w:pgMar w:left="560" w:top="1440" w:right="899" w:bottom="1440" w:gutter="0" w:footer="0" w:header="0"/>
        </w:sectPr>
      </w:pPr>
    </w:p>
    <w:bookmarkStart w:id="114" w:name="page115"/>
    <w:bookmarkEnd w:id="114"/>
    <w:p>
      <w:pPr>
        <w:jc w:val="center"/>
        <w:ind w:right="200"/>
        <w:spacing w:after="0"/>
        <w:rPr>
          <w:sz w:val="20"/>
          <w:szCs w:val="20"/>
          <w:color w:val="auto"/>
        </w:rPr>
      </w:pPr>
      <w:r>
        <w:rPr>
          <w:rFonts w:ascii="Arial" w:cs="Arial" w:eastAsia="Arial" w:hAnsi="Arial"/>
          <w:sz w:val="21"/>
          <w:szCs w:val="21"/>
          <w:color w:val="auto"/>
        </w:rPr>
        <w:t>ARTICLE VI</w:t>
      </w:r>
    </w:p>
    <w:p>
      <w:pPr>
        <w:spacing w:after="0" w:line="211" w:lineRule="exact"/>
        <w:rPr>
          <w:sz w:val="20"/>
          <w:szCs w:val="20"/>
          <w:color w:val="auto"/>
        </w:rPr>
      </w:pPr>
    </w:p>
    <w:p>
      <w:pPr>
        <w:jc w:val="both"/>
        <w:ind w:left="40" w:right="20" w:firstLine="1287"/>
        <w:spacing w:after="0" w:line="226" w:lineRule="auto"/>
        <w:tabs>
          <w:tab w:leader="none" w:pos="1792" w:val="left"/>
        </w:tabs>
        <w:numPr>
          <w:ilvl w:val="2"/>
          <w:numId w:val="59"/>
        </w:numPr>
        <w:rPr>
          <w:rFonts w:ascii="Arial" w:cs="Arial" w:eastAsia="Arial" w:hAnsi="Arial"/>
          <w:sz w:val="21"/>
          <w:szCs w:val="21"/>
          <w:color w:val="auto"/>
        </w:rPr>
      </w:pPr>
      <w:r>
        <w:rPr>
          <w:rFonts w:ascii="Arial" w:cs="Arial" w:eastAsia="Arial" w:hAnsi="Arial"/>
          <w:sz w:val="21"/>
          <w:szCs w:val="21"/>
          <w:color w:val="auto"/>
        </w:rPr>
        <w:t>Subject to the rights of the holders of any series of Preferred Stock to elect additional directors under specified circumstances, the number of directors of the Corporation shall be fixed from time to time exclusively by the Board of Directors pursuant to a resolution adopted by a majority of the Whole Board and may not be fixed by any other person(s).</w:t>
      </w:r>
    </w:p>
    <w:p>
      <w:pPr>
        <w:spacing w:after="0" w:line="194" w:lineRule="exact"/>
        <w:rPr>
          <w:rFonts w:ascii="Arial" w:cs="Arial" w:eastAsia="Arial" w:hAnsi="Arial"/>
          <w:sz w:val="21"/>
          <w:szCs w:val="21"/>
          <w:color w:val="auto"/>
        </w:rPr>
      </w:pPr>
    </w:p>
    <w:p>
      <w:pPr>
        <w:jc w:val="both"/>
        <w:ind w:left="20" w:firstLine="1311"/>
        <w:spacing w:after="0" w:line="239" w:lineRule="auto"/>
        <w:tabs>
          <w:tab w:leader="none" w:pos="1782" w:val="left"/>
        </w:tabs>
        <w:numPr>
          <w:ilvl w:val="2"/>
          <w:numId w:val="59"/>
        </w:numPr>
        <w:rPr>
          <w:rFonts w:ascii="Arial" w:cs="Arial" w:eastAsia="Arial" w:hAnsi="Arial"/>
          <w:sz w:val="18"/>
          <w:szCs w:val="18"/>
          <w:color w:val="auto"/>
        </w:rPr>
      </w:pPr>
      <w:r>
        <w:rPr>
          <w:rFonts w:ascii="Arial" w:cs="Arial" w:eastAsia="Arial" w:hAnsi="Arial"/>
          <w:sz w:val="19"/>
          <w:szCs w:val="19"/>
          <w:color w:val="auto"/>
        </w:rPr>
        <w:t>The Board of Directors, other than those who may be elected by the holders of any series of Preferred Stock under specified circumstances, shall be divided into three classes: Class I, Class II and Class III. Such classes shall be as nearly equal in number of directors as reasonably possible. Each director shall serve for a term ending on the third annual meeting of stockholders following the annual meeting of stockholders at which such director was elected; provided, however, that the directors first elected to Class I shall serve for a term ending on the Corporation's first annual meeting of stockholders following the effectiveness of this Restated Certificate of Incorporation, the directors first elected to Class II shall serve for a term ending on the Corporation's second annual meeting of stockholders following the effectiveness of this Restated Certificate of Incorporation and the directors first elected to Class III shall serve for a term ending on the Corporation's third annual meeting of stockholders following the effectiveness of this Restated Certificate of Incorporation. The foregoing notwithstanding, each director shall serve until such director's successor shall have been duly elected and qualified, or until such director's prior death, resignation, retirement, disqualification or other removal.</w:t>
      </w:r>
    </w:p>
    <w:p>
      <w:pPr>
        <w:spacing w:after="0" w:line="194" w:lineRule="exact"/>
        <w:rPr>
          <w:rFonts w:ascii="Arial" w:cs="Arial" w:eastAsia="Arial" w:hAnsi="Arial"/>
          <w:sz w:val="18"/>
          <w:szCs w:val="18"/>
          <w:color w:val="auto"/>
        </w:rPr>
      </w:pPr>
    </w:p>
    <w:p>
      <w:pPr>
        <w:jc w:val="both"/>
        <w:ind w:left="20" w:right="20" w:firstLine="1294"/>
        <w:spacing w:after="0" w:line="296" w:lineRule="auto"/>
        <w:tabs>
          <w:tab w:leader="none" w:pos="1786" w:val="left"/>
        </w:tabs>
        <w:numPr>
          <w:ilvl w:val="1"/>
          <w:numId w:val="60"/>
        </w:numPr>
        <w:rPr>
          <w:rFonts w:ascii="Arial" w:cs="Arial" w:eastAsia="Arial" w:hAnsi="Arial"/>
          <w:sz w:val="19"/>
          <w:szCs w:val="19"/>
          <w:color w:val="auto"/>
        </w:rPr>
      </w:pPr>
      <w:r>
        <w:rPr>
          <w:rFonts w:ascii="Arial" w:cs="Arial" w:eastAsia="Arial" w:hAnsi="Arial"/>
          <w:sz w:val="19"/>
          <w:szCs w:val="19"/>
          <w:color w:val="auto"/>
        </w:rPr>
        <w:t>At each annual election, directors chosen to succeed those whose terms then expire shall be of the same class as the directors they succeed unless, by reason of any intervening changes in the authorized number of directors, the Board of Directors shall designate one or more directorships whose term then expires as directorships of another class in order more nearly to achieve equality of number of directors among the classes.</w:t>
      </w:r>
    </w:p>
    <w:p>
      <w:pPr>
        <w:spacing w:after="0" w:line="158" w:lineRule="exact"/>
        <w:rPr>
          <w:rFonts w:ascii="Arial" w:cs="Arial" w:eastAsia="Arial" w:hAnsi="Arial"/>
          <w:sz w:val="19"/>
          <w:szCs w:val="19"/>
          <w:color w:val="auto"/>
        </w:rPr>
      </w:pPr>
    </w:p>
    <w:p>
      <w:pPr>
        <w:jc w:val="both"/>
        <w:ind w:right="20" w:firstLine="1312"/>
        <w:spacing w:after="0" w:line="247" w:lineRule="auto"/>
        <w:tabs>
          <w:tab w:leader="none" w:pos="1789" w:val="left"/>
        </w:tabs>
        <w:numPr>
          <w:ilvl w:val="1"/>
          <w:numId w:val="60"/>
        </w:numPr>
        <w:rPr>
          <w:rFonts w:ascii="Arial" w:cs="Arial" w:eastAsia="Arial" w:hAnsi="Arial"/>
          <w:sz w:val="21"/>
          <w:szCs w:val="21"/>
          <w:color w:val="auto"/>
        </w:rPr>
      </w:pPr>
      <w:r>
        <w:rPr>
          <w:rFonts w:ascii="Arial" w:cs="Arial" w:eastAsia="Arial" w:hAnsi="Arial"/>
          <w:sz w:val="21"/>
          <w:szCs w:val="21"/>
          <w:color w:val="auto"/>
        </w:rPr>
        <w:t>Notwithstanding the rule that the three classes shall be as nearly equal in number of directors as reasonably possible, in the event of any change in the authorized number of directors, each director then continuing to serve as such shall nevertheless continue as a director of the class of which such director is a member until the expiration of such director's current term, or such director's prior death, resignation, retirement, disqualification or other removal. If any newly created directorship may, consistently with the rule that the three classes shall be as nearly equal in number of directors as reasonably possible, be allocated to more than one class, the Board of Directors shall allocate it to that of the available class whose term of office is due to expire at the earliest date following such allocation.</w:t>
      </w:r>
    </w:p>
    <w:p>
      <w:pPr>
        <w:spacing w:after="0" w:line="218" w:lineRule="exact"/>
        <w:rPr>
          <w:rFonts w:ascii="Arial" w:cs="Arial" w:eastAsia="Arial" w:hAnsi="Arial"/>
          <w:sz w:val="21"/>
          <w:szCs w:val="21"/>
          <w:color w:val="auto"/>
        </w:rPr>
      </w:pPr>
    </w:p>
    <w:p>
      <w:pPr>
        <w:jc w:val="both"/>
        <w:ind w:right="40" w:firstLine="1298"/>
        <w:spacing w:after="0" w:line="268" w:lineRule="auto"/>
        <w:tabs>
          <w:tab w:leader="none" w:pos="1791" w:val="left"/>
        </w:tabs>
        <w:numPr>
          <w:ilvl w:val="0"/>
          <w:numId w:val="61"/>
        </w:numPr>
        <w:rPr>
          <w:rFonts w:ascii="Arial" w:cs="Arial" w:eastAsia="Arial" w:hAnsi="Arial"/>
          <w:sz w:val="20"/>
          <w:szCs w:val="20"/>
          <w:color w:val="auto"/>
        </w:rPr>
      </w:pPr>
      <w:r>
        <w:rPr>
          <w:rFonts w:ascii="Arial" w:cs="Arial" w:eastAsia="Arial" w:hAnsi="Arial"/>
          <w:sz w:val="20"/>
          <w:szCs w:val="20"/>
          <w:color w:val="auto"/>
        </w:rPr>
        <w:t>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provided by law or by resolution of the Board of Directors, be filled only by a majority vote of the directors then in office, though less than a quorum (and not by stockholders), and directors so chosen shall hold office for a term expiring at the annual meeting of stockholders at which the tenn of office of the class to which they have been chosen expires or until such director's successor shall have been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9940"/>
          </w:cols>
          <w:pgMar w:left="1080" w:top="1381" w:right="879" w:bottom="1440" w:gutter="0" w:footer="0" w:header="0"/>
        </w:sectPr>
      </w:pPr>
    </w:p>
    <w:bookmarkStart w:id="115" w:name="page116"/>
    <w:bookmarkEnd w:id="115"/>
    <w:p>
      <w:pPr>
        <w:ind w:left="20" w:right="340" w:hanging="4"/>
        <w:spacing w:after="0" w:line="294" w:lineRule="auto"/>
        <w:rPr>
          <w:sz w:val="20"/>
          <w:szCs w:val="20"/>
          <w:color w:val="auto"/>
        </w:rPr>
      </w:pPr>
      <w:r>
        <w:rPr>
          <w:rFonts w:ascii="Arial" w:cs="Arial" w:eastAsia="Arial" w:hAnsi="Arial"/>
          <w:sz w:val="20"/>
          <w:szCs w:val="20"/>
          <w:color w:val="auto"/>
        </w:rPr>
        <w:t>duly elected and qualified. No decrease in the authorized number of directors shall shorten the term of any incumbent director.</w:t>
      </w:r>
    </w:p>
    <w:p>
      <w:pPr>
        <w:spacing w:after="0" w:line="168" w:lineRule="exact"/>
        <w:rPr>
          <w:sz w:val="20"/>
          <w:szCs w:val="20"/>
          <w:color w:val="auto"/>
        </w:rPr>
      </w:pPr>
    </w:p>
    <w:p>
      <w:pPr>
        <w:jc w:val="both"/>
        <w:ind w:left="20" w:right="20" w:firstLine="1300"/>
        <w:spacing w:after="0" w:line="279" w:lineRule="auto"/>
        <w:tabs>
          <w:tab w:leader="none" w:pos="1764" w:val="left"/>
        </w:tabs>
        <w:numPr>
          <w:ilvl w:val="0"/>
          <w:numId w:val="62"/>
        </w:numPr>
        <w:rPr>
          <w:rFonts w:ascii="Arial" w:cs="Arial" w:eastAsia="Arial" w:hAnsi="Arial"/>
          <w:sz w:val="20"/>
          <w:szCs w:val="20"/>
          <w:color w:val="auto"/>
        </w:rPr>
      </w:pPr>
      <w:r>
        <w:rPr>
          <w:rFonts w:ascii="Arial" w:cs="Arial" w:eastAsia="Arial" w:hAnsi="Arial"/>
          <w:sz w:val="20"/>
          <w:szCs w:val="20"/>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95" w:lineRule="exact"/>
        <w:rPr>
          <w:rFonts w:ascii="Arial" w:cs="Arial" w:eastAsia="Arial" w:hAnsi="Arial"/>
          <w:sz w:val="20"/>
          <w:szCs w:val="20"/>
          <w:color w:val="auto"/>
        </w:rPr>
      </w:pPr>
    </w:p>
    <w:p>
      <w:pPr>
        <w:jc w:val="both"/>
        <w:ind w:left="20" w:right="20" w:firstLine="1295"/>
        <w:spacing w:after="0" w:line="282" w:lineRule="auto"/>
        <w:tabs>
          <w:tab w:leader="none" w:pos="1783" w:val="left"/>
        </w:tabs>
        <w:numPr>
          <w:ilvl w:val="0"/>
          <w:numId w:val="62"/>
        </w:numPr>
        <w:rPr>
          <w:rFonts w:ascii="Arial" w:cs="Arial" w:eastAsia="Arial" w:hAnsi="Arial"/>
          <w:sz w:val="19"/>
          <w:szCs w:val="19"/>
          <w:color w:val="auto"/>
        </w:rPr>
      </w:pPr>
      <w:r>
        <w:rPr>
          <w:rFonts w:ascii="Arial" w:cs="Arial" w:eastAsia="Arial" w:hAnsi="Arial"/>
          <w:sz w:val="19"/>
          <w:szCs w:val="19"/>
          <w:color w:val="auto"/>
        </w:rPr>
        <w:t>Subject to the rights of the holders of any series of Preferred Stock then outstanding, any director, or the entire Board of Directors, may be removed from office at any time, but only for cause and only by the affirmative vote of the holders of a majority of the voting power of all of the then-outstanding shares of capital stock of the Corporation entitled to vote generally in the election of directors, voting together as a single class.</w:t>
      </w:r>
    </w:p>
    <w:p>
      <w:pPr>
        <w:spacing w:after="0" w:line="18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w:t>
      </w:r>
    </w:p>
    <w:p>
      <w:pPr>
        <w:spacing w:after="0" w:line="235" w:lineRule="exact"/>
        <w:rPr>
          <w:sz w:val="20"/>
          <w:szCs w:val="20"/>
          <w:color w:val="auto"/>
        </w:rPr>
      </w:pPr>
    </w:p>
    <w:p>
      <w:pPr>
        <w:jc w:val="both"/>
        <w:ind w:left="20" w:firstLine="1291"/>
        <w:spacing w:after="0" w:line="265" w:lineRule="auto"/>
        <w:rPr>
          <w:sz w:val="20"/>
          <w:szCs w:val="20"/>
          <w:color w:val="auto"/>
        </w:rPr>
      </w:pPr>
      <w:r>
        <w:rPr>
          <w:rFonts w:ascii="Arial" w:cs="Arial" w:eastAsia="Arial" w:hAnsi="Arial"/>
          <w:sz w:val="20"/>
          <w:szCs w:val="20"/>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spacing w:after="0" w:line="1" w:lineRule="exact"/>
        <w:rPr>
          <w:sz w:val="20"/>
          <w:szCs w:val="20"/>
          <w:color w:val="auto"/>
        </w:rPr>
      </w:pPr>
    </w:p>
    <w:p>
      <w:pPr>
        <w:jc w:val="both"/>
        <w:ind w:left="20" w:right="20" w:firstLine="7"/>
        <w:spacing w:after="0" w:line="257" w:lineRule="auto"/>
        <w:tabs>
          <w:tab w:leader="none" w:pos="334" w:val="left"/>
        </w:tabs>
        <w:numPr>
          <w:ilvl w:val="0"/>
          <w:numId w:val="63"/>
        </w:numPr>
        <w:rPr>
          <w:rFonts w:ascii="Arial" w:cs="Arial" w:eastAsia="Arial" w:hAnsi="Arial"/>
          <w:sz w:val="20"/>
          <w:szCs w:val="20"/>
          <w:color w:val="auto"/>
        </w:rPr>
      </w:pPr>
      <w:r>
        <w:rPr>
          <w:rFonts w:ascii="Arial" w:cs="Arial" w:eastAsia="Arial" w:hAnsi="Arial"/>
          <w:sz w:val="20"/>
          <w:szCs w:val="20"/>
          <w:color w:val="auto"/>
        </w:rPr>
        <w:t>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approval by the stockholders of this Article VII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220" w:lineRule="exact"/>
        <w:rPr>
          <w:sz w:val="20"/>
          <w:szCs w:val="20"/>
          <w:color w:val="auto"/>
        </w:rPr>
      </w:pPr>
    </w:p>
    <w:p>
      <w:pPr>
        <w:jc w:val="both"/>
        <w:ind w:left="20" w:right="20" w:firstLine="1295"/>
        <w:spacing w:after="0" w:line="264" w:lineRule="auto"/>
        <w:rPr>
          <w:sz w:val="20"/>
          <w:szCs w:val="20"/>
          <w:color w:val="auto"/>
        </w:rPr>
      </w:pPr>
      <w:r>
        <w:rPr>
          <w:rFonts w:ascii="Arial" w:cs="Arial" w:eastAsia="Arial" w:hAnsi="Arial"/>
          <w:sz w:val="20"/>
          <w:szCs w:val="20"/>
          <w:color w:val="auto"/>
        </w:rPr>
        <w:t>Any repeal or modification of the foregoing provisions of this Article VII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VIII</w:t>
      </w:r>
    </w:p>
    <w:p>
      <w:pPr>
        <w:spacing w:after="0" w:line="235" w:lineRule="exact"/>
        <w:rPr>
          <w:sz w:val="20"/>
          <w:szCs w:val="20"/>
          <w:color w:val="auto"/>
        </w:rPr>
      </w:pPr>
    </w:p>
    <w:p>
      <w:pPr>
        <w:jc w:val="both"/>
        <w:ind w:right="40" w:firstLine="1288"/>
        <w:spacing w:after="0" w:line="260" w:lineRule="auto"/>
        <w:rPr>
          <w:sz w:val="20"/>
          <w:szCs w:val="20"/>
          <w:color w:val="auto"/>
        </w:rPr>
      </w:pPr>
      <w:r>
        <w:rPr>
          <w:rFonts w:ascii="Arial" w:cs="Arial" w:eastAsia="Arial" w:hAnsi="Arial"/>
          <w:sz w:val="20"/>
          <w:szCs w:val="20"/>
          <w:color w:val="auto"/>
        </w:rPr>
        <w:t>The Board of Directors is expressly authorized to adopt, amend or repeal any or all of the Bylaws of the Corporation. Any adoption, amendment or repeal of the Bylaws of the Corporation by the Board of Directors shall require the approval of a majority of the Whole Board. The stockholders shall also have the power to adopt, amend or repeal the Bylaws of the Corporation as prescribed by law.</w:t>
      </w:r>
    </w:p>
    <w:p>
      <w:pPr>
        <w:spacing w:after="0" w:line="20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22" w:lineRule="exact"/>
        <w:rPr>
          <w:sz w:val="20"/>
          <w:szCs w:val="20"/>
          <w:color w:val="auto"/>
        </w:rPr>
      </w:pPr>
    </w:p>
    <w:p>
      <w:pPr>
        <w:jc w:val="both"/>
        <w:ind w:right="40" w:firstLine="1291"/>
        <w:spacing w:after="0" w:line="285" w:lineRule="auto"/>
        <w:rPr>
          <w:sz w:val="20"/>
          <w:szCs w:val="20"/>
          <w:color w:val="auto"/>
        </w:rPr>
      </w:pPr>
      <w:r>
        <w:rPr>
          <w:rFonts w:ascii="Arial" w:cs="Arial" w:eastAsia="Arial" w:hAnsi="Arial"/>
          <w:sz w:val="19"/>
          <w:szCs w:val="19"/>
          <w:color w:val="auto"/>
        </w:rPr>
        <w:t>In addition to any vote of the holders of any class or series of the stock of this Corporation required by law or by this Restated Certificate of Incorporation, the affirmative vote of the holders of a majority of the voting power of all of the then outstanding shares of capital stock of the Corporation entitled to vote generally in the election of directors, voting together as a single class, shall be required to amend or repeal the provisions of this Restated Certificate of Incorporation; provided however that any amendment or repeal of Article VI or this Article IX</w:t>
      </w: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40"/>
          </w:cols>
          <w:pgMar w:left="1080" w:top="1389" w:right="879" w:bottom="1440" w:gutter="0" w:footer="0" w:header="0"/>
        </w:sectPr>
      </w:pPr>
    </w:p>
    <w:bookmarkStart w:id="116" w:name="page117"/>
    <w:bookmarkEnd w:id="116"/>
    <w:p>
      <w:pPr>
        <w:jc w:val="both"/>
        <w:ind w:left="560" w:hanging="1"/>
        <w:spacing w:after="0" w:line="272" w:lineRule="auto"/>
        <w:rPr>
          <w:sz w:val="20"/>
          <w:szCs w:val="20"/>
          <w:color w:val="auto"/>
        </w:rPr>
      </w:pPr>
      <w:r>
        <w:rPr>
          <w:rFonts w:ascii="Arial" w:cs="Arial" w:eastAsia="Arial" w:hAnsi="Arial"/>
          <w:sz w:val="20"/>
          <w:szCs w:val="20"/>
          <w:color w:val="auto"/>
        </w:rPr>
        <w:t>shall require the affirmative vote of the holders of at least two-thirds of the voting power of all of the then outstanding shares of capital stock of the Corporation entitled to vote generally in the election of directors, voting together as a single class.</w:t>
      </w:r>
    </w:p>
    <w:p>
      <w:pPr>
        <w:spacing w:after="0" w:line="141"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0"/>
          <w:szCs w:val="20"/>
          <w:color w:val="auto"/>
        </w:rPr>
        <w:t>* * *</w:t>
      </w:r>
    </w:p>
    <w:p>
      <w:pPr>
        <w:spacing w:after="0" w:line="24" w:lineRule="exact"/>
        <w:rPr>
          <w:sz w:val="20"/>
          <w:szCs w:val="20"/>
          <w:color w:val="auto"/>
        </w:rPr>
      </w:pPr>
    </w:p>
    <w:p>
      <w:pPr>
        <w:jc w:val="both"/>
        <w:ind w:left="560" w:right="20" w:firstLine="1287"/>
        <w:spacing w:after="0" w:line="317" w:lineRule="auto"/>
        <w:rPr>
          <w:sz w:val="20"/>
          <w:szCs w:val="20"/>
          <w:color w:val="auto"/>
        </w:rPr>
      </w:pPr>
      <w:r>
        <w:rPr>
          <w:rFonts w:ascii="Arial" w:cs="Arial" w:eastAsia="Arial" w:hAnsi="Arial"/>
          <w:sz w:val="18"/>
          <w:szCs w:val="18"/>
          <w:color w:val="auto"/>
        </w:rPr>
        <w:t>THIRD: That the foregoing Restated Certificate of Incorporation was approved by the holders of the requisite number of shares of the Corporation in accordance with Section 228 of the Delaware General Corporation Law.</w:t>
      </w:r>
    </w:p>
    <w:p>
      <w:pPr>
        <w:spacing w:after="0" w:line="167" w:lineRule="exact"/>
        <w:rPr>
          <w:sz w:val="20"/>
          <w:szCs w:val="20"/>
          <w:color w:val="auto"/>
        </w:rPr>
      </w:pPr>
    </w:p>
    <w:p>
      <w:pPr>
        <w:jc w:val="both"/>
        <w:ind w:left="560" w:firstLine="1291"/>
        <w:spacing w:after="0" w:line="272" w:lineRule="auto"/>
        <w:rPr>
          <w:sz w:val="20"/>
          <w:szCs w:val="20"/>
          <w:color w:val="auto"/>
        </w:rPr>
      </w:pPr>
      <w:r>
        <w:rPr>
          <w:rFonts w:ascii="Arial" w:cs="Arial" w:eastAsia="Arial" w:hAnsi="Arial"/>
          <w:sz w:val="20"/>
          <w:szCs w:val="20"/>
          <w:color w:val="auto"/>
        </w:rPr>
        <w:t>FOURTH: That said this Restated Certificate of Incorporation, which restates and integrates and further amends the provisions of the Corporation's heretofore existing Restated Certificate oflncorporation, has been duly adopted in accordance with Sections 242 and 245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460"/>
          </w:cols>
          <w:pgMar w:left="560" w:top="1402" w:right="879" w:bottom="1440" w:gutter="0" w:footer="0" w:header="0"/>
        </w:sectPr>
      </w:pPr>
    </w:p>
    <w:bookmarkStart w:id="117" w:name="page118"/>
    <w:bookmarkEnd w:id="117"/>
    <w:p>
      <w:pPr>
        <w:ind w:firstLine="1289"/>
        <w:spacing w:after="0" w:line="294" w:lineRule="auto"/>
        <w:rPr>
          <w:sz w:val="20"/>
          <w:szCs w:val="20"/>
          <w:color w:val="auto"/>
        </w:rPr>
      </w:pPr>
      <w:r>
        <w:rPr>
          <w:rFonts w:ascii="Arial" w:cs="Arial" w:eastAsia="Arial" w:hAnsi="Arial"/>
          <w:sz w:val="20"/>
          <w:szCs w:val="20"/>
          <w:color w:val="auto"/>
        </w:rPr>
        <w:t>IN WITNESS WHEREOF, this Restated Certificate of Incorporation has been executed by a duly authorized officer of the Corporation this 20th day of June, 2006.</w:t>
      </w:r>
    </w:p>
    <w:p>
      <w:pPr>
        <w:spacing w:after="0" w:line="24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14605</wp:posOffset>
            </wp:positionV>
            <wp:extent cx="34613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3461385" cy="8255"/>
                    </a:xfrm>
                    <a:prstGeom prst="rect">
                      <a:avLst/>
                    </a:prstGeom>
                    <a:noFill/>
                  </pic:spPr>
                </pic:pic>
              </a:graphicData>
            </a:graphic>
          </wp:anchor>
        </w:drawing>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Stephen G. Waldis</w:t>
      </w:r>
    </w:p>
    <w:p>
      <w:pPr>
        <w:spacing w:after="0" w:line="3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0160"/>
          </w:cols>
          <w:pgMar w:left="1120" w:top="1389" w:right="619" w:bottom="1440" w:gutter="0" w:footer="0" w:header="0"/>
        </w:sectPr>
      </w:pPr>
    </w:p>
    <w:bookmarkStart w:id="118" w:name="page119"/>
    <w:bookmarkEnd w:id="118"/>
    <w:p>
      <w:pPr>
        <w:ind w:left="10480"/>
        <w:spacing w:after="0"/>
        <w:rPr>
          <w:sz w:val="20"/>
          <w:szCs w:val="20"/>
          <w:color w:val="auto"/>
        </w:rPr>
      </w:pPr>
      <w:r>
        <w:rPr>
          <w:rFonts w:ascii="Arial" w:cs="Arial" w:eastAsia="Arial" w:hAnsi="Arial"/>
          <w:sz w:val="16"/>
          <w:szCs w:val="16"/>
          <w:b w:val="1"/>
          <w:bCs w:val="1"/>
          <w:color w:val="auto"/>
        </w:rPr>
        <w:t>Exhibit 4.6</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 REGISTERED UNDER SECTION 12 OF THE SECURITIES EXCHANGE ACT OF 1934</w:t>
      </w:r>
    </w:p>
    <w:p>
      <w:pPr>
        <w:spacing w:after="0" w:line="251" w:lineRule="exact"/>
        <w:rPr>
          <w:sz w:val="20"/>
          <w:szCs w:val="20"/>
          <w:color w:val="auto"/>
        </w:rPr>
      </w:pPr>
    </w:p>
    <w:p>
      <w:pPr>
        <w:jc w:val="both"/>
        <w:ind w:left="60"/>
        <w:spacing w:after="0" w:line="272" w:lineRule="auto"/>
        <w:rPr>
          <w:sz w:val="20"/>
          <w:szCs w:val="20"/>
          <w:color w:val="auto"/>
        </w:rPr>
      </w:pPr>
      <w:r>
        <w:rPr>
          <w:rFonts w:ascii="Arial" w:cs="Arial" w:eastAsia="Arial" w:hAnsi="Arial"/>
          <w:sz w:val="17"/>
          <w:szCs w:val="17"/>
          <w:color w:val="auto"/>
        </w:rPr>
        <w:t>The following descriptions of the common stock, par value $0.0001 per share, and debt securities of Synchronoss Technologies, Inc. (“us,” “our,” “we,” or the “Company”), which are the only security of the Company registered under Section 12 of the Securities Exchange Act of 1934, as amended (the “Exchange Act”), are only summaries and do not purport to be complete. The description of the common stock summarizes certain information regarding the Common Stock in our amended and restated certificate of incorporation, our amended and restated by-laws and applicable provisions of Delaware general corporate law (the “DGCL”), and is qualified by reference to our restated certificate of incorporation and our amended and restated by-laws, as amended, which are incorporated by reference as Exhibit 3.1, Exhibit 3.2, Exhibit 3.3 and Exhibit 3.4, respectively, to the Annual Report on Form 10-K for the fiscal year ending December 31, 2021. The description of our debt securities is subject to and qualified in its entirety by reference to the indenture dated as of June 30, 2021, between us and The Bank of New York Mellon Trust Company, N.A., as trustee (the “Trustee”), as supplemented by the first supplemental indentures (as supplemented, the “Indenture”), setting forth the terms and conditions of the 2026 Note (as defined below) and the form of 2026 Notes. Copies of the Indenture, including each supplement to the Indenture, and the form of 2026 Notes are incorporated as an exhibit to the Annual Report on Form 10-K to which this Exhibit 4.6 is a part.</w:t>
      </w:r>
    </w:p>
    <w:p>
      <w:pPr>
        <w:spacing w:after="0" w:line="200" w:lineRule="exact"/>
        <w:rPr>
          <w:sz w:val="20"/>
          <w:szCs w:val="20"/>
          <w:color w:val="auto"/>
        </w:rPr>
      </w:pPr>
    </w:p>
    <w:p>
      <w:pPr>
        <w:spacing w:after="0" w:line="262" w:lineRule="exact"/>
        <w:rPr>
          <w:sz w:val="20"/>
          <w:szCs w:val="20"/>
          <w:color w:val="auto"/>
        </w:rPr>
      </w:pPr>
    </w:p>
    <w:p>
      <w:pPr>
        <w:jc w:val="both"/>
        <w:ind w:left="60"/>
        <w:spacing w:after="0" w:line="329" w:lineRule="auto"/>
        <w:rPr>
          <w:sz w:val="20"/>
          <w:szCs w:val="20"/>
          <w:color w:val="auto"/>
        </w:rPr>
      </w:pPr>
      <w:r>
        <w:rPr>
          <w:rFonts w:ascii="Arial" w:cs="Arial" w:eastAsia="Arial" w:hAnsi="Arial"/>
          <w:sz w:val="16"/>
          <w:szCs w:val="16"/>
          <w:color w:val="auto"/>
        </w:rPr>
        <w:t>Our authorized capital stock consists of 100,000,000 shares of common stock, with a $0.0001 par value per share, and 10,000,000 shares of preferred stock, with a $0.0001 par value per share, 150,000 of which shares of preferred stock are designated Series B Perpetual Non-Convertible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ommon Stock</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Nasdaq Global Select Market under the symbol “SNCR.”</w:t>
      </w:r>
    </w:p>
    <w:p>
      <w:pPr>
        <w:spacing w:after="0" w:line="245" w:lineRule="exact"/>
        <w:rPr>
          <w:sz w:val="20"/>
          <w:szCs w:val="20"/>
          <w:color w:val="auto"/>
        </w:rPr>
      </w:pPr>
    </w:p>
    <w:p>
      <w:pPr>
        <w:jc w:val="both"/>
        <w:ind w:left="60"/>
        <w:spacing w:after="0" w:line="281"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common stock is entitled to one vote per share on all matters submitted to a vote of stockholders. We have not provided for</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voting in the election of directors.</w:t>
      </w:r>
    </w:p>
    <w:p>
      <w:pPr>
        <w:spacing w:after="0" w:line="193" w:lineRule="exact"/>
        <w:rPr>
          <w:sz w:val="20"/>
          <w:szCs w:val="20"/>
          <w:color w:val="auto"/>
        </w:rPr>
      </w:pPr>
    </w:p>
    <w:p>
      <w:pPr>
        <w:jc w:val="both"/>
        <w:ind w:left="60"/>
        <w:spacing w:after="0" w:line="28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are entitled to receive ratably such dividends, if any, as may be declared from time to time by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out of funds legally available, subject to preferences that may be applicable to preferred stock, if any, then outstanding.</w:t>
      </w:r>
    </w:p>
    <w:p>
      <w:pPr>
        <w:spacing w:after="0" w:line="193" w:lineRule="exact"/>
        <w:rPr>
          <w:sz w:val="20"/>
          <w:szCs w:val="20"/>
          <w:color w:val="auto"/>
        </w:rPr>
      </w:pPr>
    </w:p>
    <w:p>
      <w:pPr>
        <w:jc w:val="both"/>
        <w:ind w:left="60"/>
        <w:spacing w:after="0" w:line="312"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In the event of a liquidation, dissolution or winding up of our company, the holders of common stock are entitled to share ratably</w:t>
      </w:r>
      <w:r>
        <w:rPr>
          <w:rFonts w:ascii="Arial" w:cs="Arial" w:eastAsia="Arial" w:hAnsi="Arial"/>
          <w:sz w:val="17"/>
          <w:szCs w:val="17"/>
          <w:i w:val="1"/>
          <w:iCs w:val="1"/>
          <w:color w:val="auto"/>
        </w:rPr>
        <w:t xml:space="preserve"> </w:t>
      </w:r>
      <w:r>
        <w:rPr>
          <w:rFonts w:ascii="Arial" w:cs="Arial" w:eastAsia="Arial" w:hAnsi="Arial"/>
          <w:sz w:val="17"/>
          <w:szCs w:val="17"/>
          <w:color w:val="auto"/>
        </w:rPr>
        <w:t>in all assets remaining after payment of liabilities, subject to prior distribution rights of preferred stock, if any, then outstanding.</w:t>
      </w:r>
    </w:p>
    <w:p>
      <w:pPr>
        <w:spacing w:after="0" w:line="170" w:lineRule="exact"/>
        <w:rPr>
          <w:sz w:val="20"/>
          <w:szCs w:val="20"/>
          <w:color w:val="auto"/>
        </w:rPr>
      </w:pPr>
    </w:p>
    <w:p>
      <w:pPr>
        <w:jc w:val="both"/>
        <w:ind w:left="60" w:right="20"/>
        <w:spacing w:after="0" w:line="281"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common stock has no preemptive or conversion rights or other subscription rights. There are no redemption or sinking fund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common stock.</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Company’s common stock is American Stock Transfer &amp; Trust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nti-Takeover Effects of Provisions of Delaware Law and Our Certificate of Incorporation and Bylaws</w:t>
      </w:r>
    </w:p>
    <w:p>
      <w:pPr>
        <w:spacing w:after="0" w:line="25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Certain provisions of the DGCL,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w:t>
      </w:r>
    </w:p>
    <w:p>
      <w:pPr>
        <w:sectPr>
          <w:pgSz w:w="11900" w:h="16838" w:orient="portrait"/>
          <w:cols w:equalWidth="0" w:num="1">
            <w:col w:w="11300"/>
          </w:cols>
          <w:pgMar w:left="260" w:top="1397" w:right="339" w:bottom="1440" w:gutter="0" w:footer="0" w:header="0"/>
        </w:sectPr>
      </w:pPr>
    </w:p>
    <w:bookmarkStart w:id="119" w:name="page120"/>
    <w:bookmarkEnd w:id="119"/>
    <w:p>
      <w:pPr>
        <w:ind w:left="40"/>
        <w:spacing w:after="0"/>
        <w:rPr>
          <w:sz w:val="20"/>
          <w:szCs w:val="20"/>
          <w:color w:val="auto"/>
        </w:rPr>
      </w:pPr>
      <w:r>
        <w:rPr>
          <w:rFonts w:ascii="Arial" w:cs="Arial" w:eastAsia="Arial" w:hAnsi="Arial"/>
          <w:sz w:val="18"/>
          <w:szCs w:val="18"/>
          <w:b w:val="1"/>
          <w:bCs w:val="1"/>
          <w:color w:val="auto"/>
        </w:rPr>
        <w:t>ebt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026 Notes</w:t>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The 8.375 Senior Notes due 2026 (the “2026 Notes”) will mature on June 30, 2026, unless redeemed prior to maturity.</w:t>
      </w:r>
    </w:p>
    <w:p>
      <w:pPr>
        <w:spacing w:after="0" w:line="285" w:lineRule="exact"/>
        <w:rPr>
          <w:sz w:val="20"/>
          <w:szCs w:val="20"/>
          <w:color w:val="auto"/>
        </w:rPr>
      </w:pPr>
    </w:p>
    <w:p>
      <w:pPr>
        <w:ind w:left="100" w:right="240"/>
        <w:spacing w:after="0" w:line="305" w:lineRule="auto"/>
        <w:rPr>
          <w:sz w:val="20"/>
          <w:szCs w:val="20"/>
          <w:color w:val="auto"/>
        </w:rPr>
      </w:pPr>
      <w:r>
        <w:rPr>
          <w:rFonts w:ascii="Arial" w:cs="Arial" w:eastAsia="Arial" w:hAnsi="Arial"/>
          <w:sz w:val="17"/>
          <w:szCs w:val="17"/>
          <w:i w:val="1"/>
          <w:iCs w:val="1"/>
          <w:color w:val="auto"/>
        </w:rPr>
        <w:t xml:space="preserve">Interest Rate and Payment Dates. </w:t>
      </w:r>
      <w:r>
        <w:rPr>
          <w:rFonts w:ascii="Arial" w:cs="Arial" w:eastAsia="Arial" w:hAnsi="Arial"/>
          <w:sz w:val="17"/>
          <w:szCs w:val="17"/>
          <w:color w:val="auto"/>
        </w:rPr>
        <w:t>8.375% per year on the principal amount of the 2026 Notes, payable quarterly in arrears on January 31, April 30, July 31</w:t>
      </w:r>
      <w:r>
        <w:rPr>
          <w:rFonts w:ascii="Arial" w:cs="Arial" w:eastAsia="Arial" w:hAnsi="Arial"/>
          <w:sz w:val="17"/>
          <w:szCs w:val="17"/>
          <w:i w:val="1"/>
          <w:iCs w:val="1"/>
          <w:color w:val="auto"/>
        </w:rPr>
        <w:t xml:space="preserve"> </w:t>
      </w:r>
      <w:r>
        <w:rPr>
          <w:rFonts w:ascii="Arial" w:cs="Arial" w:eastAsia="Arial" w:hAnsi="Arial"/>
          <w:sz w:val="17"/>
          <w:szCs w:val="17"/>
          <w:color w:val="auto"/>
        </w:rPr>
        <w:t>and October 31 of each year, and at maturity. Interest on the 2026 Notes will accrue from the most recent interest payment date immediately preceding the date of issuance of the 2026 Notes, except that the 2026 Notes purchased after the record dates noted below, but prior to the interest payment date immediately following such record date (or if settlement of a purchase of the 2026 Notes otherwise occurs after such record date but prior to the interest payment date immediately following such record date), will not begin to accrue interest until the interest payment date immediately following such record date. The interest payable on each interest payment date will be paid only to the persons in whose names the notes are registered at the close of business on January 15, April 15, July 15 and October 15 (and June 15 immediately preceding the maturity date), as applicable (whether or not a business day), immediately before the relevant interest payment date.</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None.</w:t>
      </w:r>
    </w:p>
    <w:p>
      <w:pPr>
        <w:spacing w:after="0" w:line="272" w:lineRule="exact"/>
        <w:rPr>
          <w:sz w:val="20"/>
          <w:szCs w:val="20"/>
          <w:color w:val="auto"/>
        </w:rPr>
      </w:pPr>
    </w:p>
    <w:p>
      <w:pPr>
        <w:ind w:left="100"/>
        <w:spacing w:after="0" w:line="293" w:lineRule="auto"/>
        <w:rPr>
          <w:sz w:val="20"/>
          <w:szCs w:val="20"/>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2026 Notes are senior unsecured obligations and rank equal in right of payment with all of our existing and future senior unsecured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unsubordinated indebtedness. The 2026 Notes will be effectively subordinated to all of our existing and future secured indebtedness to the extent of the value of the assets securing such indebtedness. The 2026 Notes are structurally subordinated to all existing and future indebtedness (including trade payables) of our subsidiaries. The indenture governing the 2026 Notes does not limit the amount of indebtedness that we or our subsidiaries may incur or whether any such indebtedness can be secured by our assets.</w:t>
      </w:r>
    </w:p>
    <w:p>
      <w:pPr>
        <w:spacing w:after="0" w:line="19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i w:val="1"/>
          <w:iCs w:val="1"/>
          <w:color w:val="auto"/>
        </w:rPr>
        <w:t xml:space="preserve">Optional Redemption. </w:t>
      </w:r>
      <w:r>
        <w:rPr>
          <w:rFonts w:ascii="Arial" w:cs="Arial" w:eastAsia="Arial" w:hAnsi="Arial"/>
          <w:sz w:val="18"/>
          <w:szCs w:val="18"/>
          <w:color w:val="auto"/>
        </w:rPr>
        <w:t>We may redeem the 2026 Notes for cash in whole or in part at any time at our option (i) on or after June 30, 2022 and prior to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at a price equal to $25.75 per note, plus accrued and unpaid interest to, but excluding, the date of redemption, (ii) on or after June 30, 2023 and prior to June 30, 2024, at a price equal to $25.50 per note, plus accrued and unpaid interest to, but excluding, the date of redemption, (iii) on or after June 30, 2024 and prior to June 30, 2025, at a price equal to $25.25 per note, plus accrued and unpaid interest to, but excluding, the date of redemption, and (iv) on or after June 30, 2025 and prior to maturity, at a price equal to 100% of their principal amount, plus accrued and unpaid interest to, but excluding, the date of redemption.</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Sinking Fund</w:t>
      </w:r>
      <w:r>
        <w:rPr>
          <w:rFonts w:ascii="Arial" w:cs="Arial" w:eastAsia="Arial" w:hAnsi="Arial"/>
          <w:sz w:val="16"/>
          <w:szCs w:val="16"/>
          <w:color w:val="auto"/>
        </w:rPr>
        <w:t>. The 2026 Notes are not subject to any sinking fund (i.e., no amounts will be set aside by us to ensure repayment of the 2026 Notes at maturity).</w:t>
      </w:r>
    </w:p>
    <w:p>
      <w:pPr>
        <w:spacing w:after="0" w:line="281" w:lineRule="exact"/>
        <w:rPr>
          <w:sz w:val="20"/>
          <w:szCs w:val="20"/>
          <w:color w:val="auto"/>
        </w:rPr>
      </w:pPr>
    </w:p>
    <w:p>
      <w:pPr>
        <w:jc w:val="both"/>
        <w:ind w:left="100"/>
        <w:spacing w:after="0" w:line="266" w:lineRule="auto"/>
        <w:rPr>
          <w:sz w:val="20"/>
          <w:szCs w:val="20"/>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Events of default generally include failure to pay principal, failure to pay interest, failure to observe or perform any other covenant or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in the 2026 Notes or in the indenture, and certain events of bankruptcy, insolvency or reorganization.</w:t>
      </w:r>
    </w:p>
    <w:p>
      <w:pPr>
        <w:spacing w:after="0" w:line="219" w:lineRule="exact"/>
        <w:rPr>
          <w:sz w:val="20"/>
          <w:szCs w:val="20"/>
          <w:color w:val="auto"/>
        </w:rPr>
      </w:pPr>
    </w:p>
    <w:p>
      <w:pPr>
        <w:jc w:val="both"/>
        <w:ind w:left="100"/>
        <w:spacing w:after="0" w:line="266" w:lineRule="auto"/>
        <w:rPr>
          <w:sz w:val="20"/>
          <w:szCs w:val="20"/>
          <w:color w:val="auto"/>
        </w:rPr>
      </w:pPr>
      <w:r>
        <w:rPr>
          <w:rFonts w:ascii="Arial" w:cs="Arial" w:eastAsia="Arial" w:hAnsi="Arial"/>
          <w:sz w:val="18"/>
          <w:szCs w:val="18"/>
          <w:i w:val="1"/>
          <w:iCs w:val="1"/>
          <w:color w:val="auto"/>
        </w:rPr>
        <w:t>Certain Covenants</w:t>
      </w:r>
      <w:r>
        <w:rPr>
          <w:rFonts w:ascii="Arial" w:cs="Arial" w:eastAsia="Arial" w:hAnsi="Arial"/>
          <w:sz w:val="18"/>
          <w:szCs w:val="18"/>
          <w:color w:val="auto"/>
        </w:rPr>
        <w:t>. The indenture that governs the 2026 Notes contains certain covenants, including, but not limited to, restrictions on our ability to merge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 with or into any other entity.</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 Financial Covenants</w:t>
      </w:r>
      <w:r>
        <w:rPr>
          <w:rFonts w:ascii="Arial" w:cs="Arial" w:eastAsia="Arial" w:hAnsi="Arial"/>
          <w:sz w:val="18"/>
          <w:szCs w:val="18"/>
          <w:color w:val="auto"/>
        </w:rPr>
        <w:t>. The indenture relating to the 2026 Notes does not contain financial covenants.</w:t>
      </w:r>
    </w:p>
    <w:p>
      <w:pPr>
        <w:spacing w:after="0" w:line="245" w:lineRule="exact"/>
        <w:rPr>
          <w:sz w:val="20"/>
          <w:szCs w:val="20"/>
          <w:color w:val="auto"/>
        </w:rPr>
      </w:pPr>
    </w:p>
    <w:p>
      <w:pPr>
        <w:jc w:val="both"/>
        <w:ind w:left="100"/>
        <w:spacing w:after="0" w:line="346" w:lineRule="auto"/>
        <w:rPr>
          <w:sz w:val="20"/>
          <w:szCs w:val="20"/>
          <w:color w:val="auto"/>
        </w:rPr>
      </w:pPr>
      <w:r>
        <w:rPr>
          <w:rFonts w:ascii="Arial" w:cs="Arial" w:eastAsia="Arial" w:hAnsi="Arial"/>
          <w:sz w:val="16"/>
          <w:szCs w:val="16"/>
          <w:i w:val="1"/>
          <w:iCs w:val="1"/>
          <w:color w:val="auto"/>
        </w:rPr>
        <w:t>Modification or Waiver</w:t>
      </w:r>
      <w:r>
        <w:rPr>
          <w:rFonts w:ascii="Arial" w:cs="Arial" w:eastAsia="Arial" w:hAnsi="Arial"/>
          <w:sz w:val="16"/>
          <w:szCs w:val="16"/>
          <w:color w:val="auto"/>
        </w:rPr>
        <w:t>. There are changes that we can make to the Indenture and/or the 2026 Notes without the specific approval of the holders of the 2026</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This type is limited to clarifications and certain other changes that would not adversely affect holders of the 2026 Notes in any material respect.</w:t>
      </w:r>
    </w:p>
    <w:p>
      <w:pPr>
        <w:sectPr>
          <w:pgSz w:w="11900" w:h="16838" w:orient="portrait"/>
          <w:cols w:equalWidth="0" w:num="1">
            <w:col w:w="11340"/>
          </w:cols>
          <w:pgMar w:left="220" w:top="1397" w:right="3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18"/>
          <w:szCs w:val="18"/>
          <w:color w:val="auto"/>
        </w:rPr>
        <w:t>We cannot make certain changes to the 2026 Notes without the specific approval of each holder of the 2026 Notes, including changing the stated maturity, reducing the principal amount or rate of interest of any 2026 Notes, changing the place of payment, impairing the right to institute suit for the enforcement of any payment, reducing the percentage in principal amount of holders of the 2026 Notes whose consent is needed to modify or amend the indenture and reducing the percentage in principal amount of holders of the 2026 Notes whose consent is needed to waive compliance with certain provisions of the indentures or to waive certain defaults.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change only affects the 2026 Notes, it must be approved by the holders of not less than a majority in aggregate principal amount of the outstanding 2026 Notes. 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Additional Notes</w:t>
      </w:r>
      <w:r>
        <w:rPr>
          <w:rFonts w:ascii="Arial" w:cs="Arial" w:eastAsia="Arial" w:hAnsi="Arial"/>
          <w:sz w:val="16"/>
          <w:szCs w:val="16"/>
          <w:color w:val="auto"/>
        </w:rPr>
        <w:t>. We may create and issue additional notes ranking equally and ratably with the 2026 Notes in all respects, so that such additional notes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and form a single series with the 2026 Notes and will have the same terms as to status, redemption or otherwise (except the price to public, the issue date and, if applicable, the initial interest accrual date and the initial interest payment date) as the 2026 Notes; provided that if any such additional notes are not fungible with the 2026 Notes for U.S. federal income tax purposes, such additional notes will have one or more separate CUSIP numbers.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2026 Notes are traded on The Nasdaq Global Market under the symbol “SNCRL”.</w:t>
      </w:r>
    </w:p>
    <w:p>
      <w:pPr>
        <w:spacing w:after="0" w:line="2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Form and Denomination. </w:t>
      </w:r>
      <w:r>
        <w:rPr>
          <w:rFonts w:ascii="Arial" w:cs="Arial" w:eastAsia="Arial" w:hAnsi="Arial"/>
          <w:sz w:val="16"/>
          <w:szCs w:val="16"/>
          <w:color w:val="auto"/>
        </w:rPr>
        <w:t>The 2026 Notes are issued in book-entry form in denominations of $25 and integral multiples thereof. The 2026 Notes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a permanent global certificate deposited with the trustee as custodian for The Depository Trust Company (“DTC”) and registered in the name of a nominee of DTC. Beneficial interests in any of the 2026 Notes will be shown on, and transfers will be effected only through, records maintained by DTC and its direct and indirect participants and any such interest may not be exchanged for certificated securities, except in limited circumstances.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Trustee</w:t>
      </w:r>
      <w:r>
        <w:rPr>
          <w:rFonts w:ascii="Arial" w:cs="Arial" w:eastAsia="Arial" w:hAnsi="Arial"/>
          <w:sz w:val="18"/>
          <w:szCs w:val="18"/>
          <w:color w:val="auto"/>
        </w:rPr>
        <w:t>. The Bank of New York Mellon Trust Company, N.A.</w:t>
      </w:r>
    </w:p>
    <w:p>
      <w:pPr>
        <w:sectPr>
          <w:pgSz w:w="11900" w:h="16838" w:orient="portrait"/>
          <w:cols w:equalWidth="0" w:num="1">
            <w:col w:w="11240"/>
          </w:cols>
          <w:pgMar w:left="320" w:top="1403"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April 18, 2017 Patrick Doran</w:t>
      </w: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[Delivered Electronically]</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Executive Employment Letter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Dear Pat,</w:t>
      </w:r>
    </w:p>
    <w:p>
      <w:pPr>
        <w:spacing w:after="0" w:line="224" w:lineRule="exact"/>
        <w:rPr>
          <w:sz w:val="20"/>
          <w:szCs w:val="20"/>
          <w:color w:val="auto"/>
        </w:rPr>
      </w:pPr>
    </w:p>
    <w:p>
      <w:pPr>
        <w:jc w:val="both"/>
        <w:ind w:right="100"/>
        <w:spacing w:after="0" w:line="220" w:lineRule="auto"/>
        <w:rPr>
          <w:sz w:val="20"/>
          <w:szCs w:val="20"/>
          <w:color w:val="auto"/>
        </w:rPr>
      </w:pPr>
      <w:r>
        <w:rPr>
          <w:rFonts w:ascii="Arial" w:cs="Arial" w:eastAsia="Arial" w:hAnsi="Arial"/>
          <w:sz w:val="21"/>
          <w:szCs w:val="21"/>
          <w:color w:val="auto"/>
        </w:rPr>
        <w:t xml:space="preserve">On behalf of Synchronoss Technologies, Inc. (the Company), I am pleased to formally welcome you to the Synchronoss Executive Team. In your role, your title will be Chief Technology Officer and Executive Vice President &amp; GM, R&amp;D Center of Excellence and you will report directly to the Company’s CEO, Ron Hovsepian. The effective date of your role will be </w:t>
      </w:r>
      <w:r>
        <w:rPr>
          <w:rFonts w:ascii="Arial" w:cs="Arial" w:eastAsia="Arial" w:hAnsi="Arial"/>
          <w:sz w:val="21"/>
          <w:szCs w:val="21"/>
          <w:b w:val="1"/>
          <w:bCs w:val="1"/>
          <w:color w:val="auto"/>
        </w:rPr>
        <w:t>January 1, 2017</w:t>
      </w:r>
      <w:r>
        <w:rPr>
          <w:rFonts w:ascii="Arial" w:cs="Arial" w:eastAsia="Arial" w:hAnsi="Arial"/>
          <w:sz w:val="21"/>
          <w:szCs w:val="21"/>
          <w:color w:val="auto"/>
        </w:rPr>
        <w:t>. Your principal workplace will be in the Company’s headquarters in Bridgewater, New Jersey.</w:t>
      </w:r>
    </w:p>
    <w:p>
      <w:pPr>
        <w:spacing w:after="0" w:line="184" w:lineRule="exact"/>
        <w:rPr>
          <w:sz w:val="20"/>
          <w:szCs w:val="20"/>
          <w:color w:val="auto"/>
        </w:rPr>
      </w:pPr>
    </w:p>
    <w:p>
      <w:pPr>
        <w:jc w:val="both"/>
        <w:ind w:right="100"/>
        <w:spacing w:after="0" w:line="222" w:lineRule="auto"/>
        <w:rPr>
          <w:sz w:val="20"/>
          <w:szCs w:val="20"/>
          <w:color w:val="auto"/>
        </w:rPr>
      </w:pPr>
      <w:r>
        <w:rPr>
          <w:rFonts w:ascii="Arial" w:cs="Arial" w:eastAsia="Arial" w:hAnsi="Arial"/>
          <w:sz w:val="21"/>
          <w:szCs w:val="21"/>
          <w:color w:val="auto"/>
        </w:rPr>
        <w:t xml:space="preserve">Your annual base salary for this position will be </w:t>
      </w:r>
      <w:r>
        <w:rPr>
          <w:rFonts w:ascii="Arial" w:cs="Arial" w:eastAsia="Arial" w:hAnsi="Arial"/>
          <w:sz w:val="21"/>
          <w:szCs w:val="21"/>
          <w:b w:val="1"/>
          <w:bCs w:val="1"/>
          <w:color w:val="auto"/>
        </w:rPr>
        <w:t>$330,000</w:t>
      </w:r>
      <w:r>
        <w:rPr>
          <w:rFonts w:ascii="Arial" w:cs="Arial" w:eastAsia="Arial" w:hAnsi="Arial"/>
          <w:sz w:val="21"/>
          <w:szCs w:val="21"/>
          <w:color w:val="auto"/>
        </w:rPr>
        <w:t xml:space="preserve">. You will also be eligible for a discretionary annual target bonus of </w:t>
      </w:r>
      <w:r>
        <w:rPr>
          <w:rFonts w:ascii="Arial" w:cs="Arial" w:eastAsia="Arial" w:hAnsi="Arial"/>
          <w:sz w:val="21"/>
          <w:szCs w:val="21"/>
          <w:b w:val="1"/>
          <w:bCs w:val="1"/>
          <w:color w:val="auto"/>
        </w:rPr>
        <w:t>60%</w:t>
      </w:r>
      <w:r>
        <w:rPr>
          <w:rFonts w:ascii="Arial" w:cs="Arial" w:eastAsia="Arial" w:hAnsi="Arial"/>
          <w:sz w:val="21"/>
          <w:szCs w:val="21"/>
          <w:color w:val="auto"/>
        </w:rPr>
        <w:t xml:space="preserve"> of your base salary based upon the achievement of certain company objectives to be established and approved by the Board of Directors or its Compensation Committee. Your compensation will be paid in accordance with the Company’s regular payroll practices, subject to normal payroll taxes and other applicable deductions. Your position will be classified as exempt from the overtime and other requirements under federal and state law.</w:t>
      </w:r>
    </w:p>
    <w:p>
      <w:pPr>
        <w:spacing w:after="0" w:line="202" w:lineRule="exact"/>
        <w:rPr>
          <w:sz w:val="20"/>
          <w:szCs w:val="20"/>
          <w:color w:val="auto"/>
        </w:rPr>
      </w:pPr>
    </w:p>
    <w:p>
      <w:pPr>
        <w:jc w:val="both"/>
        <w:ind w:right="80"/>
        <w:spacing w:after="0" w:line="215" w:lineRule="auto"/>
        <w:rPr>
          <w:sz w:val="20"/>
          <w:szCs w:val="20"/>
          <w:color w:val="auto"/>
        </w:rPr>
      </w:pPr>
      <w:r>
        <w:rPr>
          <w:rFonts w:ascii="Arial" w:cs="Arial" w:eastAsia="Arial" w:hAnsi="Arial"/>
          <w:sz w:val="21"/>
          <w:szCs w:val="21"/>
          <w:color w:val="auto"/>
        </w:rPr>
        <w:t xml:space="preserve">In addition, you will be eligible to participate in the Company’s 2017 Executive Long Term Incentive (LTI) Plan with a target value of </w:t>
      </w:r>
      <w:r>
        <w:rPr>
          <w:rFonts w:ascii="Arial" w:cs="Arial" w:eastAsia="Arial" w:hAnsi="Arial"/>
          <w:sz w:val="21"/>
          <w:szCs w:val="21"/>
          <w:b w:val="1"/>
          <w:bCs w:val="1"/>
          <w:color w:val="auto"/>
        </w:rPr>
        <w:t>$1.1 Million</w:t>
      </w:r>
      <w:r>
        <w:rPr>
          <w:rFonts w:ascii="Arial" w:cs="Arial" w:eastAsia="Arial" w:hAnsi="Arial"/>
          <w:sz w:val="21"/>
          <w:szCs w:val="21"/>
          <w:color w:val="auto"/>
        </w:rPr>
        <w:t>. The LTI Plan typically consists of 1/3 time-based Restricted Stock Awards (RSAs), 1/3 time-based Stock Options, and 1/3 Performance Shares based on performance criteria established by the Board of Directors. The number of RSAs granted will be based on the stock price as of the date of the grant, and the number of options granted will be based on the Black Scholes value of the stock price as of the date of the grant. All of the foregoing is subject to the approval of the Board of Directors or its Compensation Committee. The RSAs shall vest one-third per year. One- fourth of the Stock Options shall vest after the first year , and 1/48</w:t>
      </w:r>
      <w:r>
        <w:rPr>
          <w:rFonts w:ascii="Arial" w:cs="Arial" w:eastAsia="Arial" w:hAnsi="Arial"/>
          <w:sz w:val="14"/>
          <w:szCs w:val="14"/>
          <w:color w:val="auto"/>
        </w:rPr>
        <w:t>th</w:t>
      </w:r>
      <w:r>
        <w:rPr>
          <w:rFonts w:ascii="Arial" w:cs="Arial" w:eastAsia="Arial" w:hAnsi="Arial"/>
          <w:sz w:val="21"/>
          <w:szCs w:val="21"/>
          <w:color w:val="auto"/>
        </w:rPr>
        <w:t xml:space="preserve"> every month thereafter. All of the Performance Shares shall vest upon the approval of the Board of Directors or its Compensation Committee based upon whether the Company has met the required performance metrics.</w:t>
      </w:r>
    </w:p>
    <w:p>
      <w:pPr>
        <w:spacing w:after="0" w:line="203"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In addition, because you have been identified as a Tier One Executive at Synchronoss, your employment at the Company will also be governed by the terms and conditions of the Tier One Executive Employment Plan, a copy of which is attached hereto.</w:t>
      </w:r>
    </w:p>
    <w:p>
      <w:pPr>
        <w:spacing w:after="0" w:line="198" w:lineRule="exact"/>
        <w:rPr>
          <w:sz w:val="20"/>
          <w:szCs w:val="20"/>
          <w:color w:val="auto"/>
        </w:rPr>
      </w:pPr>
    </w:p>
    <w:p>
      <w:pPr>
        <w:jc w:val="both"/>
        <w:ind w:right="100"/>
        <w:spacing w:after="0" w:line="222" w:lineRule="auto"/>
        <w:rPr>
          <w:sz w:val="20"/>
          <w:szCs w:val="20"/>
          <w:color w:val="auto"/>
        </w:rPr>
      </w:pPr>
      <w:r>
        <w:rPr>
          <w:rFonts w:ascii="Arial" w:cs="Arial" w:eastAsia="Arial" w:hAnsi="Arial"/>
          <w:sz w:val="21"/>
          <w:szCs w:val="21"/>
          <w:color w:val="auto"/>
        </w:rPr>
        <w:t>However, please be aware that you retain the option, as does Synchronoss, of ending your employment with Synchronoss at any time, with or without notice and with or without cause. As such, your employment with Synchronoss is at-will and neither this nor any other oral or written representations may be considered a contract for any specific period of time.</w:t>
      </w:r>
    </w:p>
    <w:p>
      <w:pPr>
        <w:sectPr>
          <w:pgSz w:w="11900" w:h="16838" w:orient="portrait"/>
          <w:cols w:equalWidth="0" w:num="1">
            <w:col w:w="10660"/>
          </w:cols>
          <w:pgMar w:left="900" w:top="919" w:right="339" w:bottom="1440" w:gutter="0" w:footer="0" w:header="0"/>
        </w:sectPr>
      </w:pPr>
    </w:p>
    <w:bookmarkStart w:id="122" w:name="page123"/>
    <w:bookmarkEnd w:id="122"/>
    <w:p>
      <w:pPr>
        <w:spacing w:after="0" w:line="14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We are excited about your addition to the Executive Team and look forward to your contributions to the Synchronoss 3.0 mission. Please verify the acceptance of your role by signing below and indicating the date on which you signed.</w:t>
      </w: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color w:val="auto"/>
        </w:rPr>
        <w:t>Should you have any questions, please do not hesitate to contact me. Regards,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Kevin Hunsaker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27774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Kevin Hunsaker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1"/>
          <w:szCs w:val="21"/>
          <w:color w:val="auto"/>
        </w:rPr>
        <w:t>EVP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2300" w:val="left"/>
        </w:tabs>
        <w:rPr>
          <w:sz w:val="20"/>
          <w:szCs w:val="20"/>
          <w:color w:val="auto"/>
        </w:rPr>
      </w:pPr>
      <w:r>
        <w:rPr>
          <w:rFonts w:ascii="Arial" w:cs="Arial" w:eastAsia="Arial" w:hAnsi="Arial"/>
          <w:sz w:val="21"/>
          <w:szCs w:val="21"/>
          <w:color w:val="auto"/>
        </w:rPr>
        <w:t>Acceptance Signature</w:t>
        <w:tab/>
        <w:t>Date</w:t>
      </w:r>
    </w:p>
    <w:p>
      <w:pPr>
        <w:sectPr>
          <w:pgSz w:w="11900" w:h="16838" w:orient="portrait"/>
          <w:cols w:equalWidth="0" w:num="1">
            <w:col w:w="10560"/>
          </w:cols>
          <w:pgMar w:left="900" w:top="1440" w:right="4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w:t>
      </w: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April 30,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color w:val="auto"/>
        </w:rPr>
        <w:t>Lou Ferraro</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[Delivered Electronically]</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Executive Employment Letter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Dear Lou,</w:t>
      </w:r>
    </w:p>
    <w:p>
      <w:pPr>
        <w:spacing w:after="0" w:line="224" w:lineRule="exact"/>
        <w:rPr>
          <w:sz w:val="20"/>
          <w:szCs w:val="20"/>
          <w:color w:val="auto"/>
        </w:rPr>
      </w:pPr>
    </w:p>
    <w:p>
      <w:pPr>
        <w:jc w:val="both"/>
        <w:ind w:right="100"/>
        <w:spacing w:after="0" w:line="222" w:lineRule="auto"/>
        <w:rPr>
          <w:sz w:val="20"/>
          <w:szCs w:val="20"/>
          <w:color w:val="auto"/>
        </w:rPr>
      </w:pPr>
      <w:r>
        <w:rPr>
          <w:rFonts w:ascii="Arial" w:cs="Arial" w:eastAsia="Arial" w:hAnsi="Arial"/>
          <w:sz w:val="21"/>
          <w:szCs w:val="21"/>
          <w:color w:val="auto"/>
        </w:rPr>
        <w:t>As an Executive Vice President of the Company, I am pleased to inform you that you have been identified as a Tier One Executive and officer of the Company. Your employment will be governed by the terms and conditions of the Tier One Executive Employment Plan, a copy of which is attached hereto. As such, you will now receive the benefits and be subject to the obligations set forth in the attached Plan.</w:t>
      </w:r>
    </w:p>
    <w:p>
      <w:pPr>
        <w:spacing w:after="0" w:line="197"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Please be aware that you still retain the option, as does the Company, of ending your employment at any time, with or without notice and with or without cause. As such, your employment is at-will and neither this nor any other oral or written representations may be considered a contract for any specific period of time.</w:t>
      </w:r>
    </w:p>
    <w:p>
      <w:pPr>
        <w:spacing w:after="0" w:line="212"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We are excited about you being named a Tier One Executive and officer, and look forward to your contributions to the Synchronoss mission. Please verify the acceptance of your role as a Tier One Executive and officer by signing below and indicating the date on which you signed.</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Should you have any questions, please do not hesitate to contact me.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Jeffrey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275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Jeffrey Miller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1"/>
          <w:szCs w:val="21"/>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300" w:val="left"/>
        </w:tabs>
        <w:rPr>
          <w:sz w:val="20"/>
          <w:szCs w:val="20"/>
          <w:color w:val="auto"/>
        </w:rPr>
      </w:pPr>
      <w:r>
        <w:rPr>
          <w:rFonts w:ascii="Arial" w:cs="Arial" w:eastAsia="Arial" w:hAnsi="Arial"/>
          <w:sz w:val="21"/>
          <w:szCs w:val="21"/>
          <w:color w:val="auto"/>
        </w:rPr>
        <w:t>Acceptance Signature</w:t>
      </w:r>
      <w:r>
        <w:rPr>
          <w:sz w:val="20"/>
          <w:szCs w:val="20"/>
          <w:color w:val="auto"/>
        </w:rPr>
        <w:tab/>
      </w: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Highly Confidential</w:t>
      </w:r>
    </w:p>
    <w:p>
      <w:pPr>
        <w:sectPr>
          <w:pgSz w:w="11900" w:h="16838" w:orient="portrait"/>
          <w:cols w:equalWidth="0" w:num="1">
            <w:col w:w="11040"/>
          </w:cols>
          <w:pgMar w:left="520" w:top="1440" w:right="339" w:bottom="1440" w:gutter="0" w:footer="0" w:header="0"/>
        </w:sectPr>
      </w:pPr>
    </w:p>
    <w:bookmarkStart w:id="124" w:name="page125"/>
    <w:bookmarkEnd w:id="124"/>
    <w:p>
      <w:pPr>
        <w:spacing w:after="0" w:line="123"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auto"/>
        </w:rPr>
        <w:t>TIER ONE EXECUTIVE EMPLOYMENT PLAN</w:t>
      </w:r>
    </w:p>
    <w:p>
      <w:pPr>
        <w:spacing w:after="0" w:line="248" w:lineRule="exact"/>
        <w:rPr>
          <w:sz w:val="20"/>
          <w:szCs w:val="20"/>
          <w:color w:val="auto"/>
        </w:rPr>
      </w:pPr>
    </w:p>
    <w:p>
      <w:pPr>
        <w:jc w:val="both"/>
        <w:ind w:firstLine="1276"/>
        <w:spacing w:after="0" w:line="222" w:lineRule="auto"/>
        <w:rPr>
          <w:sz w:val="20"/>
          <w:szCs w:val="20"/>
          <w:color w:val="auto"/>
        </w:rPr>
      </w:pPr>
      <w:r>
        <w:rPr>
          <w:rFonts w:ascii="Arial" w:cs="Arial" w:eastAsia="Arial" w:hAnsi="Arial"/>
          <w:sz w:val="21"/>
          <w:szCs w:val="21"/>
          <w:color w:val="auto"/>
        </w:rPr>
        <w:t>In addition to the terms of your offer letter or executive employment letter (“Offer Letter”) with Synchronoss Technologies, Inc., a Delaware corporation (the “Company”), the employment of each Tier One Executive (“Executive”) shall be governed by the terms and conditions set forth in this Tier One Executive Employment Plan (the “Plan”).</w:t>
      </w:r>
    </w:p>
    <w:p>
      <w:pPr>
        <w:spacing w:after="0" w:line="171" w:lineRule="exact"/>
        <w:rPr>
          <w:sz w:val="20"/>
          <w:szCs w:val="20"/>
          <w:color w:val="auto"/>
        </w:rPr>
      </w:pPr>
    </w:p>
    <w:p>
      <w:pPr>
        <w:ind w:left="640" w:hanging="639"/>
        <w:spacing w:after="0"/>
        <w:tabs>
          <w:tab w:leader="none" w:pos="64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Scope of Employment.</w:t>
      </w:r>
    </w:p>
    <w:p>
      <w:pPr>
        <w:spacing w:after="0" w:line="224" w:lineRule="exact"/>
        <w:rPr>
          <w:sz w:val="20"/>
          <w:szCs w:val="20"/>
          <w:color w:val="auto"/>
        </w:rPr>
      </w:pPr>
    </w:p>
    <w:p>
      <w:pPr>
        <w:ind w:right="80"/>
        <w:spacing w:after="0" w:line="221" w:lineRule="auto"/>
        <w:tabs>
          <w:tab w:leader="none" w:pos="433"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Position and Compensation</w:t>
      </w:r>
      <w:r>
        <w:rPr>
          <w:rFonts w:ascii="Arial" w:cs="Arial" w:eastAsia="Arial" w:hAnsi="Arial"/>
          <w:sz w:val="21"/>
          <w:szCs w:val="21"/>
          <w:color w:val="auto"/>
        </w:rPr>
        <w:t>. Executive shall be employed by the Company in the position and at the location</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the Offer Letter and at the base salary and annual target bonus percentage set forth in the Offer Letter. Executive shall not be entitled to an incentive bonus if Executive is not employed by the Company on the last day of the fiscal year for which such bonus is payable. Any bonus for a fiscal year shall be paid within 2½ months after the close of that fiscal year. The determinations of the Company’s Board of Directors or its Compensation Committee with respect to such bonus shall be final and binding. The Offer Letter shall also include any initial equity awards to be granted to the Executive, which shall be governed by the respective equity award agreement of the Company.</w:t>
      </w:r>
    </w:p>
    <w:p>
      <w:pPr>
        <w:spacing w:after="0" w:line="132" w:lineRule="exact"/>
        <w:rPr>
          <w:rFonts w:ascii="Arial" w:cs="Arial" w:eastAsia="Arial" w:hAnsi="Arial"/>
          <w:sz w:val="21"/>
          <w:szCs w:val="21"/>
          <w:b w:val="1"/>
          <w:bCs w:val="1"/>
          <w:color w:val="auto"/>
        </w:rPr>
      </w:pPr>
    </w:p>
    <w:p>
      <w:pPr>
        <w:jc w:val="both"/>
        <w:ind w:firstLine="1"/>
        <w:spacing w:after="0" w:line="221" w:lineRule="auto"/>
        <w:tabs>
          <w:tab w:leader="none" w:pos="43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Obligations to the Company</w:t>
      </w:r>
      <w:r>
        <w:rPr>
          <w:rFonts w:ascii="Arial" w:cs="Arial" w:eastAsia="Arial" w:hAnsi="Arial"/>
          <w:sz w:val="21"/>
          <w:szCs w:val="21"/>
          <w:color w:val="auto"/>
        </w:rPr>
        <w:t>. During Employment, Executive (i) shall devote substantially all of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full 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one non-profit board and, subject to review and written approval by the CEO, Executive may request to sit on one corporate board.</w:t>
      </w:r>
    </w:p>
    <w:p>
      <w:pPr>
        <w:spacing w:after="0" w:line="185" w:lineRule="exact"/>
        <w:rPr>
          <w:rFonts w:ascii="Arial" w:cs="Arial" w:eastAsia="Arial" w:hAnsi="Arial"/>
          <w:sz w:val="21"/>
          <w:szCs w:val="21"/>
          <w:b w:val="1"/>
          <w:bCs w:val="1"/>
          <w:color w:val="auto"/>
        </w:rPr>
      </w:pPr>
    </w:p>
    <w:p>
      <w:pPr>
        <w:jc w:val="both"/>
        <w:ind w:firstLine="1"/>
        <w:spacing w:after="0" w:line="221" w:lineRule="auto"/>
        <w:tabs>
          <w:tab w:leader="none" w:pos="433"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No Conflicting Obligations</w:t>
      </w:r>
      <w:r>
        <w:rPr>
          <w:rFonts w:ascii="Arial" w:cs="Arial" w:eastAsia="Arial" w:hAnsi="Arial"/>
          <w:sz w:val="21"/>
          <w:szCs w:val="21"/>
          <w:color w:val="auto"/>
        </w:rPr>
        <w:t>. Executive represents and warrants to the Company that he is under no</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or commitments, whether contractual or otherwise, that are inconsistent with Executive’s obligations hereunder. Executive represents and warrants that he will not use or disclose, in connection with Executive’s Employment, any trade secrets or other proprietary information or intellectual property in which Executive or any other person has any right, title or interest and that Executive’s Employment will not infringe or violate the rights of any other person. Executive represents and warrants to the Company that he has returned all property and confidential information belonging to any prior employer.</w:t>
      </w:r>
    </w:p>
    <w:p>
      <w:pPr>
        <w:spacing w:after="0" w:line="185" w:lineRule="exact"/>
        <w:rPr>
          <w:rFonts w:ascii="Arial" w:cs="Arial" w:eastAsia="Arial" w:hAnsi="Arial"/>
          <w:sz w:val="21"/>
          <w:szCs w:val="21"/>
          <w:b w:val="1"/>
          <w:bCs w:val="1"/>
          <w:color w:val="auto"/>
        </w:rPr>
      </w:pPr>
    </w:p>
    <w:p>
      <w:pPr>
        <w:jc w:val="both"/>
        <w:ind w:firstLine="1"/>
        <w:spacing w:after="0" w:line="217" w:lineRule="auto"/>
        <w:tabs>
          <w:tab w:leader="none" w:pos="43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Indemnification/D&amp;O Insurance. </w:t>
      </w:r>
      <w:r>
        <w:rPr>
          <w:rFonts w:ascii="Arial" w:cs="Arial" w:eastAsia="Arial" w:hAnsi="Arial"/>
          <w:sz w:val="21"/>
          <w:szCs w:val="21"/>
          <w:color w:val="auto"/>
        </w:rPr>
        <w:t>To the maximum extent permitted by applicable law and the Company’s by-laws, the Company shall 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w:t>
      </w:r>
    </w:p>
    <w:p>
      <w:pPr>
        <w:spacing w:after="0" w:line="3" w:lineRule="exact"/>
        <w:rPr>
          <w:rFonts w:ascii="Arial" w:cs="Arial" w:eastAsia="Arial" w:hAnsi="Arial"/>
          <w:sz w:val="21"/>
          <w:szCs w:val="21"/>
          <w:b w:val="1"/>
          <w:bCs w:val="1"/>
          <w:color w:val="auto"/>
        </w:rPr>
      </w:pPr>
    </w:p>
    <w:p>
      <w:pPr>
        <w:spacing w:after="0"/>
        <w:tabs>
          <w:tab w:leader="none" w:pos="0" w:val="left"/>
        </w:tabs>
        <w:numPr>
          <w:ilvl w:val="0"/>
          <w:numId w:val="65"/>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25" w:name="page126"/>
    <w:bookmarkEnd w:id="125"/>
    <w:p>
      <w:pPr>
        <w:spacing w:after="0" w:line="200" w:lineRule="exact"/>
        <w:rPr>
          <w:sz w:val="20"/>
          <w:szCs w:val="20"/>
          <w:color w:val="auto"/>
        </w:rPr>
      </w:pPr>
    </w:p>
    <w:p>
      <w:pPr>
        <w:spacing w:after="0" w:line="222"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venture, trust, employee benefit plan or other enterprise. Executive shall be covered by directors’ and officers’ liability insurance on a basis no less favorable than provided to directors and officers of the Company, including “tail” coverage.</w:t>
      </w:r>
    </w:p>
    <w:p>
      <w:pPr>
        <w:spacing w:after="0" w:line="319" w:lineRule="exact"/>
        <w:rPr>
          <w:sz w:val="20"/>
          <w:szCs w:val="20"/>
          <w:color w:val="auto"/>
        </w:rPr>
      </w:pPr>
    </w:p>
    <w:p>
      <w:pPr>
        <w:jc w:val="both"/>
        <w:ind w:firstLine="1"/>
        <w:spacing w:after="0" w:line="222" w:lineRule="auto"/>
        <w:tabs>
          <w:tab w:leader="none" w:pos="443"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Paid Time Off and Employee Benefits. </w:t>
      </w:r>
      <w:r>
        <w:rPr>
          <w:rFonts w:ascii="Arial" w:cs="Arial" w:eastAsia="Arial" w:hAnsi="Arial"/>
          <w:sz w:val="21"/>
          <w:szCs w:val="21"/>
          <w:color w:val="auto"/>
        </w:rPr>
        <w:t>During Executive’s Employment, Executive shall be eligible for paid</w:t>
      </w:r>
      <w:r>
        <w:rPr>
          <w:rFonts w:ascii="Arial" w:cs="Arial" w:eastAsia="Arial" w:hAnsi="Arial"/>
          <w:sz w:val="21"/>
          <w:szCs w:val="21"/>
          <w:b w:val="1"/>
          <w:bCs w:val="1"/>
          <w:color w:val="auto"/>
        </w:rPr>
        <w:t xml:space="preserve"> </w:t>
      </w:r>
      <w:r>
        <w:rPr>
          <w:rFonts w:ascii="Arial" w:cs="Arial" w:eastAsia="Arial" w:hAnsi="Arial"/>
          <w:sz w:val="21"/>
          <w:szCs w:val="21"/>
          <w:color w:val="auto"/>
        </w:rPr>
        <w:t>time off in accordance with the Company’s paid time off policy, as it may be amended from time to time, with a minimum of 20 paid time off days per year (accruing for each year on the first day of such year), and any United States Company-wide holidays; provided, however, Executive shall not be entitled to carry over any paid time off days from year to year. During Executive’s Employment, Executive shall be eligible to participate in the employee benefit plans maintained by the Company, subject in each case to the terms and conditions of the plan in question.</w:t>
      </w:r>
    </w:p>
    <w:p>
      <w:pPr>
        <w:spacing w:after="0" w:line="175" w:lineRule="exact"/>
        <w:rPr>
          <w:rFonts w:ascii="Arial" w:cs="Arial" w:eastAsia="Arial" w:hAnsi="Arial"/>
          <w:sz w:val="21"/>
          <w:szCs w:val="21"/>
          <w:b w:val="1"/>
          <w:bCs w:val="1"/>
          <w:color w:val="auto"/>
        </w:rPr>
      </w:pPr>
    </w:p>
    <w:p>
      <w:pPr>
        <w:jc w:val="both"/>
        <w:ind w:firstLine="1"/>
        <w:spacing w:after="0" w:line="214" w:lineRule="auto"/>
        <w:tabs>
          <w:tab w:leader="none" w:pos="443"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Business Expenses. </w:t>
      </w:r>
      <w:r>
        <w:rPr>
          <w:rFonts w:ascii="Arial" w:cs="Arial" w:eastAsia="Arial" w:hAnsi="Arial"/>
          <w:sz w:val="21"/>
          <w:szCs w:val="21"/>
          <w:color w:val="auto"/>
        </w:rPr>
        <w:t>During Executive’s Employment, Executive shall be authorized to incur necessary and</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travel, entertainment and other business expenses in connection with Executive’s duties hereunder. The Company shall reimburse Executive for such expenses upon presentation of an itemized account and appropriate supporting documentation, all in accordance with the Company’s generally applicable policies. Notwithstanding anything to the contrary herein, except to the extent any expense or reimbursement provided hereunder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w:t>
      </w:r>
    </w:p>
    <w:p>
      <w:pPr>
        <w:spacing w:after="0"/>
        <w:rPr>
          <w:rFonts w:ascii="Arial" w:cs="Arial" w:eastAsia="Arial" w:hAnsi="Arial"/>
          <w:sz w:val="21"/>
          <w:szCs w:val="21"/>
          <w:b w:val="1"/>
          <w:bCs w:val="1"/>
          <w:color w:val="auto"/>
        </w:rPr>
      </w:pPr>
      <w:r>
        <w:rPr>
          <w:rFonts w:ascii="Arial" w:cs="Arial" w:eastAsia="Arial" w:hAnsi="Arial"/>
          <w:sz w:val="21"/>
          <w:szCs w:val="21"/>
          <w:color w:val="auto"/>
        </w:rPr>
        <w:t>(c) the right to payment or reimbursement hereunder may not be liquidated or exchanged for any other benefit.</w:t>
      </w:r>
    </w:p>
    <w:p>
      <w:pPr>
        <w:spacing w:after="0" w:line="197" w:lineRule="exact"/>
        <w:rPr>
          <w:rFonts w:ascii="Arial" w:cs="Arial" w:eastAsia="Arial" w:hAnsi="Arial"/>
          <w:sz w:val="21"/>
          <w:szCs w:val="21"/>
          <w:b w:val="1"/>
          <w:bCs w:val="1"/>
          <w:color w:val="auto"/>
        </w:rPr>
      </w:pPr>
    </w:p>
    <w:p>
      <w:pPr>
        <w:ind w:left="640" w:hanging="640"/>
        <w:spacing w:after="0"/>
        <w:tabs>
          <w:tab w:leader="none" w:pos="640"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w:t>
      </w:r>
    </w:p>
    <w:p>
      <w:pPr>
        <w:spacing w:after="0" w:line="224" w:lineRule="exact"/>
        <w:rPr>
          <w:sz w:val="20"/>
          <w:szCs w:val="20"/>
          <w:color w:val="auto"/>
        </w:rPr>
      </w:pPr>
    </w:p>
    <w:p>
      <w:pPr>
        <w:jc w:val="both"/>
        <w:spacing w:after="0" w:line="219" w:lineRule="auto"/>
        <w:tabs>
          <w:tab w:leader="none" w:pos="433"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The Company may terminate Executive’s Employment at any time and for any</w:t>
      </w:r>
      <w:r>
        <w:rPr>
          <w:rFonts w:ascii="Arial" w:cs="Arial" w:eastAsia="Arial" w:hAnsi="Arial"/>
          <w:sz w:val="21"/>
          <w:szCs w:val="21"/>
          <w:b w:val="1"/>
          <w:bCs w:val="1"/>
          <w:color w:val="auto"/>
        </w:rPr>
        <w:t xml:space="preserve"> </w:t>
      </w:r>
      <w:r>
        <w:rPr>
          <w:rFonts w:ascii="Arial" w:cs="Arial" w:eastAsia="Arial" w:hAnsi="Arial"/>
          <w:sz w:val="21"/>
          <w:szCs w:val="21"/>
          <w:color w:val="auto"/>
        </w:rPr>
        <w:t>reason (or no reason), and with or without Cause, by giving Executive 30 days’ advance notice in writing. Executive may terminate Executive’s Employment by giving the Company 30 days’ advance notice in writing. The Company shall have the right at any time during such 30-day period, to relieve Executive of Executive’s offices, duties and responsibilities and place him on a paid leave-of- absence status, provided that during such notice period, Executive shall remain a full- time employee of the Company and shall continue to receive Executive’s then current salary compensation and other benefits as provided herein. Executive’s Employment shall terminate automatically in the event of Executive’s death. The termination of Executive’s Employment shall not limit or otherwise affect Executive’s obligations under Section 6.</w:t>
      </w:r>
    </w:p>
    <w:p>
      <w:pPr>
        <w:spacing w:after="0" w:line="170" w:lineRule="exact"/>
        <w:rPr>
          <w:rFonts w:ascii="Arial" w:cs="Arial" w:eastAsia="Arial" w:hAnsi="Arial"/>
          <w:sz w:val="21"/>
          <w:szCs w:val="21"/>
          <w:b w:val="1"/>
          <w:bCs w:val="1"/>
          <w:color w:val="auto"/>
        </w:rPr>
      </w:pPr>
    </w:p>
    <w:p>
      <w:pPr>
        <w:jc w:val="both"/>
        <w:spacing w:after="0" w:line="220" w:lineRule="auto"/>
        <w:tabs>
          <w:tab w:leader="none" w:pos="431"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Rights Upon Termination</w:t>
      </w:r>
      <w:r>
        <w:rPr>
          <w:rFonts w:ascii="Arial" w:cs="Arial" w:eastAsia="Arial" w:hAnsi="Arial"/>
          <w:sz w:val="21"/>
          <w:szCs w:val="21"/>
          <w:color w:val="auto"/>
        </w:rPr>
        <w:t>. Upon Executive’s termination of Employment for any reason, Executive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entitled to the compensation, benefits and reimbursements described in Executive’s Offer Letter or hereunder for the period preceding the effective date of such termination or otherwise accrued before such termination. Upon the</w:t>
      </w:r>
    </w:p>
    <w:p>
      <w:pPr>
        <w:spacing w:after="0"/>
        <w:tabs>
          <w:tab w:leader="none" w:pos="0" w:val="left"/>
        </w:tabs>
        <w:numPr>
          <w:ilvl w:val="0"/>
          <w:numId w:val="67"/>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26" w:name="page127"/>
    <w:bookmarkEnd w:id="126"/>
    <w:p>
      <w:pPr>
        <w:spacing w:after="0" w:line="200" w:lineRule="exact"/>
        <w:rPr>
          <w:sz w:val="20"/>
          <w:szCs w:val="20"/>
          <w:color w:val="auto"/>
        </w:rPr>
      </w:pPr>
    </w:p>
    <w:p>
      <w:pPr>
        <w:spacing w:after="0" w:line="222"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termination of Executive’s Employment under certain circumstances, Executive may be entitled to additional severance pay benefits as described in Section 6. The payments hereunder shall fully discharge all responsibilities of the Company to Executive.</w:t>
      </w:r>
    </w:p>
    <w:p>
      <w:pPr>
        <w:spacing w:after="0" w:line="172" w:lineRule="exact"/>
        <w:rPr>
          <w:sz w:val="20"/>
          <w:szCs w:val="20"/>
          <w:color w:val="auto"/>
        </w:rPr>
      </w:pPr>
    </w:p>
    <w:p>
      <w:pPr>
        <w:jc w:val="both"/>
        <w:spacing w:after="0" w:line="221" w:lineRule="auto"/>
        <w:tabs>
          <w:tab w:leader="none" w:pos="431"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Rights Upon Death</w:t>
      </w:r>
      <w:r>
        <w:rPr>
          <w:rFonts w:ascii="Arial" w:cs="Arial" w:eastAsia="Arial" w:hAnsi="Arial"/>
          <w:sz w:val="21"/>
          <w:szCs w:val="21"/>
          <w:color w:val="auto"/>
        </w:rPr>
        <w:t>. If Executive’s Employment ends due to death, (A) Executive’s estate shall be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an amount equal to Executive’s target bonus for the fiscal year in which Executive’s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 by the Company and held by Executive at the time of his death shall be fully vested. All amounts under this Section 4(c) shall be paid no later than the date regular employees are paid their bonuses.</w:t>
      </w:r>
    </w:p>
    <w:p>
      <w:pPr>
        <w:spacing w:after="0" w:line="185" w:lineRule="exact"/>
        <w:rPr>
          <w:rFonts w:ascii="Arial" w:cs="Arial" w:eastAsia="Arial" w:hAnsi="Arial"/>
          <w:sz w:val="21"/>
          <w:szCs w:val="21"/>
          <w:b w:val="1"/>
          <w:bCs w:val="1"/>
          <w:color w:val="auto"/>
        </w:rPr>
      </w:pPr>
    </w:p>
    <w:p>
      <w:pPr>
        <w:jc w:val="both"/>
        <w:ind w:firstLine="1"/>
        <w:spacing w:after="0" w:line="217" w:lineRule="auto"/>
        <w:tabs>
          <w:tab w:leader="none" w:pos="433"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Rights Upon Permanent Disability</w:t>
      </w:r>
      <w:r>
        <w:rPr>
          <w:rFonts w:ascii="Arial" w:cs="Arial" w:eastAsia="Arial" w:hAnsi="Arial"/>
          <w:sz w:val="21"/>
          <w:szCs w:val="21"/>
          <w:color w:val="auto"/>
        </w:rPr>
        <w:t>. If Executive’s Employment ends due to Permanent Disability and a</w:t>
      </w:r>
      <w:r>
        <w:rPr>
          <w:rFonts w:ascii="Arial" w:cs="Arial" w:eastAsia="Arial" w:hAnsi="Arial"/>
          <w:sz w:val="21"/>
          <w:szCs w:val="21"/>
          <w:b w:val="1"/>
          <w:bCs w:val="1"/>
          <w:color w:val="auto"/>
        </w:rPr>
        <w:t xml:space="preserve"> </w:t>
      </w:r>
      <w:r>
        <w:rPr>
          <w:rFonts w:ascii="Arial" w:cs="Arial" w:eastAsia="Arial" w:hAnsi="Arial"/>
          <w:sz w:val="21"/>
          <w:szCs w:val="21"/>
          <w:color w:val="auto"/>
        </w:rPr>
        <w:t>Separation occurs, (I) Executive shall be entitled to receive (i) an amount equal to Executive’s Target Bonus for the fiscal year in which Executive’s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77"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5.Termination Benefits.</w:t>
      </w:r>
    </w:p>
    <w:p>
      <w:pPr>
        <w:spacing w:after="0" w:line="224" w:lineRule="exact"/>
        <w:rPr>
          <w:sz w:val="20"/>
          <w:szCs w:val="20"/>
          <w:color w:val="auto"/>
        </w:rPr>
      </w:pPr>
    </w:p>
    <w:p>
      <w:pPr>
        <w:ind w:firstLine="1"/>
        <w:spacing w:after="0" w:line="252" w:lineRule="auto"/>
        <w:tabs>
          <w:tab w:leader="none" w:pos="433"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color w:val="auto"/>
        </w:rPr>
        <w:t>Preconditions</w:t>
      </w:r>
      <w:r>
        <w:rPr>
          <w:rFonts w:ascii="Arial" w:cs="Arial" w:eastAsia="Arial" w:hAnsi="Arial"/>
          <w:sz w:val="21"/>
          <w:szCs w:val="21"/>
          <w:color w:val="auto"/>
        </w:rPr>
        <w:t>. Any other provision of this Plan notwithstanding, Subsections (b) and (c) below</w:t>
      </w:r>
      <w:r>
        <w:rPr>
          <w:rFonts w:ascii="Arial" w:cs="Arial" w:eastAsia="Arial" w:hAnsi="Arial"/>
          <w:sz w:val="21"/>
          <w:szCs w:val="21"/>
          <w:b w:val="1"/>
          <w:bCs w:val="1"/>
          <w:color w:val="auto"/>
        </w:rPr>
        <w:t xml:space="preserve"> shall not apply unless Executive:</w:t>
      </w:r>
    </w:p>
    <w:p>
      <w:pPr>
        <w:spacing w:after="0" w:line="196" w:lineRule="exact"/>
        <w:rPr>
          <w:rFonts w:ascii="Arial" w:cs="Arial" w:eastAsia="Arial" w:hAnsi="Arial"/>
          <w:sz w:val="21"/>
          <w:szCs w:val="21"/>
          <w:b w:val="1"/>
          <w:bCs w:val="1"/>
          <w:color w:val="auto"/>
        </w:rPr>
      </w:pPr>
    </w:p>
    <w:p>
      <w:pPr>
        <w:jc w:val="both"/>
        <w:ind w:left="640" w:hanging="1"/>
        <w:spacing w:after="0" w:line="225" w:lineRule="auto"/>
        <w:tabs>
          <w:tab w:leader="none" w:pos="1082" w:val="left"/>
        </w:tabs>
        <w:numPr>
          <w:ilvl w:val="1"/>
          <w:numId w:val="69"/>
        </w:numPr>
        <w:rPr>
          <w:rFonts w:ascii="Arial" w:cs="Arial" w:eastAsia="Arial" w:hAnsi="Arial"/>
          <w:sz w:val="21"/>
          <w:szCs w:val="21"/>
          <w:color w:val="auto"/>
        </w:rPr>
      </w:pPr>
      <w:r>
        <w:rPr>
          <w:rFonts w:ascii="Arial" w:cs="Arial" w:eastAsia="Arial" w:hAnsi="Arial"/>
          <w:sz w:val="21"/>
          <w:szCs w:val="21"/>
          <w:color w:val="auto"/>
        </w:rPr>
        <w:t>Has executed (or, with respect to Section 4(d), the executor or Executive’s estate has executed) a general release of all claims Executive (or Executive’s executor or estate) may have against the Company or persons affiliated with the Company (substantially in the form attached hereto as Exhibit A) (the “Release”);</w:t>
      </w:r>
    </w:p>
    <w:p>
      <w:pPr>
        <w:spacing w:after="0" w:line="198" w:lineRule="exact"/>
        <w:rPr>
          <w:rFonts w:ascii="Arial" w:cs="Arial" w:eastAsia="Arial" w:hAnsi="Arial"/>
          <w:sz w:val="21"/>
          <w:szCs w:val="21"/>
          <w:color w:val="auto"/>
        </w:rPr>
      </w:pPr>
    </w:p>
    <w:p>
      <w:pPr>
        <w:ind w:left="1280" w:hanging="641"/>
        <w:spacing w:after="0"/>
        <w:tabs>
          <w:tab w:leader="none" w:pos="1280" w:val="left"/>
        </w:tabs>
        <w:numPr>
          <w:ilvl w:val="1"/>
          <w:numId w:val="69"/>
        </w:numPr>
        <w:rPr>
          <w:rFonts w:ascii="Arial" w:cs="Arial" w:eastAsia="Arial" w:hAnsi="Arial"/>
          <w:sz w:val="21"/>
          <w:szCs w:val="21"/>
          <w:color w:val="auto"/>
        </w:rPr>
      </w:pPr>
      <w:r>
        <w:rPr>
          <w:rFonts w:ascii="Arial" w:cs="Arial" w:eastAsia="Arial" w:hAnsi="Arial"/>
          <w:sz w:val="21"/>
          <w:szCs w:val="21"/>
          <w:color w:val="auto"/>
        </w:rPr>
        <w:t>Complies with Executive’s obligations under Section 6 below;</w:t>
      </w:r>
    </w:p>
    <w:p>
      <w:pPr>
        <w:spacing w:after="0" w:line="223" w:lineRule="exact"/>
        <w:rPr>
          <w:rFonts w:ascii="Arial" w:cs="Arial" w:eastAsia="Arial" w:hAnsi="Arial"/>
          <w:sz w:val="21"/>
          <w:szCs w:val="21"/>
          <w:color w:val="auto"/>
        </w:rPr>
      </w:pPr>
    </w:p>
    <w:p>
      <w:pPr>
        <w:ind w:left="1260" w:hanging="621"/>
        <w:spacing w:after="0"/>
        <w:tabs>
          <w:tab w:leader="none" w:pos="1260" w:val="left"/>
        </w:tabs>
        <w:numPr>
          <w:ilvl w:val="1"/>
          <w:numId w:val="69"/>
        </w:numPr>
        <w:rPr>
          <w:rFonts w:ascii="Arial" w:cs="Arial" w:eastAsia="Arial" w:hAnsi="Arial"/>
          <w:sz w:val="21"/>
          <w:szCs w:val="21"/>
          <w:color w:val="auto"/>
        </w:rPr>
      </w:pPr>
      <w:r>
        <w:rPr>
          <w:rFonts w:ascii="Arial" w:cs="Arial" w:eastAsia="Arial" w:hAnsi="Arial"/>
          <w:sz w:val="21"/>
          <w:szCs w:val="21"/>
          <w:color w:val="auto"/>
        </w:rPr>
        <w:t>Has returned all property of the Company in Executive’s possession; and</w:t>
      </w:r>
    </w:p>
    <w:p>
      <w:pPr>
        <w:spacing w:after="0" w:line="223" w:lineRule="exact"/>
        <w:rPr>
          <w:rFonts w:ascii="Arial" w:cs="Arial" w:eastAsia="Arial" w:hAnsi="Arial"/>
          <w:sz w:val="21"/>
          <w:szCs w:val="21"/>
          <w:color w:val="auto"/>
        </w:rPr>
      </w:pPr>
    </w:p>
    <w:p>
      <w:pPr>
        <w:ind w:left="640" w:hanging="1"/>
        <w:spacing w:after="0" w:line="233" w:lineRule="auto"/>
        <w:tabs>
          <w:tab w:leader="none" w:pos="1082" w:val="left"/>
        </w:tabs>
        <w:numPr>
          <w:ilvl w:val="1"/>
          <w:numId w:val="69"/>
        </w:numPr>
        <w:rPr>
          <w:rFonts w:ascii="Arial" w:cs="Arial" w:eastAsia="Arial" w:hAnsi="Arial"/>
          <w:sz w:val="21"/>
          <w:szCs w:val="21"/>
          <w:color w:val="auto"/>
        </w:rPr>
      </w:pPr>
      <w:r>
        <w:rPr>
          <w:rFonts w:ascii="Arial" w:cs="Arial" w:eastAsia="Arial" w:hAnsi="Arial"/>
          <w:sz w:val="21"/>
          <w:szCs w:val="21"/>
          <w:color w:val="auto"/>
        </w:rPr>
        <w:t>If requested by the Board, has resigned as a member of the Board and as a member of the boards of directors of all subsidiaries of the Company, to the extent applicable.</w:t>
      </w:r>
    </w:p>
    <w:p>
      <w:pPr>
        <w:spacing w:after="0" w:line="196"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Executive must execute and return the Release within the period of time set forth in the Release (the “Release Deadline”). The Release Deadline will in no event be later than</w:t>
      </w:r>
    </w:p>
    <w:p>
      <w:pPr>
        <w:sectPr>
          <w:pgSz w:w="11900" w:h="16838" w:orient="portrait"/>
          <w:cols w:equalWidth="0" w:num="1">
            <w:col w:w="10940"/>
          </w:cols>
          <w:pgMar w:left="520" w:top="1440" w:right="439" w:bottom="1440" w:gutter="0" w:footer="0" w:header="0"/>
        </w:sectPr>
      </w:pPr>
    </w:p>
    <w:bookmarkStart w:id="127" w:name="page128"/>
    <w:bookmarkEnd w:id="127"/>
    <w:p>
      <w:pPr>
        <w:spacing w:after="0" w:line="200" w:lineRule="exact"/>
        <w:rPr>
          <w:sz w:val="20"/>
          <w:szCs w:val="20"/>
          <w:color w:val="auto"/>
        </w:rPr>
      </w:pPr>
    </w:p>
    <w:p>
      <w:pPr>
        <w:spacing w:after="0" w:line="222"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50 days after Executive’s Separation. If Executive fails to return the Release on or before the Release Deadline or if Executive revokes the Release, then Executive will not be entitled to the benefits described in this Section 5.</w:t>
      </w:r>
    </w:p>
    <w:p>
      <w:pPr>
        <w:spacing w:after="0" w:line="170" w:lineRule="exact"/>
        <w:rPr>
          <w:sz w:val="20"/>
          <w:szCs w:val="20"/>
          <w:color w:val="auto"/>
        </w:rPr>
      </w:pPr>
    </w:p>
    <w:p>
      <w:pPr>
        <w:jc w:val="both"/>
        <w:spacing w:after="0" w:line="213" w:lineRule="auto"/>
        <w:tabs>
          <w:tab w:leader="none" w:pos="431"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Severance Pay in the Absence of a Change in Control</w:t>
      </w:r>
      <w:r>
        <w:rPr>
          <w:rFonts w:ascii="Arial" w:cs="Arial" w:eastAsia="Arial" w:hAnsi="Arial"/>
          <w:sz w:val="21"/>
          <w:szCs w:val="21"/>
          <w:color w:val="auto"/>
        </w:rPr>
        <w:t>. If, during Executive’s employment with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and not at a time described in subsection (c) below, Executive resigns Executive’s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Executive’s Base Salary in effect at the time of the termination of Employment and one and one-half times Executive’s average annual bonus based on the actual amounts received in the immediately preceding two years, and (ii) the product of (A) 12 and (B) the monthly amount the Company was paying on behalf of Executive and Executive’s eligible dependents with respect to the Company’s health insurance plans in which Executive and Executive’s eligible dependents were participants as of the date of Separation. In the event that Executive Employment is terminated for a reason other than death, Cause or Permanent Disability or Executive resigns Executive’s Employment for Good Reason under this Subsection (b) within two years after commencement of employment with the Company, then in lieu of using the average bonus received in the immediately preceding two years for the above calculation, such calculation shall use Executive’s Target Bonus in the year of termination if such termination under this Subsection (b) occurs in the first year of employment with the Company and the actual bonus Executive received during the first year of employment with the Company if such termination under this Subsection</w:t>
      </w:r>
    </w:p>
    <w:p>
      <w:pPr>
        <w:spacing w:after="0" w:line="1" w:lineRule="exact"/>
        <w:rPr>
          <w:sz w:val="20"/>
          <w:szCs w:val="20"/>
          <w:color w:val="auto"/>
        </w:rPr>
      </w:pPr>
    </w:p>
    <w:p>
      <w:pPr>
        <w:jc w:val="both"/>
        <w:spacing w:after="0" w:line="222" w:lineRule="auto"/>
        <w:tabs>
          <w:tab w:leader="none" w:pos="433" w:val="left"/>
        </w:tabs>
        <w:numPr>
          <w:ilvl w:val="0"/>
          <w:numId w:val="71"/>
        </w:numPr>
        <w:rPr>
          <w:rFonts w:ascii="Arial" w:cs="Arial" w:eastAsia="Arial" w:hAnsi="Arial"/>
          <w:sz w:val="21"/>
          <w:szCs w:val="21"/>
          <w:color w:val="auto"/>
        </w:rPr>
      </w:pPr>
      <w:r>
        <w:rPr>
          <w:rFonts w:ascii="Arial" w:cs="Arial" w:eastAsia="Arial" w:hAnsi="Arial"/>
          <w:sz w:val="21"/>
          <w:szCs w:val="21"/>
          <w:color w:val="auto"/>
        </w:rPr>
        <w:t>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84" w:lineRule="exact"/>
        <w:rPr>
          <w:rFonts w:ascii="Arial" w:cs="Arial" w:eastAsia="Arial" w:hAnsi="Arial"/>
          <w:sz w:val="21"/>
          <w:szCs w:val="21"/>
          <w:color w:val="auto"/>
        </w:rPr>
      </w:pPr>
    </w:p>
    <w:p>
      <w:pPr>
        <w:jc w:val="both"/>
        <w:spacing w:after="0" w:line="216" w:lineRule="auto"/>
        <w:tabs>
          <w:tab w:leader="none" w:pos="433"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Severance Pay in Connection with a Change in Control</w:t>
      </w:r>
      <w:r>
        <w:rPr>
          <w:rFonts w:ascii="Arial" w:cs="Arial" w:eastAsia="Arial" w:hAnsi="Arial"/>
          <w:sz w:val="21"/>
          <w:szCs w:val="21"/>
          <w:color w:val="auto"/>
        </w:rPr>
        <w:t>. If, during Executive’s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within (i) 120 days prior to or (ii) 24 months following a Change in Control, Executive is subject to an Involuntary Termination, then (i) the Company shall pay Executive a lump sum severance payment equal to (x) two times Executive’s Base Salary in effect at the time of the termination of Employment plus two times Executive’s average bonus received in the immediately preceding two years, and</w:t>
      </w:r>
    </w:p>
    <w:p>
      <w:pPr>
        <w:spacing w:after="0" w:line="3" w:lineRule="exact"/>
        <w:rPr>
          <w:rFonts w:ascii="Arial" w:cs="Arial" w:eastAsia="Arial" w:hAnsi="Arial"/>
          <w:sz w:val="21"/>
          <w:szCs w:val="21"/>
          <w:b w:val="1"/>
          <w:bCs w:val="1"/>
          <w:color w:val="auto"/>
        </w:rPr>
      </w:pPr>
    </w:p>
    <w:p>
      <w:pPr>
        <w:jc w:val="both"/>
        <w:spacing w:after="0" w:line="215" w:lineRule="auto"/>
        <w:tabs>
          <w:tab w:leader="none" w:pos="332" w:val="left"/>
        </w:tabs>
        <w:numPr>
          <w:ilvl w:val="0"/>
          <w:numId w:val="72"/>
        </w:numPr>
        <w:rPr>
          <w:rFonts w:ascii="Arial" w:cs="Arial" w:eastAsia="Arial" w:hAnsi="Arial"/>
          <w:sz w:val="21"/>
          <w:szCs w:val="21"/>
          <w:color w:val="auto"/>
        </w:rPr>
      </w:pPr>
      <w:r>
        <w:rPr>
          <w:rFonts w:ascii="Arial" w:cs="Arial" w:eastAsia="Arial" w:hAnsi="Arial"/>
          <w:sz w:val="21"/>
          <w:szCs w:val="21"/>
          <w:color w:val="auto"/>
        </w:rPr>
        <w:t>a lump sum amount equal to the product of (A) 18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Executive’s Target Bonus in the year of the Involuntary Termination if such termination under this Subsection (c) occurs in the first year of employment with the Company and</w:t>
      </w:r>
    </w:p>
    <w:p>
      <w:pPr>
        <w:sectPr>
          <w:pgSz w:w="11900" w:h="16838" w:orient="portrait"/>
          <w:cols w:equalWidth="0" w:num="1">
            <w:col w:w="10940"/>
          </w:cols>
          <w:pgMar w:left="520" w:top="1440" w:right="439" w:bottom="1440" w:gutter="0" w:footer="0" w:header="0"/>
        </w:sectPr>
      </w:pPr>
    </w:p>
    <w:bookmarkStart w:id="128" w:name="page129"/>
    <w:bookmarkEnd w:id="128"/>
    <w:p>
      <w:pPr>
        <w:spacing w:after="0" w:line="200" w:lineRule="exact"/>
        <w:rPr>
          <w:sz w:val="20"/>
          <w:szCs w:val="20"/>
          <w:color w:val="auto"/>
        </w:rPr>
      </w:pPr>
    </w:p>
    <w:p>
      <w:pPr>
        <w:spacing w:after="0" w:line="22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70" w:lineRule="exact"/>
        <w:rPr>
          <w:sz w:val="20"/>
          <w:szCs w:val="20"/>
          <w:color w:val="auto"/>
        </w:rPr>
      </w:pPr>
    </w:p>
    <w:p>
      <w:pPr>
        <w:jc w:val="both"/>
        <w:ind w:firstLine="1"/>
        <w:spacing w:after="0" w:line="236" w:lineRule="auto"/>
        <w:tabs>
          <w:tab w:leader="none" w:pos="431"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Commencement of Severance Payments</w:t>
      </w:r>
      <w:r>
        <w:rPr>
          <w:rFonts w:ascii="Arial" w:cs="Arial" w:eastAsia="Arial" w:hAnsi="Arial"/>
          <w:sz w:val="21"/>
          <w:szCs w:val="21"/>
          <w:color w:val="auto"/>
        </w:rPr>
        <w:t>. Payment of the severance pay provided for hereunder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no later than 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93" w:lineRule="exact"/>
        <w:rPr>
          <w:rFonts w:ascii="Arial" w:cs="Arial" w:eastAsia="Arial" w:hAnsi="Arial"/>
          <w:sz w:val="21"/>
          <w:szCs w:val="21"/>
          <w:b w:val="1"/>
          <w:bCs w:val="1"/>
          <w:color w:val="auto"/>
        </w:rPr>
      </w:pPr>
    </w:p>
    <w:p>
      <w:pPr>
        <w:jc w:val="both"/>
        <w:ind w:firstLine="1"/>
        <w:spacing w:after="0" w:line="214" w:lineRule="auto"/>
        <w:tabs>
          <w:tab w:leader="none" w:pos="433"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w:t>
      </w:r>
      <w:r>
        <w:rPr>
          <w:rFonts w:ascii="Arial" w:cs="Arial" w:eastAsia="Arial" w:hAnsi="Arial"/>
          <w:sz w:val="21"/>
          <w:szCs w:val="21"/>
          <w:color w:val="auto"/>
        </w:rPr>
        <w:t>. This Plan shall be construed consistently with the intent that all payments hereunder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exempt from the requirements of Section 409A of the Code by reason of the “short-term” deferral exemption or a different exemption. Each payment made under this Plan shall be treated as a separate payment and the right to a series of installment payments under this Plan is to be treated as a right to a series of separate payments. If the Company determines that Executive is a “specified employee” under Section 409A(a)(2)(B)(i) of the Code at the time of Executive’s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w:t>
      </w:r>
    </w:p>
    <w:p>
      <w:pPr>
        <w:spacing w:after="0" w:line="5" w:lineRule="exact"/>
        <w:rPr>
          <w:rFonts w:ascii="Arial" w:cs="Arial" w:eastAsia="Arial" w:hAnsi="Arial"/>
          <w:sz w:val="21"/>
          <w:szCs w:val="21"/>
          <w:b w:val="1"/>
          <w:bCs w:val="1"/>
          <w:color w:val="auto"/>
        </w:rPr>
      </w:pPr>
    </w:p>
    <w:p>
      <w:pPr>
        <w:ind w:firstLine="1"/>
        <w:spacing w:after="0" w:line="233" w:lineRule="auto"/>
        <w:tabs>
          <w:tab w:leader="none" w:pos="313"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installments that otherwise would have been paid prior to such date will be paid in a lump sum when such payments commence.</w:t>
      </w:r>
    </w:p>
    <w:p>
      <w:pPr>
        <w:spacing w:after="0" w:line="170" w:lineRule="exact"/>
        <w:rPr>
          <w:sz w:val="20"/>
          <w:szCs w:val="20"/>
          <w:color w:val="auto"/>
        </w:rPr>
      </w:pPr>
    </w:p>
    <w:p>
      <w:pPr>
        <w:ind w:left="640" w:hanging="639"/>
        <w:spacing w:after="0"/>
        <w:tabs>
          <w:tab w:leader="none" w:pos="64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Protective Covenants.</w:t>
      </w:r>
    </w:p>
    <w:p>
      <w:pPr>
        <w:spacing w:after="0" w:line="224" w:lineRule="exact"/>
        <w:rPr>
          <w:sz w:val="20"/>
          <w:szCs w:val="20"/>
          <w:color w:val="auto"/>
        </w:rPr>
      </w:pPr>
    </w:p>
    <w:p>
      <w:pPr>
        <w:jc w:val="both"/>
        <w:ind w:firstLine="1"/>
        <w:spacing w:after="0" w:line="214" w:lineRule="auto"/>
        <w:tabs>
          <w:tab w:leader="none" w:pos="433"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Non–Competition. </w:t>
      </w:r>
      <w:r>
        <w:rPr>
          <w:rFonts w:ascii="Arial" w:cs="Arial" w:eastAsia="Arial" w:hAnsi="Arial"/>
          <w:sz w:val="21"/>
          <w:szCs w:val="21"/>
          <w:color w:val="auto"/>
        </w:rPr>
        <w:t>As one of the Company’s executive and management personnel and officer, Executive has</w:t>
      </w:r>
      <w:r>
        <w:rPr>
          <w:rFonts w:ascii="Arial" w:cs="Arial" w:eastAsia="Arial" w:hAnsi="Arial"/>
          <w:sz w:val="21"/>
          <w:szCs w:val="21"/>
          <w:b w:val="1"/>
          <w:bCs w:val="1"/>
          <w:color w:val="auto"/>
        </w:rPr>
        <w:t xml:space="preserve"> </w:t>
      </w:r>
      <w:r>
        <w:rPr>
          <w:rFonts w:ascii="Arial" w:cs="Arial" w:eastAsia="Arial" w:hAnsi="Arial"/>
          <w:sz w:val="21"/>
          <w:szCs w:val="21"/>
          <w:color w:val="auto"/>
        </w:rPr>
        <w:t>acquired extensive and valuable knowledge and confidential information concerning the business of the Company, including certain trade secrets the Company wishes to protect. Executive further acknowledges that during Executive’s employment he will have access to and knowledge of Proprietary Information. To protect the Company’s Proprietary Information, and in consideration of the terms of this Plan, Executive agrees that during Executive’s employment with the Company and for a period of twelve (12) months after the termination of Executive’s employment with the Company for any reason, whether hereunder or otherwise (the “Restricted Period”), Executive will not without the Company’s approval (which shall not be unreasonably</w:t>
      </w:r>
    </w:p>
    <w:p>
      <w:pPr>
        <w:spacing w:after="0" w:line="5" w:lineRule="exact"/>
        <w:rPr>
          <w:rFonts w:ascii="Arial" w:cs="Arial" w:eastAsia="Arial" w:hAnsi="Arial"/>
          <w:sz w:val="21"/>
          <w:szCs w:val="21"/>
          <w:b w:val="1"/>
          <w:bCs w:val="1"/>
          <w:color w:val="auto"/>
        </w:rPr>
      </w:pPr>
    </w:p>
    <w:p>
      <w:pPr>
        <w:spacing w:after="0"/>
        <w:tabs>
          <w:tab w:leader="none" w:pos="0" w:val="left"/>
        </w:tabs>
        <w:numPr>
          <w:ilvl w:val="0"/>
          <w:numId w:val="76"/>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29" w:name="page130"/>
    <w:bookmarkEnd w:id="129"/>
    <w:p>
      <w:pPr>
        <w:spacing w:after="0" w:line="200" w:lineRule="exact"/>
        <w:rPr>
          <w:sz w:val="20"/>
          <w:szCs w:val="20"/>
          <w:color w:val="auto"/>
        </w:rPr>
      </w:pPr>
    </w:p>
    <w:p>
      <w:pPr>
        <w:spacing w:after="0" w:line="22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70" w:lineRule="exact"/>
        <w:rPr>
          <w:sz w:val="20"/>
          <w:szCs w:val="20"/>
          <w:color w:val="auto"/>
        </w:rPr>
      </w:pPr>
    </w:p>
    <w:p>
      <w:pPr>
        <w:jc w:val="both"/>
        <w:ind w:firstLine="1"/>
        <w:spacing w:after="0" w:line="234" w:lineRule="auto"/>
        <w:tabs>
          <w:tab w:leader="none" w:pos="433"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color w:val="auto"/>
        </w:rPr>
        <w:t>Non-Solicitation and Non-Servicing</w:t>
      </w:r>
      <w:r>
        <w:rPr>
          <w:rFonts w:ascii="Arial" w:cs="Arial" w:eastAsia="Arial" w:hAnsi="Arial"/>
          <w:sz w:val="21"/>
          <w:szCs w:val="21"/>
          <w:color w:val="auto"/>
        </w:rPr>
        <w:t>. During Executive’s employment with the Company and continuing for a</w:t>
      </w:r>
      <w:r>
        <w:rPr>
          <w:rFonts w:ascii="Arial" w:cs="Arial" w:eastAsia="Arial" w:hAnsi="Arial"/>
          <w:sz w:val="21"/>
          <w:szCs w:val="21"/>
          <w:b w:val="1"/>
          <w:bCs w:val="1"/>
          <w:color w:val="auto"/>
        </w:rPr>
        <w:t xml:space="preserve"> </w:t>
      </w:r>
      <w:r>
        <w:rPr>
          <w:rFonts w:ascii="Arial" w:cs="Arial" w:eastAsia="Arial" w:hAnsi="Arial"/>
          <w:sz w:val="21"/>
          <w:szCs w:val="21"/>
          <w:color w:val="auto"/>
        </w:rPr>
        <w:t>period of twelve (12) months after termination of Executive’s employment with the Company for any reason, whether under this Agreement or otherwise, Executive shall not directly or indirectly, personally or through others,</w:t>
      </w:r>
    </w:p>
    <w:p>
      <w:pPr>
        <w:spacing w:after="0" w:line="210" w:lineRule="exact"/>
        <w:rPr>
          <w:rFonts w:ascii="Arial" w:cs="Arial" w:eastAsia="Arial" w:hAnsi="Arial"/>
          <w:sz w:val="21"/>
          <w:szCs w:val="21"/>
          <w:b w:val="1"/>
          <w:bCs w:val="1"/>
          <w:color w:val="auto"/>
        </w:rPr>
      </w:pPr>
    </w:p>
    <w:p>
      <w:pPr>
        <w:ind w:left="640" w:right="40" w:hanging="1"/>
        <w:spacing w:after="0" w:line="211" w:lineRule="auto"/>
        <w:tabs>
          <w:tab w:leader="none" w:pos="1082" w:val="left"/>
        </w:tabs>
        <w:numPr>
          <w:ilvl w:val="1"/>
          <w:numId w:val="77"/>
        </w:numPr>
        <w:rPr>
          <w:rFonts w:ascii="Arial" w:cs="Arial" w:eastAsia="Arial" w:hAnsi="Arial"/>
          <w:sz w:val="21"/>
          <w:szCs w:val="21"/>
          <w:color w:val="auto"/>
        </w:rPr>
      </w:pPr>
      <w:r>
        <w:rPr>
          <w:rFonts w:ascii="Arial" w:cs="Arial" w:eastAsia="Arial" w:hAnsi="Arial"/>
          <w:sz w:val="21"/>
          <w:szCs w:val="21"/>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2" w:lineRule="exact"/>
        <w:rPr>
          <w:rFonts w:ascii="Arial" w:cs="Arial" w:eastAsia="Arial" w:hAnsi="Arial"/>
          <w:sz w:val="21"/>
          <w:szCs w:val="21"/>
          <w:color w:val="auto"/>
        </w:rPr>
      </w:pPr>
    </w:p>
    <w:p>
      <w:pPr>
        <w:ind w:left="640" w:right="20" w:hanging="1"/>
        <w:spacing w:after="0" w:line="211" w:lineRule="auto"/>
        <w:tabs>
          <w:tab w:leader="none" w:pos="1076" w:val="left"/>
        </w:tabs>
        <w:numPr>
          <w:ilvl w:val="1"/>
          <w:numId w:val="77"/>
        </w:numPr>
        <w:rPr>
          <w:rFonts w:ascii="Arial" w:cs="Arial" w:eastAsia="Arial" w:hAnsi="Arial"/>
          <w:sz w:val="21"/>
          <w:szCs w:val="21"/>
          <w:color w:val="auto"/>
        </w:rPr>
      </w:pPr>
      <w:r>
        <w:rPr>
          <w:rFonts w:ascii="Arial" w:cs="Arial" w:eastAsia="Arial" w:hAnsi="Arial"/>
          <w:sz w:val="21"/>
          <w:szCs w:val="21"/>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Executive’s, Executive’s contractual or other relationship with the Company; provided, however, this subparagraph (ii) shall not apply to any employee of the Company who reports in to Executive’s organization, was recommended by Executive and had worked with Executive at at least two prior organizations; or</w:t>
      </w:r>
    </w:p>
    <w:p>
      <w:pPr>
        <w:spacing w:after="0" w:line="3" w:lineRule="exact"/>
        <w:rPr>
          <w:rFonts w:ascii="Arial" w:cs="Arial" w:eastAsia="Arial" w:hAnsi="Arial"/>
          <w:sz w:val="21"/>
          <w:szCs w:val="21"/>
          <w:color w:val="auto"/>
        </w:rPr>
      </w:pPr>
    </w:p>
    <w:p>
      <w:pPr>
        <w:ind w:left="1080" w:hanging="441"/>
        <w:spacing w:after="0" w:line="211" w:lineRule="auto"/>
        <w:tabs>
          <w:tab w:leader="none" w:pos="1080" w:val="left"/>
        </w:tabs>
        <w:numPr>
          <w:ilvl w:val="1"/>
          <w:numId w:val="77"/>
        </w:numPr>
        <w:rPr>
          <w:rFonts w:ascii="Arial" w:cs="Arial" w:eastAsia="Arial" w:hAnsi="Arial"/>
          <w:sz w:val="21"/>
          <w:szCs w:val="21"/>
          <w:color w:val="auto"/>
        </w:rPr>
      </w:pPr>
      <w:r>
        <w:rPr>
          <w:rFonts w:ascii="Arial" w:cs="Arial" w:eastAsia="Arial" w:hAnsi="Arial"/>
          <w:sz w:val="21"/>
          <w:szCs w:val="21"/>
          <w:color w:val="auto"/>
        </w:rPr>
        <w:t>render to or for any Client any services of the type rendered by the Company; or</w:t>
      </w:r>
    </w:p>
    <w:p>
      <w:pPr>
        <w:ind w:left="640" w:right="160" w:hanging="1"/>
        <w:spacing w:after="0" w:line="220" w:lineRule="auto"/>
        <w:tabs>
          <w:tab w:leader="none" w:pos="1082" w:val="left"/>
        </w:tabs>
        <w:numPr>
          <w:ilvl w:val="1"/>
          <w:numId w:val="77"/>
        </w:numPr>
        <w:rPr>
          <w:rFonts w:ascii="Arial" w:cs="Arial" w:eastAsia="Arial" w:hAnsi="Arial"/>
          <w:sz w:val="21"/>
          <w:szCs w:val="21"/>
          <w:color w:val="auto"/>
        </w:rPr>
      </w:pPr>
      <w:r>
        <w:rPr>
          <w:rFonts w:ascii="Arial" w:cs="Arial" w:eastAsia="Arial" w:hAnsi="Arial"/>
          <w:sz w:val="21"/>
          <w:szCs w:val="21"/>
          <w:color w:val="auto"/>
        </w:rPr>
        <w:t>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or attempt to persuade any employee of or consultant to the Company to leave the employ of the Company or to breach any service arrangement with the Company.</w:t>
      </w:r>
    </w:p>
    <w:p>
      <w:pPr>
        <w:spacing w:after="0" w:line="130" w:lineRule="exact"/>
        <w:rPr>
          <w:rFonts w:ascii="Arial" w:cs="Arial" w:eastAsia="Arial" w:hAnsi="Arial"/>
          <w:sz w:val="21"/>
          <w:szCs w:val="21"/>
          <w:color w:val="auto"/>
        </w:rPr>
      </w:pPr>
    </w:p>
    <w:p>
      <w:pPr>
        <w:ind w:firstLine="1"/>
        <w:spacing w:after="0" w:line="252" w:lineRule="auto"/>
        <w:tabs>
          <w:tab w:leader="none" w:pos="431"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color w:val="auto"/>
        </w:rPr>
        <w:t>Non-Disclosure</w:t>
      </w:r>
      <w:r>
        <w:rPr>
          <w:rFonts w:ascii="Arial" w:cs="Arial" w:eastAsia="Arial" w:hAnsi="Arial"/>
          <w:sz w:val="21"/>
          <w:szCs w:val="21"/>
          <w:color w:val="auto"/>
        </w:rPr>
        <w:t>. Executive has entered into a Proprietary Information and Inventions Agreement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which is incorporated herein by reference.</w:t>
      </w:r>
    </w:p>
    <w:p>
      <w:pPr>
        <w:spacing w:after="0" w:line="170" w:lineRule="exact"/>
        <w:rPr>
          <w:rFonts w:ascii="Arial" w:cs="Arial" w:eastAsia="Arial" w:hAnsi="Arial"/>
          <w:sz w:val="21"/>
          <w:szCs w:val="21"/>
          <w:b w:val="1"/>
          <w:bCs w:val="1"/>
          <w:color w:val="auto"/>
        </w:rPr>
      </w:pPr>
    </w:p>
    <w:p>
      <w:pPr>
        <w:jc w:val="both"/>
        <w:ind w:firstLine="1"/>
        <w:spacing w:after="0" w:line="216" w:lineRule="auto"/>
        <w:tabs>
          <w:tab w:leader="none" w:pos="433"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color w:val="auto"/>
        </w:rPr>
        <w:t>Reasonable</w:t>
      </w:r>
      <w:r>
        <w:rPr>
          <w:rFonts w:ascii="Arial" w:cs="Arial" w:eastAsia="Arial" w:hAnsi="Arial"/>
          <w:sz w:val="21"/>
          <w:szCs w:val="21"/>
          <w:color w:val="auto"/>
        </w:rPr>
        <w:t>. Executive agrees and acknowledges that the time limitation on the restrictions in this 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combined with the geographic scope, is reasonable. Executive also acknowledges and agrees that this provision is reasonably necessary for the protection of Proprietary Information, that through Executive’s employment he shall receive adequate consideration for any loss of opportunity associated with the provisions herein, and that these provisions provide a reasonable way of protecting the Company’s</w:t>
      </w:r>
    </w:p>
    <w:p>
      <w:pPr>
        <w:spacing w:after="0" w:line="3" w:lineRule="exact"/>
        <w:rPr>
          <w:rFonts w:ascii="Arial" w:cs="Arial" w:eastAsia="Arial" w:hAnsi="Arial"/>
          <w:sz w:val="21"/>
          <w:szCs w:val="21"/>
          <w:b w:val="1"/>
          <w:bCs w:val="1"/>
          <w:color w:val="auto"/>
        </w:rPr>
      </w:pPr>
    </w:p>
    <w:p>
      <w:pPr>
        <w:spacing w:after="0"/>
        <w:tabs>
          <w:tab w:leader="none" w:pos="0" w:val="left"/>
        </w:tabs>
        <w:numPr>
          <w:ilvl w:val="0"/>
          <w:numId w:val="77"/>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30" w:name="page131"/>
    <w:bookmarkEnd w:id="130"/>
    <w:p>
      <w:pPr>
        <w:spacing w:after="0" w:line="200" w:lineRule="exact"/>
        <w:rPr>
          <w:sz w:val="20"/>
          <w:szCs w:val="20"/>
          <w:color w:val="auto"/>
        </w:rPr>
      </w:pPr>
    </w:p>
    <w:p>
      <w:pPr>
        <w:spacing w:after="0" w:line="222"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business value which will be imparted to him. If any restriction set forth in this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71" w:lineRule="exact"/>
        <w:rPr>
          <w:sz w:val="20"/>
          <w:szCs w:val="20"/>
          <w:color w:val="auto"/>
        </w:rPr>
      </w:pPr>
    </w:p>
    <w:p>
      <w:pPr>
        <w:ind w:left="640" w:hanging="639"/>
        <w:spacing w:after="0"/>
        <w:tabs>
          <w:tab w:leader="none" w:pos="64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Successors.</w:t>
      </w:r>
    </w:p>
    <w:p>
      <w:pPr>
        <w:spacing w:after="0" w:line="224" w:lineRule="exact"/>
        <w:rPr>
          <w:sz w:val="20"/>
          <w:szCs w:val="20"/>
          <w:color w:val="auto"/>
        </w:rPr>
      </w:pPr>
    </w:p>
    <w:p>
      <w:pPr>
        <w:jc w:val="both"/>
        <w:ind w:firstLine="1"/>
        <w:spacing w:after="0" w:line="228" w:lineRule="auto"/>
        <w:tabs>
          <w:tab w:leader="none" w:pos="433"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This Plan shall be binding upon any successor (whether direct or indirect and</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by purchase, lease, merger, consolidation, liquidation or otherwise) to all or substantially all of the Company’s business and/or assets. For all purposes hereunder, the term “Company” shall include any successor to the Company’s business and/or assets which becomes bound by this Plan.</w:t>
      </w:r>
    </w:p>
    <w:p>
      <w:pPr>
        <w:spacing w:after="0" w:line="172" w:lineRule="exact"/>
        <w:rPr>
          <w:rFonts w:ascii="Arial" w:cs="Arial" w:eastAsia="Arial" w:hAnsi="Arial"/>
          <w:sz w:val="21"/>
          <w:szCs w:val="21"/>
          <w:b w:val="1"/>
          <w:bCs w:val="1"/>
          <w:color w:val="auto"/>
        </w:rPr>
      </w:pPr>
    </w:p>
    <w:p>
      <w:pPr>
        <w:jc w:val="both"/>
        <w:ind w:firstLine="1"/>
        <w:spacing w:after="0" w:line="234" w:lineRule="auto"/>
        <w:tabs>
          <w:tab w:leader="none" w:pos="431"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Employee’s Successors</w:t>
      </w:r>
      <w:r>
        <w:rPr>
          <w:rFonts w:ascii="Arial" w:cs="Arial" w:eastAsia="Arial" w:hAnsi="Arial"/>
          <w:sz w:val="21"/>
          <w:szCs w:val="21"/>
          <w:color w:val="auto"/>
        </w:rPr>
        <w:t>. This Plan and all rights of Executive hereunder shall inure to the benefit of, and be</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enforceable by, Executive’s personal or legal representatives, executors, administrators, successors, heirs, distributees, devisees and legatees.</w:t>
      </w:r>
    </w:p>
    <w:p>
      <w:pPr>
        <w:spacing w:after="0" w:line="185" w:lineRule="exact"/>
        <w:rPr>
          <w:sz w:val="20"/>
          <w:szCs w:val="20"/>
          <w:color w:val="auto"/>
        </w:rPr>
      </w:pPr>
    </w:p>
    <w:p>
      <w:pPr>
        <w:ind w:left="640" w:hanging="639"/>
        <w:spacing w:after="0"/>
        <w:tabs>
          <w:tab w:leader="none" w:pos="64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color w:val="auto"/>
        </w:rPr>
        <w:t>Taxes.</w:t>
      </w:r>
    </w:p>
    <w:p>
      <w:pPr>
        <w:spacing w:after="0" w:line="224" w:lineRule="exact"/>
        <w:rPr>
          <w:sz w:val="20"/>
          <w:szCs w:val="20"/>
          <w:color w:val="auto"/>
        </w:rPr>
      </w:pPr>
    </w:p>
    <w:p>
      <w:pPr>
        <w:ind w:right="20" w:firstLine="1"/>
        <w:spacing w:after="0" w:line="252" w:lineRule="auto"/>
        <w:tabs>
          <w:tab w:leader="none" w:pos="433"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All payments made hereunder shall be subject to reduction to reflect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 and payroll taxes or other deductions required to be withheld by law.</w:t>
      </w:r>
    </w:p>
    <w:p>
      <w:pPr>
        <w:spacing w:after="0" w:line="157" w:lineRule="exact"/>
        <w:rPr>
          <w:rFonts w:ascii="Arial" w:cs="Arial" w:eastAsia="Arial" w:hAnsi="Arial"/>
          <w:sz w:val="21"/>
          <w:szCs w:val="21"/>
          <w:b w:val="1"/>
          <w:bCs w:val="1"/>
          <w:color w:val="auto"/>
        </w:rPr>
      </w:pPr>
    </w:p>
    <w:p>
      <w:pPr>
        <w:jc w:val="both"/>
        <w:ind w:firstLine="1"/>
        <w:spacing w:after="0" w:line="228" w:lineRule="auto"/>
        <w:tabs>
          <w:tab w:leader="none" w:pos="431"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Tax Advice</w:t>
      </w:r>
      <w:r>
        <w:rPr>
          <w:rFonts w:ascii="Arial" w:cs="Arial" w:eastAsia="Arial" w:hAnsi="Arial"/>
          <w:sz w:val="21"/>
          <w:szCs w:val="21"/>
          <w:color w:val="auto"/>
        </w:rPr>
        <w:t>. Executive is encouraged to obtain Executive’s own tax advice regarding Executive’s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Company. 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85" w:lineRule="exact"/>
        <w:rPr>
          <w:rFonts w:ascii="Arial" w:cs="Arial" w:eastAsia="Arial" w:hAnsi="Arial"/>
          <w:sz w:val="21"/>
          <w:szCs w:val="21"/>
          <w:b w:val="1"/>
          <w:bCs w:val="1"/>
          <w:color w:val="auto"/>
        </w:rPr>
      </w:pPr>
    </w:p>
    <w:p>
      <w:pPr>
        <w:jc w:val="both"/>
        <w:ind w:firstLine="1"/>
        <w:spacing w:after="0" w:line="213" w:lineRule="auto"/>
        <w:tabs>
          <w:tab w:leader="none" w:pos="433"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Parachute Taxes</w:t>
      </w:r>
      <w:r>
        <w:rPr>
          <w:rFonts w:ascii="Arial" w:cs="Arial" w:eastAsia="Arial" w:hAnsi="Arial"/>
          <w:sz w:val="21"/>
          <w:szCs w:val="21"/>
          <w:color w:val="auto"/>
        </w:rPr>
        <w:t>. Notwithstanding anything in this Plan to the contrary, if it shall be determined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or distribution by the Company to or for the benefit of Executive, whether paid or payable or distributed or distributable pursuant to the terms hereunder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9f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6 above, and the amount of Executive’s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w:t>
      </w:r>
    </w:p>
    <w:p>
      <w:pPr>
        <w:spacing w:after="0" w:line="2" w:lineRule="exact"/>
        <w:rPr>
          <w:rFonts w:ascii="Arial" w:cs="Arial" w:eastAsia="Arial" w:hAnsi="Arial"/>
          <w:sz w:val="21"/>
          <w:szCs w:val="21"/>
          <w:b w:val="1"/>
          <w:bCs w:val="1"/>
          <w:color w:val="auto"/>
        </w:rPr>
      </w:pPr>
    </w:p>
    <w:p>
      <w:pPr>
        <w:spacing w:after="0"/>
        <w:tabs>
          <w:tab w:leader="none" w:pos="0" w:val="left"/>
        </w:tabs>
        <w:numPr>
          <w:ilvl w:val="0"/>
          <w:numId w:val="81"/>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31" w:name="page132"/>
    <w:bookmarkEnd w:id="131"/>
    <w:p>
      <w:pPr>
        <w:spacing w:after="0" w:line="200" w:lineRule="exact"/>
        <w:rPr>
          <w:sz w:val="20"/>
          <w:szCs w:val="20"/>
          <w:color w:val="auto"/>
        </w:rPr>
      </w:pPr>
    </w:p>
    <w:p>
      <w:pPr>
        <w:spacing w:after="0" w:line="222" w:lineRule="exact"/>
        <w:rPr>
          <w:sz w:val="20"/>
          <w:szCs w:val="20"/>
          <w:color w:val="auto"/>
        </w:rPr>
      </w:pPr>
    </w:p>
    <w:p>
      <w:pPr>
        <w:jc w:val="both"/>
        <w:ind w:right="40"/>
        <w:spacing w:after="0" w:line="217" w:lineRule="auto"/>
        <w:rPr>
          <w:sz w:val="20"/>
          <w:szCs w:val="20"/>
          <w:color w:val="auto"/>
        </w:rPr>
      </w:pPr>
      <w:r>
        <w:rPr>
          <w:rFonts w:ascii="Arial" w:cs="Arial" w:eastAsia="Arial" w:hAnsi="Arial"/>
          <w:sz w:val="21"/>
          <w:szCs w:val="21"/>
          <w:color w:val="auto"/>
        </w:rPr>
        <w:t>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74" w:lineRule="exact"/>
        <w:rPr>
          <w:sz w:val="20"/>
          <w:szCs w:val="20"/>
          <w:color w:val="auto"/>
        </w:rPr>
      </w:pPr>
    </w:p>
    <w:p>
      <w:pPr>
        <w:ind w:left="640" w:hanging="639"/>
        <w:spacing w:after="0"/>
        <w:tabs>
          <w:tab w:leader="none" w:pos="64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224" w:lineRule="exact"/>
        <w:rPr>
          <w:sz w:val="20"/>
          <w:szCs w:val="20"/>
          <w:color w:val="auto"/>
        </w:rPr>
      </w:pPr>
    </w:p>
    <w:p>
      <w:pPr>
        <w:ind w:left="640" w:hanging="639"/>
        <w:spacing w:after="0"/>
        <w:tabs>
          <w:tab w:leader="none" w:pos="64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Cause</w:t>
      </w:r>
      <w:r>
        <w:rPr>
          <w:rFonts w:ascii="Arial" w:cs="Arial" w:eastAsia="Arial" w:hAnsi="Arial"/>
          <w:sz w:val="21"/>
          <w:szCs w:val="21"/>
          <w:color w:val="auto"/>
        </w:rPr>
        <w:t>. For all purposes under this Plan, “Cause” shall mean:</w:t>
      </w:r>
    </w:p>
    <w:p>
      <w:pPr>
        <w:spacing w:after="0" w:line="236" w:lineRule="exact"/>
        <w:rPr>
          <w:rFonts w:ascii="Arial" w:cs="Arial" w:eastAsia="Arial" w:hAnsi="Arial"/>
          <w:sz w:val="21"/>
          <w:szCs w:val="21"/>
          <w:b w:val="1"/>
          <w:bCs w:val="1"/>
          <w:color w:val="auto"/>
        </w:rPr>
      </w:pPr>
    </w:p>
    <w:p>
      <w:pPr>
        <w:ind w:left="640" w:right="60" w:hanging="1"/>
        <w:spacing w:after="0" w:line="233" w:lineRule="auto"/>
        <w:tabs>
          <w:tab w:leader="none" w:pos="1082" w:val="left"/>
        </w:tabs>
        <w:numPr>
          <w:ilvl w:val="1"/>
          <w:numId w:val="83"/>
        </w:numPr>
        <w:rPr>
          <w:rFonts w:ascii="Arial" w:cs="Arial" w:eastAsia="Arial" w:hAnsi="Arial"/>
          <w:sz w:val="21"/>
          <w:szCs w:val="21"/>
          <w:color w:val="auto"/>
        </w:rPr>
      </w:pPr>
      <w:r>
        <w:rPr>
          <w:rFonts w:ascii="Arial" w:cs="Arial" w:eastAsia="Arial" w:hAnsi="Arial"/>
          <w:sz w:val="21"/>
          <w:szCs w:val="21"/>
          <w:color w:val="auto"/>
        </w:rPr>
        <w:t>An intentional and unauthorized use or disclosure by Executive of the Company’s confidential information or trade secrets, which use or disclosure causes material harm to the Company;</w:t>
      </w:r>
    </w:p>
    <w:p>
      <w:pPr>
        <w:spacing w:after="0" w:line="209" w:lineRule="exact"/>
        <w:rPr>
          <w:rFonts w:ascii="Arial" w:cs="Arial" w:eastAsia="Arial" w:hAnsi="Arial"/>
          <w:sz w:val="21"/>
          <w:szCs w:val="21"/>
          <w:color w:val="auto"/>
        </w:rPr>
      </w:pPr>
    </w:p>
    <w:p>
      <w:pPr>
        <w:ind w:left="1080" w:hanging="441"/>
        <w:spacing w:after="0"/>
        <w:tabs>
          <w:tab w:leader="none" w:pos="1080" w:val="left"/>
        </w:tabs>
        <w:numPr>
          <w:ilvl w:val="1"/>
          <w:numId w:val="83"/>
        </w:numPr>
        <w:rPr>
          <w:rFonts w:ascii="Arial" w:cs="Arial" w:eastAsia="Arial" w:hAnsi="Arial"/>
          <w:sz w:val="21"/>
          <w:szCs w:val="21"/>
          <w:color w:val="auto"/>
        </w:rPr>
      </w:pPr>
      <w:r>
        <w:rPr>
          <w:rFonts w:ascii="Arial" w:cs="Arial" w:eastAsia="Arial" w:hAnsi="Arial"/>
          <w:sz w:val="21"/>
          <w:szCs w:val="21"/>
          <w:color w:val="auto"/>
        </w:rPr>
        <w:t>A material breach by Executive of any material agreement between Executive and the Company;</w:t>
      </w:r>
    </w:p>
    <w:p>
      <w:pPr>
        <w:spacing w:after="0" w:line="223" w:lineRule="exact"/>
        <w:rPr>
          <w:rFonts w:ascii="Arial" w:cs="Arial" w:eastAsia="Arial" w:hAnsi="Arial"/>
          <w:sz w:val="21"/>
          <w:szCs w:val="21"/>
          <w:color w:val="auto"/>
        </w:rPr>
      </w:pPr>
    </w:p>
    <w:p>
      <w:pPr>
        <w:ind w:left="1080" w:hanging="441"/>
        <w:spacing w:after="0"/>
        <w:tabs>
          <w:tab w:leader="none" w:pos="1080" w:val="left"/>
        </w:tabs>
        <w:numPr>
          <w:ilvl w:val="1"/>
          <w:numId w:val="83"/>
        </w:numPr>
        <w:rPr>
          <w:rFonts w:ascii="Arial" w:cs="Arial" w:eastAsia="Arial" w:hAnsi="Arial"/>
          <w:sz w:val="21"/>
          <w:szCs w:val="21"/>
          <w:color w:val="auto"/>
        </w:rPr>
      </w:pPr>
      <w:r>
        <w:rPr>
          <w:rFonts w:ascii="Arial" w:cs="Arial" w:eastAsia="Arial" w:hAnsi="Arial"/>
          <w:sz w:val="21"/>
          <w:szCs w:val="21"/>
          <w:color w:val="auto"/>
        </w:rPr>
        <w:t>A material failure by Executive to comply with the Company’s written policies or rules;</w:t>
      </w:r>
    </w:p>
    <w:p>
      <w:pPr>
        <w:spacing w:after="0" w:line="210" w:lineRule="exact"/>
        <w:rPr>
          <w:rFonts w:ascii="Arial" w:cs="Arial" w:eastAsia="Arial" w:hAnsi="Arial"/>
          <w:sz w:val="21"/>
          <w:szCs w:val="21"/>
          <w:color w:val="auto"/>
        </w:rPr>
      </w:pPr>
    </w:p>
    <w:p>
      <w:pPr>
        <w:ind w:left="640" w:right="40" w:hanging="1"/>
        <w:spacing w:after="0" w:line="233" w:lineRule="auto"/>
        <w:tabs>
          <w:tab w:leader="none" w:pos="1082" w:val="left"/>
        </w:tabs>
        <w:numPr>
          <w:ilvl w:val="1"/>
          <w:numId w:val="83"/>
        </w:numPr>
        <w:rPr>
          <w:rFonts w:ascii="Arial" w:cs="Arial" w:eastAsia="Arial" w:hAnsi="Arial"/>
          <w:sz w:val="21"/>
          <w:szCs w:val="21"/>
          <w:color w:val="auto"/>
        </w:rPr>
      </w:pPr>
      <w:r>
        <w:rPr>
          <w:rFonts w:ascii="Arial" w:cs="Arial" w:eastAsia="Arial" w:hAnsi="Arial"/>
          <w:sz w:val="21"/>
          <w:szCs w:val="21"/>
          <w:color w:val="auto"/>
        </w:rPr>
        <w:t>Executive’s conviction of, indictment for or plea of “guilty” or “no contest” to, a felony under the laws of the United States or any State thereof;</w:t>
      </w:r>
    </w:p>
    <w:p>
      <w:pPr>
        <w:spacing w:after="0" w:line="209" w:lineRule="exact"/>
        <w:rPr>
          <w:rFonts w:ascii="Arial" w:cs="Arial" w:eastAsia="Arial" w:hAnsi="Arial"/>
          <w:sz w:val="21"/>
          <w:szCs w:val="21"/>
          <w:color w:val="auto"/>
        </w:rPr>
      </w:pPr>
    </w:p>
    <w:p>
      <w:pPr>
        <w:ind w:left="1080" w:hanging="441"/>
        <w:spacing w:after="0"/>
        <w:tabs>
          <w:tab w:leader="none" w:pos="1080" w:val="left"/>
        </w:tabs>
        <w:numPr>
          <w:ilvl w:val="1"/>
          <w:numId w:val="83"/>
        </w:numPr>
        <w:rPr>
          <w:rFonts w:ascii="Arial" w:cs="Arial" w:eastAsia="Arial" w:hAnsi="Arial"/>
          <w:sz w:val="21"/>
          <w:szCs w:val="21"/>
          <w:color w:val="auto"/>
        </w:rPr>
      </w:pPr>
      <w:r>
        <w:rPr>
          <w:rFonts w:ascii="Arial" w:cs="Arial" w:eastAsia="Arial" w:hAnsi="Arial"/>
          <w:sz w:val="21"/>
          <w:szCs w:val="21"/>
          <w:color w:val="auto"/>
        </w:rPr>
        <w:t>Executive’s gross negligence or willful misconduct which causes material harm to the Company;</w:t>
      </w:r>
    </w:p>
    <w:p>
      <w:pPr>
        <w:spacing w:after="0" w:line="223" w:lineRule="exact"/>
        <w:rPr>
          <w:rFonts w:ascii="Arial" w:cs="Arial" w:eastAsia="Arial" w:hAnsi="Arial"/>
          <w:sz w:val="21"/>
          <w:szCs w:val="21"/>
          <w:color w:val="auto"/>
        </w:rPr>
      </w:pPr>
    </w:p>
    <w:p>
      <w:pPr>
        <w:jc w:val="both"/>
        <w:ind w:left="640" w:right="40" w:hanging="1"/>
        <w:spacing w:after="0" w:line="225" w:lineRule="auto"/>
        <w:tabs>
          <w:tab w:leader="none" w:pos="1082" w:val="left"/>
        </w:tabs>
        <w:numPr>
          <w:ilvl w:val="1"/>
          <w:numId w:val="83"/>
        </w:numPr>
        <w:rPr>
          <w:rFonts w:ascii="Arial" w:cs="Arial" w:eastAsia="Arial" w:hAnsi="Arial"/>
          <w:sz w:val="21"/>
          <w:szCs w:val="21"/>
          <w:color w:val="auto"/>
        </w:rPr>
      </w:pPr>
      <w:r>
        <w:rPr>
          <w:rFonts w:ascii="Arial" w:cs="Arial" w:eastAsia="Arial" w:hAnsi="Arial"/>
          <w:sz w:val="21"/>
          <w:szCs w:val="21"/>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98" w:lineRule="exact"/>
        <w:rPr>
          <w:rFonts w:ascii="Arial" w:cs="Arial" w:eastAsia="Arial" w:hAnsi="Arial"/>
          <w:sz w:val="21"/>
          <w:szCs w:val="21"/>
          <w:color w:val="auto"/>
        </w:rPr>
      </w:pPr>
    </w:p>
    <w:p>
      <w:pPr>
        <w:jc w:val="both"/>
        <w:ind w:left="640" w:right="40" w:hanging="1"/>
        <w:spacing w:after="0" w:line="225" w:lineRule="auto"/>
        <w:tabs>
          <w:tab w:leader="none" w:pos="1071"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212"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32" w:lineRule="exact"/>
        <w:rPr>
          <w:sz w:val="20"/>
          <w:szCs w:val="20"/>
          <w:color w:val="auto"/>
        </w:rPr>
      </w:pPr>
    </w:p>
    <w:p>
      <w:pPr>
        <w:ind w:left="440" w:hanging="439"/>
        <w:spacing w:after="0"/>
        <w:tabs>
          <w:tab w:leader="none" w:pos="44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For all purposes under this Plan, “Change in Control” shall mean the occurrence of:</w:t>
      </w:r>
    </w:p>
    <w:p>
      <w:pPr>
        <w:spacing w:after="0" w:line="249" w:lineRule="exact"/>
        <w:rPr>
          <w:rFonts w:ascii="Arial" w:cs="Arial" w:eastAsia="Arial" w:hAnsi="Arial"/>
          <w:sz w:val="21"/>
          <w:szCs w:val="21"/>
          <w:b w:val="1"/>
          <w:bCs w:val="1"/>
          <w:color w:val="auto"/>
        </w:rPr>
      </w:pPr>
    </w:p>
    <w:p>
      <w:pPr>
        <w:ind w:left="640" w:right="420" w:hanging="1"/>
        <w:spacing w:after="0" w:line="211" w:lineRule="auto"/>
        <w:tabs>
          <w:tab w:leader="none" w:pos="1082"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acquisition, by a person or persons acting as a group, of the Company's stock that, together with other stock held by such person or group,</w:t>
      </w:r>
    </w:p>
    <w:p>
      <w:pPr>
        <w:spacing w:after="0"/>
        <w:tabs>
          <w:tab w:leader="none" w:pos="0" w:val="left"/>
        </w:tabs>
        <w:numPr>
          <w:ilvl w:val="1"/>
          <w:numId w:val="85"/>
        </w:numPr>
        <w:rPr>
          <w:rFonts w:ascii="Arial" w:cs="Arial" w:eastAsia="Arial" w:hAnsi="Arial"/>
          <w:sz w:val="21"/>
          <w:szCs w:val="21"/>
          <w:color w:val="auto"/>
        </w:rPr>
      </w:pPr>
    </w:p>
    <w:p>
      <w:pPr>
        <w:sectPr>
          <w:pgSz w:w="11900" w:h="16838" w:orient="portrait"/>
          <w:cols w:equalWidth="0" w:num="1">
            <w:col w:w="10980"/>
          </w:cols>
          <w:pgMar w:left="520" w:top="1440" w:right="399" w:bottom="1440" w:gutter="0" w:footer="0" w:header="0"/>
        </w:sectPr>
      </w:pPr>
    </w:p>
    <w:bookmarkStart w:id="132" w:name="page133"/>
    <w:bookmarkEnd w:id="132"/>
    <w:p>
      <w:pPr>
        <w:spacing w:after="0" w:line="39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constitutes more than 50% of the total fair market value or total voting power of the Company;</w:t>
      </w:r>
    </w:p>
    <w:p>
      <w:pPr>
        <w:ind w:left="640" w:right="760" w:hanging="1"/>
        <w:spacing w:after="0" w:line="211" w:lineRule="auto"/>
        <w:tabs>
          <w:tab w:leader="none" w:pos="1083"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30% or more of the total voting power of the Company;</w:t>
      </w:r>
    </w:p>
    <w:p>
      <w:pPr>
        <w:jc w:val="both"/>
        <w:ind w:left="640" w:right="360" w:hanging="1"/>
        <w:spacing w:after="0" w:line="211" w:lineRule="auto"/>
        <w:tabs>
          <w:tab w:leader="none" w:pos="1081"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 w:lineRule="exact"/>
        <w:rPr>
          <w:rFonts w:ascii="Arial" w:cs="Arial" w:eastAsia="Arial" w:hAnsi="Arial"/>
          <w:sz w:val="21"/>
          <w:szCs w:val="21"/>
          <w:color w:val="auto"/>
        </w:rPr>
      </w:pPr>
    </w:p>
    <w:p>
      <w:pPr>
        <w:ind w:left="640" w:right="720" w:hanging="1"/>
        <w:spacing w:after="0" w:line="211" w:lineRule="auto"/>
        <w:tabs>
          <w:tab w:leader="none" w:pos="1074"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2" w:lineRule="exact"/>
        <w:rPr>
          <w:rFonts w:ascii="Arial" w:cs="Arial" w:eastAsia="Arial" w:hAnsi="Arial"/>
          <w:sz w:val="21"/>
          <w:szCs w:val="21"/>
          <w:color w:val="auto"/>
        </w:rPr>
      </w:pPr>
    </w:p>
    <w:p>
      <w:pPr>
        <w:ind w:left="640" w:right="460" w:firstLine="638"/>
        <w:spacing w:after="0" w:line="222" w:lineRule="auto"/>
        <w:rPr>
          <w:rFonts w:ascii="Arial" w:cs="Arial" w:eastAsia="Arial" w:hAnsi="Arial"/>
          <w:sz w:val="21"/>
          <w:szCs w:val="21"/>
          <w:color w:val="auto"/>
        </w:rPr>
      </w:pPr>
      <w:r>
        <w:rPr>
          <w:rFonts w:ascii="Arial" w:cs="Arial" w:eastAsia="Arial" w:hAnsi="Arial"/>
          <w:sz w:val="21"/>
          <w:szCs w:val="21"/>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30" w:lineRule="exact"/>
        <w:rPr>
          <w:rFonts w:ascii="Arial" w:cs="Arial" w:eastAsia="Arial" w:hAnsi="Arial"/>
          <w:sz w:val="21"/>
          <w:szCs w:val="21"/>
          <w:color w:val="auto"/>
        </w:rPr>
      </w:pPr>
    </w:p>
    <w:p>
      <w:pPr>
        <w:jc w:val="both"/>
        <w:spacing w:after="0" w:line="219" w:lineRule="auto"/>
        <w:tabs>
          <w:tab w:leader="none" w:pos="432"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Client. </w:t>
      </w:r>
      <w:r>
        <w:rPr>
          <w:rFonts w:ascii="Arial" w:cs="Arial" w:eastAsia="Arial" w:hAnsi="Arial"/>
          <w:sz w:val="21"/>
          <w:szCs w:val="21"/>
          <w:color w:val="auto"/>
        </w:rPr>
        <w:t>For all purposes under this Plan, “Client” shall mean (i) anyone who is a client of the Company as of, or</w:t>
      </w:r>
      <w:r>
        <w:rPr>
          <w:rFonts w:ascii="Arial" w:cs="Arial" w:eastAsia="Arial" w:hAnsi="Arial"/>
          <w:sz w:val="21"/>
          <w:szCs w:val="21"/>
          <w:b w:val="1"/>
          <w:bCs w:val="1"/>
          <w:color w:val="auto"/>
        </w:rPr>
        <w:t xml:space="preserve"> </w:t>
      </w:r>
      <w:r>
        <w:rPr>
          <w:rFonts w:ascii="Arial" w:cs="Arial" w:eastAsia="Arial" w:hAnsi="Arial"/>
          <w:sz w:val="21"/>
          <w:szCs w:val="21"/>
          <w:color w:val="auto"/>
        </w:rPr>
        <w:t>at any time during 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70" w:lineRule="exact"/>
        <w:rPr>
          <w:rFonts w:ascii="Arial" w:cs="Arial" w:eastAsia="Arial" w:hAnsi="Arial"/>
          <w:sz w:val="21"/>
          <w:szCs w:val="21"/>
          <w:b w:val="1"/>
          <w:bCs w:val="1"/>
          <w:color w:val="auto"/>
        </w:rPr>
      </w:pPr>
    </w:p>
    <w:p>
      <w:pPr>
        <w:ind w:left="440" w:hanging="440"/>
        <w:spacing w:after="0"/>
        <w:tabs>
          <w:tab w:leader="none" w:pos="44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Code</w:t>
      </w:r>
      <w:r>
        <w:rPr>
          <w:rFonts w:ascii="Arial" w:cs="Arial" w:eastAsia="Arial" w:hAnsi="Arial"/>
          <w:sz w:val="21"/>
          <w:szCs w:val="21"/>
          <w:color w:val="auto"/>
        </w:rPr>
        <w:t>. For all purposes under this Plan, “Code” shall mean the Internal Revenue Code of 1986, as amended.</w:t>
      </w:r>
    </w:p>
    <w:p>
      <w:pPr>
        <w:spacing w:after="0" w:line="223" w:lineRule="exact"/>
        <w:rPr>
          <w:rFonts w:ascii="Arial" w:cs="Arial" w:eastAsia="Arial" w:hAnsi="Arial"/>
          <w:sz w:val="21"/>
          <w:szCs w:val="21"/>
          <w:b w:val="1"/>
          <w:bCs w:val="1"/>
          <w:color w:val="auto"/>
        </w:rPr>
      </w:pPr>
    </w:p>
    <w:p>
      <w:pPr>
        <w:ind w:right="20"/>
        <w:spacing w:after="0" w:line="252" w:lineRule="auto"/>
        <w:tabs>
          <w:tab w:leader="none" w:pos="432"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Company</w:t>
      </w:r>
      <w:r>
        <w:rPr>
          <w:rFonts w:ascii="Arial" w:cs="Arial" w:eastAsia="Arial" w:hAnsi="Arial"/>
          <w:sz w:val="21"/>
          <w:szCs w:val="21"/>
          <w:color w:val="auto"/>
        </w:rPr>
        <w:t>. For all purposes under this Plan, “Company” shall include Synchronoss Technologies, Inc. and all of</w:t>
      </w:r>
      <w:r>
        <w:rPr>
          <w:rFonts w:ascii="Arial" w:cs="Arial" w:eastAsia="Arial" w:hAnsi="Arial"/>
          <w:sz w:val="21"/>
          <w:szCs w:val="21"/>
          <w:b w:val="1"/>
          <w:bCs w:val="1"/>
          <w:color w:val="auto"/>
        </w:rPr>
        <w:t xml:space="preserve"> </w:t>
      </w:r>
      <w:r>
        <w:rPr>
          <w:rFonts w:ascii="Arial" w:cs="Arial" w:eastAsia="Arial" w:hAnsi="Arial"/>
          <w:sz w:val="21"/>
          <w:szCs w:val="21"/>
          <w:color w:val="auto"/>
        </w:rPr>
        <w:t>its subsidiaries and affiliates.</w:t>
      </w:r>
    </w:p>
    <w:p>
      <w:pPr>
        <w:spacing w:after="0" w:line="170" w:lineRule="exact"/>
        <w:rPr>
          <w:rFonts w:ascii="Arial" w:cs="Arial" w:eastAsia="Arial" w:hAnsi="Arial"/>
          <w:sz w:val="21"/>
          <w:szCs w:val="21"/>
          <w:b w:val="1"/>
          <w:bCs w:val="1"/>
          <w:color w:val="auto"/>
        </w:rPr>
      </w:pPr>
    </w:p>
    <w:p>
      <w:pPr>
        <w:ind w:left="640" w:hanging="640"/>
        <w:spacing w:after="0"/>
        <w:tabs>
          <w:tab w:leader="none" w:pos="64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Good Reason</w:t>
      </w:r>
      <w:r>
        <w:rPr>
          <w:rFonts w:ascii="Arial" w:cs="Arial" w:eastAsia="Arial" w:hAnsi="Arial"/>
          <w:sz w:val="21"/>
          <w:szCs w:val="21"/>
          <w:color w:val="auto"/>
        </w:rPr>
        <w:t>. For all purposes under this Plan, “Good Reason” shall mean:</w:t>
      </w:r>
    </w:p>
    <w:p>
      <w:pPr>
        <w:spacing w:after="0" w:line="236" w:lineRule="exact"/>
        <w:rPr>
          <w:rFonts w:ascii="Arial" w:cs="Arial" w:eastAsia="Arial" w:hAnsi="Arial"/>
          <w:sz w:val="21"/>
          <w:szCs w:val="21"/>
          <w:b w:val="1"/>
          <w:bCs w:val="1"/>
          <w:color w:val="auto"/>
        </w:rPr>
      </w:pPr>
    </w:p>
    <w:p>
      <w:pPr>
        <w:ind w:left="1260" w:hanging="621"/>
        <w:spacing w:after="0"/>
        <w:tabs>
          <w:tab w:leader="none" w:pos="1260" w:val="left"/>
        </w:tabs>
        <w:numPr>
          <w:ilvl w:val="1"/>
          <w:numId w:val="87"/>
        </w:numPr>
        <w:rPr>
          <w:rFonts w:ascii="Arial" w:cs="Arial" w:eastAsia="Arial" w:hAnsi="Arial"/>
          <w:sz w:val="21"/>
          <w:szCs w:val="21"/>
          <w:color w:val="auto"/>
        </w:rPr>
      </w:pPr>
      <w:r>
        <w:rPr>
          <w:rFonts w:ascii="Arial" w:cs="Arial" w:eastAsia="Arial" w:hAnsi="Arial"/>
          <w:sz w:val="21"/>
          <w:szCs w:val="21"/>
          <w:color w:val="auto"/>
        </w:rPr>
        <w:t>a material dimunition in Executive’s authorities, duties or responsibilities;</w:t>
      </w:r>
    </w:p>
    <w:p>
      <w:pPr>
        <w:spacing w:after="0" w:line="223" w:lineRule="exact"/>
        <w:rPr>
          <w:rFonts w:ascii="Arial" w:cs="Arial" w:eastAsia="Arial" w:hAnsi="Arial"/>
          <w:sz w:val="21"/>
          <w:szCs w:val="21"/>
          <w:color w:val="auto"/>
        </w:rPr>
      </w:pPr>
    </w:p>
    <w:p>
      <w:pPr>
        <w:ind w:left="640" w:right="440" w:hanging="1"/>
        <w:spacing w:after="0" w:line="233" w:lineRule="auto"/>
        <w:tabs>
          <w:tab w:leader="none" w:pos="1075" w:val="left"/>
        </w:tabs>
        <w:numPr>
          <w:ilvl w:val="1"/>
          <w:numId w:val="87"/>
        </w:numPr>
        <w:rPr>
          <w:rFonts w:ascii="Arial" w:cs="Arial" w:eastAsia="Arial" w:hAnsi="Arial"/>
          <w:sz w:val="21"/>
          <w:szCs w:val="21"/>
          <w:color w:val="auto"/>
        </w:rPr>
      </w:pPr>
      <w:r>
        <w:rPr>
          <w:rFonts w:ascii="Arial" w:cs="Arial" w:eastAsia="Arial" w:hAnsi="Arial"/>
          <w:sz w:val="21"/>
          <w:szCs w:val="21"/>
          <w:color w:val="auto"/>
        </w:rPr>
        <w:t>a reduction in Executive’s base salary by more than 10% unless pursuant to a Company-wide salary reduction affecting all Executives proportionately;</w:t>
      </w:r>
    </w:p>
    <w:p>
      <w:pPr>
        <w:spacing w:after="0" w:line="209" w:lineRule="exact"/>
        <w:rPr>
          <w:rFonts w:ascii="Arial" w:cs="Arial" w:eastAsia="Arial" w:hAnsi="Arial"/>
          <w:sz w:val="21"/>
          <w:szCs w:val="21"/>
          <w:color w:val="auto"/>
        </w:rPr>
      </w:pPr>
    </w:p>
    <w:p>
      <w:pPr>
        <w:ind w:left="640" w:right="80" w:hanging="1"/>
        <w:spacing w:after="0" w:line="211" w:lineRule="auto"/>
        <w:tabs>
          <w:tab w:leader="none" w:pos="1083" w:val="left"/>
        </w:tabs>
        <w:numPr>
          <w:ilvl w:val="1"/>
          <w:numId w:val="87"/>
        </w:numPr>
        <w:rPr>
          <w:rFonts w:ascii="Arial" w:cs="Arial" w:eastAsia="Arial" w:hAnsi="Arial"/>
          <w:sz w:val="21"/>
          <w:szCs w:val="21"/>
          <w:color w:val="auto"/>
        </w:rPr>
      </w:pPr>
      <w:r>
        <w:rPr>
          <w:rFonts w:ascii="Arial" w:cs="Arial" w:eastAsia="Arial" w:hAnsi="Arial"/>
          <w:sz w:val="21"/>
          <w:szCs w:val="21"/>
          <w:color w:val="auto"/>
        </w:rPr>
        <w:t>relocation of Executive’s principal workplace that results in an increase to Executive’s commute by more than 50 miles;</w:t>
      </w:r>
    </w:p>
    <w:p>
      <w:pPr>
        <w:spacing w:after="0"/>
        <w:tabs>
          <w:tab w:leader="none" w:pos="0" w:val="left"/>
        </w:tabs>
        <w:numPr>
          <w:ilvl w:val="1"/>
          <w:numId w:val="87"/>
        </w:numPr>
        <w:rPr>
          <w:rFonts w:ascii="Arial" w:cs="Arial" w:eastAsia="Arial" w:hAnsi="Arial"/>
          <w:sz w:val="21"/>
          <w:szCs w:val="21"/>
          <w:color w:val="auto"/>
        </w:rPr>
      </w:pPr>
    </w:p>
    <w:p>
      <w:pPr>
        <w:sectPr>
          <w:pgSz w:w="11900" w:h="16838" w:orient="portrait"/>
          <w:cols w:equalWidth="0" w:num="1">
            <w:col w:w="10940"/>
          </w:cols>
          <w:pgMar w:left="520" w:top="1440" w:right="439" w:bottom="1440" w:gutter="0" w:footer="0" w:header="0"/>
        </w:sectPr>
      </w:pPr>
    </w:p>
    <w:bookmarkStart w:id="133" w:name="page134"/>
    <w:bookmarkEnd w:id="133"/>
    <w:p>
      <w:pPr>
        <w:spacing w:after="0" w:line="200" w:lineRule="exact"/>
        <w:rPr>
          <w:sz w:val="20"/>
          <w:szCs w:val="20"/>
          <w:color w:val="auto"/>
        </w:rPr>
      </w:pPr>
    </w:p>
    <w:p>
      <w:pPr>
        <w:spacing w:after="0" w:line="222" w:lineRule="exact"/>
        <w:rPr>
          <w:sz w:val="20"/>
          <w:szCs w:val="20"/>
          <w:color w:val="auto"/>
        </w:rPr>
      </w:pPr>
    </w:p>
    <w:p>
      <w:pPr>
        <w:jc w:val="both"/>
        <w:ind w:left="640" w:hanging="1"/>
        <w:spacing w:after="0" w:line="222" w:lineRule="auto"/>
        <w:tabs>
          <w:tab w:leader="none" w:pos="1074"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96" w:lineRule="exact"/>
        <w:rPr>
          <w:rFonts w:ascii="Arial" w:cs="Arial" w:eastAsia="Arial" w:hAnsi="Arial"/>
          <w:sz w:val="21"/>
          <w:szCs w:val="21"/>
          <w:color w:val="auto"/>
        </w:rPr>
      </w:pPr>
    </w:p>
    <w:p>
      <w:pPr>
        <w:ind w:left="1260" w:hanging="621"/>
        <w:spacing w:after="0"/>
        <w:tabs>
          <w:tab w:leader="none" w:pos="12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material breach by the Company of this Agreement.</w:t>
      </w:r>
    </w:p>
    <w:p>
      <w:pPr>
        <w:spacing w:after="0" w:line="224" w:lineRule="exact"/>
        <w:rPr>
          <w:sz w:val="20"/>
          <w:szCs w:val="20"/>
          <w:color w:val="auto"/>
        </w:rPr>
      </w:pPr>
    </w:p>
    <w:p>
      <w:pPr>
        <w:ind w:left="640" w:right="240"/>
        <w:spacing w:after="0" w:line="211" w:lineRule="auto"/>
        <w:rPr>
          <w:sz w:val="20"/>
          <w:szCs w:val="20"/>
          <w:color w:val="auto"/>
        </w:rPr>
      </w:pPr>
      <w:r>
        <w:rPr>
          <w:rFonts w:ascii="Arial" w:cs="Arial" w:eastAsia="Arial" w:hAnsi="Arial"/>
          <w:sz w:val="21"/>
          <w:szCs w:val="21"/>
          <w:color w:val="auto"/>
        </w:rPr>
        <w:t>A condition shall not be considered “Good Reason” unless Executive gives the Company written notice of such condition within 90 days Executive has knowledge of such condition and the Company fails to remedy such condition (or in the case of (v) remedy such breach) within 30 days after receiving Executive’s written notice. In addition, Executive’s resignation must occur within 12 months after Executive has knowledge of such condition.</w:t>
      </w:r>
    </w:p>
    <w:p>
      <w:pPr>
        <w:spacing w:after="0" w:line="2" w:lineRule="exact"/>
        <w:rPr>
          <w:sz w:val="20"/>
          <w:szCs w:val="20"/>
          <w:color w:val="auto"/>
        </w:rPr>
      </w:pPr>
    </w:p>
    <w:p>
      <w:pPr>
        <w:jc w:val="both"/>
        <w:spacing w:after="0" w:line="222" w:lineRule="auto"/>
        <w:tabs>
          <w:tab w:leader="none" w:pos="431"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Involuntary Termination</w:t>
      </w:r>
      <w:r>
        <w:rPr>
          <w:rFonts w:ascii="Arial" w:cs="Arial" w:eastAsia="Arial" w:hAnsi="Arial"/>
          <w:sz w:val="21"/>
          <w:szCs w:val="21"/>
          <w:color w:val="auto"/>
        </w:rPr>
        <w:t>. For all purposes under this Plan, “Involuntary Termination” shall mean either (i)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terminates Executive’s Employment with the Company for a reason other than death, Cause or Permanent Disability and a Separation occurs, or (ii) Executive resigns Executive’s Employment for Good Reason and a Separation occurs.</w:t>
      </w:r>
    </w:p>
    <w:p>
      <w:pPr>
        <w:spacing w:after="0" w:line="170" w:lineRule="exact"/>
        <w:rPr>
          <w:rFonts w:ascii="Arial" w:cs="Arial" w:eastAsia="Arial" w:hAnsi="Arial"/>
          <w:sz w:val="21"/>
          <w:szCs w:val="21"/>
          <w:b w:val="1"/>
          <w:bCs w:val="1"/>
          <w:color w:val="auto"/>
        </w:rPr>
      </w:pPr>
    </w:p>
    <w:p>
      <w:pPr>
        <w:jc w:val="both"/>
        <w:spacing w:after="0" w:line="228" w:lineRule="auto"/>
        <w:tabs>
          <w:tab w:leader="none" w:pos="431"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Permanent Disability</w:t>
      </w:r>
      <w:r>
        <w:rPr>
          <w:rFonts w:ascii="Arial" w:cs="Arial" w:eastAsia="Arial" w:hAnsi="Arial"/>
          <w:sz w:val="21"/>
          <w:szCs w:val="21"/>
          <w:color w:val="auto"/>
        </w:rPr>
        <w:t>. For all purposes under this Plan, “Permanent Disability” shall mean, in the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determination by the Compensation Committee, Executive’s inability to perform the essential functions of Executive’s position, with or without reasonable accommodation, for a period of at least 180 consecutive days because of a physical or mental impairment.</w:t>
      </w:r>
    </w:p>
    <w:p>
      <w:pPr>
        <w:spacing w:after="0" w:line="185" w:lineRule="exact"/>
        <w:rPr>
          <w:rFonts w:ascii="Arial" w:cs="Arial" w:eastAsia="Arial" w:hAnsi="Arial"/>
          <w:sz w:val="21"/>
          <w:szCs w:val="21"/>
          <w:b w:val="1"/>
          <w:bCs w:val="1"/>
          <w:color w:val="auto"/>
        </w:rPr>
      </w:pPr>
    </w:p>
    <w:p>
      <w:pPr>
        <w:jc w:val="both"/>
        <w:spacing w:after="0"/>
        <w:tabs>
          <w:tab w:leader="none" w:pos="44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Proprietary Information</w:t>
      </w:r>
      <w:r>
        <w:rPr>
          <w:rFonts w:ascii="Arial" w:cs="Arial" w:eastAsia="Arial" w:hAnsi="Arial"/>
          <w:sz w:val="21"/>
          <w:szCs w:val="21"/>
          <w:color w:val="auto"/>
        </w:rPr>
        <w:t>. For all purposes under this Plan, “Proprietary Information” shall mean any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264" w:lineRule="exact"/>
        <w:rPr>
          <w:rFonts w:ascii="Arial" w:cs="Arial" w:eastAsia="Arial" w:hAnsi="Arial"/>
          <w:sz w:val="21"/>
          <w:szCs w:val="21"/>
          <w:b w:val="1"/>
          <w:bCs w:val="1"/>
          <w:color w:val="auto"/>
        </w:rPr>
      </w:pPr>
    </w:p>
    <w:p>
      <w:pPr>
        <w:jc w:val="both"/>
        <w:ind w:firstLine="1"/>
        <w:spacing w:after="0" w:line="228" w:lineRule="auto"/>
        <w:tabs>
          <w:tab w:leader="none" w:pos="44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Restricted Business</w:t>
      </w:r>
      <w:r>
        <w:rPr>
          <w:rFonts w:ascii="Arial" w:cs="Arial" w:eastAsia="Arial" w:hAnsi="Arial"/>
          <w:sz w:val="21"/>
          <w:szCs w:val="21"/>
          <w:color w:val="auto"/>
        </w:rPr>
        <w:t>. For all purposes under this Plan, “Restricted Business” shall mean the design,</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marketing or 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72" w:lineRule="exact"/>
        <w:rPr>
          <w:rFonts w:ascii="Arial" w:cs="Arial" w:eastAsia="Arial" w:hAnsi="Arial"/>
          <w:sz w:val="21"/>
          <w:szCs w:val="21"/>
          <w:b w:val="1"/>
          <w:bCs w:val="1"/>
          <w:color w:val="auto"/>
        </w:rPr>
      </w:pPr>
    </w:p>
    <w:p>
      <w:pPr>
        <w:ind w:firstLine="1"/>
        <w:spacing w:after="0" w:line="252" w:lineRule="auto"/>
        <w:tabs>
          <w:tab w:leader="none" w:pos="433"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Restricted Territory</w:t>
      </w:r>
      <w:r>
        <w:rPr>
          <w:rFonts w:ascii="Arial" w:cs="Arial" w:eastAsia="Arial" w:hAnsi="Arial"/>
          <w:sz w:val="21"/>
          <w:szCs w:val="21"/>
          <w:color w:val="auto"/>
        </w:rPr>
        <w:t>. For all purposes under this Plan, “Restricted Territory” shall mean any state, county, or</w:t>
      </w:r>
      <w:r>
        <w:rPr>
          <w:rFonts w:ascii="Arial" w:cs="Arial" w:eastAsia="Arial" w:hAnsi="Arial"/>
          <w:sz w:val="21"/>
          <w:szCs w:val="21"/>
          <w:b w:val="1"/>
          <w:bCs w:val="1"/>
          <w:color w:val="auto"/>
        </w:rPr>
        <w:t xml:space="preserve"> </w:t>
      </w:r>
      <w:r>
        <w:rPr>
          <w:rFonts w:ascii="Arial" w:cs="Arial" w:eastAsia="Arial" w:hAnsi="Arial"/>
          <w:sz w:val="21"/>
          <w:szCs w:val="21"/>
          <w:color w:val="auto"/>
        </w:rPr>
        <w:t>locality in the United States or around the world in which the Company conducts business.</w:t>
      </w:r>
    </w:p>
    <w:p>
      <w:pPr>
        <w:spacing w:after="0" w:line="170" w:lineRule="exact"/>
        <w:rPr>
          <w:rFonts w:ascii="Arial" w:cs="Arial" w:eastAsia="Arial" w:hAnsi="Arial"/>
          <w:sz w:val="21"/>
          <w:szCs w:val="21"/>
          <w:b w:val="1"/>
          <w:bCs w:val="1"/>
          <w:color w:val="auto"/>
        </w:rPr>
      </w:pPr>
    </w:p>
    <w:p>
      <w:pPr>
        <w:ind w:firstLine="1"/>
        <w:spacing w:after="0" w:line="224" w:lineRule="auto"/>
        <w:tabs>
          <w:tab w:leader="none" w:pos="44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Separation</w:t>
      </w:r>
      <w:r>
        <w:rPr>
          <w:rFonts w:ascii="Arial" w:cs="Arial" w:eastAsia="Arial" w:hAnsi="Arial"/>
          <w:sz w:val="21"/>
          <w:szCs w:val="21"/>
          <w:color w:val="auto"/>
        </w:rPr>
        <w:t>. For all purposes under this Plan, “Separation” means a “separation from service,” as defined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under Section 409A of the Code.</w:t>
      </w:r>
    </w:p>
    <w:p>
      <w:pPr>
        <w:spacing w:after="0"/>
        <w:tabs>
          <w:tab w:leader="none" w:pos="0" w:val="left"/>
        </w:tabs>
        <w:numPr>
          <w:ilvl w:val="0"/>
          <w:numId w:val="89"/>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34" w:name="page135"/>
    <w:bookmarkEnd w:id="134"/>
    <w:p>
      <w:pPr>
        <w:spacing w:after="0" w:line="396" w:lineRule="exact"/>
        <w:rPr>
          <w:sz w:val="20"/>
          <w:szCs w:val="20"/>
          <w:color w:val="auto"/>
        </w:rPr>
      </w:pPr>
    </w:p>
    <w:p>
      <w:pPr>
        <w:jc w:val="both"/>
        <w:ind w:firstLine="1"/>
        <w:spacing w:after="0" w:line="219" w:lineRule="auto"/>
        <w:tabs>
          <w:tab w:leader="none" w:pos="431"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Solicit. </w:t>
      </w:r>
      <w:r>
        <w:rPr>
          <w:rFonts w:ascii="Arial" w:cs="Arial" w:eastAsia="Arial" w:hAnsi="Arial"/>
          <w:sz w:val="21"/>
          <w:szCs w:val="21"/>
          <w:color w:val="auto"/>
        </w:rPr>
        <w:t>For all purposes under this Plan, “solicit” shall mean (i) active solicitation of any Client or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(but not 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71" w:lineRule="exact"/>
        <w:rPr>
          <w:sz w:val="20"/>
          <w:szCs w:val="20"/>
          <w:color w:val="auto"/>
        </w:rPr>
      </w:pPr>
    </w:p>
    <w:p>
      <w:pPr>
        <w:ind w:left="620" w:hanging="619"/>
        <w:spacing w:after="0"/>
        <w:tabs>
          <w:tab w:leader="none" w:pos="62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 Provisions.</w:t>
      </w:r>
    </w:p>
    <w:p>
      <w:pPr>
        <w:spacing w:after="0" w:line="224" w:lineRule="exact"/>
        <w:rPr>
          <w:sz w:val="20"/>
          <w:szCs w:val="20"/>
          <w:color w:val="auto"/>
        </w:rPr>
      </w:pPr>
    </w:p>
    <w:p>
      <w:pPr>
        <w:jc w:val="both"/>
        <w:ind w:firstLine="1"/>
        <w:spacing w:after="0" w:line="222" w:lineRule="auto"/>
        <w:tabs>
          <w:tab w:leader="none" w:pos="433"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Notices and all other communications contemplated by this Plan shall be in writing and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have been duly 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5" w:lineRule="exact"/>
        <w:rPr>
          <w:rFonts w:ascii="Arial" w:cs="Arial" w:eastAsia="Arial" w:hAnsi="Arial"/>
          <w:sz w:val="21"/>
          <w:szCs w:val="21"/>
          <w:b w:val="1"/>
          <w:bCs w:val="1"/>
          <w:color w:val="auto"/>
        </w:rPr>
      </w:pPr>
    </w:p>
    <w:p>
      <w:pPr>
        <w:jc w:val="both"/>
        <w:ind w:firstLine="1"/>
        <w:spacing w:after="0" w:line="225" w:lineRule="auto"/>
        <w:tabs>
          <w:tab w:leader="none" w:pos="431"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Modifications and Waivers</w:t>
      </w:r>
      <w:r>
        <w:rPr>
          <w:rFonts w:ascii="Arial" w:cs="Arial" w:eastAsia="Arial" w:hAnsi="Arial"/>
          <w:sz w:val="21"/>
          <w:szCs w:val="21"/>
          <w:color w:val="auto"/>
        </w:rPr>
        <w:t>. No provision of this Plan shall be modified, waived or discharged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waiver or discharge is agreed to in writing and signed by Executive and by an authorized officer of the Company (other than Executive). No waiver by either party of any breach of, or of compliance with, any condition or provision of this Plan by the other party shall be considered a waiver of any other condition or provision or of the same condition or provision at another time.</w:t>
      </w:r>
    </w:p>
    <w:p>
      <w:pPr>
        <w:spacing w:after="0" w:line="184" w:lineRule="exact"/>
        <w:rPr>
          <w:rFonts w:ascii="Arial" w:cs="Arial" w:eastAsia="Arial" w:hAnsi="Arial"/>
          <w:sz w:val="21"/>
          <w:szCs w:val="21"/>
          <w:b w:val="1"/>
          <w:bCs w:val="1"/>
          <w:color w:val="auto"/>
        </w:rPr>
      </w:pPr>
    </w:p>
    <w:p>
      <w:pPr>
        <w:jc w:val="both"/>
        <w:ind w:firstLine="1"/>
        <w:spacing w:after="0" w:line="225" w:lineRule="auto"/>
        <w:tabs>
          <w:tab w:leader="none" w:pos="433"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Whole Agreement</w:t>
      </w:r>
      <w:r>
        <w:rPr>
          <w:rFonts w:ascii="Arial" w:cs="Arial" w:eastAsia="Arial" w:hAnsi="Arial"/>
          <w:sz w:val="21"/>
          <w:szCs w:val="21"/>
          <w:color w:val="auto"/>
        </w:rPr>
        <w:t>. This Plan and the Proprietary Information and Inventions Agreement supersede and</w:t>
      </w:r>
      <w:r>
        <w:rPr>
          <w:rFonts w:ascii="Arial" w:cs="Arial" w:eastAsia="Arial" w:hAnsi="Arial"/>
          <w:sz w:val="21"/>
          <w:szCs w:val="21"/>
          <w:b w:val="1"/>
          <w:bCs w:val="1"/>
          <w:color w:val="auto"/>
        </w:rPr>
        <w:t xml:space="preserve"> </w:t>
      </w:r>
      <w:r>
        <w:rPr>
          <w:rFonts w:ascii="Arial" w:cs="Arial" w:eastAsia="Arial" w:hAnsi="Arial"/>
          <w:sz w:val="21"/>
          <w:szCs w:val="21"/>
          <w:color w:val="auto"/>
        </w:rPr>
        <w:t>replace any prior 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84" w:lineRule="exact"/>
        <w:rPr>
          <w:rFonts w:ascii="Arial" w:cs="Arial" w:eastAsia="Arial" w:hAnsi="Arial"/>
          <w:sz w:val="21"/>
          <w:szCs w:val="21"/>
          <w:b w:val="1"/>
          <w:bCs w:val="1"/>
          <w:color w:val="auto"/>
        </w:rPr>
      </w:pPr>
    </w:p>
    <w:p>
      <w:pPr>
        <w:jc w:val="both"/>
        <w:ind w:firstLine="1"/>
        <w:spacing w:after="0" w:line="214" w:lineRule="auto"/>
        <w:tabs>
          <w:tab w:leader="none" w:pos="431"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Choice of Law and Severability</w:t>
      </w:r>
      <w:r>
        <w:rPr>
          <w:rFonts w:ascii="Arial" w:cs="Arial" w:eastAsia="Arial" w:hAnsi="Arial"/>
          <w:sz w:val="21"/>
          <w:szCs w:val="21"/>
          <w:color w:val="auto"/>
        </w:rPr>
        <w:t>. This Plan shall be interpreted in accordance with the laws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New Jersey (except their provisions governing the choice of law). If any provision of this Plan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Plan shall continue in full force and effect. If any provision of this Plan is rendered illegal by any present or future statute, law, ordinance or regulation (collectively the “Law”), then such provision shall be curtailed or limited only to the minimum extent necessary to bring such provision into compliance with</w:t>
      </w:r>
    </w:p>
    <w:p>
      <w:pPr>
        <w:spacing w:after="0" w:line="2" w:lineRule="exact"/>
        <w:rPr>
          <w:rFonts w:ascii="Arial" w:cs="Arial" w:eastAsia="Arial" w:hAnsi="Arial"/>
          <w:sz w:val="21"/>
          <w:szCs w:val="21"/>
          <w:b w:val="1"/>
          <w:bCs w:val="1"/>
          <w:color w:val="auto"/>
        </w:rPr>
      </w:pPr>
    </w:p>
    <w:p>
      <w:pPr>
        <w:spacing w:after="0"/>
        <w:tabs>
          <w:tab w:leader="none" w:pos="0" w:val="left"/>
        </w:tabs>
        <w:numPr>
          <w:ilvl w:val="0"/>
          <w:numId w:val="92"/>
        </w:numPr>
        <w:rPr>
          <w:rFonts w:ascii="Arial" w:cs="Arial" w:eastAsia="Arial" w:hAnsi="Arial"/>
          <w:sz w:val="21"/>
          <w:szCs w:val="21"/>
          <w:b w:val="1"/>
          <w:bCs w:val="1"/>
          <w:color w:val="auto"/>
        </w:rPr>
      </w:pPr>
    </w:p>
    <w:p>
      <w:pPr>
        <w:sectPr>
          <w:pgSz w:w="11900" w:h="16838" w:orient="portrait"/>
          <w:cols w:equalWidth="0" w:num="1">
            <w:col w:w="10940"/>
          </w:cols>
          <w:pgMar w:left="520" w:top="1440" w:right="439" w:bottom="1440" w:gutter="0" w:footer="0" w:header="0"/>
        </w:sectPr>
      </w:pPr>
    </w:p>
    <w:bookmarkStart w:id="135" w:name="page136"/>
    <w:bookmarkEnd w:id="135"/>
    <w:p>
      <w:pPr>
        <w:spacing w:after="0" w:line="200" w:lineRule="exact"/>
        <w:rPr>
          <w:sz w:val="20"/>
          <w:szCs w:val="20"/>
          <w:color w:val="auto"/>
        </w:rPr>
      </w:pPr>
    </w:p>
    <w:p>
      <w:pPr>
        <w:spacing w:after="0" w:line="222" w:lineRule="exact"/>
        <w:rPr>
          <w:sz w:val="20"/>
          <w:szCs w:val="20"/>
          <w:color w:val="auto"/>
        </w:rPr>
      </w:pPr>
    </w:p>
    <w:p>
      <w:pPr>
        <w:ind w:right="280"/>
        <w:spacing w:after="0" w:line="233" w:lineRule="auto"/>
        <w:rPr>
          <w:sz w:val="20"/>
          <w:szCs w:val="20"/>
          <w:color w:val="auto"/>
        </w:rPr>
      </w:pPr>
      <w:r>
        <w:rPr>
          <w:rFonts w:ascii="Arial" w:cs="Arial" w:eastAsia="Arial" w:hAnsi="Arial"/>
          <w:sz w:val="21"/>
          <w:szCs w:val="21"/>
          <w:color w:val="auto"/>
        </w:rPr>
        <w:t>the Law. All the other terms and provisions of this Plan shall continue in full force and effect without impairment or limitation.</w:t>
      </w:r>
    </w:p>
    <w:p>
      <w:pPr>
        <w:spacing w:after="0" w:line="170" w:lineRule="exact"/>
        <w:rPr>
          <w:sz w:val="20"/>
          <w:szCs w:val="20"/>
          <w:color w:val="auto"/>
        </w:rPr>
      </w:pPr>
    </w:p>
    <w:p>
      <w:pPr>
        <w:jc w:val="both"/>
        <w:ind w:firstLine="1"/>
        <w:spacing w:after="0" w:line="228" w:lineRule="auto"/>
        <w:tabs>
          <w:tab w:leader="none" w:pos="439"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No Assignment</w:t>
      </w:r>
      <w:r>
        <w:rPr>
          <w:rFonts w:ascii="Arial" w:cs="Arial" w:eastAsia="Arial" w:hAnsi="Arial"/>
          <w:sz w:val="21"/>
          <w:szCs w:val="21"/>
          <w:color w:val="auto"/>
        </w:rPr>
        <w:t>. This Plan and all rights and obligations of Executive hereunder are personal to Executive and</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transferred or assigned by Executive at any time. The Company may assign its rights under this Plan to any entity that assumes the Company’s obligations hereunder in connection with any sale or transfer of all or a substantial portion of the Company’s assets to such entity.</w:t>
      </w:r>
    </w:p>
    <w:p>
      <w:pPr>
        <w:spacing w:after="0" w:line="185" w:lineRule="exact"/>
        <w:rPr>
          <w:rFonts w:ascii="Arial" w:cs="Arial" w:eastAsia="Arial" w:hAnsi="Arial"/>
          <w:sz w:val="21"/>
          <w:szCs w:val="21"/>
          <w:b w:val="1"/>
          <w:bCs w:val="1"/>
          <w:color w:val="auto"/>
        </w:rPr>
      </w:pPr>
    </w:p>
    <w:p>
      <w:pPr>
        <w:jc w:val="both"/>
        <w:ind w:firstLine="1"/>
        <w:spacing w:after="0" w:line="234" w:lineRule="auto"/>
        <w:tabs>
          <w:tab w:leader="none" w:pos="431"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Survival. </w:t>
      </w:r>
      <w:r>
        <w:rPr>
          <w:rFonts w:ascii="Arial" w:cs="Arial" w:eastAsia="Arial" w:hAnsi="Arial"/>
          <w:sz w:val="21"/>
          <w:szCs w:val="21"/>
          <w:color w:val="auto"/>
        </w:rPr>
        <w:t>The rights and obligations of the parties under the provisions of this Plant (including without limitation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 shall survive, and remaining binding and enforceable, notwithstanding the termination of Executive’s employment hereunder or otherwise, to the extent necessary to preserve the intended benefits of such provision.</w:t>
      </w:r>
    </w:p>
    <w:p>
      <w:pPr>
        <w:sectPr>
          <w:pgSz w:w="11900" w:h="16838" w:orient="portrait"/>
          <w:cols w:equalWidth="0" w:num="1">
            <w:col w:w="10940"/>
          </w:cols>
          <w:pgMar w:left="520" w:top="1440" w:right="439" w:bottom="1440" w:gutter="0" w:footer="0" w:header="0"/>
        </w:sectPr>
      </w:pPr>
    </w:p>
    <w:bookmarkStart w:id="136" w:name="page137"/>
    <w:bookmarkEnd w:id="136"/>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10.20</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1"/>
          <w:szCs w:val="21"/>
          <w:color w:val="auto"/>
        </w:rPr>
        <w:t>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21"/>
          <w:szCs w:val="21"/>
          <w:color w:val="auto"/>
        </w:rPr>
        <w:t>Christopher Hill [Delivered Electronically]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Re: Executive Employment Letter</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1"/>
          <w:szCs w:val="21"/>
          <w:color w:val="auto"/>
        </w:rPr>
        <w:t>Dear Chris,</w:t>
      </w:r>
    </w:p>
    <w:p>
      <w:pPr>
        <w:spacing w:after="0" w:line="211" w:lineRule="exact"/>
        <w:rPr>
          <w:sz w:val="20"/>
          <w:szCs w:val="20"/>
          <w:color w:val="auto"/>
        </w:rPr>
      </w:pPr>
    </w:p>
    <w:p>
      <w:pPr>
        <w:jc w:val="both"/>
        <w:ind w:left="20" w:right="100"/>
        <w:spacing w:after="0" w:line="222" w:lineRule="auto"/>
        <w:rPr>
          <w:sz w:val="20"/>
          <w:szCs w:val="20"/>
          <w:color w:val="auto"/>
        </w:rPr>
      </w:pPr>
      <w:r>
        <w:rPr>
          <w:rFonts w:ascii="Arial" w:cs="Arial" w:eastAsia="Arial" w:hAnsi="Arial"/>
          <w:sz w:val="21"/>
          <w:szCs w:val="21"/>
          <w:color w:val="auto"/>
        </w:rPr>
        <w:t>As an Executive Vice President of the Company, I am pleased to inform you that you have been identified as a Tier One Executive and officer of the Company. Your employment will be governed by the terms and conditions of the Tier One Executive Employment Plan, a copy of which is attached hereto. As such, you will now receive the benefits and be subject to the obligations set forth in the attached Plan.</w:t>
      </w:r>
    </w:p>
    <w:p>
      <w:pPr>
        <w:spacing w:after="0" w:line="197" w:lineRule="exact"/>
        <w:rPr>
          <w:sz w:val="20"/>
          <w:szCs w:val="20"/>
          <w:color w:val="auto"/>
        </w:rPr>
      </w:pPr>
    </w:p>
    <w:p>
      <w:pPr>
        <w:jc w:val="both"/>
        <w:ind w:left="20" w:right="120"/>
        <w:spacing w:after="0" w:line="225" w:lineRule="auto"/>
        <w:rPr>
          <w:sz w:val="20"/>
          <w:szCs w:val="20"/>
          <w:color w:val="auto"/>
        </w:rPr>
      </w:pPr>
      <w:r>
        <w:rPr>
          <w:rFonts w:ascii="Arial" w:cs="Arial" w:eastAsia="Arial" w:hAnsi="Arial"/>
          <w:sz w:val="21"/>
          <w:szCs w:val="21"/>
          <w:color w:val="auto"/>
        </w:rPr>
        <w:t>Please be aware that you still retain the option, as does the Company, of ending your employment at any time, with or without notice and with or without cause. As such, your employment is at-will and neither this nor any other oral or written representations may be considered a contract for any specific period of time.</w:t>
      </w:r>
    </w:p>
    <w:p>
      <w:pPr>
        <w:spacing w:after="0" w:line="212" w:lineRule="exact"/>
        <w:rPr>
          <w:sz w:val="20"/>
          <w:szCs w:val="20"/>
          <w:color w:val="auto"/>
        </w:rPr>
      </w:pPr>
    </w:p>
    <w:p>
      <w:pPr>
        <w:jc w:val="both"/>
        <w:ind w:left="20" w:right="100"/>
        <w:spacing w:after="0" w:line="225" w:lineRule="auto"/>
        <w:rPr>
          <w:sz w:val="20"/>
          <w:szCs w:val="20"/>
          <w:color w:val="auto"/>
        </w:rPr>
      </w:pPr>
      <w:r>
        <w:rPr>
          <w:rFonts w:ascii="Arial" w:cs="Arial" w:eastAsia="Arial" w:hAnsi="Arial"/>
          <w:sz w:val="21"/>
          <w:szCs w:val="21"/>
          <w:color w:val="auto"/>
        </w:rPr>
        <w:t>We are excited about you being named a Tier One Executive and officer, and look forward to your contributions to the Synchronoss mission. Please verify the acceptance of your role as a Tier One Executive and officer by signing below and indicating the date on which you signed.</w:t>
      </w: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color w:val="auto"/>
        </w:rPr>
        <w:t>Should you have any questions, please do not hesitate to contact me. Regards,</w:t>
      </w: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21"/>
          <w:szCs w:val="21"/>
          <w:color w:val="auto"/>
        </w:rPr>
        <w:t>/s/ Jeffrey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37465</wp:posOffset>
            </wp:positionV>
            <wp:extent cx="2929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2929890" cy="8255"/>
                    </a:xfrm>
                    <a:prstGeom prst="rect">
                      <a:avLst/>
                    </a:prstGeom>
                    <a:noFill/>
                  </pic:spPr>
                </pic:pic>
              </a:graphicData>
            </a:graphic>
          </wp:anchor>
        </w:drawing>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Jeffrey Miller</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21"/>
          <w:szCs w:val="21"/>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2320" w:val="left"/>
        </w:tabs>
        <w:rPr>
          <w:sz w:val="20"/>
          <w:szCs w:val="20"/>
          <w:color w:val="auto"/>
        </w:rPr>
      </w:pPr>
      <w:r>
        <w:rPr>
          <w:rFonts w:ascii="Arial" w:cs="Arial" w:eastAsia="Arial" w:hAnsi="Arial"/>
          <w:sz w:val="21"/>
          <w:szCs w:val="21"/>
          <w:color w:val="auto"/>
        </w:rPr>
        <w:t>Acceptance Signature</w:t>
      </w:r>
      <w:r>
        <w:rPr>
          <w:sz w:val="20"/>
          <w:szCs w:val="20"/>
          <w:color w:val="auto"/>
        </w:rPr>
        <w:tab/>
      </w:r>
      <w:r>
        <w:rPr>
          <w:rFonts w:ascii="Arial" w:cs="Arial" w:eastAsia="Arial" w:hAnsi="Arial"/>
          <w:sz w:val="20"/>
          <w:szCs w:val="20"/>
          <w:color w:val="auto"/>
        </w:rPr>
        <w:t>Date</w:t>
      </w:r>
    </w:p>
    <w:p>
      <w:pPr>
        <w:sectPr>
          <w:pgSz w:w="11900" w:h="16838" w:orient="portrait"/>
          <w:cols w:equalWidth="0" w:num="1">
            <w:col w:w="10680"/>
          </w:cols>
          <w:pgMar w:left="880" w:top="1440"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color w:val="auto"/>
        </w:rPr>
        <w:t>Highly Confidential</w:t>
      </w:r>
    </w:p>
    <w:p>
      <w:pPr>
        <w:sectPr>
          <w:pgSz w:w="11900" w:h="16838" w:orient="portrait"/>
          <w:cols w:equalWidth="0" w:num="1">
            <w:col w:w="9019"/>
          </w:cols>
          <w:pgMar w:left="1440" w:top="832" w:right="1440" w:bottom="1440" w:gutter="0" w:footer="0" w:header="0"/>
        </w:sectPr>
      </w:pPr>
    </w:p>
    <w:bookmarkStart w:id="138" w:name="page139"/>
    <w:bookmarkEnd w:id="138"/>
    <w:p>
      <w:pPr>
        <w:spacing w:after="0" w:line="123" w:lineRule="exact"/>
        <w:rPr>
          <w:sz w:val="20"/>
          <w:szCs w:val="20"/>
          <w:color w:val="auto"/>
        </w:rPr>
      </w:pPr>
    </w:p>
    <w:p>
      <w:pPr>
        <w:ind w:left="1787"/>
        <w:spacing w:after="0"/>
        <w:rPr>
          <w:sz w:val="20"/>
          <w:szCs w:val="20"/>
          <w:color w:val="auto"/>
        </w:rPr>
      </w:pPr>
      <w:r>
        <w:rPr>
          <w:rFonts w:ascii="Arial" w:cs="Arial" w:eastAsia="Arial" w:hAnsi="Arial"/>
          <w:sz w:val="31"/>
          <w:szCs w:val="31"/>
          <w:b w:val="1"/>
          <w:bCs w:val="1"/>
          <w:color w:val="auto"/>
        </w:rPr>
        <w:t>TIER ONE EXECUTIVE EMPLOYMENT PLAN</w:t>
      </w:r>
    </w:p>
    <w:p>
      <w:pPr>
        <w:spacing w:after="0" w:line="248" w:lineRule="exact"/>
        <w:rPr>
          <w:sz w:val="20"/>
          <w:szCs w:val="20"/>
          <w:color w:val="auto"/>
        </w:rPr>
      </w:pPr>
    </w:p>
    <w:p>
      <w:pPr>
        <w:jc w:val="both"/>
        <w:ind w:left="7" w:firstLine="1275"/>
        <w:spacing w:after="0" w:line="222" w:lineRule="auto"/>
        <w:rPr>
          <w:sz w:val="20"/>
          <w:szCs w:val="20"/>
          <w:color w:val="auto"/>
        </w:rPr>
      </w:pPr>
      <w:r>
        <w:rPr>
          <w:rFonts w:ascii="Arial" w:cs="Arial" w:eastAsia="Arial" w:hAnsi="Arial"/>
          <w:sz w:val="21"/>
          <w:szCs w:val="21"/>
          <w:color w:val="auto"/>
        </w:rPr>
        <w:t>In addition to the terms of your offer letter or executive employment letter (“Offer Letter”) with Synchronoss Technologies, Inc., a Delaware corporation (the “Company”), the employment of each Tier One Executive (“Executive”) shall be governed by the terms and conditions set forth in this Tier One Executive Employment Plan (the “Plan”).</w:t>
      </w:r>
    </w:p>
    <w:p>
      <w:pPr>
        <w:spacing w:after="0" w:line="171" w:lineRule="exact"/>
        <w:rPr>
          <w:sz w:val="20"/>
          <w:szCs w:val="20"/>
          <w:color w:val="auto"/>
        </w:rPr>
      </w:pPr>
    </w:p>
    <w:p>
      <w:pPr>
        <w:ind w:left="627" w:hanging="627"/>
        <w:spacing w:after="0"/>
        <w:tabs>
          <w:tab w:leader="none" w:pos="627"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Scope of Employment.</w:t>
      </w:r>
    </w:p>
    <w:p>
      <w:pPr>
        <w:spacing w:after="0" w:line="223" w:lineRule="exact"/>
        <w:rPr>
          <w:rFonts w:ascii="Arial" w:cs="Arial" w:eastAsia="Arial" w:hAnsi="Arial"/>
          <w:sz w:val="21"/>
          <w:szCs w:val="21"/>
          <w:b w:val="1"/>
          <w:bCs w:val="1"/>
          <w:color w:val="auto"/>
        </w:rPr>
      </w:pPr>
    </w:p>
    <w:p>
      <w:pPr>
        <w:ind w:left="7" w:right="180" w:hanging="6"/>
        <w:spacing w:after="0" w:line="220" w:lineRule="auto"/>
        <w:tabs>
          <w:tab w:leader="none" w:pos="706"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Position and Compensation</w:t>
      </w:r>
      <w:r>
        <w:rPr>
          <w:rFonts w:ascii="Arial" w:cs="Arial" w:eastAsia="Arial" w:hAnsi="Arial"/>
          <w:sz w:val="21"/>
          <w:szCs w:val="21"/>
          <w:color w:val="auto"/>
        </w:rPr>
        <w:t>. Executive shall be employed by the Company in the position and at the</w:t>
      </w:r>
      <w:r>
        <w:rPr>
          <w:rFonts w:ascii="Arial" w:cs="Arial" w:eastAsia="Arial" w:hAnsi="Arial"/>
          <w:sz w:val="21"/>
          <w:szCs w:val="21"/>
          <w:b w:val="1"/>
          <w:bCs w:val="1"/>
          <w:color w:val="auto"/>
        </w:rPr>
        <w:t xml:space="preserve"> </w:t>
      </w:r>
      <w:r>
        <w:rPr>
          <w:rFonts w:ascii="Arial" w:cs="Arial" w:eastAsia="Arial" w:hAnsi="Arial"/>
          <w:sz w:val="21"/>
          <w:szCs w:val="21"/>
          <w:color w:val="auto"/>
        </w:rPr>
        <w:t>location provided in the Offer Letter and at the base salary and annual target bonus percentage set forth in the Offer Letter. Executive shall not be entitled to an incentive bonus if Executive is not employed by the Company on the last day of the fiscal year for which such bonus is payable. Any bonus for a fiscal year shall be paid within 2½ months after the close of that fiscal year. The determinations of the Company’s Board of Directors or its Compensation Committee with respect to such bonus shall be final and binding. The Offer Letter shall also include any initial equity awards to be granted to the Executive, which shall be governed by the respective equity award agreement of the Company.</w:t>
      </w:r>
    </w:p>
    <w:p>
      <w:pPr>
        <w:spacing w:after="0" w:line="130" w:lineRule="exact"/>
        <w:rPr>
          <w:rFonts w:ascii="Arial" w:cs="Arial" w:eastAsia="Arial" w:hAnsi="Arial"/>
          <w:sz w:val="21"/>
          <w:szCs w:val="21"/>
          <w:b w:val="1"/>
          <w:bCs w:val="1"/>
          <w:color w:val="auto"/>
        </w:rPr>
      </w:pPr>
    </w:p>
    <w:p>
      <w:pPr>
        <w:jc w:val="both"/>
        <w:ind w:left="7" w:hanging="6"/>
        <w:spacing w:after="0" w:line="220" w:lineRule="auto"/>
        <w:tabs>
          <w:tab w:leader="none" w:pos="704"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Obligations to the Company</w:t>
      </w:r>
      <w:r>
        <w:rPr>
          <w:rFonts w:ascii="Arial" w:cs="Arial" w:eastAsia="Arial" w:hAnsi="Arial"/>
          <w:sz w:val="21"/>
          <w:szCs w:val="21"/>
          <w:color w:val="auto"/>
        </w:rPr>
        <w:t>. During Employment, Executive (i) shall devote substantially all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full 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one non-profit board and, subject to review and written approval by the CEO, Executive may request to sit on one corporate board.</w:t>
      </w:r>
    </w:p>
    <w:p>
      <w:pPr>
        <w:spacing w:after="0" w:line="183" w:lineRule="exact"/>
        <w:rPr>
          <w:rFonts w:ascii="Arial" w:cs="Arial" w:eastAsia="Arial" w:hAnsi="Arial"/>
          <w:sz w:val="21"/>
          <w:szCs w:val="21"/>
          <w:b w:val="1"/>
          <w:bCs w:val="1"/>
          <w:color w:val="auto"/>
        </w:rPr>
      </w:pPr>
    </w:p>
    <w:p>
      <w:pPr>
        <w:jc w:val="both"/>
        <w:ind w:left="7" w:hanging="6"/>
        <w:spacing w:after="0" w:line="221" w:lineRule="auto"/>
        <w:tabs>
          <w:tab w:leader="none" w:pos="706"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No Conflicting Obligations</w:t>
      </w:r>
      <w:r>
        <w:rPr>
          <w:rFonts w:ascii="Arial" w:cs="Arial" w:eastAsia="Arial" w:hAnsi="Arial"/>
          <w:sz w:val="21"/>
          <w:szCs w:val="21"/>
          <w:color w:val="auto"/>
        </w:rPr>
        <w:t>. Executive represents and warrants to the Company that he is under no</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or commitments, whether contractual or otherwise, that are inconsistent with Executive’s obligations hereunder. Executive represents and warrants that he will not use or disclose, in connection with Executive’s Employment, any trade secrets or other proprietary information or intellectual property in which Executive or any other person has any right, title or interest and that Executive’s Employment will not infringe or violate the rights of any other person. Executive represents and warrants to the Company that he has returned all property and confidential information belonging to any prior employer.</w:t>
      </w:r>
    </w:p>
    <w:p>
      <w:pPr>
        <w:spacing w:after="0" w:line="185" w:lineRule="exact"/>
        <w:rPr>
          <w:rFonts w:ascii="Arial" w:cs="Arial" w:eastAsia="Arial" w:hAnsi="Arial"/>
          <w:sz w:val="21"/>
          <w:szCs w:val="21"/>
          <w:b w:val="1"/>
          <w:bCs w:val="1"/>
          <w:color w:val="auto"/>
        </w:rPr>
      </w:pPr>
    </w:p>
    <w:p>
      <w:pPr>
        <w:jc w:val="both"/>
        <w:ind w:left="7" w:hanging="6"/>
        <w:spacing w:after="0" w:line="228" w:lineRule="auto"/>
        <w:tabs>
          <w:tab w:leader="none" w:pos="704"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Indemnification/D&amp;O Insurance. </w:t>
      </w:r>
      <w:r>
        <w:rPr>
          <w:rFonts w:ascii="Arial" w:cs="Arial" w:eastAsia="Arial" w:hAnsi="Arial"/>
          <w:sz w:val="21"/>
          <w:szCs w:val="21"/>
          <w:color w:val="auto"/>
        </w:rPr>
        <w:t>To the maximum extent permitted by applicable law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by-laws, the Company shall 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w:t>
      </w:r>
    </w:p>
    <w:p>
      <w:pPr>
        <w:sectPr>
          <w:pgSz w:w="11900" w:h="16838" w:orient="portrait"/>
          <w:cols w:equalWidth="0" w:num="1">
            <w:col w:w="10567"/>
          </w:cols>
          <w:pgMar w:left="893" w:top="1440" w:right="439" w:bottom="1440" w:gutter="0" w:footer="0" w:header="0"/>
        </w:sectPr>
      </w:pPr>
    </w:p>
    <w:bookmarkStart w:id="139" w:name="page140"/>
    <w:bookmarkEnd w:id="139"/>
    <w:p>
      <w:pPr>
        <w:spacing w:after="0" w:line="200" w:lineRule="exact"/>
        <w:rPr>
          <w:sz w:val="20"/>
          <w:szCs w:val="20"/>
          <w:color w:val="auto"/>
        </w:rPr>
      </w:pPr>
    </w:p>
    <w:p>
      <w:pPr>
        <w:spacing w:after="0" w:line="222" w:lineRule="exact"/>
        <w:rPr>
          <w:sz w:val="20"/>
          <w:szCs w:val="20"/>
          <w:color w:val="auto"/>
        </w:rPr>
      </w:pPr>
    </w:p>
    <w:p>
      <w:pPr>
        <w:jc w:val="both"/>
        <w:ind w:left="7"/>
        <w:spacing w:after="0" w:line="225" w:lineRule="auto"/>
        <w:rPr>
          <w:sz w:val="20"/>
          <w:szCs w:val="20"/>
          <w:color w:val="auto"/>
        </w:rPr>
      </w:pPr>
      <w:r>
        <w:rPr>
          <w:rFonts w:ascii="Arial" w:cs="Arial" w:eastAsia="Arial" w:hAnsi="Arial"/>
          <w:sz w:val="21"/>
          <w:szCs w:val="21"/>
          <w:color w:val="auto"/>
        </w:rPr>
        <w:t>venture, trust, employee benefit plan or other enterprise. Executive shall be covered by directors’ and officers’ liability insurance on a basis no less favorable than provided to directors and officers of the Company, including “tail” coverage.</w:t>
      </w:r>
    </w:p>
    <w:p>
      <w:pPr>
        <w:spacing w:after="0" w:line="319" w:lineRule="exact"/>
        <w:rPr>
          <w:sz w:val="20"/>
          <w:szCs w:val="20"/>
          <w:color w:val="auto"/>
        </w:rPr>
      </w:pPr>
    </w:p>
    <w:p>
      <w:pPr>
        <w:jc w:val="both"/>
        <w:ind w:left="7" w:hanging="6"/>
        <w:spacing w:after="0" w:line="221" w:lineRule="auto"/>
        <w:tabs>
          <w:tab w:leader="none" w:pos="716"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Paid Time Off and Employee Benefits. </w:t>
      </w:r>
      <w:r>
        <w:rPr>
          <w:rFonts w:ascii="Arial" w:cs="Arial" w:eastAsia="Arial" w:hAnsi="Arial"/>
          <w:sz w:val="21"/>
          <w:szCs w:val="21"/>
          <w:color w:val="auto"/>
        </w:rPr>
        <w:t>During Executive’s Employment, Executive shall be eligible for</w:t>
      </w:r>
      <w:r>
        <w:rPr>
          <w:rFonts w:ascii="Arial" w:cs="Arial" w:eastAsia="Arial" w:hAnsi="Arial"/>
          <w:sz w:val="21"/>
          <w:szCs w:val="21"/>
          <w:b w:val="1"/>
          <w:bCs w:val="1"/>
          <w:color w:val="auto"/>
        </w:rPr>
        <w:t xml:space="preserve"> </w:t>
      </w:r>
      <w:r>
        <w:rPr>
          <w:rFonts w:ascii="Arial" w:cs="Arial" w:eastAsia="Arial" w:hAnsi="Arial"/>
          <w:sz w:val="21"/>
          <w:szCs w:val="21"/>
          <w:color w:val="auto"/>
        </w:rPr>
        <w:t>paid time off in accordance with the Company’s paid time off policy, as it may be amended from time to time, with a minimum of 20 paid time off days per year (accruing for each year on the first day of such year), and any United States Company-wide holidays; provided, however, Executive shall not be entitled to carry over any paid time off days from year to year. During Executive’s Employment, Executive shall be eligible to participate in the employee benefit plans maintained by the Company, subject in each case to the terms and conditions of the plan in question.</w:t>
      </w:r>
    </w:p>
    <w:p>
      <w:pPr>
        <w:spacing w:after="0" w:line="171" w:lineRule="exact"/>
        <w:rPr>
          <w:rFonts w:ascii="Arial" w:cs="Arial" w:eastAsia="Arial" w:hAnsi="Arial"/>
          <w:sz w:val="21"/>
          <w:szCs w:val="21"/>
          <w:b w:val="1"/>
          <w:bCs w:val="1"/>
          <w:color w:val="auto"/>
        </w:rPr>
      </w:pPr>
    </w:p>
    <w:p>
      <w:pPr>
        <w:jc w:val="both"/>
        <w:ind w:left="7" w:hanging="6"/>
        <w:spacing w:after="0" w:line="213" w:lineRule="auto"/>
        <w:tabs>
          <w:tab w:leader="none" w:pos="716"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Business Expenses. </w:t>
      </w:r>
      <w:r>
        <w:rPr>
          <w:rFonts w:ascii="Arial" w:cs="Arial" w:eastAsia="Arial" w:hAnsi="Arial"/>
          <w:sz w:val="21"/>
          <w:szCs w:val="21"/>
          <w:color w:val="auto"/>
        </w:rPr>
        <w:t>During Executive’s Employment, Executive shall be authorized to incur necessary</w:t>
      </w:r>
      <w:r>
        <w:rPr>
          <w:rFonts w:ascii="Arial" w:cs="Arial" w:eastAsia="Arial" w:hAnsi="Arial"/>
          <w:sz w:val="21"/>
          <w:szCs w:val="21"/>
          <w:b w:val="1"/>
          <w:bCs w:val="1"/>
          <w:color w:val="auto"/>
        </w:rPr>
        <w:t xml:space="preserve"> </w:t>
      </w:r>
      <w:r>
        <w:rPr>
          <w:rFonts w:ascii="Arial" w:cs="Arial" w:eastAsia="Arial" w:hAnsi="Arial"/>
          <w:sz w:val="21"/>
          <w:szCs w:val="21"/>
          <w:color w:val="auto"/>
        </w:rPr>
        <w:t>and reasonable travel, entertainment and other business expenses in connection with Executive’s duties hereunder. The Company shall reimburse Executive for such expenses upon presentation of an itemized account and appropriate supporting documentation, all in accordance with the Company’s generally applicable policies. Notwithstanding anything to the contrary herein, except to the extent any expense or reimbursement provided hereunder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w:t>
      </w:r>
    </w:p>
    <w:p>
      <w:pPr>
        <w:spacing w:after="0" w:line="8" w:lineRule="exact"/>
        <w:rPr>
          <w:rFonts w:ascii="Arial" w:cs="Arial" w:eastAsia="Arial" w:hAnsi="Arial"/>
          <w:sz w:val="21"/>
          <w:szCs w:val="21"/>
          <w:b w:val="1"/>
          <w:bCs w:val="1"/>
          <w:color w:val="auto"/>
        </w:rPr>
      </w:pPr>
    </w:p>
    <w:p>
      <w:pPr>
        <w:ind w:left="7"/>
        <w:spacing w:after="0"/>
        <w:rPr>
          <w:rFonts w:ascii="Arial" w:cs="Arial" w:eastAsia="Arial" w:hAnsi="Arial"/>
          <w:sz w:val="21"/>
          <w:szCs w:val="21"/>
          <w:b w:val="1"/>
          <w:bCs w:val="1"/>
          <w:color w:val="auto"/>
        </w:rPr>
      </w:pPr>
      <w:r>
        <w:rPr>
          <w:rFonts w:ascii="Arial" w:cs="Arial" w:eastAsia="Arial" w:hAnsi="Arial"/>
          <w:sz w:val="21"/>
          <w:szCs w:val="21"/>
          <w:color w:val="auto"/>
        </w:rPr>
        <w:t>(c) the right to payment or reimbursement hereunder may not be liquidated or exchanged for any other benefit.</w:t>
      </w:r>
    </w:p>
    <w:p>
      <w:pPr>
        <w:spacing w:after="0" w:line="184" w:lineRule="exact"/>
        <w:rPr>
          <w:rFonts w:ascii="Arial" w:cs="Arial" w:eastAsia="Arial" w:hAnsi="Arial"/>
          <w:sz w:val="21"/>
          <w:szCs w:val="21"/>
          <w:b w:val="1"/>
          <w:bCs w:val="1"/>
          <w:color w:val="auto"/>
        </w:rPr>
      </w:pPr>
    </w:p>
    <w:p>
      <w:pPr>
        <w:ind w:left="627" w:hanging="627"/>
        <w:spacing w:after="0"/>
        <w:tabs>
          <w:tab w:leader="none" w:pos="627"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w:t>
      </w:r>
    </w:p>
    <w:p>
      <w:pPr>
        <w:spacing w:after="0" w:line="224" w:lineRule="exact"/>
        <w:rPr>
          <w:sz w:val="20"/>
          <w:szCs w:val="20"/>
          <w:color w:val="auto"/>
        </w:rPr>
      </w:pPr>
    </w:p>
    <w:p>
      <w:pPr>
        <w:jc w:val="both"/>
        <w:ind w:left="7" w:hanging="6"/>
        <w:spacing w:after="0" w:line="219" w:lineRule="auto"/>
        <w:tabs>
          <w:tab w:leader="none" w:pos="706"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The Company may terminate Executive’s Employment at any time and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reason (or no reason), and with or without Cause, by giving Executive 30 days’ advance notice in writing. Executive may terminate Executive’s Employment by giving the Company 30 days’ advance notice in writing. The Company shall have the right at any time during such 30-day period, to relieve Executive of Executive’s offices, duties and responsibilities and place him on a paid leave-of- absence status, provided that during such notice period, Executive shall remain a full- time employee of the Company and shall continue to receive Executive’s then current salary compensation and other benefits as provided herein. Executive’s Employment shall terminate automatically in the event of Executive’s death. The termination of Executive’s Employment shall not limit or otherwise affect Executive’s obligations under Section 6.</w:t>
      </w:r>
    </w:p>
    <w:p>
      <w:pPr>
        <w:spacing w:after="0" w:line="184" w:lineRule="exact"/>
        <w:rPr>
          <w:rFonts w:ascii="Arial" w:cs="Arial" w:eastAsia="Arial" w:hAnsi="Arial"/>
          <w:sz w:val="21"/>
          <w:szCs w:val="21"/>
          <w:b w:val="1"/>
          <w:bCs w:val="1"/>
          <w:color w:val="auto"/>
        </w:rPr>
      </w:pPr>
    </w:p>
    <w:p>
      <w:pPr>
        <w:jc w:val="both"/>
        <w:ind w:left="7" w:hanging="6"/>
        <w:spacing w:after="0" w:line="228" w:lineRule="auto"/>
        <w:tabs>
          <w:tab w:leader="none" w:pos="704"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Rights Upon Termination</w:t>
      </w:r>
      <w:r>
        <w:rPr>
          <w:rFonts w:ascii="Arial" w:cs="Arial" w:eastAsia="Arial" w:hAnsi="Arial"/>
          <w:sz w:val="21"/>
          <w:szCs w:val="21"/>
          <w:color w:val="auto"/>
        </w:rPr>
        <w:t>. Upon Executive’s termination of Employment for any reason, Executive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entitled to the compensation, benefits and reimbursements described in Executive’s Offer Letter or hereunder for the period preceding the effective date of such termination or otherwise accrued before such termination. Upon the</w:t>
      </w:r>
    </w:p>
    <w:p>
      <w:pPr>
        <w:sectPr>
          <w:pgSz w:w="11900" w:h="16838" w:orient="portrait"/>
          <w:cols w:equalWidth="0" w:num="1">
            <w:col w:w="10567"/>
          </w:cols>
          <w:pgMar w:left="893" w:top="1440" w:right="439" w:bottom="1440" w:gutter="0" w:footer="0" w:header="0"/>
        </w:sectPr>
      </w:pPr>
    </w:p>
    <w:bookmarkStart w:id="140" w:name="page141"/>
    <w:bookmarkEnd w:id="140"/>
    <w:p>
      <w:pPr>
        <w:spacing w:after="0" w:line="200" w:lineRule="exact"/>
        <w:rPr>
          <w:sz w:val="20"/>
          <w:szCs w:val="20"/>
          <w:color w:val="auto"/>
        </w:rPr>
      </w:pPr>
    </w:p>
    <w:p>
      <w:pPr>
        <w:spacing w:after="0" w:line="222" w:lineRule="exact"/>
        <w:rPr>
          <w:sz w:val="20"/>
          <w:szCs w:val="20"/>
          <w:color w:val="auto"/>
        </w:rPr>
      </w:pPr>
    </w:p>
    <w:p>
      <w:pPr>
        <w:jc w:val="both"/>
        <w:ind w:left="7"/>
        <w:spacing w:after="0" w:line="225" w:lineRule="auto"/>
        <w:rPr>
          <w:sz w:val="20"/>
          <w:szCs w:val="20"/>
          <w:color w:val="auto"/>
        </w:rPr>
      </w:pPr>
      <w:r>
        <w:rPr>
          <w:rFonts w:ascii="Arial" w:cs="Arial" w:eastAsia="Arial" w:hAnsi="Arial"/>
          <w:sz w:val="21"/>
          <w:szCs w:val="21"/>
          <w:color w:val="auto"/>
        </w:rPr>
        <w:t>termination of Executive’s Employment under certain circumstances, Executive may be entitled to additional severance pay benefits as described in Section 6. The payments hereunder shall fully discharge all responsibilities of the Company to Executive.</w:t>
      </w:r>
    </w:p>
    <w:p>
      <w:pPr>
        <w:spacing w:after="0" w:line="172" w:lineRule="exact"/>
        <w:rPr>
          <w:sz w:val="20"/>
          <w:szCs w:val="20"/>
          <w:color w:val="auto"/>
        </w:rPr>
      </w:pPr>
    </w:p>
    <w:p>
      <w:pPr>
        <w:jc w:val="both"/>
        <w:ind w:left="7" w:hanging="6"/>
        <w:spacing w:after="0" w:line="220" w:lineRule="auto"/>
        <w:tabs>
          <w:tab w:leader="none" w:pos="706" w:val="left"/>
        </w:tabs>
        <w:numPr>
          <w:ilvl w:val="1"/>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Rights Upon Death</w:t>
      </w:r>
      <w:r>
        <w:rPr>
          <w:rFonts w:ascii="Arial" w:cs="Arial" w:eastAsia="Arial" w:hAnsi="Arial"/>
          <w:sz w:val="21"/>
          <w:szCs w:val="21"/>
          <w:color w:val="auto"/>
        </w:rPr>
        <w:t>. If Executive’s Employment ends due to death, (A) Executive’s estate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entitled to receive an amount equal to Executive’s target bonus for the fiscal year in which Executive’s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 by the Company and held by Executive at the time of his death shall be fully vested. All amounts under this Section 4(c) shall be paid no later than the date regular employees are paid their bonuses.</w:t>
      </w:r>
    </w:p>
    <w:p>
      <w:pPr>
        <w:spacing w:after="0" w:line="170" w:lineRule="exact"/>
        <w:rPr>
          <w:rFonts w:ascii="Arial" w:cs="Arial" w:eastAsia="Arial" w:hAnsi="Arial"/>
          <w:sz w:val="21"/>
          <w:szCs w:val="21"/>
          <w:b w:val="1"/>
          <w:bCs w:val="1"/>
          <w:color w:val="auto"/>
        </w:rPr>
      </w:pPr>
    </w:p>
    <w:p>
      <w:pPr>
        <w:jc w:val="both"/>
        <w:ind w:left="7" w:hanging="6"/>
        <w:spacing w:after="0" w:line="236" w:lineRule="auto"/>
        <w:tabs>
          <w:tab w:leader="none" w:pos="704" w:val="left"/>
        </w:tabs>
        <w:numPr>
          <w:ilvl w:val="1"/>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Rights Upon Permanent Disability</w:t>
      </w:r>
      <w:r>
        <w:rPr>
          <w:rFonts w:ascii="Arial" w:cs="Arial" w:eastAsia="Arial" w:hAnsi="Arial"/>
          <w:sz w:val="21"/>
          <w:szCs w:val="21"/>
          <w:color w:val="auto"/>
        </w:rPr>
        <w:t>. If Executive’s Employment ends due to Permanent Disability and a</w:t>
      </w:r>
      <w:r>
        <w:rPr>
          <w:rFonts w:ascii="Arial" w:cs="Arial" w:eastAsia="Arial" w:hAnsi="Arial"/>
          <w:sz w:val="21"/>
          <w:szCs w:val="21"/>
          <w:b w:val="1"/>
          <w:bCs w:val="1"/>
          <w:color w:val="auto"/>
        </w:rPr>
        <w:t xml:space="preserve"> </w:t>
      </w:r>
      <w:r>
        <w:rPr>
          <w:rFonts w:ascii="Arial" w:cs="Arial" w:eastAsia="Arial" w:hAnsi="Arial"/>
          <w:sz w:val="21"/>
          <w:szCs w:val="21"/>
          <w:color w:val="auto"/>
        </w:rPr>
        <w:t>Separation occurs, (I) Executive shall be entitled to receive (i) an amount equal to Executive’s Target Bonus for the fiscal year in which Executive’s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93" w:lineRule="exact"/>
        <w:rPr>
          <w:rFonts w:ascii="Arial" w:cs="Arial" w:eastAsia="Arial" w:hAnsi="Arial"/>
          <w:sz w:val="21"/>
          <w:szCs w:val="21"/>
          <w:b w:val="1"/>
          <w:bCs w:val="1"/>
          <w:color w:val="auto"/>
        </w:rPr>
      </w:pPr>
    </w:p>
    <w:p>
      <w:pPr>
        <w:ind w:left="627" w:hanging="627"/>
        <w:spacing w:after="0"/>
        <w:tabs>
          <w:tab w:leader="none" w:pos="627" w:val="left"/>
        </w:tabs>
        <w:numPr>
          <w:ilvl w:val="0"/>
          <w:numId w:val="98"/>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Benefits.</w:t>
      </w:r>
    </w:p>
    <w:p>
      <w:pPr>
        <w:spacing w:after="0" w:line="210" w:lineRule="exact"/>
        <w:rPr>
          <w:rFonts w:ascii="Arial" w:cs="Arial" w:eastAsia="Arial" w:hAnsi="Arial"/>
          <w:sz w:val="21"/>
          <w:szCs w:val="21"/>
          <w:b w:val="1"/>
          <w:bCs w:val="1"/>
          <w:color w:val="auto"/>
        </w:rPr>
      </w:pPr>
    </w:p>
    <w:p>
      <w:pPr>
        <w:ind w:left="7" w:hanging="6"/>
        <w:spacing w:after="0" w:line="252" w:lineRule="auto"/>
        <w:tabs>
          <w:tab w:leader="none" w:pos="706" w:val="left"/>
        </w:tabs>
        <w:numPr>
          <w:ilvl w:val="1"/>
          <w:numId w:val="98"/>
        </w:numPr>
        <w:rPr>
          <w:rFonts w:ascii="Arial" w:cs="Arial" w:eastAsia="Arial" w:hAnsi="Arial"/>
          <w:sz w:val="21"/>
          <w:szCs w:val="21"/>
          <w:b w:val="1"/>
          <w:bCs w:val="1"/>
          <w:color w:val="auto"/>
        </w:rPr>
      </w:pPr>
      <w:r>
        <w:rPr>
          <w:rFonts w:ascii="Arial" w:cs="Arial" w:eastAsia="Arial" w:hAnsi="Arial"/>
          <w:sz w:val="21"/>
          <w:szCs w:val="21"/>
          <w:b w:val="1"/>
          <w:bCs w:val="1"/>
          <w:color w:val="auto"/>
        </w:rPr>
        <w:t>Preconditions</w:t>
      </w:r>
      <w:r>
        <w:rPr>
          <w:rFonts w:ascii="Arial" w:cs="Arial" w:eastAsia="Arial" w:hAnsi="Arial"/>
          <w:sz w:val="21"/>
          <w:szCs w:val="21"/>
          <w:color w:val="auto"/>
        </w:rPr>
        <w:t>. Any other provision of this Plan notwithstanding, Subsections (b) and (c) below</w:t>
      </w:r>
      <w:r>
        <w:rPr>
          <w:rFonts w:ascii="Arial" w:cs="Arial" w:eastAsia="Arial" w:hAnsi="Arial"/>
          <w:sz w:val="21"/>
          <w:szCs w:val="21"/>
          <w:b w:val="1"/>
          <w:bCs w:val="1"/>
          <w:color w:val="auto"/>
        </w:rPr>
        <w:t xml:space="preserve"> shall not apply unless Executive:</w:t>
      </w:r>
    </w:p>
    <w:p>
      <w:pPr>
        <w:spacing w:after="0" w:line="196" w:lineRule="exact"/>
        <w:rPr>
          <w:rFonts w:ascii="Arial" w:cs="Arial" w:eastAsia="Arial" w:hAnsi="Arial"/>
          <w:sz w:val="21"/>
          <w:szCs w:val="21"/>
          <w:b w:val="1"/>
          <w:bCs w:val="1"/>
          <w:color w:val="auto"/>
        </w:rPr>
      </w:pPr>
    </w:p>
    <w:p>
      <w:pPr>
        <w:jc w:val="both"/>
        <w:ind w:left="647" w:hanging="8"/>
        <w:spacing w:after="0" w:line="222" w:lineRule="auto"/>
        <w:tabs>
          <w:tab w:leader="none" w:pos="1355" w:val="left"/>
        </w:tabs>
        <w:numPr>
          <w:ilvl w:val="2"/>
          <w:numId w:val="98"/>
        </w:numPr>
        <w:rPr>
          <w:rFonts w:ascii="Arial" w:cs="Arial" w:eastAsia="Arial" w:hAnsi="Arial"/>
          <w:sz w:val="21"/>
          <w:szCs w:val="21"/>
          <w:color w:val="auto"/>
        </w:rPr>
      </w:pPr>
      <w:r>
        <w:rPr>
          <w:rFonts w:ascii="Arial" w:cs="Arial" w:eastAsia="Arial" w:hAnsi="Arial"/>
          <w:sz w:val="21"/>
          <w:szCs w:val="21"/>
          <w:color w:val="auto"/>
        </w:rPr>
        <w:t>Has executed (or, with respect to Section 4(d), the executor or Executive’s estate has executed) a general release of all claims Executive (or Executive’s executor or estate) may have against the Company or persons affiliated with the Company (substantially in the form attached hereto as Exhibit A) (the “Release”);</w:t>
      </w:r>
    </w:p>
    <w:p>
      <w:pPr>
        <w:spacing w:after="0" w:line="210" w:lineRule="exact"/>
        <w:rPr>
          <w:rFonts w:ascii="Arial" w:cs="Arial" w:eastAsia="Arial" w:hAnsi="Arial"/>
          <w:sz w:val="21"/>
          <w:szCs w:val="21"/>
          <w:color w:val="auto"/>
        </w:rPr>
      </w:pPr>
    </w:p>
    <w:p>
      <w:pPr>
        <w:ind w:left="1267" w:hanging="629"/>
        <w:spacing w:after="0"/>
        <w:tabs>
          <w:tab w:leader="none" w:pos="1267" w:val="left"/>
        </w:tabs>
        <w:numPr>
          <w:ilvl w:val="2"/>
          <w:numId w:val="98"/>
        </w:numPr>
        <w:rPr>
          <w:rFonts w:ascii="Arial" w:cs="Arial" w:eastAsia="Arial" w:hAnsi="Arial"/>
          <w:sz w:val="21"/>
          <w:szCs w:val="21"/>
          <w:color w:val="auto"/>
        </w:rPr>
      </w:pPr>
      <w:r>
        <w:rPr>
          <w:rFonts w:ascii="Arial" w:cs="Arial" w:eastAsia="Arial" w:hAnsi="Arial"/>
          <w:sz w:val="21"/>
          <w:szCs w:val="21"/>
          <w:color w:val="auto"/>
        </w:rPr>
        <w:t>Complies with Executive’s obligations under Section 6 below;</w:t>
      </w:r>
    </w:p>
    <w:p>
      <w:pPr>
        <w:spacing w:after="0" w:line="210" w:lineRule="exact"/>
        <w:rPr>
          <w:rFonts w:ascii="Arial" w:cs="Arial" w:eastAsia="Arial" w:hAnsi="Arial"/>
          <w:sz w:val="21"/>
          <w:szCs w:val="21"/>
          <w:color w:val="auto"/>
        </w:rPr>
      </w:pPr>
    </w:p>
    <w:p>
      <w:pPr>
        <w:ind w:left="1267" w:hanging="629"/>
        <w:spacing w:after="0"/>
        <w:tabs>
          <w:tab w:leader="none" w:pos="1267" w:val="left"/>
        </w:tabs>
        <w:numPr>
          <w:ilvl w:val="2"/>
          <w:numId w:val="98"/>
        </w:numPr>
        <w:rPr>
          <w:rFonts w:ascii="Arial" w:cs="Arial" w:eastAsia="Arial" w:hAnsi="Arial"/>
          <w:sz w:val="21"/>
          <w:szCs w:val="21"/>
          <w:color w:val="auto"/>
        </w:rPr>
      </w:pPr>
      <w:r>
        <w:rPr>
          <w:rFonts w:ascii="Arial" w:cs="Arial" w:eastAsia="Arial" w:hAnsi="Arial"/>
          <w:sz w:val="21"/>
          <w:szCs w:val="21"/>
          <w:color w:val="auto"/>
        </w:rPr>
        <w:t>Has returned all property of the Company in Executive’s possession; and</w:t>
      </w:r>
    </w:p>
    <w:p>
      <w:pPr>
        <w:spacing w:after="0" w:line="223" w:lineRule="exact"/>
        <w:rPr>
          <w:rFonts w:ascii="Arial" w:cs="Arial" w:eastAsia="Arial" w:hAnsi="Arial"/>
          <w:sz w:val="21"/>
          <w:szCs w:val="21"/>
          <w:color w:val="auto"/>
        </w:rPr>
      </w:pPr>
    </w:p>
    <w:p>
      <w:pPr>
        <w:ind w:left="647" w:hanging="8"/>
        <w:spacing w:after="0" w:line="233" w:lineRule="auto"/>
        <w:tabs>
          <w:tab w:leader="none" w:pos="1355" w:val="left"/>
        </w:tabs>
        <w:numPr>
          <w:ilvl w:val="2"/>
          <w:numId w:val="98"/>
        </w:numPr>
        <w:rPr>
          <w:rFonts w:ascii="Arial" w:cs="Arial" w:eastAsia="Arial" w:hAnsi="Arial"/>
          <w:sz w:val="21"/>
          <w:szCs w:val="21"/>
          <w:color w:val="auto"/>
        </w:rPr>
      </w:pPr>
      <w:r>
        <w:rPr>
          <w:rFonts w:ascii="Arial" w:cs="Arial" w:eastAsia="Arial" w:hAnsi="Arial"/>
          <w:sz w:val="21"/>
          <w:szCs w:val="21"/>
          <w:color w:val="auto"/>
        </w:rPr>
        <w:t>If requested by the Board, has resigned as a member of the Board and as a member of the boards of directors of all subsidiaries of the Company, to the extent applicable.</w:t>
      </w:r>
    </w:p>
    <w:p>
      <w:pPr>
        <w:spacing w:after="0" w:line="209" w:lineRule="exact"/>
        <w:rPr>
          <w:sz w:val="20"/>
          <w:szCs w:val="20"/>
          <w:color w:val="auto"/>
        </w:rPr>
      </w:pPr>
    </w:p>
    <w:p>
      <w:pPr>
        <w:ind w:left="7" w:right="2380"/>
        <w:spacing w:after="0" w:line="233" w:lineRule="auto"/>
        <w:rPr>
          <w:sz w:val="20"/>
          <w:szCs w:val="20"/>
          <w:color w:val="auto"/>
        </w:rPr>
      </w:pPr>
      <w:r>
        <w:rPr>
          <w:rFonts w:ascii="Arial" w:cs="Arial" w:eastAsia="Arial" w:hAnsi="Arial"/>
          <w:sz w:val="21"/>
          <w:szCs w:val="21"/>
          <w:color w:val="auto"/>
        </w:rPr>
        <w:t>Executive must execute and return the Release within the period of time set forth in the Release (the “Release Deadline”). The Release Deadline will in no event be later than</w:t>
      </w:r>
    </w:p>
    <w:p>
      <w:pPr>
        <w:sectPr>
          <w:pgSz w:w="11900" w:h="16838" w:orient="portrait"/>
          <w:cols w:equalWidth="0" w:num="1">
            <w:col w:w="10567"/>
          </w:cols>
          <w:pgMar w:left="893" w:top="1440" w:right="439" w:bottom="1440" w:gutter="0" w:footer="0" w:header="0"/>
        </w:sectPr>
      </w:pPr>
    </w:p>
    <w:bookmarkStart w:id="141" w:name="page142"/>
    <w:bookmarkEnd w:id="141"/>
    <w:p>
      <w:pPr>
        <w:spacing w:after="0" w:line="200" w:lineRule="exact"/>
        <w:rPr>
          <w:sz w:val="20"/>
          <w:szCs w:val="20"/>
          <w:color w:val="auto"/>
        </w:rPr>
      </w:pPr>
    </w:p>
    <w:p>
      <w:pPr>
        <w:spacing w:after="0" w:line="222" w:lineRule="exact"/>
        <w:rPr>
          <w:sz w:val="20"/>
          <w:szCs w:val="20"/>
          <w:color w:val="auto"/>
        </w:rPr>
      </w:pPr>
    </w:p>
    <w:p>
      <w:pPr>
        <w:jc w:val="both"/>
        <w:ind w:left="6"/>
        <w:spacing w:after="0"/>
        <w:rPr>
          <w:sz w:val="20"/>
          <w:szCs w:val="20"/>
          <w:color w:val="auto"/>
        </w:rPr>
      </w:pPr>
      <w:r>
        <w:rPr>
          <w:rFonts w:ascii="Arial" w:cs="Arial" w:eastAsia="Arial" w:hAnsi="Arial"/>
          <w:sz w:val="21"/>
          <w:szCs w:val="21"/>
          <w:color w:val="auto"/>
        </w:rPr>
        <w:t>50 days after Executive’s Separation. If Executive fails to return the Release on or before the Release Deadline or if Executive revokes the Release, then Executive will not be entitled to the benefits described in this Section 5.</w:t>
      </w:r>
    </w:p>
    <w:p>
      <w:pPr>
        <w:spacing w:after="0" w:line="369" w:lineRule="exact"/>
        <w:rPr>
          <w:sz w:val="20"/>
          <w:szCs w:val="20"/>
          <w:color w:val="auto"/>
        </w:rPr>
      </w:pPr>
    </w:p>
    <w:p>
      <w:pPr>
        <w:jc w:val="both"/>
        <w:ind w:left="6" w:hanging="6"/>
        <w:spacing w:after="0" w:line="226" w:lineRule="auto"/>
        <w:tabs>
          <w:tab w:leader="none" w:pos="703"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color w:val="auto"/>
        </w:rPr>
        <w:t>Severance Pay in the Absence of a Change in Control</w:t>
      </w:r>
      <w:r>
        <w:rPr>
          <w:rFonts w:ascii="Arial" w:cs="Arial" w:eastAsia="Arial" w:hAnsi="Arial"/>
          <w:sz w:val="21"/>
          <w:szCs w:val="21"/>
          <w:color w:val="auto"/>
        </w:rPr>
        <w:t>. If, during Executive’s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not at a time described in subsection (c) below, Executive resigns Executive’s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Executive’s Base Salary in effect at the time of the termination of Employment and one and one-half times Executive’s average annual bonus based on the actual amounts received in the immediately preceding two years, and (ii) the product of (A) 12 and (B) the monthly amount the Company was paying on behalf of Executive and Executive’s eligible dependents with respect to the Company’s health insurance plans in which Executive and Executive’s eligible dependents were participants as of the date of Separation. In the event that Executive Employment is terminated for a reason other than death, Cause or Permanent Disability or Executive resigns Executive’s Employment for Good Reason under this Subsection (b) within two years after commencement of employment with the Company, then in lieu of using the average bonus received in the immediately preceding two years for the above calculation, such calculation shall use Executive’s Target Bonus in the year of termination if such termination under this Subsection (b) occurs in the first year of employment with the Company and the actual bonus Executive received during the first year of employment with the Company if such termination under this Subsection</w:t>
      </w:r>
    </w:p>
    <w:p>
      <w:pPr>
        <w:spacing w:after="0" w:line="4" w:lineRule="exact"/>
        <w:rPr>
          <w:sz w:val="20"/>
          <w:szCs w:val="20"/>
          <w:color w:val="auto"/>
        </w:rPr>
      </w:pPr>
    </w:p>
    <w:p>
      <w:pPr>
        <w:jc w:val="both"/>
        <w:ind w:left="6" w:hanging="6"/>
        <w:spacing w:after="0" w:line="222" w:lineRule="auto"/>
        <w:tabs>
          <w:tab w:leader="none" w:pos="70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84" w:lineRule="exact"/>
        <w:rPr>
          <w:rFonts w:ascii="Arial" w:cs="Arial" w:eastAsia="Arial" w:hAnsi="Arial"/>
          <w:sz w:val="21"/>
          <w:szCs w:val="21"/>
          <w:color w:val="auto"/>
        </w:rPr>
      </w:pPr>
    </w:p>
    <w:p>
      <w:pPr>
        <w:jc w:val="both"/>
        <w:ind w:left="6" w:hanging="6"/>
        <w:spacing w:after="0" w:line="220" w:lineRule="auto"/>
        <w:tabs>
          <w:tab w:leader="none" w:pos="705"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Severance Pay in Connection with a Change in Control</w:t>
      </w:r>
      <w:r>
        <w:rPr>
          <w:rFonts w:ascii="Arial" w:cs="Arial" w:eastAsia="Arial" w:hAnsi="Arial"/>
          <w:sz w:val="21"/>
          <w:szCs w:val="21"/>
          <w:color w:val="auto"/>
        </w:rPr>
        <w:t>. If, during Executive’s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within (i) 120 days prior to or (ii) 24 months following a Change in Control, Executive is subject to an Involuntary Termination, then (i) the Company shall pay Executive a lump sum severance payment equal to</w:t>
      </w:r>
    </w:p>
    <w:p>
      <w:pPr>
        <w:ind w:left="6" w:right="20" w:hanging="6"/>
        <w:spacing w:after="0" w:line="211" w:lineRule="auto"/>
        <w:tabs>
          <w:tab w:leader="none" w:pos="34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two times Executive’s Base Salary in effect at the time of the termination of Employment plus two times Executive’s average bonus received in the immediately preceding two years, and</w:t>
      </w:r>
    </w:p>
    <w:p>
      <w:pPr>
        <w:jc w:val="both"/>
        <w:ind w:left="6" w:hanging="6"/>
        <w:spacing w:after="0" w:line="215" w:lineRule="auto"/>
        <w:tabs>
          <w:tab w:leader="none" w:pos="3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 lump sum amount equal to the product of (A) 18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Executive’s Target Bonus in the year of the Involuntary Termination if such termination under this Subsection (c) occurs in the first year of employment with the Company and</w:t>
      </w:r>
    </w:p>
    <w:p>
      <w:pPr>
        <w:sectPr>
          <w:pgSz w:w="11900" w:h="16838" w:orient="portrait"/>
          <w:cols w:equalWidth="0" w:num="1">
            <w:col w:w="10566"/>
          </w:cols>
          <w:pgMar w:left="894" w:top="1440" w:right="439" w:bottom="1440" w:gutter="0" w:footer="0" w:header="0"/>
        </w:sectPr>
      </w:pPr>
    </w:p>
    <w:bookmarkStart w:id="142" w:name="page143"/>
    <w:bookmarkEnd w:id="142"/>
    <w:p>
      <w:pPr>
        <w:spacing w:after="0" w:line="200" w:lineRule="exact"/>
        <w:rPr>
          <w:sz w:val="20"/>
          <w:szCs w:val="20"/>
          <w:color w:val="auto"/>
        </w:rPr>
      </w:pPr>
    </w:p>
    <w:p>
      <w:pPr>
        <w:spacing w:after="0" w:line="222" w:lineRule="exact"/>
        <w:rPr>
          <w:sz w:val="20"/>
          <w:szCs w:val="20"/>
          <w:color w:val="auto"/>
        </w:rPr>
      </w:pPr>
    </w:p>
    <w:p>
      <w:pPr>
        <w:jc w:val="both"/>
        <w:ind w:left="7" w:right="20"/>
        <w:spacing w:after="0" w:line="220" w:lineRule="auto"/>
        <w:rPr>
          <w:sz w:val="20"/>
          <w:szCs w:val="20"/>
          <w:color w:val="auto"/>
        </w:rPr>
      </w:pPr>
      <w:r>
        <w:rPr>
          <w:rFonts w:ascii="Arial" w:cs="Arial" w:eastAsia="Arial" w:hAnsi="Arial"/>
          <w:sz w:val="21"/>
          <w:szCs w:val="21"/>
          <w:color w:val="auto"/>
        </w:rPr>
        <w:t>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70" w:lineRule="exact"/>
        <w:rPr>
          <w:sz w:val="20"/>
          <w:szCs w:val="20"/>
          <w:color w:val="auto"/>
        </w:rPr>
      </w:pPr>
    </w:p>
    <w:p>
      <w:pPr>
        <w:jc w:val="both"/>
        <w:ind w:left="7" w:hanging="6"/>
        <w:spacing w:after="0" w:line="217" w:lineRule="auto"/>
        <w:tabs>
          <w:tab w:leader="none" w:pos="704" w:val="left"/>
        </w:tabs>
        <w:numPr>
          <w:ilvl w:val="1"/>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Commencement of Severance Payments</w:t>
      </w:r>
      <w:r>
        <w:rPr>
          <w:rFonts w:ascii="Arial" w:cs="Arial" w:eastAsia="Arial" w:hAnsi="Arial"/>
          <w:sz w:val="21"/>
          <w:szCs w:val="21"/>
          <w:color w:val="auto"/>
        </w:rPr>
        <w:t>. Payment of the severance pay provided for hereunder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made no later than 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85" w:lineRule="exact"/>
        <w:rPr>
          <w:rFonts w:ascii="Arial" w:cs="Arial" w:eastAsia="Arial" w:hAnsi="Arial"/>
          <w:sz w:val="21"/>
          <w:szCs w:val="21"/>
          <w:b w:val="1"/>
          <w:bCs w:val="1"/>
          <w:color w:val="auto"/>
        </w:rPr>
      </w:pPr>
    </w:p>
    <w:p>
      <w:pPr>
        <w:jc w:val="both"/>
        <w:ind w:left="7" w:hanging="6"/>
        <w:spacing w:after="0" w:line="218" w:lineRule="auto"/>
        <w:tabs>
          <w:tab w:leader="none" w:pos="706" w:val="left"/>
        </w:tabs>
        <w:numPr>
          <w:ilvl w:val="1"/>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w:t>
      </w:r>
      <w:r>
        <w:rPr>
          <w:rFonts w:ascii="Arial" w:cs="Arial" w:eastAsia="Arial" w:hAnsi="Arial"/>
          <w:sz w:val="21"/>
          <w:szCs w:val="21"/>
          <w:color w:val="auto"/>
        </w:rPr>
        <w:t>. This Plan shall be construed consistently with the intent that all payments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exempt from the requirements of Section 409A of the Code by reason of the “short-term” deferral exemption or a different exemption. Each payment made under this Plan shall be treated as a separate payment and the right to a series of installment payments under this Plan is to be treated as a right to a series of separate payments. If the Company determines that Executive is a “specified employee” under Section 409A(a)(2)(B)(i) of the Code at the time of Executive’s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73" w:lineRule="exact"/>
        <w:rPr>
          <w:rFonts w:ascii="Arial" w:cs="Arial" w:eastAsia="Arial" w:hAnsi="Arial"/>
          <w:sz w:val="21"/>
          <w:szCs w:val="21"/>
          <w:b w:val="1"/>
          <w:bCs w:val="1"/>
          <w:color w:val="auto"/>
        </w:rPr>
      </w:pPr>
    </w:p>
    <w:p>
      <w:pPr>
        <w:ind w:left="627" w:hanging="627"/>
        <w:spacing w:after="0"/>
        <w:tabs>
          <w:tab w:leader="none" w:pos="627"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Protective Covenants.</w:t>
      </w:r>
    </w:p>
    <w:p>
      <w:pPr>
        <w:spacing w:after="0" w:line="223" w:lineRule="exact"/>
        <w:rPr>
          <w:rFonts w:ascii="Arial" w:cs="Arial" w:eastAsia="Arial" w:hAnsi="Arial"/>
          <w:sz w:val="21"/>
          <w:szCs w:val="21"/>
          <w:b w:val="1"/>
          <w:bCs w:val="1"/>
          <w:color w:val="auto"/>
        </w:rPr>
      </w:pPr>
    </w:p>
    <w:p>
      <w:pPr>
        <w:jc w:val="both"/>
        <w:ind w:left="7" w:hanging="6"/>
        <w:spacing w:after="0" w:line="220" w:lineRule="auto"/>
        <w:tabs>
          <w:tab w:leader="none" w:pos="706" w:val="left"/>
        </w:tabs>
        <w:numPr>
          <w:ilvl w:val="1"/>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Non–Competition. </w:t>
      </w:r>
      <w:r>
        <w:rPr>
          <w:rFonts w:ascii="Arial" w:cs="Arial" w:eastAsia="Arial" w:hAnsi="Arial"/>
          <w:sz w:val="21"/>
          <w:szCs w:val="21"/>
          <w:color w:val="auto"/>
        </w:rPr>
        <w:t>As one of the Company’s executive and management personnel and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has acquired extensive and valuable knowledge and confidential information concerning the business of the Company, including certain trade secrets the Company wishes to protect. Executive further acknowledges that during Executive’s employment he will have access to and knowledge of Proprietary Information. To protect the Company’s Proprietary Information, and in consideration of the terms of this Plan, Executive agrees that during Executive’s employment with the Company and for a period of twelve (12) months after the termination of Executive’s employment with the Company for any reason, whether hereunder or otherwise (the “Restricted Period”), Executive will not without the Company’s approval (which shall not be unreasonably</w:t>
      </w:r>
    </w:p>
    <w:p>
      <w:pPr>
        <w:sectPr>
          <w:pgSz w:w="11900" w:h="16838" w:orient="portrait"/>
          <w:cols w:equalWidth="0" w:num="1">
            <w:col w:w="10567"/>
          </w:cols>
          <w:pgMar w:left="893" w:top="1440" w:right="439" w:bottom="1440" w:gutter="0" w:footer="0" w:header="0"/>
        </w:sectPr>
      </w:pPr>
    </w:p>
    <w:bookmarkStart w:id="143" w:name="page144"/>
    <w:bookmarkEnd w:id="143"/>
    <w:p>
      <w:pPr>
        <w:spacing w:after="0" w:line="200" w:lineRule="exact"/>
        <w:rPr>
          <w:sz w:val="20"/>
          <w:szCs w:val="20"/>
          <w:color w:val="auto"/>
        </w:rPr>
      </w:pPr>
    </w:p>
    <w:p>
      <w:pPr>
        <w:spacing w:after="0" w:line="222" w:lineRule="exact"/>
        <w:rPr>
          <w:sz w:val="20"/>
          <w:szCs w:val="20"/>
          <w:color w:val="auto"/>
        </w:rPr>
      </w:pPr>
    </w:p>
    <w:p>
      <w:pPr>
        <w:jc w:val="both"/>
        <w:ind w:left="6"/>
        <w:spacing w:after="0" w:line="220" w:lineRule="auto"/>
        <w:rPr>
          <w:sz w:val="20"/>
          <w:szCs w:val="20"/>
          <w:color w:val="auto"/>
        </w:rPr>
      </w:pPr>
      <w:r>
        <w:rPr>
          <w:rFonts w:ascii="Arial" w:cs="Arial" w:eastAsia="Arial" w:hAnsi="Arial"/>
          <w:sz w:val="21"/>
          <w:szCs w:val="21"/>
          <w:color w:val="auto"/>
        </w:rPr>
        <w:t>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70" w:lineRule="exact"/>
        <w:rPr>
          <w:sz w:val="20"/>
          <w:szCs w:val="20"/>
          <w:color w:val="auto"/>
        </w:rPr>
      </w:pPr>
    </w:p>
    <w:p>
      <w:pPr>
        <w:jc w:val="both"/>
        <w:ind w:left="6" w:hanging="6"/>
        <w:spacing w:after="0"/>
        <w:tabs>
          <w:tab w:leader="none" w:pos="703"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Non-Solicitation and Non-Servicing</w:t>
      </w:r>
      <w:r>
        <w:rPr>
          <w:rFonts w:ascii="Arial" w:cs="Arial" w:eastAsia="Arial" w:hAnsi="Arial"/>
          <w:sz w:val="21"/>
          <w:szCs w:val="21"/>
          <w:color w:val="auto"/>
        </w:rPr>
        <w:t>. During Executive’s employment with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continuing for a period of twelve (12) months after termination of Executive’s employment with the Company for any reason, whether under this Agreement or otherwise, Executive shall not directly or indirectly, personally or through others,</w:t>
      </w:r>
    </w:p>
    <w:p>
      <w:pPr>
        <w:spacing w:after="0" w:line="200" w:lineRule="exact"/>
        <w:rPr>
          <w:rFonts w:ascii="Arial" w:cs="Arial" w:eastAsia="Arial" w:hAnsi="Arial"/>
          <w:sz w:val="21"/>
          <w:szCs w:val="21"/>
          <w:b w:val="1"/>
          <w:bCs w:val="1"/>
          <w:color w:val="auto"/>
        </w:rPr>
      </w:pPr>
    </w:p>
    <w:p>
      <w:pPr>
        <w:spacing w:after="0" w:line="205" w:lineRule="exact"/>
        <w:rPr>
          <w:rFonts w:ascii="Arial" w:cs="Arial" w:eastAsia="Arial" w:hAnsi="Arial"/>
          <w:sz w:val="21"/>
          <w:szCs w:val="21"/>
          <w:b w:val="1"/>
          <w:bCs w:val="1"/>
          <w:color w:val="auto"/>
        </w:rPr>
      </w:pPr>
    </w:p>
    <w:p>
      <w:pPr>
        <w:ind w:left="646" w:right="200" w:hanging="8"/>
        <w:spacing w:after="0" w:line="211" w:lineRule="auto"/>
        <w:tabs>
          <w:tab w:leader="none" w:pos="1354"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2" w:lineRule="exact"/>
        <w:rPr>
          <w:rFonts w:ascii="Arial" w:cs="Arial" w:eastAsia="Arial" w:hAnsi="Arial"/>
          <w:sz w:val="21"/>
          <w:szCs w:val="21"/>
          <w:color w:val="auto"/>
        </w:rPr>
      </w:pPr>
    </w:p>
    <w:p>
      <w:pPr>
        <w:ind w:left="646" w:right="60" w:hanging="8"/>
        <w:spacing w:after="0" w:line="211" w:lineRule="auto"/>
        <w:tabs>
          <w:tab w:leader="none" w:pos="1348"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Executive’s, Executive’s contractual or other relationship with the Company; provided, however, this subparagraph (ii) shall not apply to any employee of the Company who reports in to Executive’s organization, was recommended by Executive and had worked with Executive at at least two prior organizations; or</w:t>
      </w:r>
    </w:p>
    <w:p>
      <w:pPr>
        <w:spacing w:after="0" w:line="3" w:lineRule="exact"/>
        <w:rPr>
          <w:rFonts w:ascii="Arial" w:cs="Arial" w:eastAsia="Arial" w:hAnsi="Arial"/>
          <w:sz w:val="21"/>
          <w:szCs w:val="21"/>
          <w:color w:val="auto"/>
        </w:rPr>
      </w:pPr>
    </w:p>
    <w:p>
      <w:pPr>
        <w:ind w:left="1346" w:hanging="708"/>
        <w:spacing w:after="0" w:line="211" w:lineRule="auto"/>
        <w:tabs>
          <w:tab w:leader="none" w:pos="1346" w:val="left"/>
        </w:tabs>
        <w:numPr>
          <w:ilvl w:val="1"/>
          <w:numId w:val="104"/>
        </w:numPr>
        <w:rPr>
          <w:rFonts w:ascii="Arial" w:cs="Arial" w:eastAsia="Arial" w:hAnsi="Arial"/>
          <w:sz w:val="21"/>
          <w:szCs w:val="21"/>
          <w:color w:val="auto"/>
        </w:rPr>
      </w:pPr>
      <w:r>
        <w:rPr>
          <w:rFonts w:ascii="Arial" w:cs="Arial" w:eastAsia="Arial" w:hAnsi="Arial"/>
          <w:sz w:val="21"/>
          <w:szCs w:val="21"/>
          <w:color w:val="auto"/>
        </w:rPr>
        <w:t>render to or for any Client any services of the type rendered by the Company; or</w:t>
      </w:r>
    </w:p>
    <w:p>
      <w:pPr>
        <w:ind w:left="646" w:right="300" w:hanging="8"/>
        <w:spacing w:after="0" w:line="218" w:lineRule="auto"/>
        <w:tabs>
          <w:tab w:leader="none" w:pos="1354"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or attempt to persuade any employee of or consultant to the Company to leave the employ of the Company or to breach any service arrangement with the Company.</w:t>
      </w:r>
    </w:p>
    <w:p>
      <w:pPr>
        <w:spacing w:after="0" w:line="133" w:lineRule="exact"/>
        <w:rPr>
          <w:rFonts w:ascii="Arial" w:cs="Arial" w:eastAsia="Arial" w:hAnsi="Arial"/>
          <w:sz w:val="21"/>
          <w:szCs w:val="21"/>
          <w:color w:val="auto"/>
        </w:rPr>
      </w:pPr>
    </w:p>
    <w:p>
      <w:pPr>
        <w:ind w:left="6" w:right="20" w:hanging="6"/>
        <w:spacing w:after="0" w:line="252" w:lineRule="auto"/>
        <w:tabs>
          <w:tab w:leader="none" w:pos="705"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Non-Disclosure</w:t>
      </w:r>
      <w:r>
        <w:rPr>
          <w:rFonts w:ascii="Arial" w:cs="Arial" w:eastAsia="Arial" w:hAnsi="Arial"/>
          <w:sz w:val="21"/>
          <w:szCs w:val="21"/>
          <w:color w:val="auto"/>
        </w:rPr>
        <w:t>. Executive has entered into a Proprietary Information and Inventions Agreement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which is incorporated herein by reference.</w:t>
      </w:r>
    </w:p>
    <w:p>
      <w:pPr>
        <w:spacing w:after="0" w:line="170" w:lineRule="exact"/>
        <w:rPr>
          <w:rFonts w:ascii="Arial" w:cs="Arial" w:eastAsia="Arial" w:hAnsi="Arial"/>
          <w:sz w:val="21"/>
          <w:szCs w:val="21"/>
          <w:b w:val="1"/>
          <w:bCs w:val="1"/>
          <w:color w:val="auto"/>
        </w:rPr>
      </w:pPr>
    </w:p>
    <w:p>
      <w:pPr>
        <w:jc w:val="both"/>
        <w:ind w:left="6" w:hanging="6"/>
        <w:spacing w:after="0" w:line="225" w:lineRule="auto"/>
        <w:tabs>
          <w:tab w:leader="none" w:pos="703"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Reasonable</w:t>
      </w:r>
      <w:r>
        <w:rPr>
          <w:rFonts w:ascii="Arial" w:cs="Arial" w:eastAsia="Arial" w:hAnsi="Arial"/>
          <w:sz w:val="21"/>
          <w:szCs w:val="21"/>
          <w:color w:val="auto"/>
        </w:rPr>
        <w:t>. Executive agrees and acknowledges that the time limitation on the restrictions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 combined with the geographic scope, is reasonable. Executive also acknowledges and agrees that this provision is reasonably necessary for the protection of Proprietary Information, that through Executive’s employment he shall receive adequate consideration for any loss of opportunity associated with the provisions herein, and that these provisions provide a reasonable way of protecting the Company’s</w:t>
      </w:r>
    </w:p>
    <w:p>
      <w:pPr>
        <w:sectPr>
          <w:pgSz w:w="11900" w:h="16838" w:orient="portrait"/>
          <w:cols w:equalWidth="0" w:num="1">
            <w:col w:w="10566"/>
          </w:cols>
          <w:pgMar w:left="894" w:top="1440" w:right="439" w:bottom="1440" w:gutter="0" w:footer="0" w:header="0"/>
        </w:sectPr>
      </w:pPr>
    </w:p>
    <w:bookmarkStart w:id="144" w:name="page145"/>
    <w:bookmarkEnd w:id="144"/>
    <w:p>
      <w:pPr>
        <w:spacing w:after="0" w:line="200" w:lineRule="exact"/>
        <w:rPr>
          <w:sz w:val="20"/>
          <w:szCs w:val="20"/>
          <w:color w:val="auto"/>
        </w:rPr>
      </w:pPr>
    </w:p>
    <w:p>
      <w:pPr>
        <w:spacing w:after="0" w:line="222" w:lineRule="exact"/>
        <w:rPr>
          <w:sz w:val="20"/>
          <w:szCs w:val="20"/>
          <w:color w:val="auto"/>
        </w:rPr>
      </w:pPr>
    </w:p>
    <w:p>
      <w:pPr>
        <w:jc w:val="both"/>
        <w:ind w:left="7"/>
        <w:spacing w:after="0" w:line="222" w:lineRule="auto"/>
        <w:rPr>
          <w:sz w:val="20"/>
          <w:szCs w:val="20"/>
          <w:color w:val="auto"/>
        </w:rPr>
      </w:pPr>
      <w:r>
        <w:rPr>
          <w:rFonts w:ascii="Arial" w:cs="Arial" w:eastAsia="Arial" w:hAnsi="Arial"/>
          <w:sz w:val="21"/>
          <w:szCs w:val="21"/>
          <w:color w:val="auto"/>
        </w:rPr>
        <w:t>business value which will be imparted to him. If any restriction set forth in this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71" w:lineRule="exact"/>
        <w:rPr>
          <w:sz w:val="20"/>
          <w:szCs w:val="20"/>
          <w:color w:val="auto"/>
        </w:rPr>
      </w:pPr>
    </w:p>
    <w:p>
      <w:pPr>
        <w:ind w:left="627" w:hanging="627"/>
        <w:spacing w:after="0"/>
        <w:tabs>
          <w:tab w:leader="none" w:pos="627"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Successors.</w:t>
      </w:r>
    </w:p>
    <w:p>
      <w:pPr>
        <w:spacing w:after="0" w:line="223" w:lineRule="exact"/>
        <w:rPr>
          <w:rFonts w:ascii="Arial" w:cs="Arial" w:eastAsia="Arial" w:hAnsi="Arial"/>
          <w:sz w:val="21"/>
          <w:szCs w:val="21"/>
          <w:b w:val="1"/>
          <w:bCs w:val="1"/>
          <w:color w:val="auto"/>
        </w:rPr>
      </w:pPr>
    </w:p>
    <w:p>
      <w:pPr>
        <w:jc w:val="both"/>
        <w:ind w:left="7" w:right="20" w:hanging="6"/>
        <w:spacing w:after="0" w:line="228" w:lineRule="auto"/>
        <w:tabs>
          <w:tab w:leader="none" w:pos="706" w:val="left"/>
        </w:tabs>
        <w:numPr>
          <w:ilvl w:val="1"/>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This Plan shall be binding upon any successor (whether direct or indirect and</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by purchase, lease, merger, consolidation, liquidation or otherwise) to all or substantially all of the Company’s business and/or assets. For all purposes hereunder, the term “Company” shall include any successor to the Company’s business and/or assets which becomes bound by this Plan.</w:t>
      </w:r>
    </w:p>
    <w:p>
      <w:pPr>
        <w:spacing w:after="0" w:line="185" w:lineRule="exact"/>
        <w:rPr>
          <w:rFonts w:ascii="Arial" w:cs="Arial" w:eastAsia="Arial" w:hAnsi="Arial"/>
          <w:sz w:val="21"/>
          <w:szCs w:val="21"/>
          <w:b w:val="1"/>
          <w:bCs w:val="1"/>
          <w:color w:val="auto"/>
        </w:rPr>
      </w:pPr>
    </w:p>
    <w:p>
      <w:pPr>
        <w:jc w:val="both"/>
        <w:ind w:left="7" w:hanging="6"/>
        <w:spacing w:after="0" w:line="234" w:lineRule="auto"/>
        <w:tabs>
          <w:tab w:leader="none" w:pos="704" w:val="left"/>
        </w:tabs>
        <w:numPr>
          <w:ilvl w:val="1"/>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Employee’s Successors</w:t>
      </w:r>
      <w:r>
        <w:rPr>
          <w:rFonts w:ascii="Arial" w:cs="Arial" w:eastAsia="Arial" w:hAnsi="Arial"/>
          <w:sz w:val="21"/>
          <w:szCs w:val="21"/>
          <w:color w:val="auto"/>
        </w:rPr>
        <w:t>. This Plan and all rights of Executive hereunder shall inure to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and be enforceable by, Executive’s personal or legal representatives, executors, administrators, successors, heirs, distributees, devisees and legatees.</w:t>
      </w:r>
    </w:p>
    <w:p>
      <w:pPr>
        <w:spacing w:after="0" w:line="171" w:lineRule="exact"/>
        <w:rPr>
          <w:rFonts w:ascii="Arial" w:cs="Arial" w:eastAsia="Arial" w:hAnsi="Arial"/>
          <w:sz w:val="21"/>
          <w:szCs w:val="21"/>
          <w:b w:val="1"/>
          <w:bCs w:val="1"/>
          <w:color w:val="auto"/>
        </w:rPr>
      </w:pPr>
    </w:p>
    <w:p>
      <w:pPr>
        <w:ind w:left="627" w:hanging="627"/>
        <w:spacing w:after="0"/>
        <w:tabs>
          <w:tab w:leader="none" w:pos="627"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Taxes.</w:t>
      </w:r>
    </w:p>
    <w:p>
      <w:pPr>
        <w:spacing w:after="0" w:line="223" w:lineRule="exact"/>
        <w:rPr>
          <w:rFonts w:ascii="Arial" w:cs="Arial" w:eastAsia="Arial" w:hAnsi="Arial"/>
          <w:sz w:val="21"/>
          <w:szCs w:val="21"/>
          <w:b w:val="1"/>
          <w:bCs w:val="1"/>
          <w:color w:val="auto"/>
        </w:rPr>
      </w:pPr>
    </w:p>
    <w:p>
      <w:pPr>
        <w:ind w:left="7" w:right="20" w:hanging="6"/>
        <w:spacing w:after="0" w:line="252" w:lineRule="auto"/>
        <w:tabs>
          <w:tab w:leader="none" w:pos="706" w:val="left"/>
        </w:tabs>
        <w:numPr>
          <w:ilvl w:val="1"/>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All payments made hereunder shall be subject to reduction to reflect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 and payroll taxes or other deductions required to be withheld by law.</w:t>
      </w:r>
    </w:p>
    <w:p>
      <w:pPr>
        <w:spacing w:after="0" w:line="157" w:lineRule="exact"/>
        <w:rPr>
          <w:rFonts w:ascii="Arial" w:cs="Arial" w:eastAsia="Arial" w:hAnsi="Arial"/>
          <w:sz w:val="21"/>
          <w:szCs w:val="21"/>
          <w:b w:val="1"/>
          <w:bCs w:val="1"/>
          <w:color w:val="auto"/>
        </w:rPr>
      </w:pPr>
    </w:p>
    <w:p>
      <w:pPr>
        <w:jc w:val="both"/>
        <w:ind w:left="7" w:hanging="6"/>
        <w:spacing w:after="0" w:line="228" w:lineRule="auto"/>
        <w:tabs>
          <w:tab w:leader="none" w:pos="704" w:val="left"/>
        </w:tabs>
        <w:numPr>
          <w:ilvl w:val="1"/>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Tax Advice</w:t>
      </w:r>
      <w:r>
        <w:rPr>
          <w:rFonts w:ascii="Arial" w:cs="Arial" w:eastAsia="Arial" w:hAnsi="Arial"/>
          <w:sz w:val="21"/>
          <w:szCs w:val="21"/>
          <w:color w:val="auto"/>
        </w:rPr>
        <w:t>. Executive is encouraged to obtain Executive’s own tax advice regarding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from the Company. 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85" w:lineRule="exact"/>
        <w:rPr>
          <w:rFonts w:ascii="Arial" w:cs="Arial" w:eastAsia="Arial" w:hAnsi="Arial"/>
          <w:sz w:val="21"/>
          <w:szCs w:val="21"/>
          <w:b w:val="1"/>
          <w:bCs w:val="1"/>
          <w:color w:val="auto"/>
        </w:rPr>
      </w:pPr>
    </w:p>
    <w:p>
      <w:pPr>
        <w:jc w:val="both"/>
        <w:ind w:left="7" w:hanging="6"/>
        <w:spacing w:after="0" w:line="230" w:lineRule="auto"/>
        <w:tabs>
          <w:tab w:leader="none" w:pos="706" w:val="left"/>
        </w:tabs>
        <w:numPr>
          <w:ilvl w:val="1"/>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Parachute Taxes</w:t>
      </w:r>
      <w:r>
        <w:rPr>
          <w:rFonts w:ascii="Arial" w:cs="Arial" w:eastAsia="Arial" w:hAnsi="Arial"/>
          <w:sz w:val="21"/>
          <w:szCs w:val="21"/>
          <w:color w:val="auto"/>
        </w:rPr>
        <w:t>. Notwithstanding anything in this Plan to the contrary, if it shall be determined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or distribution by the Company to or for the benefit of Executive, whether paid or payable or distributed or distributable pursuant to the terms hereunder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9f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6 above, and the amount of Executive’s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w:t>
      </w:r>
    </w:p>
    <w:p>
      <w:pPr>
        <w:sectPr>
          <w:pgSz w:w="11900" w:h="16838" w:orient="portrait"/>
          <w:cols w:equalWidth="0" w:num="1">
            <w:col w:w="10567"/>
          </w:cols>
          <w:pgMar w:left="893" w:top="1440" w:right="439" w:bottom="1440" w:gutter="0" w:footer="0" w:header="0"/>
        </w:sectPr>
      </w:pPr>
    </w:p>
    <w:bookmarkStart w:id="145" w:name="page146"/>
    <w:bookmarkEnd w:id="145"/>
    <w:p>
      <w:pPr>
        <w:spacing w:after="0" w:line="200" w:lineRule="exact"/>
        <w:rPr>
          <w:sz w:val="20"/>
          <w:szCs w:val="20"/>
          <w:color w:val="auto"/>
        </w:rPr>
      </w:pPr>
    </w:p>
    <w:p>
      <w:pPr>
        <w:spacing w:after="0" w:line="222" w:lineRule="exact"/>
        <w:rPr>
          <w:sz w:val="20"/>
          <w:szCs w:val="20"/>
          <w:color w:val="auto"/>
        </w:rPr>
      </w:pPr>
    </w:p>
    <w:p>
      <w:pPr>
        <w:jc w:val="both"/>
        <w:ind w:left="7"/>
        <w:spacing w:after="0" w:line="217" w:lineRule="auto"/>
        <w:rPr>
          <w:sz w:val="20"/>
          <w:szCs w:val="20"/>
          <w:color w:val="auto"/>
        </w:rPr>
      </w:pPr>
      <w:r>
        <w:rPr>
          <w:rFonts w:ascii="Arial" w:cs="Arial" w:eastAsia="Arial" w:hAnsi="Arial"/>
          <w:sz w:val="21"/>
          <w:szCs w:val="21"/>
          <w:color w:val="auto"/>
        </w:rPr>
        <w:t>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74" w:lineRule="exact"/>
        <w:rPr>
          <w:sz w:val="20"/>
          <w:szCs w:val="20"/>
          <w:color w:val="auto"/>
        </w:rPr>
      </w:pPr>
    </w:p>
    <w:p>
      <w:pPr>
        <w:ind w:left="627" w:hanging="627"/>
        <w:spacing w:after="0"/>
        <w:tabs>
          <w:tab w:leader="none" w:pos="627"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224" w:lineRule="exact"/>
        <w:rPr>
          <w:sz w:val="20"/>
          <w:szCs w:val="20"/>
          <w:color w:val="auto"/>
        </w:rPr>
      </w:pPr>
    </w:p>
    <w:p>
      <w:pPr>
        <w:ind w:left="627" w:hanging="627"/>
        <w:spacing w:after="0"/>
        <w:tabs>
          <w:tab w:leader="none" w:pos="627"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Cause</w:t>
      </w:r>
      <w:r>
        <w:rPr>
          <w:rFonts w:ascii="Arial" w:cs="Arial" w:eastAsia="Arial" w:hAnsi="Arial"/>
          <w:sz w:val="21"/>
          <w:szCs w:val="21"/>
          <w:color w:val="auto"/>
        </w:rPr>
        <w:t>. For all purposes under this Plan, “Cause” shall mean:</w:t>
      </w:r>
    </w:p>
    <w:p>
      <w:pPr>
        <w:spacing w:after="0" w:line="249" w:lineRule="exact"/>
        <w:rPr>
          <w:rFonts w:ascii="Arial" w:cs="Arial" w:eastAsia="Arial" w:hAnsi="Arial"/>
          <w:sz w:val="21"/>
          <w:szCs w:val="21"/>
          <w:b w:val="1"/>
          <w:bCs w:val="1"/>
          <w:color w:val="auto"/>
        </w:rPr>
      </w:pPr>
    </w:p>
    <w:p>
      <w:pPr>
        <w:ind w:left="647" w:right="20" w:hanging="8"/>
        <w:spacing w:after="0" w:line="233" w:lineRule="auto"/>
        <w:tabs>
          <w:tab w:leader="none" w:pos="1355"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An intentional and unauthorized use or disclosure by Executive of the Company’s confidential information or trade secrets, which use or disclosure causes material harm to the Company;</w:t>
      </w:r>
    </w:p>
    <w:p>
      <w:pPr>
        <w:spacing w:after="0" w:line="195" w:lineRule="exact"/>
        <w:rPr>
          <w:rFonts w:ascii="Arial" w:cs="Arial" w:eastAsia="Arial" w:hAnsi="Arial"/>
          <w:sz w:val="21"/>
          <w:szCs w:val="21"/>
          <w:color w:val="auto"/>
        </w:rPr>
      </w:pPr>
    </w:p>
    <w:p>
      <w:pPr>
        <w:ind w:left="1347" w:hanging="708"/>
        <w:spacing w:after="0"/>
        <w:tabs>
          <w:tab w:leader="none" w:pos="134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 material breach by Executive of any material agreement between Executive and the Company;</w:t>
      </w:r>
    </w:p>
    <w:p>
      <w:pPr>
        <w:spacing w:after="0" w:line="195" w:lineRule="exact"/>
        <w:rPr>
          <w:rFonts w:ascii="Arial" w:cs="Arial" w:eastAsia="Arial" w:hAnsi="Arial"/>
          <w:sz w:val="21"/>
          <w:szCs w:val="21"/>
          <w:color w:val="auto"/>
        </w:rPr>
      </w:pPr>
    </w:p>
    <w:p>
      <w:pPr>
        <w:ind w:left="1267" w:hanging="629"/>
        <w:spacing w:after="0"/>
        <w:tabs>
          <w:tab w:leader="none" w:pos="126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 material failure by Executive to comply with the Company’s written</w:t>
      </w:r>
    </w:p>
    <w:p>
      <w:pPr>
        <w:ind w:left="647"/>
        <w:spacing w:after="0"/>
        <w:rPr>
          <w:sz w:val="20"/>
          <w:szCs w:val="20"/>
          <w:color w:val="auto"/>
        </w:rPr>
      </w:pPr>
      <w:r>
        <w:rPr>
          <w:rFonts w:ascii="Arial" w:cs="Arial" w:eastAsia="Arial" w:hAnsi="Arial"/>
          <w:sz w:val="21"/>
          <w:szCs w:val="21"/>
          <w:color w:val="auto"/>
        </w:rPr>
        <w:t>policies or rules;</w:t>
      </w:r>
    </w:p>
    <w:p>
      <w:pPr>
        <w:spacing w:after="0" w:line="211" w:lineRule="exact"/>
        <w:rPr>
          <w:sz w:val="20"/>
          <w:szCs w:val="20"/>
          <w:color w:val="auto"/>
        </w:rPr>
      </w:pPr>
    </w:p>
    <w:p>
      <w:pPr>
        <w:ind w:left="647" w:right="2220" w:hanging="9"/>
        <w:spacing w:after="0" w:line="233" w:lineRule="auto"/>
        <w:tabs>
          <w:tab w:leader="none" w:pos="1274"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Executive’s conviction of, indictment for or plea of “guilty” or “no contest” to, a felony under the laws of the United States or any State thereof;</w:t>
      </w:r>
    </w:p>
    <w:p>
      <w:pPr>
        <w:spacing w:after="0" w:line="209" w:lineRule="exact"/>
        <w:rPr>
          <w:rFonts w:ascii="Arial" w:cs="Arial" w:eastAsia="Arial" w:hAnsi="Arial"/>
          <w:sz w:val="21"/>
          <w:szCs w:val="21"/>
          <w:color w:val="auto"/>
        </w:rPr>
      </w:pPr>
    </w:p>
    <w:p>
      <w:pPr>
        <w:ind w:left="1347" w:hanging="708"/>
        <w:spacing w:after="0"/>
        <w:tabs>
          <w:tab w:leader="none" w:pos="1347"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Executive’s gross negligence or willful misconduct which causes material harm to the Company;</w:t>
      </w:r>
    </w:p>
    <w:p>
      <w:pPr>
        <w:spacing w:after="0" w:line="223" w:lineRule="exact"/>
        <w:rPr>
          <w:rFonts w:ascii="Arial" w:cs="Arial" w:eastAsia="Arial" w:hAnsi="Arial"/>
          <w:sz w:val="21"/>
          <w:szCs w:val="21"/>
          <w:color w:val="auto"/>
        </w:rPr>
      </w:pPr>
    </w:p>
    <w:p>
      <w:pPr>
        <w:jc w:val="both"/>
        <w:ind w:left="647" w:hanging="8"/>
        <w:spacing w:after="0" w:line="225" w:lineRule="auto"/>
        <w:tabs>
          <w:tab w:leader="none" w:pos="135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98" w:lineRule="exact"/>
        <w:rPr>
          <w:rFonts w:ascii="Arial" w:cs="Arial" w:eastAsia="Arial" w:hAnsi="Arial"/>
          <w:sz w:val="21"/>
          <w:szCs w:val="21"/>
          <w:color w:val="auto"/>
        </w:rPr>
      </w:pPr>
    </w:p>
    <w:p>
      <w:pPr>
        <w:jc w:val="both"/>
        <w:ind w:left="647" w:right="20" w:hanging="8"/>
        <w:spacing w:after="0" w:line="225" w:lineRule="auto"/>
        <w:tabs>
          <w:tab w:leader="none" w:pos="1344" w:val="left"/>
        </w:tabs>
        <w:numPr>
          <w:ilvl w:val="0"/>
          <w:numId w:val="108"/>
        </w:numPr>
        <w:rPr>
          <w:rFonts w:ascii="Arial" w:cs="Arial" w:eastAsia="Arial" w:hAnsi="Arial"/>
          <w:sz w:val="21"/>
          <w:szCs w:val="21"/>
          <w:b w:val="1"/>
          <w:bCs w:val="1"/>
          <w:color w:val="auto"/>
        </w:rPr>
      </w:pPr>
      <w:r>
        <w:rPr>
          <w:rFonts w:ascii="Arial" w:cs="Arial" w:eastAsia="Arial" w:hAnsi="Arial"/>
          <w:sz w:val="21"/>
          <w:szCs w:val="21"/>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212" w:lineRule="exact"/>
        <w:rPr>
          <w:sz w:val="20"/>
          <w:szCs w:val="20"/>
          <w:color w:val="auto"/>
        </w:rPr>
      </w:pPr>
    </w:p>
    <w:p>
      <w:pPr>
        <w:jc w:val="both"/>
        <w:ind w:left="7" w:right="320"/>
        <w:spacing w:after="0" w:line="225" w:lineRule="auto"/>
        <w:rPr>
          <w:sz w:val="20"/>
          <w:szCs w:val="20"/>
          <w:color w:val="auto"/>
        </w:rPr>
      </w:pPr>
      <w:r>
        <w:rPr>
          <w:rFonts w:ascii="Arial" w:cs="Arial" w:eastAsia="Arial" w:hAnsi="Arial"/>
          <w:sz w:val="21"/>
          <w:szCs w:val="21"/>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32" w:lineRule="exact"/>
        <w:rPr>
          <w:sz w:val="20"/>
          <w:szCs w:val="20"/>
          <w:color w:val="auto"/>
        </w:rPr>
      </w:pPr>
    </w:p>
    <w:p>
      <w:pPr>
        <w:ind w:left="7" w:right="2500" w:hanging="7"/>
        <w:spacing w:after="0" w:line="252" w:lineRule="auto"/>
        <w:tabs>
          <w:tab w:leader="none" w:pos="637"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For all purposes under this Plan, “Change in Control” shall</w:t>
      </w:r>
      <w:r>
        <w:rPr>
          <w:rFonts w:ascii="Arial" w:cs="Arial" w:eastAsia="Arial" w:hAnsi="Arial"/>
          <w:sz w:val="21"/>
          <w:szCs w:val="21"/>
          <w:b w:val="1"/>
          <w:bCs w:val="1"/>
          <w:color w:val="auto"/>
        </w:rPr>
        <w:t xml:space="preserve"> </w:t>
      </w:r>
      <w:r>
        <w:rPr>
          <w:rFonts w:ascii="Arial" w:cs="Arial" w:eastAsia="Arial" w:hAnsi="Arial"/>
          <w:sz w:val="21"/>
          <w:szCs w:val="21"/>
          <w:color w:val="auto"/>
        </w:rPr>
        <w:t>mean the occurrence of:</w:t>
      </w:r>
    </w:p>
    <w:p>
      <w:pPr>
        <w:spacing w:after="0" w:line="196" w:lineRule="exact"/>
        <w:rPr>
          <w:rFonts w:ascii="Arial" w:cs="Arial" w:eastAsia="Arial" w:hAnsi="Arial"/>
          <w:sz w:val="21"/>
          <w:szCs w:val="21"/>
          <w:b w:val="1"/>
          <w:bCs w:val="1"/>
          <w:color w:val="auto"/>
        </w:rPr>
      </w:pPr>
    </w:p>
    <w:p>
      <w:pPr>
        <w:ind w:left="647" w:right="1000" w:hanging="8"/>
        <w:spacing w:after="0" w:line="233" w:lineRule="auto"/>
        <w:tabs>
          <w:tab w:leader="none" w:pos="1355"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acquisition, by a person or persons acting as a group, of the Company's stock that, together with other stock held by such person or group,</w:t>
      </w:r>
    </w:p>
    <w:p>
      <w:pPr>
        <w:sectPr>
          <w:pgSz w:w="11900" w:h="16838" w:orient="portrait"/>
          <w:cols w:equalWidth="0" w:num="1">
            <w:col w:w="10567"/>
          </w:cols>
          <w:pgMar w:left="893" w:top="1440" w:right="439" w:bottom="1440" w:gutter="0" w:footer="0" w:header="0"/>
        </w:sectPr>
      </w:pPr>
    </w:p>
    <w:bookmarkStart w:id="146" w:name="page147"/>
    <w:bookmarkEnd w:id="146"/>
    <w:p>
      <w:pPr>
        <w:spacing w:after="0" w:line="393" w:lineRule="exact"/>
        <w:rPr>
          <w:sz w:val="20"/>
          <w:szCs w:val="20"/>
          <w:color w:val="auto"/>
        </w:rPr>
      </w:pPr>
    </w:p>
    <w:p>
      <w:pPr>
        <w:ind w:left="647"/>
        <w:spacing w:after="0"/>
        <w:rPr>
          <w:sz w:val="20"/>
          <w:szCs w:val="20"/>
          <w:color w:val="auto"/>
        </w:rPr>
      </w:pPr>
      <w:r>
        <w:rPr>
          <w:rFonts w:ascii="Arial" w:cs="Arial" w:eastAsia="Arial" w:hAnsi="Arial"/>
          <w:sz w:val="21"/>
          <w:szCs w:val="21"/>
          <w:color w:val="auto"/>
        </w:rPr>
        <w:t>constitutes more than 50% of the total fair market value or total voting power of the Company;</w:t>
      </w:r>
    </w:p>
    <w:p>
      <w:pPr>
        <w:jc w:val="both"/>
        <w:ind w:left="647" w:right="560" w:hanging="8"/>
        <w:spacing w:after="0" w:line="211" w:lineRule="auto"/>
        <w:tabs>
          <w:tab w:leader="none" w:pos="1349"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30% or more of the total voting power of the Company;</w:t>
      </w:r>
    </w:p>
    <w:p>
      <w:pPr>
        <w:jc w:val="both"/>
        <w:ind w:left="647" w:right="580" w:hanging="8"/>
        <w:spacing w:after="0" w:line="211" w:lineRule="auto"/>
        <w:tabs>
          <w:tab w:leader="none" w:pos="1356"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 w:lineRule="exact"/>
        <w:rPr>
          <w:rFonts w:ascii="Arial" w:cs="Arial" w:eastAsia="Arial" w:hAnsi="Arial"/>
          <w:sz w:val="21"/>
          <w:szCs w:val="21"/>
          <w:color w:val="auto"/>
        </w:rPr>
      </w:pPr>
    </w:p>
    <w:p>
      <w:pPr>
        <w:ind w:left="647" w:right="440" w:hanging="8"/>
        <w:spacing w:after="0" w:line="211" w:lineRule="auto"/>
        <w:tabs>
          <w:tab w:leader="none" w:pos="1355"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2" w:lineRule="exact"/>
        <w:rPr>
          <w:rFonts w:ascii="Arial" w:cs="Arial" w:eastAsia="Arial" w:hAnsi="Arial"/>
          <w:sz w:val="21"/>
          <w:szCs w:val="21"/>
          <w:color w:val="auto"/>
        </w:rPr>
      </w:pPr>
    </w:p>
    <w:p>
      <w:pPr>
        <w:ind w:left="647" w:right="500" w:firstLine="638"/>
        <w:spacing w:after="0" w:line="220" w:lineRule="auto"/>
        <w:rPr>
          <w:rFonts w:ascii="Arial" w:cs="Arial" w:eastAsia="Arial" w:hAnsi="Arial"/>
          <w:sz w:val="21"/>
          <w:szCs w:val="21"/>
          <w:color w:val="auto"/>
        </w:rPr>
      </w:pPr>
      <w:r>
        <w:rPr>
          <w:rFonts w:ascii="Arial" w:cs="Arial" w:eastAsia="Arial" w:hAnsi="Arial"/>
          <w:sz w:val="21"/>
          <w:szCs w:val="21"/>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30" w:lineRule="exact"/>
        <w:rPr>
          <w:rFonts w:ascii="Arial" w:cs="Arial" w:eastAsia="Arial" w:hAnsi="Arial"/>
          <w:sz w:val="21"/>
          <w:szCs w:val="21"/>
          <w:color w:val="auto"/>
        </w:rPr>
      </w:pPr>
    </w:p>
    <w:p>
      <w:pPr>
        <w:jc w:val="both"/>
        <w:ind w:left="7" w:hanging="6"/>
        <w:spacing w:after="0" w:line="219" w:lineRule="auto"/>
        <w:tabs>
          <w:tab w:leader="none" w:pos="706"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Client. </w:t>
      </w:r>
      <w:r>
        <w:rPr>
          <w:rFonts w:ascii="Arial" w:cs="Arial" w:eastAsia="Arial" w:hAnsi="Arial"/>
          <w:sz w:val="21"/>
          <w:szCs w:val="21"/>
          <w:color w:val="auto"/>
        </w:rPr>
        <w:t>For all purposes under this Plan, “Client” shall mean (i) anyone who is a client of the Company as</w:t>
      </w:r>
      <w:r>
        <w:rPr>
          <w:rFonts w:ascii="Arial" w:cs="Arial" w:eastAsia="Arial" w:hAnsi="Arial"/>
          <w:sz w:val="21"/>
          <w:szCs w:val="21"/>
          <w:b w:val="1"/>
          <w:bCs w:val="1"/>
          <w:color w:val="auto"/>
        </w:rPr>
        <w:t xml:space="preserve"> </w:t>
      </w:r>
      <w:r>
        <w:rPr>
          <w:rFonts w:ascii="Arial" w:cs="Arial" w:eastAsia="Arial" w:hAnsi="Arial"/>
          <w:sz w:val="21"/>
          <w:szCs w:val="21"/>
          <w:color w:val="auto"/>
        </w:rPr>
        <w:t>of, or at any time during 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70" w:lineRule="exact"/>
        <w:rPr>
          <w:rFonts w:ascii="Arial" w:cs="Arial" w:eastAsia="Arial" w:hAnsi="Arial"/>
          <w:sz w:val="21"/>
          <w:szCs w:val="21"/>
          <w:b w:val="1"/>
          <w:bCs w:val="1"/>
          <w:color w:val="auto"/>
        </w:rPr>
      </w:pPr>
    </w:p>
    <w:p>
      <w:pPr>
        <w:ind w:left="7" w:hanging="6"/>
        <w:spacing w:after="0" w:line="252" w:lineRule="auto"/>
        <w:tabs>
          <w:tab w:leader="none" w:pos="704"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Code</w:t>
      </w:r>
      <w:r>
        <w:rPr>
          <w:rFonts w:ascii="Arial" w:cs="Arial" w:eastAsia="Arial" w:hAnsi="Arial"/>
          <w:sz w:val="21"/>
          <w:szCs w:val="21"/>
          <w:color w:val="auto"/>
        </w:rPr>
        <w:t>. For all purposes under this Plan, “Code” shall mean the Internal Revenue Code of 1986, as</w:t>
      </w:r>
      <w:r>
        <w:rPr>
          <w:rFonts w:ascii="Arial" w:cs="Arial" w:eastAsia="Arial" w:hAnsi="Arial"/>
          <w:sz w:val="21"/>
          <w:szCs w:val="21"/>
          <w:b w:val="1"/>
          <w:bCs w:val="1"/>
          <w:color w:val="auto"/>
        </w:rPr>
        <w:t xml:space="preserve"> </w:t>
      </w:r>
      <w:r>
        <w:rPr>
          <w:rFonts w:ascii="Arial" w:cs="Arial" w:eastAsia="Arial" w:hAnsi="Arial"/>
          <w:sz w:val="21"/>
          <w:szCs w:val="21"/>
          <w:color w:val="auto"/>
        </w:rPr>
        <w:t>amended.</w:t>
      </w:r>
    </w:p>
    <w:p>
      <w:pPr>
        <w:spacing w:after="0" w:line="168" w:lineRule="exact"/>
        <w:rPr>
          <w:rFonts w:ascii="Arial" w:cs="Arial" w:eastAsia="Arial" w:hAnsi="Arial"/>
          <w:sz w:val="21"/>
          <w:szCs w:val="21"/>
          <w:b w:val="1"/>
          <w:bCs w:val="1"/>
          <w:color w:val="auto"/>
        </w:rPr>
      </w:pPr>
    </w:p>
    <w:p>
      <w:pPr>
        <w:ind w:left="627" w:hanging="627"/>
        <w:spacing w:after="0"/>
        <w:tabs>
          <w:tab w:leader="none" w:pos="627"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Company</w:t>
      </w:r>
      <w:r>
        <w:rPr>
          <w:rFonts w:ascii="Arial" w:cs="Arial" w:eastAsia="Arial" w:hAnsi="Arial"/>
          <w:sz w:val="21"/>
          <w:szCs w:val="21"/>
          <w:color w:val="auto"/>
        </w:rPr>
        <w:t>. For all purposes under this Plan, “Company” shall include</w:t>
      </w:r>
    </w:p>
    <w:p>
      <w:pPr>
        <w:ind w:left="7"/>
        <w:spacing w:after="0"/>
        <w:rPr>
          <w:sz w:val="20"/>
          <w:szCs w:val="20"/>
          <w:color w:val="auto"/>
        </w:rPr>
      </w:pPr>
      <w:r>
        <w:rPr>
          <w:rFonts w:ascii="Arial" w:cs="Arial" w:eastAsia="Arial" w:hAnsi="Arial"/>
          <w:sz w:val="21"/>
          <w:szCs w:val="21"/>
          <w:color w:val="auto"/>
        </w:rPr>
        <w:t>Synchronoss Technologies, Inc. and all of its subsidiaries and affiliates.</w:t>
      </w:r>
    </w:p>
    <w:p>
      <w:pPr>
        <w:spacing w:after="0" w:line="198" w:lineRule="exact"/>
        <w:rPr>
          <w:sz w:val="20"/>
          <w:szCs w:val="20"/>
          <w:color w:val="auto"/>
        </w:rPr>
      </w:pPr>
    </w:p>
    <w:p>
      <w:pPr>
        <w:ind w:left="647" w:hanging="647"/>
        <w:spacing w:after="0"/>
        <w:tabs>
          <w:tab w:leader="none" w:pos="647"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Good Reason</w:t>
      </w:r>
      <w:r>
        <w:rPr>
          <w:rFonts w:ascii="Arial" w:cs="Arial" w:eastAsia="Arial" w:hAnsi="Arial"/>
          <w:sz w:val="21"/>
          <w:szCs w:val="21"/>
          <w:color w:val="auto"/>
        </w:rPr>
        <w:t>. For all purposes under this Plan, “Good Reason” shall mean:</w:t>
      </w:r>
    </w:p>
    <w:p>
      <w:pPr>
        <w:spacing w:after="0" w:line="249" w:lineRule="exact"/>
        <w:rPr>
          <w:rFonts w:ascii="Arial" w:cs="Arial" w:eastAsia="Arial" w:hAnsi="Arial"/>
          <w:sz w:val="21"/>
          <w:szCs w:val="21"/>
          <w:b w:val="1"/>
          <w:bCs w:val="1"/>
          <w:color w:val="auto"/>
        </w:rPr>
      </w:pPr>
    </w:p>
    <w:p>
      <w:pPr>
        <w:ind w:left="1267" w:hanging="629"/>
        <w:spacing w:after="0"/>
        <w:tabs>
          <w:tab w:leader="none" w:pos="1267" w:val="left"/>
        </w:tabs>
        <w:numPr>
          <w:ilvl w:val="1"/>
          <w:numId w:val="112"/>
        </w:numPr>
        <w:rPr>
          <w:rFonts w:ascii="Arial" w:cs="Arial" w:eastAsia="Arial" w:hAnsi="Arial"/>
          <w:sz w:val="21"/>
          <w:szCs w:val="21"/>
          <w:color w:val="auto"/>
        </w:rPr>
      </w:pPr>
      <w:r>
        <w:rPr>
          <w:rFonts w:ascii="Arial" w:cs="Arial" w:eastAsia="Arial" w:hAnsi="Arial"/>
          <w:sz w:val="21"/>
          <w:szCs w:val="21"/>
          <w:color w:val="auto"/>
        </w:rPr>
        <w:t>a material dimunition in Executive’s authorities, duties or responsibilities;</w:t>
      </w:r>
    </w:p>
    <w:p>
      <w:pPr>
        <w:spacing w:after="0" w:line="210" w:lineRule="exact"/>
        <w:rPr>
          <w:rFonts w:ascii="Arial" w:cs="Arial" w:eastAsia="Arial" w:hAnsi="Arial"/>
          <w:sz w:val="21"/>
          <w:szCs w:val="21"/>
          <w:color w:val="auto"/>
        </w:rPr>
      </w:pPr>
    </w:p>
    <w:p>
      <w:pPr>
        <w:ind w:left="647" w:right="2400" w:hanging="9"/>
        <w:spacing w:after="0" w:line="233" w:lineRule="auto"/>
        <w:tabs>
          <w:tab w:leader="none" w:pos="1281" w:val="left"/>
        </w:tabs>
        <w:numPr>
          <w:ilvl w:val="1"/>
          <w:numId w:val="112"/>
        </w:numPr>
        <w:rPr>
          <w:rFonts w:ascii="Arial" w:cs="Arial" w:eastAsia="Arial" w:hAnsi="Arial"/>
          <w:sz w:val="21"/>
          <w:szCs w:val="21"/>
          <w:color w:val="auto"/>
        </w:rPr>
      </w:pPr>
      <w:r>
        <w:rPr>
          <w:rFonts w:ascii="Arial" w:cs="Arial" w:eastAsia="Arial" w:hAnsi="Arial"/>
          <w:sz w:val="21"/>
          <w:szCs w:val="21"/>
          <w:color w:val="auto"/>
        </w:rPr>
        <w:t>a reduction in Executive’s base salary by more than 10% unless pursuant to a Company-wide salary reduction affecting all Executives proportionately;</w:t>
      </w:r>
    </w:p>
    <w:p>
      <w:pPr>
        <w:spacing w:after="0" w:line="209" w:lineRule="exact"/>
        <w:rPr>
          <w:rFonts w:ascii="Arial" w:cs="Arial" w:eastAsia="Arial" w:hAnsi="Arial"/>
          <w:sz w:val="21"/>
          <w:szCs w:val="21"/>
          <w:color w:val="auto"/>
        </w:rPr>
      </w:pPr>
    </w:p>
    <w:p>
      <w:pPr>
        <w:ind w:left="647" w:right="280" w:hanging="8"/>
        <w:spacing w:after="0" w:line="233" w:lineRule="auto"/>
        <w:tabs>
          <w:tab w:leader="none" w:pos="1356" w:val="left"/>
        </w:tabs>
        <w:numPr>
          <w:ilvl w:val="1"/>
          <w:numId w:val="112"/>
        </w:numPr>
        <w:rPr>
          <w:rFonts w:ascii="Arial" w:cs="Arial" w:eastAsia="Arial" w:hAnsi="Arial"/>
          <w:sz w:val="21"/>
          <w:szCs w:val="21"/>
          <w:color w:val="auto"/>
        </w:rPr>
      </w:pPr>
      <w:r>
        <w:rPr>
          <w:rFonts w:ascii="Arial" w:cs="Arial" w:eastAsia="Arial" w:hAnsi="Arial"/>
          <w:sz w:val="21"/>
          <w:szCs w:val="21"/>
          <w:color w:val="auto"/>
        </w:rPr>
        <w:t>relocation of Executive’s principal workplace that results in an increase to Executive’s commute by more than 50 miles;</w:t>
      </w:r>
    </w:p>
    <w:p>
      <w:pPr>
        <w:sectPr>
          <w:pgSz w:w="11900" w:h="16838" w:orient="portrait"/>
          <w:cols w:equalWidth="0" w:num="1">
            <w:col w:w="10567"/>
          </w:cols>
          <w:pgMar w:left="893" w:top="1440" w:right="439" w:bottom="1440" w:gutter="0" w:footer="0" w:header="0"/>
        </w:sectPr>
      </w:pPr>
    </w:p>
    <w:bookmarkStart w:id="147" w:name="page148"/>
    <w:bookmarkEnd w:id="147"/>
    <w:p>
      <w:pPr>
        <w:spacing w:after="0" w:line="200" w:lineRule="exact"/>
        <w:rPr>
          <w:sz w:val="20"/>
          <w:szCs w:val="20"/>
          <w:color w:val="auto"/>
        </w:rPr>
      </w:pPr>
    </w:p>
    <w:p>
      <w:pPr>
        <w:spacing w:after="0" w:line="222" w:lineRule="exact"/>
        <w:rPr>
          <w:sz w:val="20"/>
          <w:szCs w:val="20"/>
          <w:color w:val="auto"/>
        </w:rPr>
      </w:pPr>
    </w:p>
    <w:p>
      <w:pPr>
        <w:jc w:val="both"/>
        <w:ind w:left="646" w:hanging="8"/>
        <w:spacing w:after="0" w:line="220" w:lineRule="auto"/>
        <w:tabs>
          <w:tab w:leader="none" w:pos="135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96" w:lineRule="exact"/>
        <w:rPr>
          <w:rFonts w:ascii="Arial" w:cs="Arial" w:eastAsia="Arial" w:hAnsi="Arial"/>
          <w:sz w:val="21"/>
          <w:szCs w:val="21"/>
          <w:color w:val="auto"/>
        </w:rPr>
      </w:pPr>
    </w:p>
    <w:p>
      <w:pPr>
        <w:ind w:left="1266" w:hanging="629"/>
        <w:spacing w:after="0"/>
        <w:tabs>
          <w:tab w:leader="none" w:pos="126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material breach by the Company of this Agreement.</w:t>
      </w:r>
    </w:p>
    <w:p>
      <w:pPr>
        <w:spacing w:after="0" w:line="224" w:lineRule="exact"/>
        <w:rPr>
          <w:sz w:val="20"/>
          <w:szCs w:val="20"/>
          <w:color w:val="auto"/>
        </w:rPr>
      </w:pPr>
    </w:p>
    <w:p>
      <w:pPr>
        <w:ind w:left="646" w:right="40"/>
        <w:spacing w:after="0" w:line="211" w:lineRule="auto"/>
        <w:rPr>
          <w:sz w:val="20"/>
          <w:szCs w:val="20"/>
          <w:color w:val="auto"/>
        </w:rPr>
      </w:pPr>
      <w:r>
        <w:rPr>
          <w:rFonts w:ascii="Arial" w:cs="Arial" w:eastAsia="Arial" w:hAnsi="Arial"/>
          <w:sz w:val="21"/>
          <w:szCs w:val="21"/>
          <w:color w:val="auto"/>
        </w:rPr>
        <w:t>A condition shall not be considered “Good Reason” unless Executive gives the Company written notice of such condition within 90 days Executive has knowledge of such condition and the Company fails to remedy such condition (or in the case of (v) remedy such breach) within 30 days after receiving Executive’s written</w:t>
      </w:r>
    </w:p>
    <w:p>
      <w:pPr>
        <w:spacing w:after="0" w:line="2" w:lineRule="exact"/>
        <w:rPr>
          <w:sz w:val="20"/>
          <w:szCs w:val="20"/>
          <w:color w:val="auto"/>
        </w:rPr>
      </w:pPr>
    </w:p>
    <w:p>
      <w:pPr>
        <w:ind w:left="646" w:right="2740"/>
        <w:spacing w:after="0" w:line="211" w:lineRule="auto"/>
        <w:rPr>
          <w:sz w:val="20"/>
          <w:szCs w:val="20"/>
          <w:color w:val="auto"/>
        </w:rPr>
      </w:pPr>
      <w:r>
        <w:rPr>
          <w:rFonts w:ascii="Arial" w:cs="Arial" w:eastAsia="Arial" w:hAnsi="Arial"/>
          <w:sz w:val="21"/>
          <w:szCs w:val="21"/>
          <w:color w:val="auto"/>
        </w:rPr>
        <w:t>notice. In addition, Executive’s resignation must occur within 12 months after Executive has knowledge of such condition.</w:t>
      </w:r>
    </w:p>
    <w:p>
      <w:pPr>
        <w:ind w:left="706" w:hanging="706"/>
        <w:spacing w:after="0" w:line="212" w:lineRule="auto"/>
        <w:tabs>
          <w:tab w:leader="none" w:pos="706"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color w:val="auto"/>
        </w:rPr>
        <w:t>Involuntary Termination</w:t>
      </w:r>
      <w:r>
        <w:rPr>
          <w:rFonts w:ascii="Arial" w:cs="Arial" w:eastAsia="Arial" w:hAnsi="Arial"/>
          <w:sz w:val="21"/>
          <w:szCs w:val="21"/>
          <w:color w:val="auto"/>
        </w:rPr>
        <w:t>. For all purposes under this Plan, “Involuntary Termination” shall mean either</w:t>
      </w:r>
    </w:p>
    <w:p>
      <w:pPr>
        <w:jc w:val="both"/>
        <w:ind w:left="6" w:right="20" w:hanging="6"/>
        <w:spacing w:after="0" w:line="225" w:lineRule="auto"/>
        <w:tabs>
          <w:tab w:leader="none" w:pos="25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Company terminates Executive’s Employment with the Company for a reason other than death, Cause or Permanent Disability and a Separation occurs, or (ii) Executive resigns Executive’s Employment for Good Reason and a Separation occurs.</w:t>
      </w:r>
    </w:p>
    <w:p>
      <w:pPr>
        <w:spacing w:after="0" w:line="172" w:lineRule="exact"/>
        <w:rPr>
          <w:rFonts w:ascii="Arial" w:cs="Arial" w:eastAsia="Arial" w:hAnsi="Arial"/>
          <w:sz w:val="21"/>
          <w:szCs w:val="21"/>
          <w:color w:val="auto"/>
        </w:rPr>
      </w:pPr>
    </w:p>
    <w:p>
      <w:pPr>
        <w:jc w:val="both"/>
        <w:ind w:left="6" w:hanging="6"/>
        <w:spacing w:after="0" w:line="228" w:lineRule="auto"/>
        <w:tabs>
          <w:tab w:leader="none" w:pos="703"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Permanent Disability</w:t>
      </w:r>
      <w:r>
        <w:rPr>
          <w:rFonts w:ascii="Arial" w:cs="Arial" w:eastAsia="Arial" w:hAnsi="Arial"/>
          <w:sz w:val="21"/>
          <w:szCs w:val="21"/>
          <w:color w:val="auto"/>
        </w:rPr>
        <w:t>. For all purposes under this Plan, “Permanent Disability” shall mean,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determination by the Compensation Committee, Executive’s inability to perform the essential functions of Executive’s position, with or without reasonable accommodation, for a period of at least 180 consecutive days because of a physical or mental impairment.</w:t>
      </w:r>
    </w:p>
    <w:p>
      <w:pPr>
        <w:spacing w:after="0" w:line="185" w:lineRule="exact"/>
        <w:rPr>
          <w:rFonts w:ascii="Arial" w:cs="Arial" w:eastAsia="Arial" w:hAnsi="Arial"/>
          <w:sz w:val="21"/>
          <w:szCs w:val="21"/>
          <w:b w:val="1"/>
          <w:bCs w:val="1"/>
          <w:color w:val="auto"/>
        </w:rPr>
      </w:pPr>
    </w:p>
    <w:p>
      <w:pPr>
        <w:jc w:val="both"/>
        <w:ind w:left="6" w:hanging="6"/>
        <w:spacing w:after="0" w:line="220" w:lineRule="auto"/>
        <w:tabs>
          <w:tab w:leader="none" w:pos="712"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Proprietary Information</w:t>
      </w:r>
      <w:r>
        <w:rPr>
          <w:rFonts w:ascii="Arial" w:cs="Arial" w:eastAsia="Arial" w:hAnsi="Arial"/>
          <w:sz w:val="21"/>
          <w:szCs w:val="21"/>
          <w:color w:val="auto"/>
        </w:rPr>
        <w:t>. For all purposes under this Plan, “Proprietary Information” shall mean any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83" w:lineRule="exact"/>
        <w:rPr>
          <w:rFonts w:ascii="Arial" w:cs="Arial" w:eastAsia="Arial" w:hAnsi="Arial"/>
          <w:sz w:val="21"/>
          <w:szCs w:val="21"/>
          <w:b w:val="1"/>
          <w:bCs w:val="1"/>
          <w:color w:val="auto"/>
        </w:rPr>
      </w:pPr>
    </w:p>
    <w:p>
      <w:pPr>
        <w:jc w:val="both"/>
        <w:ind w:left="6" w:hanging="6"/>
        <w:spacing w:after="0" w:line="228" w:lineRule="auto"/>
        <w:tabs>
          <w:tab w:leader="none" w:pos="712"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Restricted Business</w:t>
      </w:r>
      <w:r>
        <w:rPr>
          <w:rFonts w:ascii="Arial" w:cs="Arial" w:eastAsia="Arial" w:hAnsi="Arial"/>
          <w:sz w:val="21"/>
          <w:szCs w:val="21"/>
          <w:color w:val="auto"/>
        </w:rPr>
        <w:t>. For all purposes under this Plan, “Restricted Business” shall mean the design,</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marketing or 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85" w:lineRule="exact"/>
        <w:rPr>
          <w:rFonts w:ascii="Arial" w:cs="Arial" w:eastAsia="Arial" w:hAnsi="Arial"/>
          <w:sz w:val="21"/>
          <w:szCs w:val="21"/>
          <w:b w:val="1"/>
          <w:bCs w:val="1"/>
          <w:color w:val="auto"/>
        </w:rPr>
      </w:pPr>
    </w:p>
    <w:p>
      <w:pPr>
        <w:ind w:left="6" w:hanging="6"/>
        <w:spacing w:after="0" w:line="252" w:lineRule="auto"/>
        <w:tabs>
          <w:tab w:leader="none" w:pos="705"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Restricted Territory</w:t>
      </w:r>
      <w:r>
        <w:rPr>
          <w:rFonts w:ascii="Arial" w:cs="Arial" w:eastAsia="Arial" w:hAnsi="Arial"/>
          <w:sz w:val="21"/>
          <w:szCs w:val="21"/>
          <w:color w:val="auto"/>
        </w:rPr>
        <w:t>. For all purposes under this Plan, “Restricted Territory” shall mean any state,</w:t>
      </w:r>
      <w:r>
        <w:rPr>
          <w:rFonts w:ascii="Arial" w:cs="Arial" w:eastAsia="Arial" w:hAnsi="Arial"/>
          <w:sz w:val="21"/>
          <w:szCs w:val="21"/>
          <w:b w:val="1"/>
          <w:bCs w:val="1"/>
          <w:color w:val="auto"/>
        </w:rPr>
        <w:t xml:space="preserve"> </w:t>
      </w:r>
      <w:r>
        <w:rPr>
          <w:rFonts w:ascii="Arial" w:cs="Arial" w:eastAsia="Arial" w:hAnsi="Arial"/>
          <w:sz w:val="21"/>
          <w:szCs w:val="21"/>
          <w:color w:val="auto"/>
        </w:rPr>
        <w:t>county, or locality in the United States or around the world in which the Company conducts business.</w:t>
      </w:r>
    </w:p>
    <w:p>
      <w:pPr>
        <w:spacing w:after="0" w:line="157" w:lineRule="exact"/>
        <w:rPr>
          <w:rFonts w:ascii="Arial" w:cs="Arial" w:eastAsia="Arial" w:hAnsi="Arial"/>
          <w:sz w:val="21"/>
          <w:szCs w:val="21"/>
          <w:b w:val="1"/>
          <w:bCs w:val="1"/>
          <w:color w:val="auto"/>
        </w:rPr>
      </w:pPr>
    </w:p>
    <w:p>
      <w:pPr>
        <w:ind w:left="6" w:right="20" w:hanging="6"/>
        <w:spacing w:after="0" w:line="252" w:lineRule="auto"/>
        <w:tabs>
          <w:tab w:leader="none" w:pos="712"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Separation</w:t>
      </w:r>
      <w:r>
        <w:rPr>
          <w:rFonts w:ascii="Arial" w:cs="Arial" w:eastAsia="Arial" w:hAnsi="Arial"/>
          <w:sz w:val="21"/>
          <w:szCs w:val="21"/>
          <w:color w:val="auto"/>
        </w:rPr>
        <w:t>. For all purposes under this Plan, “Separation” means a “separation from service,” as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regulations under Section 409A of the Code.</w:t>
      </w:r>
    </w:p>
    <w:p>
      <w:pPr>
        <w:sectPr>
          <w:pgSz w:w="11900" w:h="16838" w:orient="portrait"/>
          <w:cols w:equalWidth="0" w:num="1">
            <w:col w:w="10566"/>
          </w:cols>
          <w:pgMar w:left="894" w:top="1440" w:right="439" w:bottom="1440" w:gutter="0" w:footer="0" w:header="0"/>
        </w:sectPr>
      </w:pPr>
    </w:p>
    <w:bookmarkStart w:id="148" w:name="page149"/>
    <w:bookmarkEnd w:id="148"/>
    <w:p>
      <w:pPr>
        <w:spacing w:after="0" w:line="396" w:lineRule="exact"/>
        <w:rPr>
          <w:sz w:val="20"/>
          <w:szCs w:val="20"/>
          <w:color w:val="auto"/>
        </w:rPr>
      </w:pPr>
    </w:p>
    <w:p>
      <w:pPr>
        <w:jc w:val="both"/>
        <w:ind w:left="7" w:hanging="6"/>
        <w:spacing w:after="0" w:line="219" w:lineRule="auto"/>
        <w:tabs>
          <w:tab w:leader="none" w:pos="710" w:val="left"/>
        </w:tabs>
        <w:numPr>
          <w:ilvl w:val="1"/>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Solicit. </w:t>
      </w:r>
      <w:r>
        <w:rPr>
          <w:rFonts w:ascii="Arial" w:cs="Arial" w:eastAsia="Arial" w:hAnsi="Arial"/>
          <w:sz w:val="21"/>
          <w:szCs w:val="21"/>
          <w:color w:val="auto"/>
        </w:rPr>
        <w:t>For all purposes under this Plan, “solicit” shall mean (i) active solicitation of any Client or</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employee (but not 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70" w:lineRule="exact"/>
        <w:rPr>
          <w:rFonts w:ascii="Arial" w:cs="Arial" w:eastAsia="Arial" w:hAnsi="Arial"/>
          <w:sz w:val="21"/>
          <w:szCs w:val="21"/>
          <w:b w:val="1"/>
          <w:bCs w:val="1"/>
          <w:color w:val="auto"/>
        </w:rPr>
      </w:pPr>
    </w:p>
    <w:p>
      <w:pPr>
        <w:ind w:left="627" w:hanging="627"/>
        <w:spacing w:after="0"/>
        <w:tabs>
          <w:tab w:leader="none" w:pos="627"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 Provisions.</w:t>
      </w:r>
    </w:p>
    <w:p>
      <w:pPr>
        <w:spacing w:after="0" w:line="223" w:lineRule="exact"/>
        <w:rPr>
          <w:rFonts w:ascii="Arial" w:cs="Arial" w:eastAsia="Arial" w:hAnsi="Arial"/>
          <w:sz w:val="21"/>
          <w:szCs w:val="21"/>
          <w:b w:val="1"/>
          <w:bCs w:val="1"/>
          <w:color w:val="auto"/>
        </w:rPr>
      </w:pPr>
    </w:p>
    <w:p>
      <w:pPr>
        <w:jc w:val="both"/>
        <w:ind w:left="7" w:hanging="6"/>
        <w:spacing w:after="0" w:line="222" w:lineRule="auto"/>
        <w:tabs>
          <w:tab w:leader="none" w:pos="706" w:val="left"/>
        </w:tabs>
        <w:numPr>
          <w:ilvl w:val="1"/>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Notices and all other communications contemplated by this Plan shall be in writing and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have been duly 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5" w:lineRule="exact"/>
        <w:rPr>
          <w:rFonts w:ascii="Arial" w:cs="Arial" w:eastAsia="Arial" w:hAnsi="Arial"/>
          <w:sz w:val="21"/>
          <w:szCs w:val="21"/>
          <w:b w:val="1"/>
          <w:bCs w:val="1"/>
          <w:color w:val="auto"/>
        </w:rPr>
      </w:pPr>
    </w:p>
    <w:p>
      <w:pPr>
        <w:jc w:val="both"/>
        <w:ind w:left="7" w:hanging="6"/>
        <w:spacing w:after="0" w:line="225" w:lineRule="auto"/>
        <w:tabs>
          <w:tab w:leader="none" w:pos="704" w:val="left"/>
        </w:tabs>
        <w:numPr>
          <w:ilvl w:val="1"/>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Modifications and Waivers</w:t>
      </w:r>
      <w:r>
        <w:rPr>
          <w:rFonts w:ascii="Arial" w:cs="Arial" w:eastAsia="Arial" w:hAnsi="Arial"/>
          <w:sz w:val="21"/>
          <w:szCs w:val="21"/>
          <w:color w:val="auto"/>
        </w:rPr>
        <w:t>. No provision of this Plan shall be modified, waived or discharged unless</w:t>
      </w:r>
      <w:r>
        <w:rPr>
          <w:rFonts w:ascii="Arial" w:cs="Arial" w:eastAsia="Arial" w:hAnsi="Arial"/>
          <w:sz w:val="21"/>
          <w:szCs w:val="21"/>
          <w:b w:val="1"/>
          <w:bCs w:val="1"/>
          <w:color w:val="auto"/>
        </w:rPr>
        <w:t xml:space="preserve"> </w:t>
      </w:r>
      <w:r>
        <w:rPr>
          <w:rFonts w:ascii="Arial" w:cs="Arial" w:eastAsia="Arial" w:hAnsi="Arial"/>
          <w:sz w:val="21"/>
          <w:szCs w:val="21"/>
          <w:color w:val="auto"/>
        </w:rPr>
        <w:t>the modification, waiver or discharge is agreed to in writing and signed by Executive and by an authorized officer of the Company (other than Executive). No waiver by either party of any breach of, or of compliance with, any condition or provision of this Plan by the other party shall be considered a waiver of any other condition or provision or of the same condition or provision at another time.</w:t>
      </w:r>
    </w:p>
    <w:p>
      <w:pPr>
        <w:spacing w:after="0" w:line="184" w:lineRule="exact"/>
        <w:rPr>
          <w:rFonts w:ascii="Arial" w:cs="Arial" w:eastAsia="Arial" w:hAnsi="Arial"/>
          <w:sz w:val="21"/>
          <w:szCs w:val="21"/>
          <w:b w:val="1"/>
          <w:bCs w:val="1"/>
          <w:color w:val="auto"/>
        </w:rPr>
      </w:pPr>
    </w:p>
    <w:p>
      <w:pPr>
        <w:jc w:val="both"/>
        <w:ind w:left="7" w:hanging="6"/>
        <w:spacing w:after="0" w:line="225" w:lineRule="auto"/>
        <w:tabs>
          <w:tab w:leader="none" w:pos="706" w:val="left"/>
        </w:tabs>
        <w:numPr>
          <w:ilvl w:val="1"/>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Whole Agreement</w:t>
      </w:r>
      <w:r>
        <w:rPr>
          <w:rFonts w:ascii="Arial" w:cs="Arial" w:eastAsia="Arial" w:hAnsi="Arial"/>
          <w:sz w:val="21"/>
          <w:szCs w:val="21"/>
          <w:color w:val="auto"/>
        </w:rPr>
        <w:t>. This Plan and the Proprietary Information and Inventions Agreement supersede and</w:t>
      </w:r>
      <w:r>
        <w:rPr>
          <w:rFonts w:ascii="Arial" w:cs="Arial" w:eastAsia="Arial" w:hAnsi="Arial"/>
          <w:sz w:val="21"/>
          <w:szCs w:val="21"/>
          <w:b w:val="1"/>
          <w:bCs w:val="1"/>
          <w:color w:val="auto"/>
        </w:rPr>
        <w:t xml:space="preserve"> </w:t>
      </w:r>
      <w:r>
        <w:rPr>
          <w:rFonts w:ascii="Arial" w:cs="Arial" w:eastAsia="Arial" w:hAnsi="Arial"/>
          <w:sz w:val="21"/>
          <w:szCs w:val="21"/>
          <w:color w:val="auto"/>
        </w:rPr>
        <w:t>replace any prior 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84" w:lineRule="exact"/>
        <w:rPr>
          <w:rFonts w:ascii="Arial" w:cs="Arial" w:eastAsia="Arial" w:hAnsi="Arial"/>
          <w:sz w:val="21"/>
          <w:szCs w:val="21"/>
          <w:b w:val="1"/>
          <w:bCs w:val="1"/>
          <w:color w:val="auto"/>
        </w:rPr>
      </w:pPr>
    </w:p>
    <w:p>
      <w:pPr>
        <w:jc w:val="both"/>
        <w:ind w:left="7" w:hanging="6"/>
        <w:spacing w:after="0" w:line="219" w:lineRule="auto"/>
        <w:tabs>
          <w:tab w:leader="none" w:pos="704" w:val="left"/>
        </w:tabs>
        <w:numPr>
          <w:ilvl w:val="1"/>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Choice of Law and Severability</w:t>
      </w:r>
      <w:r>
        <w:rPr>
          <w:rFonts w:ascii="Arial" w:cs="Arial" w:eastAsia="Arial" w:hAnsi="Arial"/>
          <w:sz w:val="21"/>
          <w:szCs w:val="21"/>
          <w:color w:val="auto"/>
        </w:rPr>
        <w:t>. This Plan shall be interpreted in accordance with the laws of the State</w:t>
      </w:r>
      <w:r>
        <w:rPr>
          <w:rFonts w:ascii="Arial" w:cs="Arial" w:eastAsia="Arial" w:hAnsi="Arial"/>
          <w:sz w:val="21"/>
          <w:szCs w:val="21"/>
          <w:b w:val="1"/>
          <w:bCs w:val="1"/>
          <w:color w:val="auto"/>
        </w:rPr>
        <w:t xml:space="preserve"> </w:t>
      </w:r>
      <w:r>
        <w:rPr>
          <w:rFonts w:ascii="Arial" w:cs="Arial" w:eastAsia="Arial" w:hAnsi="Arial"/>
          <w:sz w:val="21"/>
          <w:szCs w:val="21"/>
          <w:color w:val="auto"/>
        </w:rPr>
        <w:t>of New Jersey (except their provisions governing the choice of law). If any provision of this Plan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Plan shall continue in full force and effect. If any provision of this Plan is rendered illegal by any present or future statute, law, ordinance or regulation (collectively the “Law”), then such provision shall be curtailed or limited only to the minimum extent necessary to bring such provision into compliance with</w:t>
      </w:r>
    </w:p>
    <w:p>
      <w:pPr>
        <w:sectPr>
          <w:pgSz w:w="11900" w:h="16838" w:orient="portrait"/>
          <w:cols w:equalWidth="0" w:num="1">
            <w:col w:w="10567"/>
          </w:cols>
          <w:pgMar w:left="893" w:top="1440" w:right="439" w:bottom="1440" w:gutter="0" w:footer="0" w:header="0"/>
        </w:sectPr>
      </w:pPr>
    </w:p>
    <w:bookmarkStart w:id="149" w:name="page150"/>
    <w:bookmarkEnd w:id="149"/>
    <w:p>
      <w:pPr>
        <w:spacing w:after="0" w:line="200" w:lineRule="exact"/>
        <w:rPr>
          <w:sz w:val="20"/>
          <w:szCs w:val="20"/>
          <w:color w:val="auto"/>
        </w:rPr>
      </w:pPr>
    </w:p>
    <w:p>
      <w:pPr>
        <w:spacing w:after="0" w:line="222" w:lineRule="exact"/>
        <w:rPr>
          <w:sz w:val="20"/>
          <w:szCs w:val="20"/>
          <w:color w:val="auto"/>
        </w:rPr>
      </w:pPr>
    </w:p>
    <w:p>
      <w:pPr>
        <w:ind w:left="6"/>
        <w:spacing w:after="0" w:line="233" w:lineRule="auto"/>
        <w:rPr>
          <w:sz w:val="20"/>
          <w:szCs w:val="20"/>
          <w:color w:val="auto"/>
        </w:rPr>
      </w:pPr>
      <w:r>
        <w:rPr>
          <w:rFonts w:ascii="Arial" w:cs="Arial" w:eastAsia="Arial" w:hAnsi="Arial"/>
          <w:sz w:val="21"/>
          <w:szCs w:val="21"/>
          <w:color w:val="auto"/>
        </w:rPr>
        <w:t>the Law. All the other terms and provisions of this Plan shall continue in full force and effect without impairment or limitation.</w:t>
      </w:r>
    </w:p>
    <w:p>
      <w:pPr>
        <w:spacing w:after="0" w:line="170" w:lineRule="exact"/>
        <w:rPr>
          <w:sz w:val="20"/>
          <w:szCs w:val="20"/>
          <w:color w:val="auto"/>
        </w:rPr>
      </w:pPr>
    </w:p>
    <w:p>
      <w:pPr>
        <w:jc w:val="both"/>
        <w:ind w:left="6" w:right="100" w:hanging="6"/>
        <w:spacing w:after="0" w:line="228" w:lineRule="auto"/>
        <w:tabs>
          <w:tab w:leader="none" w:pos="705"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No Assignment</w:t>
      </w:r>
      <w:r>
        <w:rPr>
          <w:rFonts w:ascii="Arial" w:cs="Arial" w:eastAsia="Arial" w:hAnsi="Arial"/>
          <w:sz w:val="21"/>
          <w:szCs w:val="21"/>
          <w:color w:val="auto"/>
        </w:rPr>
        <w:t>. This Plan and all rights and obligations of Executive hereunder are personal to</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and may not be transferred or assigned by Executive at any time. The Company may assign its rights under this Plan to any entity that assumes the Company’s obligations hereunder in connection with any sale or transfer of all or a substantial portion of the Company’s assets to such entity.</w:t>
      </w:r>
    </w:p>
    <w:p>
      <w:pPr>
        <w:spacing w:after="0" w:line="185" w:lineRule="exact"/>
        <w:rPr>
          <w:rFonts w:ascii="Arial" w:cs="Arial" w:eastAsia="Arial" w:hAnsi="Arial"/>
          <w:sz w:val="21"/>
          <w:szCs w:val="21"/>
          <w:b w:val="1"/>
          <w:bCs w:val="1"/>
          <w:color w:val="auto"/>
        </w:rPr>
      </w:pPr>
    </w:p>
    <w:p>
      <w:pPr>
        <w:jc w:val="both"/>
        <w:ind w:left="6" w:right="100" w:hanging="6"/>
        <w:spacing w:after="0" w:line="228" w:lineRule="auto"/>
        <w:tabs>
          <w:tab w:leader="none" w:pos="711"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Survival. </w:t>
      </w:r>
      <w:r>
        <w:rPr>
          <w:rFonts w:ascii="Arial" w:cs="Arial" w:eastAsia="Arial" w:hAnsi="Arial"/>
          <w:sz w:val="21"/>
          <w:szCs w:val="21"/>
          <w:color w:val="auto"/>
        </w:rPr>
        <w:t>The rights and obligations of the parties under the provisions of this Plant (including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limitation Section 6 shall survive, and remaining binding and enforceable, notwithstanding the termination of Executive’s employment hereunder or otherwise, to the extent necessary to preserve the intended benefits of such provision.</w:t>
      </w:r>
    </w:p>
    <w:p>
      <w:pPr>
        <w:sectPr>
          <w:pgSz w:w="11900" w:h="16838" w:orient="portrait"/>
          <w:cols w:equalWidth="0" w:num="1">
            <w:col w:w="10646"/>
          </w:cols>
          <w:pgMar w:left="894" w:top="1440"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10.22</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color w:val="auto"/>
        </w:rPr>
        <w:t>November 2, 2022</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Mina Lackner</w:t>
      </w:r>
    </w:p>
    <w:p>
      <w:pPr>
        <w:spacing w:after="0"/>
        <w:rPr>
          <w:sz w:val="20"/>
          <w:szCs w:val="20"/>
          <w:color w:val="auto"/>
        </w:rPr>
      </w:pPr>
      <w:r>
        <w:rPr>
          <w:rFonts w:ascii="Arial" w:cs="Arial" w:eastAsia="Arial" w:hAnsi="Arial"/>
          <w:sz w:val="21"/>
          <w:szCs w:val="21"/>
          <w:color w:val="auto"/>
        </w:rPr>
        <w:t>(delivered electronically)</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Appointment CHRO Position</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Dear Mina,</w:t>
      </w:r>
    </w:p>
    <w:p>
      <w:pPr>
        <w:spacing w:after="0" w:line="211" w:lineRule="exact"/>
        <w:rPr>
          <w:sz w:val="20"/>
          <w:szCs w:val="20"/>
          <w:color w:val="auto"/>
        </w:rPr>
      </w:pPr>
    </w:p>
    <w:p>
      <w:pPr>
        <w:ind w:right="220"/>
        <w:spacing w:after="0" w:line="225" w:lineRule="auto"/>
        <w:rPr>
          <w:sz w:val="20"/>
          <w:szCs w:val="20"/>
          <w:color w:val="auto"/>
        </w:rPr>
      </w:pPr>
      <w:r>
        <w:rPr>
          <w:rFonts w:ascii="Arial" w:cs="Arial" w:eastAsia="Arial" w:hAnsi="Arial"/>
          <w:sz w:val="21"/>
          <w:szCs w:val="21"/>
          <w:color w:val="auto"/>
        </w:rPr>
        <w:t xml:space="preserve">On behalf of Synchronoss Technologies, Inc. (the “Company”), I am pleased to advise you that the Board of Directors of the Company (the “Board”) has appointed you as </w:t>
      </w:r>
      <w:r>
        <w:rPr>
          <w:rFonts w:ascii="Arial" w:cs="Arial" w:eastAsia="Arial" w:hAnsi="Arial"/>
          <w:sz w:val="21"/>
          <w:szCs w:val="21"/>
          <w:b w:val="1"/>
          <w:bCs w:val="1"/>
          <w:color w:val="auto"/>
        </w:rPr>
        <w:t>Chief Human Resources Officer</w:t>
      </w:r>
      <w:r>
        <w:rPr>
          <w:rFonts w:ascii="Arial" w:cs="Arial" w:eastAsia="Arial" w:hAnsi="Arial"/>
          <w:sz w:val="21"/>
          <w:szCs w:val="21"/>
          <w:color w:val="auto"/>
        </w:rPr>
        <w:t xml:space="preserve"> and SVP effective as of </w:t>
      </w:r>
      <w:r>
        <w:rPr>
          <w:rFonts w:ascii="Arial" w:cs="Arial" w:eastAsia="Arial" w:hAnsi="Arial"/>
          <w:sz w:val="21"/>
          <w:szCs w:val="21"/>
          <w:b w:val="1"/>
          <w:bCs w:val="1"/>
          <w:color w:val="auto"/>
        </w:rPr>
        <w:t>November 2, 2022.</w:t>
      </w:r>
    </w:p>
    <w:p>
      <w:pPr>
        <w:spacing w:after="0" w:line="172" w:lineRule="exact"/>
        <w:rPr>
          <w:sz w:val="20"/>
          <w:szCs w:val="20"/>
          <w:color w:val="auto"/>
        </w:rPr>
      </w:pPr>
    </w:p>
    <w:p>
      <w:pPr>
        <w:ind w:right="480"/>
        <w:spacing w:after="0" w:line="252" w:lineRule="auto"/>
        <w:rPr>
          <w:sz w:val="20"/>
          <w:szCs w:val="20"/>
          <w:color w:val="auto"/>
        </w:rPr>
      </w:pPr>
      <w:r>
        <w:rPr>
          <w:rFonts w:ascii="Arial" w:cs="Arial" w:eastAsia="Arial" w:hAnsi="Arial"/>
          <w:sz w:val="21"/>
          <w:szCs w:val="21"/>
          <w:color w:val="auto"/>
        </w:rPr>
        <w:t xml:space="preserve">Your </w:t>
      </w:r>
      <w:r>
        <w:rPr>
          <w:rFonts w:ascii="Arial" w:cs="Arial" w:eastAsia="Arial" w:hAnsi="Arial"/>
          <w:sz w:val="21"/>
          <w:szCs w:val="21"/>
          <w:b w:val="1"/>
          <w:bCs w:val="1"/>
          <w:color w:val="auto"/>
        </w:rPr>
        <w:t>annual base salary</w:t>
      </w:r>
      <w:r>
        <w:rPr>
          <w:rFonts w:ascii="Arial" w:cs="Arial" w:eastAsia="Arial" w:hAnsi="Arial"/>
          <w:sz w:val="21"/>
          <w:szCs w:val="21"/>
          <w:color w:val="auto"/>
        </w:rPr>
        <w:t xml:space="preserve"> will remain at </w:t>
      </w:r>
      <w:r>
        <w:rPr>
          <w:rFonts w:ascii="Arial" w:cs="Arial" w:eastAsia="Arial" w:hAnsi="Arial"/>
          <w:sz w:val="21"/>
          <w:szCs w:val="21"/>
          <w:b w:val="1"/>
          <w:bCs w:val="1"/>
          <w:color w:val="auto"/>
        </w:rPr>
        <w:t>$285,000</w:t>
      </w:r>
      <w:r>
        <w:rPr>
          <w:rFonts w:ascii="Arial" w:cs="Arial" w:eastAsia="Arial" w:hAnsi="Arial"/>
          <w:sz w:val="21"/>
          <w:szCs w:val="21"/>
          <w:color w:val="auto"/>
        </w:rPr>
        <w:t xml:space="preserve"> less all applicable taxes and withholdings. Your </w:t>
      </w:r>
      <w:r>
        <w:rPr>
          <w:rFonts w:ascii="Arial" w:cs="Arial" w:eastAsia="Arial" w:hAnsi="Arial"/>
          <w:sz w:val="21"/>
          <w:szCs w:val="21"/>
          <w:b w:val="1"/>
          <w:bCs w:val="1"/>
          <w:color w:val="auto"/>
        </w:rPr>
        <w:t>annual target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bonus opportunity </w:t>
      </w:r>
      <w:r>
        <w:rPr>
          <w:rFonts w:ascii="Arial" w:cs="Arial" w:eastAsia="Arial" w:hAnsi="Arial"/>
          <w:sz w:val="21"/>
          <w:szCs w:val="21"/>
          <w:color w:val="auto"/>
        </w:rPr>
        <w:t>(“TBO”) will remain at 50% of your annual base salary.</w:t>
      </w:r>
    </w:p>
    <w:p>
      <w:pPr>
        <w:spacing w:after="0" w:line="77" w:lineRule="exact"/>
        <w:rPr>
          <w:sz w:val="20"/>
          <w:szCs w:val="20"/>
          <w:color w:val="auto"/>
        </w:rPr>
      </w:pPr>
    </w:p>
    <w:p>
      <w:pPr>
        <w:jc w:val="both"/>
        <w:ind w:right="100"/>
        <w:spacing w:after="0" w:line="222" w:lineRule="auto"/>
        <w:rPr>
          <w:sz w:val="20"/>
          <w:szCs w:val="20"/>
          <w:color w:val="auto"/>
        </w:rPr>
      </w:pPr>
      <w:r>
        <w:rPr>
          <w:rFonts w:ascii="Arial" w:cs="Arial" w:eastAsia="Arial" w:hAnsi="Arial"/>
          <w:sz w:val="21"/>
          <w:szCs w:val="21"/>
          <w:color w:val="auto"/>
        </w:rPr>
        <w:t>In addition, I am pleased to inform you that you have been identified as a Tier One Executive of the Company. Your employment will be governed by the terms and conditions of the Tier One Executive Employment Plan, a copy of which is attached hereto. As such, you will now receive the benefits and be subject to the obligations set forth in the attached Plan.</w:t>
      </w:r>
    </w:p>
    <w:p>
      <w:pPr>
        <w:spacing w:after="0" w:line="197"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Please be aware that you still retain the option, as does the Company, of ending your employment at any time, with or without notice and with or without cause. As such, your employment is at-will and neither this nor any other oral or written representations may be considered a contract for any specific period of time.</w:t>
      </w:r>
    </w:p>
    <w:p>
      <w:pPr>
        <w:spacing w:after="0" w:line="198"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We are excited about you being named a Tier One Executive, and look forward to your contributions to the Synchronoss mission. Please verify the acceptance of your role as a Tier One Executive by signing below and indicating the date on which you signed.</w:t>
      </w:r>
    </w:p>
    <w:p>
      <w:pPr>
        <w:spacing w:after="0" w:line="198"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Congratulations on this appointment, and I want to thank you for your contributions and dedication on behalf of our customers, shareholders, and employees. I look forward to continuing to work with you as we build a stronger and more successful company.</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0651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21"/>
          <w:szCs w:val="21"/>
          <w:color w:val="auto"/>
        </w:rPr>
        <w:t>Jeff Miller</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1"/>
          <w:szCs w:val="21"/>
          <w:color w:val="auto"/>
        </w:rPr>
        <w:t>President &amp; Chief Executive Officer</w:t>
      </w: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Mina Lackner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1743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3174365" cy="825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21"/>
          <w:szCs w:val="21"/>
          <w:color w:val="auto"/>
        </w:rPr>
        <w:t>Mina Lackner</w:t>
      </w:r>
    </w:p>
    <w:p>
      <w:pPr>
        <w:sectPr>
          <w:pgSz w:w="11900" w:h="16838" w:orient="portrait"/>
          <w:cols w:equalWidth="0" w:num="1">
            <w:col w:w="11000"/>
          </w:cols>
          <w:pgMar w:left="560" w:top="1437" w:right="339" w:bottom="1440" w:gutter="0" w:footer="0" w:header="0"/>
        </w:sectPr>
      </w:pPr>
    </w:p>
    <w:bookmarkStart w:id="151" w:name="page152"/>
    <w:bookmarkEnd w:id="151"/>
    <w:p>
      <w:pPr>
        <w:spacing w:after="0" w:line="50" w:lineRule="exact"/>
        <w:rPr>
          <w:sz w:val="20"/>
          <w:szCs w:val="20"/>
          <w:color w:val="auto"/>
        </w:rPr>
      </w:pPr>
    </w:p>
    <w:p>
      <w:pPr>
        <w:jc w:val="center"/>
        <w:ind w:right="118"/>
        <w:spacing w:after="0"/>
        <w:rPr>
          <w:sz w:val="20"/>
          <w:szCs w:val="20"/>
          <w:color w:val="auto"/>
        </w:rPr>
      </w:pPr>
      <w:r>
        <w:rPr>
          <w:rFonts w:ascii="Arial" w:cs="Arial" w:eastAsia="Arial" w:hAnsi="Arial"/>
          <w:sz w:val="26"/>
          <w:szCs w:val="26"/>
          <w:b w:val="1"/>
          <w:bCs w:val="1"/>
          <w:color w:val="auto"/>
        </w:rPr>
        <w:t>TIER ONE EXECUTIVE EMPLOYMENT PLAN</w:t>
      </w:r>
    </w:p>
    <w:p>
      <w:pPr>
        <w:spacing w:after="0" w:line="205" w:lineRule="exact"/>
        <w:rPr>
          <w:sz w:val="20"/>
          <w:szCs w:val="20"/>
          <w:color w:val="auto"/>
        </w:rPr>
      </w:pPr>
    </w:p>
    <w:p>
      <w:pPr>
        <w:jc w:val="both"/>
        <w:ind w:left="2" w:firstLine="1275"/>
        <w:spacing w:after="0" w:line="243" w:lineRule="auto"/>
        <w:rPr>
          <w:sz w:val="20"/>
          <w:szCs w:val="20"/>
          <w:color w:val="auto"/>
        </w:rPr>
      </w:pPr>
      <w:r>
        <w:rPr>
          <w:rFonts w:ascii="Arial" w:cs="Arial" w:eastAsia="Arial" w:hAnsi="Arial"/>
          <w:sz w:val="20"/>
          <w:szCs w:val="20"/>
          <w:color w:val="auto"/>
        </w:rPr>
        <w:t>In addition to the terms of your offer letter or executive employment letter (“Offer Letter”) with Synchronoss Technologies, Inc., a Delaware corporation (the “Company”), the employment of each Tier One Executive (“Executive”) shall be governed by the terms and conditions set forth in this Tier One Executive Employment Plan (the “Plan”).</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Scope of Employment.</w:t>
      </w:r>
    </w:p>
    <w:p>
      <w:pPr>
        <w:spacing w:after="0" w:line="224" w:lineRule="exact"/>
        <w:rPr>
          <w:sz w:val="20"/>
          <w:szCs w:val="20"/>
          <w:color w:val="auto"/>
        </w:rPr>
      </w:pPr>
    </w:p>
    <w:p>
      <w:pPr>
        <w:jc w:val="both"/>
        <w:ind w:left="2" w:hanging="2"/>
        <w:spacing w:after="0" w:line="220" w:lineRule="auto"/>
        <w:tabs>
          <w:tab w:leader="none" w:pos="397"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color w:val="auto"/>
        </w:rPr>
        <w:t>Position and Compensation</w:t>
      </w:r>
      <w:r>
        <w:rPr>
          <w:rFonts w:ascii="Arial" w:cs="Arial" w:eastAsia="Arial" w:hAnsi="Arial"/>
          <w:sz w:val="21"/>
          <w:szCs w:val="21"/>
          <w:color w:val="auto"/>
        </w:rPr>
        <w:t>. Executive shall be employed by the Company in the position and at the location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the Offer Letter and at the base salary and annual target bonus percentage set forth in the Offer Letter. Executive shall not be entitled to an incentive bonus if Executive is not employed by the Company on the last day of the fiscal year for which such bonus is payable. Any bonus for a fiscal year shall be paid within 2½ months after the close of that fiscal year. The determinations of the Company’s Board of Directors or its Compensation Committee with respect to such bonus shall be final and binding. The Offer Letter shall also include any initial equity awards to be granted to the Executive, which shall be governed by the respective equity award agreement of the Company.</w:t>
      </w:r>
    </w:p>
    <w:p>
      <w:pPr>
        <w:spacing w:after="0" w:line="192" w:lineRule="exact"/>
        <w:rPr>
          <w:rFonts w:ascii="Arial" w:cs="Arial" w:eastAsia="Arial" w:hAnsi="Arial"/>
          <w:sz w:val="21"/>
          <w:szCs w:val="21"/>
          <w:b w:val="1"/>
          <w:bCs w:val="1"/>
          <w:color w:val="auto"/>
        </w:rPr>
      </w:pPr>
    </w:p>
    <w:p>
      <w:pPr>
        <w:jc w:val="both"/>
        <w:ind w:left="2" w:hanging="2"/>
        <w:spacing w:after="0" w:line="220" w:lineRule="auto"/>
        <w:tabs>
          <w:tab w:leader="none" w:pos="397" w:val="left"/>
        </w:tabs>
        <w:numPr>
          <w:ilvl w:val="0"/>
          <w:numId w:val="120"/>
        </w:numPr>
        <w:rPr>
          <w:rFonts w:ascii="Arial" w:cs="Arial" w:eastAsia="Arial" w:hAnsi="Arial"/>
          <w:sz w:val="21"/>
          <w:szCs w:val="21"/>
          <w:color w:val="auto"/>
        </w:rPr>
      </w:pPr>
      <w:r>
        <w:rPr>
          <w:rFonts w:ascii="Arial" w:cs="Arial" w:eastAsia="Arial" w:hAnsi="Arial"/>
          <w:sz w:val="21"/>
          <w:szCs w:val="21"/>
          <w:b w:val="1"/>
          <w:bCs w:val="1"/>
          <w:color w:val="auto"/>
        </w:rPr>
        <w:t>Obligations to the Company</w:t>
      </w:r>
      <w:r>
        <w:rPr>
          <w:rFonts w:ascii="Arial" w:cs="Arial" w:eastAsia="Arial" w:hAnsi="Arial"/>
          <w:sz w:val="21"/>
          <w:szCs w:val="21"/>
          <w:color w:val="auto"/>
        </w:rPr>
        <w:t>. During Employment, Executive (i) shall devote substantially all of Executive’s full</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one non-profit board and, subject to review and written approval by the CEO, Executive may request to sit on one corporate board.</w:t>
      </w:r>
    </w:p>
    <w:p>
      <w:pPr>
        <w:spacing w:after="0" w:line="179" w:lineRule="exact"/>
        <w:rPr>
          <w:sz w:val="20"/>
          <w:szCs w:val="20"/>
          <w:color w:val="auto"/>
        </w:rPr>
      </w:pPr>
    </w:p>
    <w:p>
      <w:pPr>
        <w:jc w:val="both"/>
        <w:ind w:left="2"/>
        <w:spacing w:after="0" w:line="233" w:lineRule="auto"/>
        <w:rPr>
          <w:sz w:val="20"/>
          <w:szCs w:val="20"/>
          <w:color w:val="auto"/>
        </w:rPr>
      </w:pPr>
      <w:r>
        <w:rPr>
          <w:rFonts w:ascii="Arial" w:cs="Arial" w:eastAsia="Arial" w:hAnsi="Arial"/>
          <w:sz w:val="20"/>
          <w:szCs w:val="20"/>
          <w:b w:val="1"/>
          <w:bCs w:val="1"/>
          <w:color w:val="auto"/>
        </w:rPr>
        <w:t>No Conflicting Obligations</w:t>
      </w:r>
      <w:r>
        <w:rPr>
          <w:rFonts w:ascii="Arial" w:cs="Arial" w:eastAsia="Arial" w:hAnsi="Arial"/>
          <w:sz w:val="20"/>
          <w:szCs w:val="20"/>
          <w:color w:val="auto"/>
        </w:rPr>
        <w:t>. Executive represents and warrants to the Company that he is under no obligations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whether contractual or otherwise, that are inconsistent with Executive’s obligations hereunder. Executive represents and warrants that he will not use or disclose, in connection with Executive’s Employment, any trade secrets or other proprietary information or intellectual property in which Executive or any other person has any right, title or interest and that Executive’s Employment will not infringe or violate the rights of any other person. Executive represents and warrants to the Company that he has returned all property and confidential information belonging to any prior employer.</w:t>
      </w:r>
    </w:p>
    <w:p>
      <w:pPr>
        <w:spacing w:after="0" w:line="189" w:lineRule="exact"/>
        <w:rPr>
          <w:sz w:val="20"/>
          <w:szCs w:val="20"/>
          <w:color w:val="auto"/>
        </w:rPr>
      </w:pPr>
    </w:p>
    <w:p>
      <w:pPr>
        <w:jc w:val="both"/>
        <w:ind w:left="2" w:firstLine="51"/>
        <w:spacing w:after="0" w:line="222" w:lineRule="auto"/>
        <w:tabs>
          <w:tab w:leader="none" w:pos="409"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Indemnification/D&amp;O Insurance. </w:t>
      </w:r>
      <w:r>
        <w:rPr>
          <w:rFonts w:ascii="Arial" w:cs="Arial" w:eastAsia="Arial" w:hAnsi="Arial"/>
          <w:sz w:val="21"/>
          <w:szCs w:val="21"/>
          <w:color w:val="auto"/>
        </w:rPr>
        <w:t>To the maximum extent permitted by applicable law and the Company’s by-laws,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89" w:lineRule="exact"/>
        <w:rPr>
          <w:sz w:val="20"/>
          <w:szCs w:val="20"/>
          <w:color w:val="auto"/>
        </w:rPr>
      </w:pPr>
    </w:p>
    <w:p>
      <w:pPr>
        <w:jc w:val="both"/>
        <w:ind w:left="2"/>
        <w:spacing w:after="0" w:line="227" w:lineRule="auto"/>
        <w:rPr>
          <w:sz w:val="20"/>
          <w:szCs w:val="20"/>
          <w:color w:val="auto"/>
        </w:rPr>
      </w:pPr>
      <w:r>
        <w:rPr>
          <w:rFonts w:ascii="Arial" w:cs="Arial" w:eastAsia="Arial" w:hAnsi="Arial"/>
          <w:sz w:val="21"/>
          <w:szCs w:val="21"/>
          <w:b w:val="1"/>
          <w:bCs w:val="1"/>
          <w:color w:val="auto"/>
        </w:rPr>
        <w:t xml:space="preserve">Paid Time Off and Employee Benefits. </w:t>
      </w:r>
      <w:r>
        <w:rPr>
          <w:rFonts w:ascii="Arial" w:cs="Arial" w:eastAsia="Arial" w:hAnsi="Arial"/>
          <w:sz w:val="21"/>
          <w:szCs w:val="21"/>
          <w:color w:val="auto"/>
        </w:rPr>
        <w:t>During Executive’s Employment, Executive shall be eligible for paid time off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Company’s paid time off policy, as it may be amended from time to time, with a minimum of 20 paid time off days per year (accruing for each year on the first day of such year), and any United States Company-wide holidays; provided, however, Executive shall not be entitled to carry over any paid time off</w:t>
      </w:r>
    </w:p>
    <w:p>
      <w:pPr>
        <w:sectPr>
          <w:pgSz w:w="11900" w:h="16838" w:orient="portrait"/>
          <w:cols w:equalWidth="0" w:num="1">
            <w:col w:w="10902"/>
          </w:cols>
          <w:pgMar w:left="558" w:top="1440" w:right="439" w:bottom="1440" w:gutter="0" w:footer="0" w:header="0"/>
        </w:sectPr>
      </w:pPr>
    </w:p>
    <w:bookmarkStart w:id="152" w:name="page153"/>
    <w:bookmarkEnd w:id="152"/>
    <w:p>
      <w:pPr>
        <w:spacing w:after="0" w:line="23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days from year to year. During Executive’s Employment, Executive shall be eligible to participate in the employee benefit plans maintained by the Company, subject in each case to the terms and conditions of the plan in question.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Business Expenses. </w:t>
      </w:r>
      <w:r>
        <w:rPr>
          <w:rFonts w:ascii="Arial" w:cs="Arial" w:eastAsia="Arial" w:hAnsi="Arial"/>
          <w:sz w:val="19"/>
          <w:szCs w:val="19"/>
          <w:color w:val="auto"/>
        </w:rPr>
        <w:t>During Executive’s Employment, Executive shall be authorized to incur necessary and reasonable travel,</w:t>
      </w:r>
      <w:r>
        <w:rPr>
          <w:rFonts w:ascii="Arial" w:cs="Arial" w:eastAsia="Arial" w:hAnsi="Arial"/>
          <w:sz w:val="19"/>
          <w:szCs w:val="19"/>
          <w:b w:val="1"/>
          <w:bCs w:val="1"/>
          <w:color w:val="auto"/>
        </w:rPr>
        <w:t xml:space="preserve"> </w:t>
      </w:r>
      <w:r>
        <w:rPr>
          <w:rFonts w:ascii="Arial" w:cs="Arial" w:eastAsia="Arial" w:hAnsi="Arial"/>
          <w:sz w:val="19"/>
          <w:szCs w:val="19"/>
          <w:color w:val="auto"/>
        </w:rPr>
        <w:t>entertainment and other business expenses in connection with Executive’s duties hereunder. The Company shall reimburse Executive for such expenses upon presentation of an itemized account and appropriate supporting documentation, all in accordance with the Company’s generally applicable policies. Notwithstanding anything to the contrary herein, except to the extent any expense or reimbursement provided hereunder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w:t>
      </w:r>
    </w:p>
    <w:p>
      <w:pPr>
        <w:spacing w:after="0" w:line="21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Company may terminate Executive’s Employment at any time and for any reason (or no</w:t>
      </w:r>
      <w:r>
        <w:rPr>
          <w:rFonts w:ascii="Arial" w:cs="Arial" w:eastAsia="Arial" w:hAnsi="Arial"/>
          <w:sz w:val="20"/>
          <w:szCs w:val="20"/>
          <w:b w:val="1"/>
          <w:bCs w:val="1"/>
          <w:color w:val="auto"/>
        </w:rPr>
        <w:t xml:space="preserve"> </w:t>
      </w:r>
      <w:r>
        <w:rPr>
          <w:rFonts w:ascii="Arial" w:cs="Arial" w:eastAsia="Arial" w:hAnsi="Arial"/>
          <w:sz w:val="20"/>
          <w:szCs w:val="20"/>
          <w:color w:val="auto"/>
        </w:rPr>
        <w:t>reason), and with or without Cause, by giving Executive 30 days’ advance notice in writing. Executive may terminate Executive’s Employment by giving the Company 30 days’ advance notice in writing. The Company shall have the right at any time during such 30-day period, to relieve Executive of Executive’s offices, duties and responsibilities and place him on a paid leave-of-absence status, provided that during such notice period, Executive shall remain a full-time employee of the Company and shall continue to receive Executive’s then current salary compensation and other benefits as provided herein. Executive’s Employment shall terminate automatically in the event of Executive’s death. The termination of Executive’s Employment shall not limit or otherwise affect Executive’s obligations under Section 6.</w:t>
      </w:r>
    </w:p>
    <w:p>
      <w:pPr>
        <w:spacing w:after="0" w:line="19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Rights Upon Termination</w:t>
      </w:r>
      <w:r>
        <w:rPr>
          <w:rFonts w:ascii="Arial" w:cs="Arial" w:eastAsia="Arial" w:hAnsi="Arial"/>
          <w:sz w:val="20"/>
          <w:szCs w:val="20"/>
          <w:color w:val="auto"/>
        </w:rPr>
        <w:t>. Upon Executive’s termination of Employment for any reason, Executive shall be entitled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benefits and reimbursements described in Executive’s Offer Letter or hereunder for the period preceding the effective date of such termination or otherwise accrued before such termination. Upon the termination of Executive’s Employment under certain circumstances, Executive may be entitled to additional severance pay benefits as described in Section 6. The payments hereunder shall fully discharge all responsibilities of the Company to Executive.</w:t>
      </w:r>
    </w:p>
    <w:p>
      <w:pPr>
        <w:spacing w:after="0" w:line="190" w:lineRule="exact"/>
        <w:rPr>
          <w:sz w:val="20"/>
          <w:szCs w:val="20"/>
          <w:color w:val="auto"/>
        </w:rPr>
      </w:pPr>
    </w:p>
    <w:p>
      <w:pPr>
        <w:jc w:val="both"/>
        <w:spacing w:after="0" w:line="220" w:lineRule="auto"/>
        <w:rPr>
          <w:sz w:val="20"/>
          <w:szCs w:val="20"/>
          <w:color w:val="auto"/>
        </w:rPr>
      </w:pPr>
      <w:r>
        <w:rPr>
          <w:rFonts w:ascii="Arial" w:cs="Arial" w:eastAsia="Arial" w:hAnsi="Arial"/>
          <w:sz w:val="21"/>
          <w:szCs w:val="21"/>
          <w:b w:val="1"/>
          <w:bCs w:val="1"/>
          <w:color w:val="auto"/>
        </w:rPr>
        <w:t>Rights Upon Death</w:t>
      </w:r>
      <w:r>
        <w:rPr>
          <w:rFonts w:ascii="Arial" w:cs="Arial" w:eastAsia="Arial" w:hAnsi="Arial"/>
          <w:sz w:val="21"/>
          <w:szCs w:val="21"/>
          <w:color w:val="auto"/>
        </w:rPr>
        <w:t>. If Executive’s Employment ends due to death, (A) Executive’s estate shall be entitled to receive an</w:t>
      </w:r>
      <w:r>
        <w:rPr>
          <w:rFonts w:ascii="Arial" w:cs="Arial" w:eastAsia="Arial" w:hAnsi="Arial"/>
          <w:sz w:val="21"/>
          <w:szCs w:val="21"/>
          <w:b w:val="1"/>
          <w:bCs w:val="1"/>
          <w:color w:val="auto"/>
        </w:rPr>
        <w:t xml:space="preserve"> </w:t>
      </w:r>
      <w:r>
        <w:rPr>
          <w:rFonts w:ascii="Arial" w:cs="Arial" w:eastAsia="Arial" w:hAnsi="Arial"/>
          <w:sz w:val="21"/>
          <w:szCs w:val="21"/>
          <w:color w:val="auto"/>
        </w:rPr>
        <w:t>amount equal to Executive’s target bonus for the fiscal year in which Executive’s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 by the Company and held by Executive at the time of his death shall be fully vested. All amounts under this Section 4(c) shall be paid no later than the date regular employees are paid their bonuses.</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Rights Upon Permanent Disability</w:t>
      </w:r>
      <w:r>
        <w:rPr>
          <w:rFonts w:ascii="Arial" w:cs="Arial" w:eastAsia="Arial" w:hAnsi="Arial"/>
          <w:sz w:val="21"/>
          <w:szCs w:val="21"/>
          <w:color w:val="auto"/>
        </w:rPr>
        <w:t>. If Executive’s Employment ends due to Permanent Disability and a Separation occurs, (I)</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be entitled to receive (i) an amount equal to Executive’s Target Bonus for the fiscal year in which Executive’s Employment</w:t>
      </w:r>
    </w:p>
    <w:p>
      <w:pPr>
        <w:sectPr>
          <w:pgSz w:w="11900" w:h="16838" w:orient="portrait"/>
          <w:cols w:equalWidth="0" w:num="1">
            <w:col w:w="10900"/>
          </w:cols>
          <w:pgMar w:left="560" w:top="1440" w:right="439" w:bottom="1440" w:gutter="0" w:footer="0" w:header="0"/>
        </w:sectPr>
      </w:pPr>
    </w:p>
    <w:bookmarkStart w:id="153" w:name="page154"/>
    <w:bookmarkEnd w:id="153"/>
    <w:p>
      <w:pPr>
        <w:spacing w:after="0" w:line="23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Benefits.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Preconditions</w:t>
      </w:r>
      <w:r>
        <w:rPr>
          <w:rFonts w:ascii="Arial" w:cs="Arial" w:eastAsia="Arial" w:hAnsi="Arial"/>
          <w:sz w:val="21"/>
          <w:szCs w:val="21"/>
          <w:color w:val="auto"/>
        </w:rPr>
        <w:t>. Any other provision of this Plan notwithstanding, Subsections (b) and (c) below shall not apply unless</w:t>
      </w:r>
    </w:p>
    <w:p>
      <w:pPr>
        <w:spacing w:after="0"/>
        <w:rPr>
          <w:sz w:val="20"/>
          <w:szCs w:val="20"/>
          <w:color w:val="auto"/>
        </w:rPr>
      </w:pPr>
      <w:r>
        <w:rPr>
          <w:rFonts w:ascii="Arial" w:cs="Arial" w:eastAsia="Arial" w:hAnsi="Arial"/>
          <w:sz w:val="21"/>
          <w:szCs w:val="21"/>
          <w:color w:val="auto"/>
        </w:rPr>
        <w:t>Executive:</w:t>
      </w:r>
    </w:p>
    <w:p>
      <w:pPr>
        <w:spacing w:after="0" w:line="19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Has executed (or, with respect to Section 4(d), the executor or Executive’s estate has executed) a general release of all claims Executive (or Executive’s executor or estate) may have against the Company or persons affiliated with the Company (substantially in the form attached hereto as Exhibit A) (the “Release”);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Complies with Executive’s obligations under Section 6 below;</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Has returned all property of the Company in Executive’s possession; and</w:t>
      </w:r>
    </w:p>
    <w:p>
      <w:pPr>
        <w:spacing w:after="0" w:line="211" w:lineRule="exact"/>
        <w:rPr>
          <w:sz w:val="20"/>
          <w:szCs w:val="20"/>
          <w:color w:val="auto"/>
        </w:rPr>
      </w:pPr>
    </w:p>
    <w:p>
      <w:pPr>
        <w:jc w:val="both"/>
        <w:ind w:right="20"/>
        <w:spacing w:after="0" w:line="241" w:lineRule="auto"/>
        <w:rPr>
          <w:sz w:val="20"/>
          <w:szCs w:val="20"/>
          <w:color w:val="auto"/>
        </w:rPr>
      </w:pPr>
      <w:r>
        <w:rPr>
          <w:rFonts w:ascii="Arial" w:cs="Arial" w:eastAsia="Arial" w:hAnsi="Arial"/>
          <w:sz w:val="21"/>
          <w:szCs w:val="21"/>
          <w:color w:val="auto"/>
        </w:rPr>
        <w:t>If requested by the Board, has resigned as a member of the Board and as a member of the boards of directors of all subsidiaries of the Company, to the extent applicable.</w:t>
      </w:r>
    </w:p>
    <w:p>
      <w:pPr>
        <w:spacing w:after="0" w:line="19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5.</w:t>
      </w:r>
    </w:p>
    <w:p>
      <w:pPr>
        <w:spacing w:after="0" w:line="188"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color w:val="auto"/>
        </w:rPr>
        <w:t>Severance Pay in the Absence of a Change in Control</w:t>
      </w:r>
      <w:r>
        <w:rPr>
          <w:rFonts w:ascii="Arial" w:cs="Arial" w:eastAsia="Arial" w:hAnsi="Arial"/>
          <w:sz w:val="20"/>
          <w:szCs w:val="20"/>
          <w:color w:val="auto"/>
        </w:rPr>
        <w:t>. If, during Executive’s employment with the Company and not at a</w:t>
      </w:r>
      <w:r>
        <w:rPr>
          <w:rFonts w:ascii="Arial" w:cs="Arial" w:eastAsia="Arial" w:hAnsi="Arial"/>
          <w:sz w:val="20"/>
          <w:szCs w:val="20"/>
          <w:b w:val="1"/>
          <w:bCs w:val="1"/>
          <w:color w:val="auto"/>
        </w:rPr>
        <w:t xml:space="preserve"> </w:t>
      </w:r>
      <w:r>
        <w:rPr>
          <w:rFonts w:ascii="Arial" w:cs="Arial" w:eastAsia="Arial" w:hAnsi="Arial"/>
          <w:sz w:val="20"/>
          <w:szCs w:val="20"/>
          <w:color w:val="auto"/>
        </w:rPr>
        <w:t>time described in subsection (c) below, Executive resigns Executive’s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Executive’s Base Salary in effect at the time of the termination of Employment and one and one-half times Executive’s average annual bonus based on the actual amounts received in the immediately preceding two years, and (ii) the product of (A) 12 and (B) the monthly amount the Company was paying on behalf of Executive and Executive’s eligible dependents with respect to the Company’s health insurance plans in which Executive and Executive’s eligible dependents were participants as of the date of Separation. In the event that Executive Employment is terminated for a reason other than death, Cause or Permanent Disability or Executive resigns Executive’s Employment for Good Reason under this Subsection (b) within two years after commencement of employment with the Company, then in lieu of using the average bonus received in the immediately preceding two years for the above calculation, such calculation shall use Executive’s Target Bonus in the year of termination if such termination under this Subsection (b) occurs in the first year of employment with the Company and the actual bonus Executive received during the first year of employment with</w:t>
      </w:r>
    </w:p>
    <w:p>
      <w:pPr>
        <w:sectPr>
          <w:pgSz w:w="11900" w:h="16838" w:orient="portrait"/>
          <w:cols w:equalWidth="0" w:num="1">
            <w:col w:w="10900"/>
          </w:cols>
          <w:pgMar w:left="560" w:top="1440" w:right="439" w:bottom="1440" w:gutter="0" w:footer="0" w:header="0"/>
        </w:sectPr>
      </w:pPr>
    </w:p>
    <w:bookmarkStart w:id="154" w:name="page155"/>
    <w:bookmarkEnd w:id="154"/>
    <w:p>
      <w:pPr>
        <w:spacing w:after="0" w:line="234"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88"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Severance Pay in Connection with a Change in Control</w:t>
      </w:r>
      <w:r>
        <w:rPr>
          <w:rFonts w:ascii="Arial" w:cs="Arial" w:eastAsia="Arial" w:hAnsi="Arial"/>
          <w:sz w:val="20"/>
          <w:szCs w:val="20"/>
          <w:color w:val="auto"/>
        </w:rPr>
        <w:t>. If, during Executive’s employment with the Company and within (i)</w:t>
      </w:r>
      <w:r>
        <w:rPr>
          <w:rFonts w:ascii="Arial" w:cs="Arial" w:eastAsia="Arial" w:hAnsi="Arial"/>
          <w:sz w:val="20"/>
          <w:szCs w:val="20"/>
          <w:b w:val="1"/>
          <w:bCs w:val="1"/>
          <w:color w:val="auto"/>
        </w:rPr>
        <w:t xml:space="preserve"> </w:t>
      </w:r>
      <w:r>
        <w:rPr>
          <w:rFonts w:ascii="Arial" w:cs="Arial" w:eastAsia="Arial" w:hAnsi="Arial"/>
          <w:sz w:val="20"/>
          <w:szCs w:val="20"/>
          <w:color w:val="auto"/>
        </w:rPr>
        <w:t>120 days prior to or (ii) 24 months following a Change in Control, Executive is subject to an Involuntary Termination, then (i) the Company shall pay Executive a lump sum severance payment equal to (x) two times Executive’s Base Salary in effect at the time of the termination of Employment plus two times Executive’s average bonus received in the immediately preceding two years, and (y) a lump sum amount equal to the product of (A) 18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Executive’s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Commencement of Severance Payments</w:t>
      </w:r>
      <w:r>
        <w:rPr>
          <w:rFonts w:ascii="Arial" w:cs="Arial" w:eastAsia="Arial" w:hAnsi="Arial"/>
          <w:sz w:val="19"/>
          <w:szCs w:val="19"/>
          <w:color w:val="auto"/>
        </w:rPr>
        <w:t>. Payment of the severance pay provided for hereunder will be made no later than the</w:t>
      </w:r>
      <w:r>
        <w:rPr>
          <w:rFonts w:ascii="Arial" w:cs="Arial" w:eastAsia="Arial" w:hAnsi="Arial"/>
          <w:sz w:val="19"/>
          <w:szCs w:val="19"/>
          <w:b w:val="1"/>
          <w:bCs w:val="1"/>
          <w:color w:val="auto"/>
        </w:rPr>
        <w:t xml:space="preserve"> </w:t>
      </w:r>
      <w:r>
        <w:rPr>
          <w:rFonts w:ascii="Arial" w:cs="Arial" w:eastAsia="Arial" w:hAnsi="Arial"/>
          <w:sz w:val="19"/>
          <w:szCs w:val="19"/>
          <w:color w:val="auto"/>
        </w:rPr>
        <w:t>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Section 409A</w:t>
      </w:r>
      <w:r>
        <w:rPr>
          <w:rFonts w:ascii="Arial" w:cs="Arial" w:eastAsia="Arial" w:hAnsi="Arial"/>
          <w:sz w:val="21"/>
          <w:szCs w:val="21"/>
          <w:color w:val="auto"/>
        </w:rPr>
        <w:t>. This Plan shall be construed consistently with the intent that all payments hereunder shall be exempt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of Section 409A of the Code by reason of the “short-term” deferral exemption or a different exemption. Each payment made under this Plan shall be treated as a separate payment and the right to a series of installment payments under this Plan is to be treated as a right to a series of separate payments. If the Company determines that Executive is a “specified employee” under Section</w:t>
      </w:r>
    </w:p>
    <w:p>
      <w:pPr>
        <w:sectPr>
          <w:pgSz w:w="11900" w:h="16838" w:orient="portrait"/>
          <w:cols w:equalWidth="0" w:num="1">
            <w:col w:w="10900"/>
          </w:cols>
          <w:pgMar w:left="560" w:top="1440" w:right="439" w:bottom="1440" w:gutter="0" w:footer="0" w:header="0"/>
        </w:sectPr>
      </w:pPr>
    </w:p>
    <w:bookmarkStart w:id="155" w:name="page156"/>
    <w:bookmarkEnd w:id="155"/>
    <w:p>
      <w:pPr>
        <w:spacing w:after="0" w:line="234"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409A(a)(2)(B)(i) of the Code at the time of Executive’s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Protective Covenants.</w:t>
      </w:r>
    </w:p>
    <w:p>
      <w:pPr>
        <w:spacing w:after="0" w:line="22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As one of the Company’s executive and management personnel and officer, Executive has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extensive and valuable knowledge and confidential information concerning the business of the Company, including certain trade secrets the Company wishes to protect. Executive further acknowledges that during Executive’s employment he will have access to and knowledge of Proprietary Information. To protect the Company’s Proprietary Information, and in consideration of the terms of this Plan, Executive agrees that during Executive’s employment with the Company and for a period of twelve (12) months after the termination of Executive’s employment with the Company for any reason, whether hereunder or otherwise (the “Restricted Period”), Executive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Non-Solicitation and Non-Servicing</w:t>
      </w:r>
      <w:r>
        <w:rPr>
          <w:rFonts w:ascii="Arial" w:cs="Arial" w:eastAsia="Arial" w:hAnsi="Arial"/>
          <w:sz w:val="21"/>
          <w:szCs w:val="21"/>
          <w:color w:val="auto"/>
        </w:rPr>
        <w:t>. During Executive’s employment with the Company and continuing for a period of</w:t>
      </w:r>
      <w:r>
        <w:rPr>
          <w:rFonts w:ascii="Arial" w:cs="Arial" w:eastAsia="Arial" w:hAnsi="Arial"/>
          <w:sz w:val="21"/>
          <w:szCs w:val="21"/>
          <w:b w:val="1"/>
          <w:bCs w:val="1"/>
          <w:color w:val="auto"/>
        </w:rPr>
        <w:t xml:space="preserve"> </w:t>
      </w:r>
      <w:r>
        <w:rPr>
          <w:rFonts w:ascii="Arial" w:cs="Arial" w:eastAsia="Arial" w:hAnsi="Arial"/>
          <w:sz w:val="21"/>
          <w:szCs w:val="21"/>
          <w:color w:val="auto"/>
        </w:rPr>
        <w:t>twelve (12) months after termination of Executive’s employment with the Company for any reason, whether under this Agreement or otherwise, Executive shall not directly or indirectly, personally or through others,</w:t>
      </w:r>
    </w:p>
    <w:p>
      <w:pPr>
        <w:spacing w:after="0" w:line="183" w:lineRule="exact"/>
        <w:rPr>
          <w:sz w:val="20"/>
          <w:szCs w:val="20"/>
          <w:color w:val="auto"/>
        </w:rPr>
      </w:pPr>
    </w:p>
    <w:p>
      <w:pPr>
        <w:jc w:val="both"/>
        <w:ind w:left="640" w:hanging="4"/>
        <w:spacing w:after="0" w:line="248" w:lineRule="auto"/>
        <w:tabs>
          <w:tab w:leader="none" w:pos="10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87" w:lineRule="exact"/>
        <w:rPr>
          <w:rFonts w:ascii="Arial" w:cs="Arial" w:eastAsia="Arial" w:hAnsi="Arial"/>
          <w:sz w:val="19"/>
          <w:szCs w:val="19"/>
          <w:color w:val="auto"/>
        </w:rPr>
      </w:pPr>
    </w:p>
    <w:p>
      <w:pPr>
        <w:jc w:val="both"/>
        <w:ind w:left="640" w:hanging="4"/>
        <w:spacing w:after="0" w:line="232" w:lineRule="auto"/>
        <w:tabs>
          <w:tab w:leader="none" w:pos="104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Executive’s, Executive’s contractual or other relationship with the Company; provided, however, this subparagraph (ii) shall not apply to any employee of the Company who reports in to Executive’s organization, was recommended by Executive and had worked with Executive at at least two prior organizations; or</w:t>
      </w:r>
    </w:p>
    <w:p>
      <w:pPr>
        <w:spacing w:after="0" w:line="184" w:lineRule="exact"/>
        <w:rPr>
          <w:rFonts w:ascii="Arial" w:cs="Arial" w:eastAsia="Arial" w:hAnsi="Arial"/>
          <w:sz w:val="20"/>
          <w:szCs w:val="20"/>
          <w:color w:val="auto"/>
        </w:rPr>
      </w:pPr>
    </w:p>
    <w:p>
      <w:pPr>
        <w:ind w:left="1280" w:hanging="645"/>
        <w:spacing w:after="0"/>
        <w:tabs>
          <w:tab w:leader="none" w:pos="128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render to or for any Client any services of the type rendered by the Company;</w:t>
      </w:r>
    </w:p>
    <w:p>
      <w:pPr>
        <w:spacing w:after="0"/>
        <w:rPr>
          <w:sz w:val="20"/>
          <w:szCs w:val="20"/>
          <w:color w:val="auto"/>
        </w:rPr>
      </w:pPr>
      <w:r>
        <w:rPr>
          <w:rFonts w:ascii="Arial" w:cs="Arial" w:eastAsia="Arial" w:hAnsi="Arial"/>
          <w:sz w:val="21"/>
          <w:szCs w:val="21"/>
          <w:color w:val="auto"/>
        </w:rPr>
        <w:t>or</w:t>
      </w:r>
    </w:p>
    <w:p>
      <w:pPr>
        <w:sectPr>
          <w:pgSz w:w="11900" w:h="16838" w:orient="portrait"/>
          <w:cols w:equalWidth="0" w:num="1">
            <w:col w:w="10900"/>
          </w:cols>
          <w:pgMar w:left="560" w:top="1440" w:right="439" w:bottom="1440" w:gutter="0" w:footer="0" w:header="0"/>
        </w:sectPr>
      </w:pPr>
    </w:p>
    <w:bookmarkStart w:id="156" w:name="page157"/>
    <w:bookmarkEnd w:id="156"/>
    <w:p>
      <w:pPr>
        <w:spacing w:after="0" w:line="234" w:lineRule="exact"/>
        <w:rPr>
          <w:sz w:val="20"/>
          <w:szCs w:val="20"/>
          <w:color w:val="auto"/>
        </w:rPr>
      </w:pPr>
    </w:p>
    <w:p>
      <w:pPr>
        <w:jc w:val="both"/>
        <w:ind w:left="640" w:hanging="4"/>
        <w:spacing w:after="0" w:line="223" w:lineRule="auto"/>
        <w:tabs>
          <w:tab w:leader="none" w:pos="104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or attempt to persuade any employee of or consultant to the Company to leave the employ of the Company or to breach any service arrangement with the Company.</w:t>
      </w:r>
    </w:p>
    <w:p>
      <w:pPr>
        <w:spacing w:after="0" w:line="18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b w:val="1"/>
          <w:bCs w:val="1"/>
          <w:color w:val="auto"/>
        </w:rPr>
        <w:t>Non-Disclosure</w:t>
      </w:r>
      <w:r>
        <w:rPr>
          <w:rFonts w:ascii="Arial" w:cs="Arial" w:eastAsia="Arial" w:hAnsi="Arial"/>
          <w:sz w:val="21"/>
          <w:szCs w:val="21"/>
          <w:color w:val="auto"/>
        </w:rPr>
        <w:t>. Executive has entered into a Proprietary Information and Inventions Agreement with the Company, which is</w:t>
      </w:r>
      <w:r>
        <w:rPr>
          <w:rFonts w:ascii="Arial" w:cs="Arial" w:eastAsia="Arial" w:hAnsi="Arial"/>
          <w:sz w:val="21"/>
          <w:szCs w:val="21"/>
          <w:b w:val="1"/>
          <w:bCs w:val="1"/>
          <w:color w:val="auto"/>
        </w:rPr>
        <w:t xml:space="preserve"> </w:t>
      </w:r>
      <w:r>
        <w:rPr>
          <w:rFonts w:ascii="Arial" w:cs="Arial" w:eastAsia="Arial" w:hAnsi="Arial"/>
          <w:sz w:val="21"/>
          <w:szCs w:val="21"/>
          <w:color w:val="auto"/>
        </w:rPr>
        <w:t>incorporated herein by reference.</w:t>
      </w:r>
    </w:p>
    <w:p>
      <w:pPr>
        <w:spacing w:after="0" w:line="18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Reasonable</w:t>
      </w:r>
      <w:r>
        <w:rPr>
          <w:rFonts w:ascii="Arial" w:cs="Arial" w:eastAsia="Arial" w:hAnsi="Arial"/>
          <w:sz w:val="20"/>
          <w:szCs w:val="20"/>
          <w:color w:val="auto"/>
        </w:rPr>
        <w:t>. Executive agrees and acknowledges that the time limitation on the restrictions in this Section 6, combined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geographic scope, is reasonable. Executive also acknowledges and agrees that this provision is reasonably necessary for the protection of Proprietary Information, that through Executive’s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Successors.</w:t>
      </w:r>
    </w:p>
    <w:p>
      <w:pPr>
        <w:spacing w:after="0" w:line="211"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This Plan shall be binding upon any successor (whether direct or indirect and whether by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lease, merger, consolidation, liquidation or otherwise) to all or substantially all of the Company’s business and/or assets. For all purposes hereunder, the term “Company” shall include any successor to the Company’s business and/or assets which becomes bound by this Plan.</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Plan and all rights of Executive hereunder shall inure to the benefit of, and be enforceable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personal or legal representatives, executors, administrators, successors, heirs, distributees, devisees and legatees.</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Taxes.</w:t>
      </w:r>
    </w:p>
    <w:p>
      <w:pPr>
        <w:spacing w:after="0" w:line="211" w:lineRule="exact"/>
        <w:rPr>
          <w:sz w:val="20"/>
          <w:szCs w:val="20"/>
          <w:color w:val="auto"/>
        </w:rPr>
      </w:pPr>
    </w:p>
    <w:p>
      <w:pPr>
        <w:ind w:right="240"/>
        <w:spacing w:after="0" w:line="247" w:lineRule="auto"/>
        <w:rPr>
          <w:sz w:val="20"/>
          <w:szCs w:val="20"/>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All payments made hereunder shall be subject to reduction to reflect applicable withholding and payroll</w:t>
      </w:r>
      <w:r>
        <w:rPr>
          <w:rFonts w:ascii="Arial" w:cs="Arial" w:eastAsia="Arial" w:hAnsi="Arial"/>
          <w:sz w:val="21"/>
          <w:szCs w:val="21"/>
          <w:b w:val="1"/>
          <w:bCs w:val="1"/>
          <w:color w:val="auto"/>
        </w:rPr>
        <w:t xml:space="preserve"> </w:t>
      </w:r>
      <w:r>
        <w:rPr>
          <w:rFonts w:ascii="Arial" w:cs="Arial" w:eastAsia="Arial" w:hAnsi="Arial"/>
          <w:sz w:val="21"/>
          <w:szCs w:val="21"/>
          <w:color w:val="auto"/>
        </w:rPr>
        <w:t>taxes or other deductions required to be withheld by law.</w:t>
      </w:r>
    </w:p>
    <w:p>
      <w:pPr>
        <w:spacing w:after="0" w:line="181"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Tax Advice</w:t>
      </w:r>
      <w:r>
        <w:rPr>
          <w:rFonts w:ascii="Arial" w:cs="Arial" w:eastAsia="Arial" w:hAnsi="Arial"/>
          <w:sz w:val="21"/>
          <w:szCs w:val="21"/>
          <w:color w:val="auto"/>
        </w:rPr>
        <w:t>. Executive is encouraged to obtain Executive’s own tax advice regarding Executive’s compensation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9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Parachute Taxes</w:t>
      </w:r>
      <w:r>
        <w:rPr>
          <w:rFonts w:ascii="Arial" w:cs="Arial" w:eastAsia="Arial" w:hAnsi="Arial"/>
          <w:sz w:val="20"/>
          <w:szCs w:val="20"/>
          <w:color w:val="auto"/>
        </w:rPr>
        <w:t>. Notwithstanding anything in this Plan to the contrary, if it shall be determined that any payment or</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by the Company to or for the benefit of Executive, whether paid or payable or distributed or distributable pursuant to the terms hereunder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9f (and only if) the Safe Harbor Amount (net of applicable taxes) is greater than the net amount payable to Executive after taking into</w:t>
      </w:r>
    </w:p>
    <w:p>
      <w:pPr>
        <w:sectPr>
          <w:pgSz w:w="11900" w:h="16838" w:orient="portrait"/>
          <w:cols w:equalWidth="0" w:num="1">
            <w:col w:w="10900"/>
          </w:cols>
          <w:pgMar w:left="560" w:top="1440" w:right="439" w:bottom="1440" w:gutter="0" w:footer="0" w:header="0"/>
        </w:sectPr>
      </w:pPr>
    </w:p>
    <w:bookmarkStart w:id="157" w:name="page158"/>
    <w:bookmarkEnd w:id="157"/>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6 above, and the amount of Executive’s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Cause</w:t>
      </w:r>
      <w:r>
        <w:rPr>
          <w:rFonts w:ascii="Arial" w:cs="Arial" w:eastAsia="Arial" w:hAnsi="Arial"/>
          <w:sz w:val="21"/>
          <w:szCs w:val="21"/>
          <w:color w:val="auto"/>
        </w:rPr>
        <w:t>. For all purposes under this Plan, “Cause” shall mean:</w:t>
      </w:r>
    </w:p>
    <w:p>
      <w:pPr>
        <w:spacing w:after="0" w:line="217"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An intentional and unauthorized use or disclosure by Executive of the Company’s confidential information or trade secrets, which use or disclosure causes material harm to the Company;</w:t>
      </w:r>
    </w:p>
    <w:p>
      <w:pPr>
        <w:spacing w:after="0" w:line="193" w:lineRule="exact"/>
        <w:rPr>
          <w:sz w:val="20"/>
          <w:szCs w:val="20"/>
          <w:color w:val="auto"/>
        </w:rPr>
      </w:pPr>
    </w:p>
    <w:p>
      <w:pPr>
        <w:ind w:right="2640"/>
        <w:spacing w:after="0" w:line="503" w:lineRule="auto"/>
        <w:rPr>
          <w:sz w:val="20"/>
          <w:szCs w:val="20"/>
          <w:color w:val="auto"/>
        </w:rPr>
      </w:pPr>
      <w:r>
        <w:rPr>
          <w:rFonts w:ascii="Arial" w:cs="Arial" w:eastAsia="Arial" w:hAnsi="Arial"/>
          <w:sz w:val="19"/>
          <w:szCs w:val="19"/>
          <w:color w:val="auto"/>
        </w:rPr>
        <w:t>A material breach by Executive of any material agreement between Executive and the Company; A material failure by Executive to comply with the Company’s written policies or rules;</w:t>
      </w:r>
    </w:p>
    <w:p>
      <w:pPr>
        <w:spacing w:after="0" w:line="2" w:lineRule="exact"/>
        <w:rPr>
          <w:sz w:val="20"/>
          <w:szCs w:val="20"/>
          <w:color w:val="auto"/>
        </w:rPr>
      </w:pPr>
    </w:p>
    <w:p>
      <w:pPr>
        <w:jc w:val="both"/>
        <w:ind w:right="20"/>
        <w:spacing w:after="0" w:line="241" w:lineRule="auto"/>
        <w:rPr>
          <w:sz w:val="20"/>
          <w:szCs w:val="20"/>
          <w:color w:val="auto"/>
        </w:rPr>
      </w:pPr>
      <w:r>
        <w:rPr>
          <w:rFonts w:ascii="Arial" w:cs="Arial" w:eastAsia="Arial" w:hAnsi="Arial"/>
          <w:sz w:val="21"/>
          <w:szCs w:val="21"/>
          <w:color w:val="auto"/>
        </w:rPr>
        <w:t>Executive’s conviction of, indictment for or plea of “guilty” or “no contest” to, a felony under the laws of the United States or any State thereof;</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Executive’s gross negligence or willful misconduct which causes material harm to the Company;</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8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For all purposes under this Plan, “Change in Control” shall mean the occurrence of:</w:t>
      </w:r>
    </w:p>
    <w:p>
      <w:pPr>
        <w:sectPr>
          <w:pgSz w:w="11900" w:h="16838" w:orient="portrait"/>
          <w:cols w:equalWidth="0" w:num="1">
            <w:col w:w="10900"/>
          </w:cols>
          <w:pgMar w:left="560" w:top="1440" w:right="439" w:bottom="1440" w:gutter="0" w:footer="0" w:header="0"/>
        </w:sectPr>
      </w:pPr>
    </w:p>
    <w:bookmarkStart w:id="158" w:name="page159"/>
    <w:bookmarkEnd w:id="158"/>
    <w:p>
      <w:pPr>
        <w:spacing w:after="0" w:line="234" w:lineRule="exact"/>
        <w:rPr>
          <w:sz w:val="20"/>
          <w:szCs w:val="20"/>
          <w:color w:val="auto"/>
        </w:rPr>
      </w:pPr>
    </w:p>
    <w:p>
      <w:pPr>
        <w:ind w:left="2" w:right="340" w:hanging="2"/>
        <w:spacing w:after="0" w:line="291" w:lineRule="auto"/>
        <w:tabs>
          <w:tab w:leader="none" w:pos="40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48" w:lineRule="exact"/>
        <w:rPr>
          <w:rFonts w:ascii="Arial" w:cs="Arial" w:eastAsia="Arial" w:hAnsi="Arial"/>
          <w:sz w:val="19"/>
          <w:szCs w:val="19"/>
          <w:color w:val="auto"/>
        </w:rPr>
      </w:pPr>
    </w:p>
    <w:p>
      <w:pPr>
        <w:ind w:left="2" w:right="320" w:hanging="2"/>
        <w:spacing w:after="0" w:line="241" w:lineRule="auto"/>
        <w:tabs>
          <w:tab w:leader="none" w:pos="40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30% or more of the total voting power of the Company;</w:t>
      </w:r>
    </w:p>
    <w:p>
      <w:pPr>
        <w:spacing w:after="0" w:line="193" w:lineRule="exact"/>
        <w:rPr>
          <w:rFonts w:ascii="Arial" w:cs="Arial" w:eastAsia="Arial" w:hAnsi="Arial"/>
          <w:sz w:val="21"/>
          <w:szCs w:val="21"/>
          <w:color w:val="auto"/>
        </w:rPr>
      </w:pPr>
    </w:p>
    <w:p>
      <w:pPr>
        <w:jc w:val="both"/>
        <w:ind w:left="2" w:right="320" w:hanging="2"/>
        <w:spacing w:after="0" w:line="230" w:lineRule="auto"/>
        <w:tabs>
          <w:tab w:leader="none" w:pos="40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83" w:lineRule="exact"/>
        <w:rPr>
          <w:rFonts w:ascii="Arial" w:cs="Arial" w:eastAsia="Arial" w:hAnsi="Arial"/>
          <w:sz w:val="21"/>
          <w:szCs w:val="21"/>
          <w:color w:val="auto"/>
        </w:rPr>
      </w:pPr>
    </w:p>
    <w:p>
      <w:pPr>
        <w:jc w:val="both"/>
        <w:ind w:left="2" w:right="320" w:hanging="2"/>
        <w:spacing w:after="0" w:line="223" w:lineRule="auto"/>
        <w:tabs>
          <w:tab w:leader="none" w:pos="40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94" w:lineRule="exact"/>
        <w:rPr>
          <w:sz w:val="20"/>
          <w:szCs w:val="20"/>
          <w:color w:val="auto"/>
        </w:rPr>
      </w:pPr>
    </w:p>
    <w:p>
      <w:pPr>
        <w:jc w:val="both"/>
        <w:ind w:left="2" w:right="320" w:firstLine="637"/>
        <w:spacing w:after="0" w:line="226" w:lineRule="auto"/>
        <w:rPr>
          <w:sz w:val="20"/>
          <w:szCs w:val="20"/>
          <w:color w:val="auto"/>
        </w:rPr>
      </w:pPr>
      <w:r>
        <w:rPr>
          <w:rFonts w:ascii="Arial" w:cs="Arial" w:eastAsia="Arial" w:hAnsi="Arial"/>
          <w:sz w:val="21"/>
          <w:szCs w:val="21"/>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88" w:lineRule="exact"/>
        <w:rPr>
          <w:sz w:val="20"/>
          <w:szCs w:val="20"/>
          <w:color w:val="auto"/>
        </w:rPr>
      </w:pPr>
    </w:p>
    <w:p>
      <w:pPr>
        <w:jc w:val="both"/>
        <w:ind w:left="2"/>
        <w:spacing w:after="0" w:line="230" w:lineRule="auto"/>
        <w:rPr>
          <w:sz w:val="20"/>
          <w:szCs w:val="20"/>
          <w:color w:val="auto"/>
        </w:rPr>
      </w:pPr>
      <w:r>
        <w:rPr>
          <w:rFonts w:ascii="Arial" w:cs="Arial" w:eastAsia="Arial" w:hAnsi="Arial"/>
          <w:sz w:val="20"/>
          <w:szCs w:val="20"/>
          <w:b w:val="1"/>
          <w:bCs w:val="1"/>
          <w:color w:val="auto"/>
        </w:rPr>
        <w:t xml:space="preserve">Client. </w:t>
      </w:r>
      <w:r>
        <w:rPr>
          <w:rFonts w:ascii="Arial" w:cs="Arial" w:eastAsia="Arial" w:hAnsi="Arial"/>
          <w:sz w:val="20"/>
          <w:szCs w:val="20"/>
          <w:color w:val="auto"/>
        </w:rPr>
        <w:t>For all purposes under this Plan, “Client” shall mean (i) anyone who is a client of the Company as of, or at any time</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Code</w:t>
      </w:r>
      <w:r>
        <w:rPr>
          <w:rFonts w:ascii="Arial" w:cs="Arial" w:eastAsia="Arial" w:hAnsi="Arial"/>
          <w:sz w:val="21"/>
          <w:szCs w:val="21"/>
          <w:color w:val="auto"/>
        </w:rPr>
        <w:t>. For all purposes under this Plan, “Code” shall mean the Internal Revenue Code of 1986, as amended.</w:t>
      </w:r>
    </w:p>
    <w:p>
      <w:pPr>
        <w:spacing w:after="0" w:line="224" w:lineRule="exact"/>
        <w:rPr>
          <w:sz w:val="20"/>
          <w:szCs w:val="20"/>
          <w:color w:val="auto"/>
        </w:rPr>
      </w:pPr>
    </w:p>
    <w:p>
      <w:pPr>
        <w:ind w:left="2" w:right="920"/>
        <w:spacing w:after="0" w:line="247" w:lineRule="auto"/>
        <w:rPr>
          <w:sz w:val="20"/>
          <w:szCs w:val="20"/>
          <w:color w:val="auto"/>
        </w:rPr>
      </w:pPr>
      <w:r>
        <w:rPr>
          <w:rFonts w:ascii="Arial" w:cs="Arial" w:eastAsia="Arial" w:hAnsi="Arial"/>
          <w:sz w:val="21"/>
          <w:szCs w:val="21"/>
          <w:b w:val="1"/>
          <w:bCs w:val="1"/>
          <w:color w:val="auto"/>
        </w:rPr>
        <w:t>Company</w:t>
      </w:r>
      <w:r>
        <w:rPr>
          <w:rFonts w:ascii="Arial" w:cs="Arial" w:eastAsia="Arial" w:hAnsi="Arial"/>
          <w:sz w:val="21"/>
          <w:szCs w:val="21"/>
          <w:color w:val="auto"/>
        </w:rPr>
        <w:t>. For all purposes under this Plan, “Company” shall include Synchronoss Technologies, Inc. and all of its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and affiliates.</w:t>
      </w:r>
    </w:p>
    <w:p>
      <w:pPr>
        <w:spacing w:after="0" w:line="301" w:lineRule="exact"/>
        <w:rPr>
          <w:sz w:val="20"/>
          <w:szCs w:val="20"/>
          <w:color w:val="auto"/>
        </w:rPr>
      </w:pPr>
    </w:p>
    <w:p>
      <w:pPr>
        <w:ind w:left="2" w:right="1260"/>
        <w:spacing w:after="0" w:line="399" w:lineRule="auto"/>
        <w:rPr>
          <w:sz w:val="20"/>
          <w:szCs w:val="20"/>
          <w:color w:val="auto"/>
        </w:rPr>
      </w:pPr>
      <w:r>
        <w:rPr>
          <w:rFonts w:ascii="Arial" w:cs="Arial" w:eastAsia="Arial" w:hAnsi="Arial"/>
          <w:sz w:val="21"/>
          <w:szCs w:val="21"/>
          <w:b w:val="1"/>
          <w:bCs w:val="1"/>
          <w:color w:val="auto"/>
        </w:rPr>
        <w:t>Good Reason</w:t>
      </w:r>
      <w:r>
        <w:rPr>
          <w:rFonts w:ascii="Arial" w:cs="Arial" w:eastAsia="Arial" w:hAnsi="Arial"/>
          <w:sz w:val="21"/>
          <w:szCs w:val="21"/>
          <w:color w:val="auto"/>
        </w:rPr>
        <w:t>. For all purposes under this Plan, “Good Reason” shall mean: a material dimunition in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authorities, duties or responsibilities;</w:t>
      </w:r>
    </w:p>
    <w:p>
      <w:pPr>
        <w:spacing w:after="0" w:line="1" w:lineRule="exact"/>
        <w:rPr>
          <w:sz w:val="20"/>
          <w:szCs w:val="20"/>
          <w:color w:val="auto"/>
        </w:rPr>
      </w:pPr>
    </w:p>
    <w:p>
      <w:pPr>
        <w:ind w:left="2" w:right="440"/>
        <w:spacing w:after="0" w:line="241" w:lineRule="auto"/>
        <w:rPr>
          <w:sz w:val="20"/>
          <w:szCs w:val="20"/>
          <w:color w:val="auto"/>
        </w:rPr>
      </w:pPr>
      <w:r>
        <w:rPr>
          <w:rFonts w:ascii="Arial" w:cs="Arial" w:eastAsia="Arial" w:hAnsi="Arial"/>
          <w:sz w:val="21"/>
          <w:szCs w:val="21"/>
          <w:color w:val="auto"/>
        </w:rPr>
        <w:t>a reduction in Executive’s base salary by more than 10% unless pursuant to a Company- wide salary reduction affecting all Executives proportionately;</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20"/>
          <w:szCs w:val="20"/>
          <w:color w:val="auto"/>
        </w:rPr>
        <w:t>relocation of Executive’s principal workplace that results in an increase to Executive’s commute by more than 50 miles;</w:t>
      </w:r>
    </w:p>
    <w:p>
      <w:pPr>
        <w:spacing w:after="0" w:line="222" w:lineRule="exact"/>
        <w:rPr>
          <w:sz w:val="20"/>
          <w:szCs w:val="20"/>
          <w:color w:val="auto"/>
        </w:rPr>
      </w:pPr>
    </w:p>
    <w:p>
      <w:pPr>
        <w:ind w:left="2" w:right="820"/>
        <w:spacing w:after="0" w:line="241" w:lineRule="auto"/>
        <w:rPr>
          <w:sz w:val="20"/>
          <w:szCs w:val="20"/>
          <w:color w:val="auto"/>
        </w:rPr>
      </w:pPr>
      <w:r>
        <w:rPr>
          <w:rFonts w:ascii="Arial" w:cs="Arial" w:eastAsia="Arial" w:hAnsi="Arial"/>
          <w:sz w:val="21"/>
          <w:szCs w:val="21"/>
          <w:color w:val="auto"/>
        </w:rPr>
        <w:t>a material reduction in the kind or level of incentive compensation or employee benefits to which Executive is entitled immediately prior to such reduction with the result that</w:t>
      </w:r>
    </w:p>
    <w:p>
      <w:pPr>
        <w:sectPr>
          <w:pgSz w:w="11900" w:h="16838" w:orient="portrait"/>
          <w:cols w:equalWidth="0" w:num="1">
            <w:col w:w="10902"/>
          </w:cols>
          <w:pgMar w:left="558" w:top="1440" w:right="439" w:bottom="1440" w:gutter="0" w:footer="0" w:header="0"/>
        </w:sectPr>
      </w:pPr>
    </w:p>
    <w:bookmarkStart w:id="159" w:name="page160"/>
    <w:bookmarkEnd w:id="159"/>
    <w:p>
      <w:pPr>
        <w:spacing w:after="0" w:line="234" w:lineRule="exact"/>
        <w:rPr>
          <w:sz w:val="20"/>
          <w:szCs w:val="20"/>
          <w:color w:val="auto"/>
        </w:rPr>
      </w:pPr>
    </w:p>
    <w:p>
      <w:pPr>
        <w:ind w:left="2" w:right="20"/>
        <w:spacing w:after="0" w:line="291" w:lineRule="auto"/>
        <w:rPr>
          <w:sz w:val="20"/>
          <w:szCs w:val="20"/>
          <w:color w:val="auto"/>
        </w:rPr>
      </w:pPr>
      <w:r>
        <w:rPr>
          <w:rFonts w:ascii="Arial" w:cs="Arial" w:eastAsia="Arial" w:hAnsi="Arial"/>
          <w:sz w:val="19"/>
          <w:szCs w:val="19"/>
          <w:color w:val="auto"/>
        </w:rPr>
        <w:t>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21"/>
          <w:szCs w:val="21"/>
          <w:color w:val="auto"/>
        </w:rPr>
        <w:t>a material breach by the Company of this Agreement.</w:t>
      </w:r>
    </w:p>
    <w:p>
      <w:pPr>
        <w:spacing w:after="0" w:line="224" w:lineRule="exact"/>
        <w:rPr>
          <w:sz w:val="20"/>
          <w:szCs w:val="20"/>
          <w:color w:val="auto"/>
        </w:rPr>
      </w:pPr>
    </w:p>
    <w:p>
      <w:pPr>
        <w:ind w:left="2"/>
        <w:spacing w:after="0" w:line="243" w:lineRule="auto"/>
        <w:rPr>
          <w:sz w:val="20"/>
          <w:szCs w:val="20"/>
          <w:color w:val="auto"/>
        </w:rPr>
      </w:pPr>
      <w:r>
        <w:rPr>
          <w:rFonts w:ascii="Arial" w:cs="Arial" w:eastAsia="Arial" w:hAnsi="Arial"/>
          <w:sz w:val="19"/>
          <w:szCs w:val="19"/>
          <w:color w:val="auto"/>
        </w:rPr>
        <w:t>A condition shall not be considered “Good Reason” unless Executive gives the Company written notice of such condition within 90 days Executive has knowledge of such condition and the Company fails to remedy such condition (or in the case of</w:t>
      </w:r>
    </w:p>
    <w:p>
      <w:pPr>
        <w:spacing w:after="0" w:line="1" w:lineRule="exact"/>
        <w:rPr>
          <w:sz w:val="20"/>
          <w:szCs w:val="20"/>
          <w:color w:val="auto"/>
        </w:rPr>
      </w:pPr>
    </w:p>
    <w:p>
      <w:pPr>
        <w:ind w:left="2" w:hanging="2"/>
        <w:spacing w:after="0" w:line="231" w:lineRule="auto"/>
        <w:tabs>
          <w:tab w:leader="none" w:pos="32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remedy such breach) within 30 days after receiving Executive’s written notice. In addition, Executive’s resignation must occur within 12 months after Executive has knowledge of such condition.</w:t>
      </w:r>
    </w:p>
    <w:p>
      <w:pPr>
        <w:spacing w:after="0" w:line="176" w:lineRule="exact"/>
        <w:rPr>
          <w:sz w:val="20"/>
          <w:szCs w:val="20"/>
          <w:color w:val="auto"/>
        </w:rPr>
      </w:pPr>
    </w:p>
    <w:p>
      <w:pPr>
        <w:jc w:val="both"/>
        <w:ind w:left="2"/>
        <w:spacing w:after="0" w:line="246" w:lineRule="auto"/>
        <w:rPr>
          <w:sz w:val="20"/>
          <w:szCs w:val="20"/>
          <w:color w:val="auto"/>
        </w:rPr>
      </w:pPr>
      <w:r>
        <w:rPr>
          <w:rFonts w:ascii="Arial" w:cs="Arial" w:eastAsia="Arial" w:hAnsi="Arial"/>
          <w:sz w:val="20"/>
          <w:szCs w:val="20"/>
          <w:b w:val="1"/>
          <w:bCs w:val="1"/>
          <w:color w:val="auto"/>
        </w:rPr>
        <w:t>Involuntary Termination</w:t>
      </w:r>
      <w:r>
        <w:rPr>
          <w:rFonts w:ascii="Arial" w:cs="Arial" w:eastAsia="Arial" w:hAnsi="Arial"/>
          <w:sz w:val="20"/>
          <w:szCs w:val="20"/>
          <w:color w:val="auto"/>
        </w:rPr>
        <w:t>. For all purposes under this Plan, “Involuntary Termination” shall mean either (i)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Executive’s Employment with the Company for a reason other than death, Cause or Permanent Disability and a Separation occurs, or (ii) Executive resigns Executive’s Employment for Good Reason and a Separation occurs.</w:t>
      </w:r>
    </w:p>
    <w:p>
      <w:pPr>
        <w:spacing w:after="0" w:line="184" w:lineRule="exact"/>
        <w:rPr>
          <w:sz w:val="20"/>
          <w:szCs w:val="20"/>
          <w:color w:val="auto"/>
        </w:rPr>
      </w:pPr>
    </w:p>
    <w:p>
      <w:pPr>
        <w:jc w:val="both"/>
        <w:ind w:left="2"/>
        <w:spacing w:after="0" w:line="266" w:lineRule="auto"/>
        <w:rPr>
          <w:sz w:val="20"/>
          <w:szCs w:val="20"/>
          <w:color w:val="auto"/>
        </w:rPr>
      </w:pPr>
      <w:r>
        <w:rPr>
          <w:rFonts w:ascii="Arial" w:cs="Arial" w:eastAsia="Arial" w:hAnsi="Arial"/>
          <w:sz w:val="19"/>
          <w:szCs w:val="19"/>
          <w:b w:val="1"/>
          <w:bCs w:val="1"/>
          <w:color w:val="auto"/>
        </w:rPr>
        <w:t>Permanent Disability</w:t>
      </w:r>
      <w:r>
        <w:rPr>
          <w:rFonts w:ascii="Arial" w:cs="Arial" w:eastAsia="Arial" w:hAnsi="Arial"/>
          <w:sz w:val="19"/>
          <w:szCs w:val="19"/>
          <w:color w:val="auto"/>
        </w:rPr>
        <w:t>. For all purposes under this Plan, “Permanent Disability” shall mean, in the reasonable determination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Compensation Committee, Executive’s inability to perform the essential functions of Executive’s position, with or without reasonable accommodation, for a period of at least 180 consecutive days because of a physical or mental impairment.</w:t>
      </w:r>
    </w:p>
    <w:p>
      <w:pPr>
        <w:spacing w:after="0" w:line="164" w:lineRule="exact"/>
        <w:rPr>
          <w:sz w:val="20"/>
          <w:szCs w:val="20"/>
          <w:color w:val="auto"/>
        </w:rPr>
      </w:pPr>
    </w:p>
    <w:p>
      <w:pPr>
        <w:jc w:val="both"/>
        <w:ind w:left="2"/>
        <w:spacing w:after="0" w:line="231" w:lineRule="auto"/>
        <w:rPr>
          <w:sz w:val="20"/>
          <w:szCs w:val="20"/>
          <w:color w:val="auto"/>
        </w:rPr>
      </w:pPr>
      <w:r>
        <w:rPr>
          <w:rFonts w:ascii="Arial" w:cs="Arial" w:eastAsia="Arial" w:hAnsi="Arial"/>
          <w:sz w:val="20"/>
          <w:szCs w:val="20"/>
          <w:b w:val="1"/>
          <w:bCs w:val="1"/>
          <w:color w:val="auto"/>
        </w:rPr>
        <w:t>Proprietary Information</w:t>
      </w:r>
      <w:r>
        <w:rPr>
          <w:rFonts w:ascii="Arial" w:cs="Arial" w:eastAsia="Arial" w:hAnsi="Arial"/>
          <w:sz w:val="20"/>
          <w:szCs w:val="20"/>
          <w:color w:val="auto"/>
        </w:rPr>
        <w:t>. For all purposes under this Plan, “Proprietary Information” shall mean any and all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79" w:lineRule="exact"/>
        <w:rPr>
          <w:sz w:val="20"/>
          <w:szCs w:val="20"/>
          <w:color w:val="auto"/>
        </w:rPr>
      </w:pPr>
    </w:p>
    <w:p>
      <w:pPr>
        <w:jc w:val="both"/>
        <w:ind w:left="2"/>
        <w:spacing w:after="0" w:line="227" w:lineRule="auto"/>
        <w:rPr>
          <w:sz w:val="20"/>
          <w:szCs w:val="20"/>
          <w:color w:val="auto"/>
        </w:rPr>
      </w:pPr>
      <w:r>
        <w:rPr>
          <w:rFonts w:ascii="Arial" w:cs="Arial" w:eastAsia="Arial" w:hAnsi="Arial"/>
          <w:sz w:val="21"/>
          <w:szCs w:val="21"/>
          <w:b w:val="1"/>
          <w:bCs w:val="1"/>
          <w:color w:val="auto"/>
        </w:rPr>
        <w:t>Restricted Business</w:t>
      </w:r>
      <w:r>
        <w:rPr>
          <w:rFonts w:ascii="Arial" w:cs="Arial" w:eastAsia="Arial" w:hAnsi="Arial"/>
          <w:sz w:val="21"/>
          <w:szCs w:val="21"/>
          <w:color w:val="auto"/>
        </w:rPr>
        <w:t>. For all purposes under this Plan, “Restricted Business” shall mean the design, development, marketing or</w:t>
      </w:r>
      <w:r>
        <w:rPr>
          <w:rFonts w:ascii="Arial" w:cs="Arial" w:eastAsia="Arial" w:hAnsi="Arial"/>
          <w:sz w:val="21"/>
          <w:szCs w:val="21"/>
          <w:b w:val="1"/>
          <w:bCs w:val="1"/>
          <w:color w:val="auto"/>
        </w:rPr>
        <w:t xml:space="preserve"> </w:t>
      </w:r>
      <w:r>
        <w:rPr>
          <w:rFonts w:ascii="Arial" w:cs="Arial" w:eastAsia="Arial" w:hAnsi="Arial"/>
          <w:sz w:val="21"/>
          <w:szCs w:val="21"/>
          <w:color w:val="auto"/>
        </w:rPr>
        <w:t>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90" w:lineRule="exact"/>
        <w:rPr>
          <w:sz w:val="20"/>
          <w:szCs w:val="20"/>
          <w:color w:val="auto"/>
        </w:rPr>
      </w:pPr>
    </w:p>
    <w:p>
      <w:pPr>
        <w:jc w:val="both"/>
        <w:ind w:left="2"/>
        <w:spacing w:after="0" w:line="247" w:lineRule="auto"/>
        <w:rPr>
          <w:sz w:val="20"/>
          <w:szCs w:val="20"/>
          <w:color w:val="auto"/>
        </w:rPr>
      </w:pPr>
      <w:r>
        <w:rPr>
          <w:rFonts w:ascii="Arial" w:cs="Arial" w:eastAsia="Arial" w:hAnsi="Arial"/>
          <w:sz w:val="21"/>
          <w:szCs w:val="21"/>
          <w:b w:val="1"/>
          <w:bCs w:val="1"/>
          <w:color w:val="auto"/>
        </w:rPr>
        <w:t>Restricted Territory</w:t>
      </w:r>
      <w:r>
        <w:rPr>
          <w:rFonts w:ascii="Arial" w:cs="Arial" w:eastAsia="Arial" w:hAnsi="Arial"/>
          <w:sz w:val="21"/>
          <w:szCs w:val="21"/>
          <w:color w:val="auto"/>
        </w:rPr>
        <w:t>. For all purposes under this Plan, “Restricted Territory” shall mean any state, county, or locality in the</w:t>
      </w:r>
      <w:r>
        <w:rPr>
          <w:rFonts w:ascii="Arial" w:cs="Arial" w:eastAsia="Arial" w:hAnsi="Arial"/>
          <w:sz w:val="21"/>
          <w:szCs w:val="21"/>
          <w:b w:val="1"/>
          <w:bCs w:val="1"/>
          <w:color w:val="auto"/>
        </w:rPr>
        <w:t xml:space="preserve"> </w:t>
      </w:r>
      <w:r>
        <w:rPr>
          <w:rFonts w:ascii="Arial" w:cs="Arial" w:eastAsia="Arial" w:hAnsi="Arial"/>
          <w:sz w:val="21"/>
          <w:szCs w:val="21"/>
          <w:color w:val="auto"/>
        </w:rPr>
        <w:t>United States or around the world in which the Company conducts business.</w:t>
      </w:r>
    </w:p>
    <w:p>
      <w:pPr>
        <w:spacing w:after="0" w:line="181" w:lineRule="exact"/>
        <w:rPr>
          <w:sz w:val="20"/>
          <w:szCs w:val="20"/>
          <w:color w:val="auto"/>
        </w:rPr>
      </w:pPr>
    </w:p>
    <w:p>
      <w:pPr>
        <w:jc w:val="both"/>
        <w:ind w:left="2" w:right="20"/>
        <w:spacing w:after="0" w:line="247" w:lineRule="auto"/>
        <w:rPr>
          <w:sz w:val="20"/>
          <w:szCs w:val="20"/>
          <w:color w:val="auto"/>
        </w:rPr>
      </w:pPr>
      <w:r>
        <w:rPr>
          <w:rFonts w:ascii="Arial" w:cs="Arial" w:eastAsia="Arial" w:hAnsi="Arial"/>
          <w:sz w:val="21"/>
          <w:szCs w:val="21"/>
          <w:b w:val="1"/>
          <w:bCs w:val="1"/>
          <w:color w:val="auto"/>
        </w:rPr>
        <w:t>Separation</w:t>
      </w:r>
      <w:r>
        <w:rPr>
          <w:rFonts w:ascii="Arial" w:cs="Arial" w:eastAsia="Arial" w:hAnsi="Arial"/>
          <w:sz w:val="21"/>
          <w:szCs w:val="21"/>
          <w:color w:val="auto"/>
        </w:rPr>
        <w:t>. For all purposes under this Plan, “Separation” means a “separation from service,” as defined in the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 409A of the Code.</w:t>
      </w:r>
    </w:p>
    <w:p>
      <w:pPr>
        <w:spacing w:after="0" w:line="168" w:lineRule="exact"/>
        <w:rPr>
          <w:sz w:val="20"/>
          <w:szCs w:val="20"/>
          <w:color w:val="auto"/>
        </w:rPr>
      </w:pPr>
    </w:p>
    <w:p>
      <w:pPr>
        <w:jc w:val="both"/>
        <w:ind w:left="2"/>
        <w:spacing w:after="0" w:line="233" w:lineRule="auto"/>
        <w:rPr>
          <w:sz w:val="20"/>
          <w:szCs w:val="20"/>
          <w:color w:val="auto"/>
        </w:rPr>
      </w:pPr>
      <w:r>
        <w:rPr>
          <w:rFonts w:ascii="Arial" w:cs="Arial" w:eastAsia="Arial" w:hAnsi="Arial"/>
          <w:sz w:val="20"/>
          <w:szCs w:val="20"/>
          <w:b w:val="1"/>
          <w:bCs w:val="1"/>
          <w:color w:val="auto"/>
        </w:rPr>
        <w:t xml:space="preserve">Solicit. </w:t>
      </w:r>
      <w:r>
        <w:rPr>
          <w:rFonts w:ascii="Arial" w:cs="Arial" w:eastAsia="Arial" w:hAnsi="Arial"/>
          <w:sz w:val="20"/>
          <w:szCs w:val="20"/>
          <w:color w:val="auto"/>
        </w:rPr>
        <w:t>For all purposes under this Plan, “solicit” shall mean (i) active solicitation of any Client or Company employee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w:t>
      </w:r>
    </w:p>
    <w:p>
      <w:pPr>
        <w:sectPr>
          <w:pgSz w:w="11900" w:h="16838" w:orient="portrait"/>
          <w:cols w:equalWidth="0" w:num="1">
            <w:col w:w="10902"/>
          </w:cols>
          <w:pgMar w:left="558" w:top="1440" w:right="439" w:bottom="1440" w:gutter="0" w:footer="0" w:header="0"/>
        </w:sectPr>
      </w:pPr>
    </w:p>
    <w:bookmarkStart w:id="160" w:name="page161"/>
    <w:bookmarkEnd w:id="160"/>
    <w:p>
      <w:pPr>
        <w:spacing w:after="0" w:line="23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such Client or employ such Company employee; and (iv) any other passive use of information about any Client or Company employee which has the purpose or effect of assisting a third party or causing harm to the business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Miscellaneous Provisions.</w:t>
      </w:r>
    </w:p>
    <w:p>
      <w:pPr>
        <w:spacing w:after="0" w:line="224" w:lineRule="exact"/>
        <w:rPr>
          <w:sz w:val="20"/>
          <w:szCs w:val="20"/>
          <w:color w:val="auto"/>
        </w:rPr>
      </w:pPr>
    </w:p>
    <w:p>
      <w:pPr>
        <w:jc w:val="both"/>
        <w:spacing w:after="0" w:line="222" w:lineRule="auto"/>
        <w:rPr>
          <w:sz w:val="20"/>
          <w:szCs w:val="20"/>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Notices and all other communications contemplated by this Plan shall be in writing and shall be deemed to have been</w:t>
      </w:r>
      <w:r>
        <w:rPr>
          <w:rFonts w:ascii="Arial" w:cs="Arial" w:eastAsia="Arial" w:hAnsi="Arial"/>
          <w:sz w:val="21"/>
          <w:szCs w:val="21"/>
          <w:b w:val="1"/>
          <w:bCs w:val="1"/>
          <w:color w:val="auto"/>
        </w:rPr>
        <w:t xml:space="preserve"> </w:t>
      </w:r>
      <w:r>
        <w:rPr>
          <w:rFonts w:ascii="Arial" w:cs="Arial" w:eastAsia="Arial" w:hAnsi="Arial"/>
          <w:sz w:val="21"/>
          <w:szCs w:val="21"/>
          <w:color w:val="auto"/>
        </w:rPr>
        <w:t>duly 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Modifications and Waivers</w:t>
      </w:r>
      <w:r>
        <w:rPr>
          <w:rFonts w:ascii="Arial" w:cs="Arial" w:eastAsia="Arial" w:hAnsi="Arial"/>
          <w:sz w:val="21"/>
          <w:szCs w:val="21"/>
          <w:color w:val="auto"/>
        </w:rPr>
        <w:t>. No provision of this Plan shall be modified, waived or discharged unless the modification, waiver</w:t>
      </w:r>
      <w:r>
        <w:rPr>
          <w:rFonts w:ascii="Arial" w:cs="Arial" w:eastAsia="Arial" w:hAnsi="Arial"/>
          <w:sz w:val="21"/>
          <w:szCs w:val="21"/>
          <w:b w:val="1"/>
          <w:bCs w:val="1"/>
          <w:color w:val="auto"/>
        </w:rPr>
        <w:t xml:space="preserve"> </w:t>
      </w:r>
      <w:r>
        <w:rPr>
          <w:rFonts w:ascii="Arial" w:cs="Arial" w:eastAsia="Arial" w:hAnsi="Arial"/>
          <w:sz w:val="21"/>
          <w:szCs w:val="21"/>
          <w:color w:val="auto"/>
        </w:rPr>
        <w:t>or discharge is agreed to in writing and signed by Executive and by an authorized officer of the Company (other than Executive). No waiver by either party of any breach of, or of compliance with, any condition or provision of this Plan by the other party shall be considered a waiver of any other condition or provision or of the same condition or provision at another time.</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Whole Agreement</w:t>
      </w:r>
      <w:r>
        <w:rPr>
          <w:rFonts w:ascii="Arial" w:cs="Arial" w:eastAsia="Arial" w:hAnsi="Arial"/>
          <w:sz w:val="21"/>
          <w:szCs w:val="21"/>
          <w:color w:val="auto"/>
        </w:rPr>
        <w:t>. This Plan and the Proprietary Information and Inventions Agreement supersede and replace any prior</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8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Choice of Law and Severability</w:t>
      </w:r>
      <w:r>
        <w:rPr>
          <w:rFonts w:ascii="Arial" w:cs="Arial" w:eastAsia="Arial" w:hAnsi="Arial"/>
          <w:sz w:val="20"/>
          <w:szCs w:val="20"/>
          <w:color w:val="auto"/>
        </w:rPr>
        <w:t>. This Plan shall be interpreted in accordance with the laws of the State of New Jersey (except</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provisions governing the choice of law). If any provision of this Plan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Plan shall continue in full force and effect. If any provision of this Plan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Plan shall continue in full force and effect without impairment or limitation.</w:t>
      </w:r>
    </w:p>
    <w:p>
      <w:pPr>
        <w:spacing w:after="0" w:line="179"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No Assignment</w:t>
      </w:r>
      <w:r>
        <w:rPr>
          <w:rFonts w:ascii="Arial" w:cs="Arial" w:eastAsia="Arial" w:hAnsi="Arial"/>
          <w:sz w:val="21"/>
          <w:szCs w:val="21"/>
          <w:color w:val="auto"/>
        </w:rPr>
        <w:t>. This Plan and all rights and obligations of Executive hereunder are personal to Executive and may not be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or assigned by Executive at any time. The Company may assign its rights under this Plan to any entity that assumes the Company’s obligations hereunder in connection with any sale or transfer of all or a substantial portion of the Company’s assets to such entity.</w:t>
      </w:r>
    </w:p>
    <w:p>
      <w:pPr>
        <w:spacing w:after="0" w:line="190"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 xml:space="preserve">Survival. </w:t>
      </w:r>
      <w:r>
        <w:rPr>
          <w:rFonts w:ascii="Arial" w:cs="Arial" w:eastAsia="Arial" w:hAnsi="Arial"/>
          <w:sz w:val="21"/>
          <w:szCs w:val="21"/>
          <w:color w:val="auto"/>
        </w:rPr>
        <w:t>The rights and obligations of the parties under the provisions of this Plant (including without limitation 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shall survive, and remaining binding and enforceable, notwithstanding the termination of Executive’s employment hereunder or otherwise, to the extent necessary to preserve the intended benefits of such provision.</w:t>
      </w:r>
    </w:p>
    <w:p>
      <w:pPr>
        <w:sectPr>
          <w:pgSz w:w="11900" w:h="16838" w:orient="portrait"/>
          <w:cols w:equalWidth="0" w:num="1">
            <w:col w:w="10900"/>
          </w:cols>
          <w:pgMar w:left="560" w:top="1440" w:right="4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62" w:lineRule="exact"/>
        <w:rPr>
          <w:sz w:val="20"/>
          <w:szCs w:val="20"/>
          <w:color w:val="auto"/>
        </w:rPr>
      </w:pPr>
    </w:p>
    <w:p>
      <w:pPr>
        <w:ind w:left="880" w:hanging="475"/>
        <w:spacing w:after="0" w:line="259"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333-136088) pertaining to the 2006 Equity Incentive Plan of Synchronoss Technologies, Inc.,</w:t>
      </w:r>
    </w:p>
    <w:p>
      <w:pPr>
        <w:ind w:left="880" w:hanging="475"/>
        <w:spacing w:after="0" w:line="256"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333-167000) pertaining to the 2006 Equity Incentive Plan of Synchronoss Technologies, Inc.,</w:t>
      </w:r>
    </w:p>
    <w:p>
      <w:pPr>
        <w:spacing w:after="0" w:line="1" w:lineRule="exact"/>
        <w:rPr>
          <w:rFonts w:ascii="Arial" w:cs="Arial" w:eastAsia="Arial" w:hAnsi="Arial"/>
          <w:sz w:val="20"/>
          <w:szCs w:val="20"/>
          <w:color w:val="auto"/>
        </w:rPr>
      </w:pPr>
    </w:p>
    <w:p>
      <w:pPr>
        <w:ind w:left="880" w:hanging="475"/>
        <w:spacing w:after="0" w:line="250"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333-216614) pertaining to the Intralinks Holdings, Inc. 2007 Stock Option and Grant Plan and Intralinks Holdings, Inc. 2010 Equity Incentive Plan,</w:t>
      </w:r>
    </w:p>
    <w:p>
      <w:pPr>
        <w:spacing w:after="0" w:line="1" w:lineRule="exact"/>
        <w:rPr>
          <w:rFonts w:ascii="Arial" w:cs="Arial" w:eastAsia="Arial" w:hAnsi="Arial"/>
          <w:sz w:val="20"/>
          <w:szCs w:val="20"/>
          <w:color w:val="auto"/>
        </w:rPr>
      </w:pPr>
    </w:p>
    <w:p>
      <w:pPr>
        <w:ind w:left="880" w:hanging="475"/>
        <w:spacing w:after="0" w:line="256"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333-168745) pertaining to the 2010 New Hire Equity Incentive Plan of Synchronoss Technologies, Inc.,</w:t>
      </w:r>
    </w:p>
    <w:p>
      <w:pPr>
        <w:spacing w:after="0" w:line="1" w:lineRule="exact"/>
        <w:rPr>
          <w:rFonts w:ascii="Arial" w:cs="Arial" w:eastAsia="Arial" w:hAnsi="Arial"/>
          <w:sz w:val="20"/>
          <w:szCs w:val="20"/>
          <w:color w:val="auto"/>
        </w:rPr>
      </w:pPr>
    </w:p>
    <w:p>
      <w:pPr>
        <w:ind w:left="880" w:hanging="475"/>
        <w:spacing w:after="0" w:line="255"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333-179544) pertaining to the Employee Stock Purchase Plan of Synchronoss Technologies, Inc.,</w:t>
      </w:r>
    </w:p>
    <w:p>
      <w:pPr>
        <w:ind w:left="880" w:hanging="475"/>
        <w:spacing w:after="0" w:line="256"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333-188939) pertaining to the 2006 Equity Incentive Plan of Synchronoss Technologies, Inc.,</w:t>
      </w:r>
    </w:p>
    <w:p>
      <w:pPr>
        <w:spacing w:after="0" w:line="1" w:lineRule="exact"/>
        <w:rPr>
          <w:rFonts w:ascii="Arial" w:cs="Arial" w:eastAsia="Arial" w:hAnsi="Arial"/>
          <w:sz w:val="20"/>
          <w:szCs w:val="20"/>
          <w:color w:val="auto"/>
        </w:rPr>
      </w:pPr>
    </w:p>
    <w:p>
      <w:pPr>
        <w:ind w:left="880" w:hanging="475"/>
        <w:spacing w:after="0" w:line="256"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333-204311) pertaining to the 2015 Equity Incentive Plan of Synchronoss Technologies, Inc.,</w:t>
      </w:r>
    </w:p>
    <w:p>
      <w:pPr>
        <w:spacing w:after="0" w:line="1" w:lineRule="exact"/>
        <w:rPr>
          <w:rFonts w:ascii="Arial" w:cs="Arial" w:eastAsia="Arial" w:hAnsi="Arial"/>
          <w:sz w:val="20"/>
          <w:szCs w:val="20"/>
          <w:color w:val="auto"/>
        </w:rPr>
      </w:pPr>
    </w:p>
    <w:p>
      <w:pPr>
        <w:ind w:left="880" w:hanging="475"/>
        <w:spacing w:after="0" w:line="250"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333-237276) pertaining to the Amended and Restated 2015 Equity Incentive Plan of Synchronoss Technologies, Inc.,</w:t>
      </w:r>
    </w:p>
    <w:p>
      <w:pPr>
        <w:spacing w:after="0" w:line="1" w:lineRule="exact"/>
        <w:rPr>
          <w:rFonts w:ascii="Arial" w:cs="Arial" w:eastAsia="Arial" w:hAnsi="Arial"/>
          <w:sz w:val="20"/>
          <w:szCs w:val="20"/>
          <w:color w:val="auto"/>
        </w:rPr>
      </w:pPr>
    </w:p>
    <w:p>
      <w:pPr>
        <w:ind w:left="880" w:hanging="475"/>
        <w:spacing w:after="0" w:line="256" w:lineRule="auto"/>
        <w:tabs>
          <w:tab w:leader="none" w:pos="8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333-257097) pertaining to the Amended and Restated 2015 Equity Incentive Plan of Synchronoss Technologies, Inc.,</w:t>
      </w:r>
    </w:p>
    <w:p>
      <w:pPr>
        <w:spacing w:after="0" w:line="1" w:lineRule="exact"/>
        <w:rPr>
          <w:rFonts w:ascii="Arial" w:cs="Arial" w:eastAsia="Arial" w:hAnsi="Arial"/>
          <w:sz w:val="20"/>
          <w:szCs w:val="20"/>
          <w:color w:val="auto"/>
        </w:rPr>
      </w:pPr>
    </w:p>
    <w:p>
      <w:pPr>
        <w:ind w:left="880" w:hanging="475"/>
        <w:spacing w:after="0" w:line="255" w:lineRule="auto"/>
        <w:tabs>
          <w:tab w:leader="none" w:pos="87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S-8 No. 333-265780) pertaining to the Amended and Restated 2015 Equity Incentive Plan of Synchronoss Technologies, Inc.,</w:t>
      </w:r>
    </w:p>
    <w:p>
      <w:pPr>
        <w:ind w:left="880" w:hanging="475"/>
        <w:spacing w:after="0"/>
        <w:tabs>
          <w:tab w:leader="none" w:pos="8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S-3 No. 333-248133) of Synchronoss Technologies, Inc.,</w:t>
      </w:r>
    </w:p>
    <w:p>
      <w:pPr>
        <w:spacing w:after="0" w:line="11" w:lineRule="exact"/>
        <w:rPr>
          <w:rFonts w:ascii="Arial" w:cs="Arial" w:eastAsia="Arial" w:hAnsi="Arial"/>
          <w:sz w:val="20"/>
          <w:szCs w:val="20"/>
          <w:color w:val="auto"/>
        </w:rPr>
      </w:pPr>
    </w:p>
    <w:p>
      <w:pPr>
        <w:ind w:left="880" w:hanging="475"/>
        <w:spacing w:after="0"/>
        <w:tabs>
          <w:tab w:leader="none" w:pos="8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Registration Statement (Form S-3 No. 333-260482) of Synchronoss Technologies, Inc., and</w:t>
      </w:r>
    </w:p>
    <w:p>
      <w:pPr>
        <w:spacing w:after="0" w:line="20" w:lineRule="exact"/>
        <w:rPr>
          <w:rFonts w:ascii="Arial" w:cs="Arial" w:eastAsia="Arial" w:hAnsi="Arial"/>
          <w:sz w:val="20"/>
          <w:szCs w:val="20"/>
          <w:color w:val="auto"/>
        </w:rPr>
      </w:pPr>
    </w:p>
    <w:p>
      <w:pPr>
        <w:ind w:left="880" w:hanging="475"/>
        <w:spacing w:after="0" w:line="317" w:lineRule="auto"/>
        <w:tabs>
          <w:tab w:leader="none" w:pos="8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Registration Statement (Form S-8 No. 333-230539) pertaining to the Synchronoss Technologies, Inc. 2017 New Hire Equity Incentive Plan, Glenn Lurie Inducement Awards and Synchronoss Technologies, Inc. Employee Stock Purchase Plan;</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of our reports dated March 15, 2023, with respect to the consolidated financial statements of Synchronoss Technologies, Inc. and the effectiveness of internal control over financial reporting of Synchronoss Technologies, Inc. included in this Annual Report (Form 10-K) of Synchronoss Technologies,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Iselin, New Jersey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0"/>
          <w:szCs w:val="10"/>
          <w:color w:val="808080"/>
        </w:rPr>
        <w:t>A member firm of Ernst &amp; Young Global Limited</w:t>
      </w:r>
    </w:p>
    <w:p>
      <w:pPr>
        <w:sectPr>
          <w:pgSz w:w="11900" w:h="16838" w:orient="portrait"/>
          <w:cols w:equalWidth="0" w:num="1">
            <w:col w:w="11240"/>
          </w:cols>
          <w:pgMar w:left="320" w:top="1172"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Jeff Miller</w:t>
      </w:r>
      <w:r>
        <w:rPr>
          <w:rFonts w:ascii="Arial" w:cs="Arial" w:eastAsia="Arial" w:hAnsi="Arial"/>
          <w:sz w:val="18"/>
          <w:szCs w:val="18"/>
          <w:color w:val="auto"/>
        </w:rPr>
        <w:t>, certify that:</w:t>
      </w:r>
    </w:p>
    <w:p>
      <w:pPr>
        <w:spacing w:after="0" w:line="224" w:lineRule="exact"/>
        <w:rPr>
          <w:sz w:val="20"/>
          <w:szCs w:val="20"/>
          <w:color w:val="auto"/>
        </w:rPr>
      </w:pPr>
    </w:p>
    <w:p>
      <w:pPr>
        <w:ind w:left="640" w:hanging="315"/>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2022;</w:t>
      </w:r>
    </w:p>
    <w:p>
      <w:pPr>
        <w:spacing w:after="0" w:line="178"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40" w:hanging="315"/>
        <w:spacing w:after="0" w:line="296"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jc w:val="both"/>
        <w:ind w:left="1280" w:hanging="316"/>
        <w:spacing w:after="0" w:line="256" w:lineRule="auto"/>
        <w:tabs>
          <w:tab w:leader="none" w:pos="127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280" w:hanging="316"/>
        <w:spacing w:after="0" w:line="256" w:lineRule="auto"/>
        <w:tabs>
          <w:tab w:leader="none" w:pos="12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left="1280" w:hanging="316"/>
        <w:spacing w:after="0" w:line="329" w:lineRule="auto"/>
        <w:tabs>
          <w:tab w:leader="none" w:pos="127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jc w:val="both"/>
        <w:ind w:left="1280" w:hanging="316"/>
        <w:spacing w:after="0" w:line="256" w:lineRule="auto"/>
        <w:tabs>
          <w:tab w:leader="none" w:pos="12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640" w:right="20" w:hanging="315"/>
        <w:spacing w:after="0" w:line="329" w:lineRule="auto"/>
        <w:tabs>
          <w:tab w:leader="none" w:pos="6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1280" w:hanging="316"/>
        <w:spacing w:after="0" w:line="296" w:lineRule="auto"/>
        <w:tabs>
          <w:tab w:leader="none" w:pos="127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7"/>
          <w:szCs w:val="17"/>
          <w:color w:val="auto"/>
        </w:rPr>
      </w:pPr>
    </w:p>
    <w:p>
      <w:pPr>
        <w:ind w:left="1280" w:hanging="316"/>
        <w:spacing w:after="0" w:line="266" w:lineRule="auto"/>
        <w:tabs>
          <w:tab w:leader="none" w:pos="12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28575</wp:posOffset>
            </wp:positionV>
            <wp:extent cx="2988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79"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Louis Ferraro</w:t>
      </w:r>
      <w:r>
        <w:rPr>
          <w:rFonts w:ascii="Arial" w:cs="Arial" w:eastAsia="Arial" w:hAnsi="Arial"/>
          <w:sz w:val="18"/>
          <w:szCs w:val="18"/>
          <w:color w:val="auto"/>
        </w:rPr>
        <w:t>, certify that:</w:t>
      </w:r>
    </w:p>
    <w:p>
      <w:pPr>
        <w:spacing w:after="0" w:line="224" w:lineRule="exact"/>
        <w:rPr>
          <w:sz w:val="20"/>
          <w:szCs w:val="20"/>
          <w:color w:val="auto"/>
        </w:rPr>
      </w:pPr>
    </w:p>
    <w:p>
      <w:pPr>
        <w:ind w:left="640" w:hanging="315"/>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2022;</w:t>
      </w:r>
    </w:p>
    <w:p>
      <w:pPr>
        <w:spacing w:after="0" w:line="178"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40" w:hanging="315"/>
        <w:spacing w:after="0" w:line="296" w:lineRule="auto"/>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jc w:val="both"/>
        <w:ind w:left="1280" w:hanging="316"/>
        <w:spacing w:after="0" w:line="256" w:lineRule="auto"/>
        <w:tabs>
          <w:tab w:leader="none" w:pos="127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280" w:hanging="316"/>
        <w:spacing w:after="0" w:line="256" w:lineRule="auto"/>
        <w:tabs>
          <w:tab w:leader="none" w:pos="12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left="1280" w:hanging="316"/>
        <w:spacing w:after="0" w:line="329" w:lineRule="auto"/>
        <w:tabs>
          <w:tab w:leader="none" w:pos="127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jc w:val="both"/>
        <w:ind w:left="1280" w:hanging="316"/>
        <w:spacing w:after="0" w:line="256" w:lineRule="auto"/>
        <w:tabs>
          <w:tab w:leader="none" w:pos="12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 w:hanging="315"/>
        <w:spacing w:after="0" w:line="329" w:lineRule="auto"/>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6"/>
          <w:szCs w:val="16"/>
          <w:color w:val="auto"/>
        </w:rPr>
      </w:pPr>
    </w:p>
    <w:p>
      <w:pPr>
        <w:ind w:left="1280" w:hanging="316"/>
        <w:spacing w:after="0" w:line="296" w:lineRule="auto"/>
        <w:tabs>
          <w:tab w:leader="none" w:pos="127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7"/>
          <w:szCs w:val="17"/>
          <w:color w:val="auto"/>
        </w:rPr>
      </w:pPr>
    </w:p>
    <w:p>
      <w:pPr>
        <w:ind w:left="1280" w:hanging="316"/>
        <w:spacing w:after="0" w:line="266" w:lineRule="auto"/>
        <w:tabs>
          <w:tab w:leader="none" w:pos="12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28575</wp:posOffset>
            </wp:positionV>
            <wp:extent cx="263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pacing w:after="0" w:line="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Louis Ferraro</w:t>
      </w:r>
    </w:p>
    <w:p>
      <w:pPr>
        <w:spacing w:after="0" w:line="7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79"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PURSUANT TO 18 U.S.C. SECTION 1350</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In connection with the Annual Report on Form 10-K of Synchronoss Technologies, Inc. (the “Company”) for the year ended December 31, 2022,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4" w:lineRule="exact"/>
        <w:rPr>
          <w:sz w:val="20"/>
          <w:szCs w:val="20"/>
          <w:color w:val="auto"/>
        </w:rPr>
      </w:pPr>
    </w:p>
    <w:p>
      <w:pPr>
        <w:ind w:left="640" w:hanging="315"/>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14" w:lineRule="exact"/>
        <w:rPr>
          <w:rFonts w:ascii="Arial" w:cs="Arial" w:eastAsia="Arial" w:hAnsi="Arial"/>
          <w:sz w:val="16"/>
          <w:szCs w:val="16"/>
          <w:color w:val="auto"/>
        </w:rPr>
      </w:pPr>
    </w:p>
    <w:p>
      <w:pPr>
        <w:ind w:left="640" w:hanging="315"/>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28575</wp:posOffset>
            </wp:positionV>
            <wp:extent cx="30054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Chief Executive Officer</w:t>
      </w:r>
    </w:p>
    <w:p>
      <w:pPr>
        <w:spacing w:after="0" w:line="3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9"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In connection with the Annual Report on Form 10-K of Synchronoss Technologies, Inc. (the “Company”) for the year ended December 31, 2022, as filed with the Securities and Exchange Commission on the date hereof (the “Report”), I, </w:t>
      </w:r>
      <w:r>
        <w:rPr>
          <w:rFonts w:ascii="Arial" w:cs="Arial" w:eastAsia="Arial" w:hAnsi="Arial"/>
          <w:sz w:val="16"/>
          <w:szCs w:val="16"/>
          <w:b w:val="1"/>
          <w:bCs w:val="1"/>
          <w:color w:val="auto"/>
        </w:rPr>
        <w:t>Louis Ferraro</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4" w:lineRule="exact"/>
        <w:rPr>
          <w:sz w:val="20"/>
          <w:szCs w:val="20"/>
          <w:color w:val="auto"/>
        </w:rPr>
      </w:pPr>
    </w:p>
    <w:p>
      <w:pPr>
        <w:ind w:left="640" w:hanging="315"/>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14" w:lineRule="exact"/>
        <w:rPr>
          <w:rFonts w:ascii="Arial" w:cs="Arial" w:eastAsia="Arial" w:hAnsi="Arial"/>
          <w:sz w:val="16"/>
          <w:szCs w:val="16"/>
          <w:color w:val="auto"/>
        </w:rPr>
      </w:pPr>
    </w:p>
    <w:p>
      <w:pPr>
        <w:ind w:left="640" w:hanging="315"/>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28575</wp:posOffset>
            </wp:positionV>
            <wp:extent cx="2549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Louis Ferraro</w:t>
      </w:r>
    </w:p>
    <w:p>
      <w:pPr>
        <w:spacing w:after="0" w:line="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Chief Financial Officer</w:t>
      </w:r>
    </w:p>
    <w:p>
      <w:pPr>
        <w:spacing w:after="0" w:line="3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lvl w:ilvl="1">
      <w:lvlJc w:val="left"/>
      <w:lvlText w:val="▪"/>
      <w:numFmt w:val="bullet"/>
      <w:start w:val="1"/>
    </w:lvl>
  </w:abstractNum>
  <w:abstractNum w:abstractNumId="3">
    <w:nsid w:val="1F48EAA1"/>
    <w:multiLevelType w:val="hybridMultilevel"/>
    <w:lvl w:ilvl="0">
      <w:lvlJc w:val="left"/>
      <w:lvlText w:val="•"/>
      <w:numFmt w:val="bullet"/>
      <w:start w:val="1"/>
    </w:lvl>
    <w:lvl w:ilvl="1">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1"/>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lvl w:ilvl="1">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lvl w:ilvl="1">
      <w:lvlJc w:val="left"/>
      <w:lvlText w:val="•"/>
      <w:numFmt w:val="bullet"/>
      <w:start w:val="1"/>
    </w:lvl>
  </w:abstractNum>
  <w:abstractNum w:abstractNumId="32">
    <w:nsid w:val="6A5EE64"/>
    <w:multiLevelType w:val="hybridMultilevel"/>
    <w:lvl w:ilvl="0">
      <w:lvlJc w:val="left"/>
      <w:lvlText w:val="•"/>
      <w:numFmt w:val="bullet"/>
      <w:start w:val="1"/>
    </w:lvl>
    <w:lvl w:ilvl="1">
      <w:lvlJc w:val="left"/>
      <w:lvlText w:val="•"/>
      <w:numFmt w:val="bullet"/>
      <w:start w:val="1"/>
    </w:lvl>
  </w:abstractNum>
  <w:abstractNum w:abstractNumId="33">
    <w:nsid w:val="14330624"/>
    <w:multiLevelType w:val="hybridMultilevel"/>
    <w:lvl w:ilvl="0">
      <w:lvlJc w:val="left"/>
      <w:lvlText w:val="1"/>
      <w:numFmt w:val="bullet"/>
      <w:start w:val="1"/>
    </w:lvl>
  </w:abstractNum>
  <w:abstractNum w:abstractNumId="34">
    <w:nsid w:val="7FFFCA11"/>
    <w:multiLevelType w:val="hybridMultilevel"/>
    <w:lvl w:ilvl="0">
      <w:lvlJc w:val="left"/>
      <w:lvlText w:val="1"/>
      <w:numFmt w:val="bullet"/>
      <w:start w:val="1"/>
    </w:lvl>
  </w:abstractNum>
  <w:abstractNum w:abstractNumId="35">
    <w:nsid w:val="1A27709E"/>
    <w:multiLevelType w:val="hybridMultilevel"/>
    <w:lvl w:ilvl="0">
      <w:lvlJc w:val="left"/>
      <w:lvlText w:val="1"/>
      <w:numFmt w:val="bullet"/>
      <w:start w:val="1"/>
    </w:lvl>
  </w:abstractNum>
  <w:abstractNum w:abstractNumId="36">
    <w:nsid w:val="71EA1109"/>
    <w:multiLevelType w:val="hybridMultilevel"/>
    <w:lvl w:ilvl="0">
      <w:lvlJc w:val="left"/>
      <w:lvlText w:val="1"/>
      <w:numFmt w:val="bullet"/>
      <w:start w:val="1"/>
    </w:lvl>
  </w:abstractNum>
  <w:abstractNum w:abstractNumId="37">
    <w:nsid w:val="100F59DC"/>
    <w:multiLevelType w:val="hybridMultilevel"/>
    <w:lvl w:ilvl="0">
      <w:lvlJc w:val="left"/>
      <w:lvlText w:val="•"/>
      <w:numFmt w:val="bullet"/>
      <w:start w:val="1"/>
    </w:lvl>
    <w:lvl w:ilvl="1">
      <w:lvlJc w:val="left"/>
      <w:lvlText w:val="\endash "/>
      <w:numFmt w:val="bullet"/>
      <w:start w:val="1"/>
    </w:lvl>
  </w:abstractNum>
  <w:abstractNum w:abstractNumId="38">
    <w:nsid w:val="7FB7E0AA"/>
    <w:multiLevelType w:val="hybridMultilevel"/>
    <w:lvl w:ilvl="0">
      <w:lvlJc w:val="left"/>
      <w:lvlText w:val="1"/>
      <w:numFmt w:val="bullet"/>
      <w:start w:val="1"/>
    </w:lvl>
  </w:abstractNum>
  <w:abstractNum w:abstractNumId="39">
    <w:nsid w:val="6EB5BD4"/>
    <w:multiLevelType w:val="hybridMultilevel"/>
    <w:lvl w:ilvl="0">
      <w:lvlJc w:val="left"/>
      <w:lvlText w:val="%1."/>
      <w:numFmt w:val="decimal"/>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1"/>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1"/>
      <w:numFmt w:val="bullet"/>
      <w:start w:val="1"/>
    </w:lvl>
  </w:abstractNum>
  <w:abstractNum w:abstractNumId="45">
    <w:nsid w:val="1716703B"/>
    <w:multiLevelType w:val="hybridMultilevel"/>
    <w:lvl w:ilvl="0">
      <w:lvlJc w:val="left"/>
      <w:lvlText w:val="1"/>
      <w:numFmt w:val="bullet"/>
      <w:start w:val="1"/>
    </w:lvl>
  </w:abstractNum>
  <w:abstractNum w:abstractNumId="46">
    <w:nsid w:val="14E17E33"/>
    <w:multiLevelType w:val="hybridMultilevel"/>
    <w:lvl w:ilvl="0">
      <w:lvlJc w:val="left"/>
      <w:lvlText w:val="1"/>
      <w:numFmt w:val="bullet"/>
      <w:start w:val="1"/>
    </w:lvl>
  </w:abstractNum>
  <w:abstractNum w:abstractNumId="47">
    <w:nsid w:val="3222E7CD"/>
    <w:multiLevelType w:val="hybridMultilevel"/>
    <w:lvl w:ilvl="0">
      <w:lvlJc w:val="left"/>
      <w:lvlText w:val="2"/>
      <w:numFmt w:val="bullet"/>
      <w:start w:val="1"/>
    </w:lvl>
  </w:abstractNum>
  <w:abstractNum w:abstractNumId="48">
    <w:nsid w:val="74DE0EE3"/>
    <w:multiLevelType w:val="hybridMultilevel"/>
    <w:lvl w:ilvl="0">
      <w:lvlJc w:val="left"/>
      <w:lvlText w:val="1"/>
      <w:numFmt w:val="bullet"/>
      <w:start w:val="1"/>
    </w:lvl>
  </w:abstractNum>
  <w:abstractNum w:abstractNumId="49">
    <w:nsid w:val="68EBC550"/>
    <w:multiLevelType w:val="hybridMultilevel"/>
    <w:lvl w:ilvl="0">
      <w:lvlJc w:val="left"/>
      <w:lvlText w:val="1"/>
      <w:numFmt w:val="bullet"/>
      <w:start w:val="1"/>
    </w:lvl>
  </w:abstractNum>
  <w:abstractNum w:abstractNumId="50">
    <w:nsid w:val="2DF6D648"/>
    <w:multiLevelType w:val="hybridMultilevel"/>
    <w:lvl w:ilvl="0">
      <w:lvlJc w:val="left"/>
      <w:lvlText w:val="1"/>
      <w:numFmt w:val="bullet"/>
      <w:start w:val="1"/>
    </w:lvl>
  </w:abstractNum>
  <w:abstractNum w:abstractNumId="51">
    <w:nsid w:val="46B7D447"/>
    <w:multiLevelType w:val="hybridMultilevel"/>
    <w:lvl w:ilvl="0">
      <w:lvlJc w:val="left"/>
      <w:lvlText w:val="%1."/>
      <w:numFmt w:val="decimal"/>
      <w:start w:val="21"/>
    </w:lvl>
    <w:lvl w:ilvl="1">
      <w:lvlJc w:val="left"/>
      <w:lvlText w:val="1"/>
      <w:numFmt w:val="bullet"/>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1)"/>
      <w:numFmt w:val="lowerLetter"/>
      <w:start w:val="2"/>
    </w:lvl>
  </w:abstractNum>
  <w:abstractNum w:abstractNumId="57">
    <w:nsid w:val="60EF0119"/>
    <w:multiLevelType w:val="hybridMultilevel"/>
    <w:lvl w:ilvl="0">
      <w:lvlJc w:val="left"/>
      <w:lvlText w:val="%1."/>
      <w:numFmt w:val="upperLetter"/>
      <w:start w:val="1"/>
    </w:lvl>
  </w:abstractNum>
  <w:abstractNum w:abstractNumId="58">
    <w:nsid w:val="26F324BA"/>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59">
    <w:nsid w:val="7F01579B"/>
    <w:multiLevelType w:val="hybridMultilevel"/>
    <w:lvl w:ilvl="0">
      <w:lvlJc w:val="left"/>
      <w:lvlText w:val="%1"/>
      <w:numFmt w:val="upperLetter"/>
      <w:start w:val="1"/>
    </w:lvl>
    <w:lvl w:ilvl="1">
      <w:lvlJc w:val="left"/>
      <w:lvlText w:val="%2."/>
      <w:numFmt w:val="upperLetter"/>
      <w:start w:val="3"/>
    </w:lvl>
    <w:lvl w:ilvl="2">
      <w:lvlJc w:val="left"/>
      <w:lvlText w:val="%3"/>
      <w:numFmt w:val="upperLetter"/>
      <w:start w:val="1"/>
    </w:lvl>
  </w:abstractNum>
  <w:abstractNum w:abstractNumId="60">
    <w:nsid w:val="49DA307D"/>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abstractNum w:abstractNumId="61">
    <w:nsid w:val="7055A5F5"/>
    <w:multiLevelType w:val="hybridMultilevel"/>
    <w:lvl w:ilvl="0">
      <w:lvlJc w:val="left"/>
      <w:lvlText w:val="%1."/>
      <w:numFmt w:val="upperLetter"/>
      <w:start w:val="6"/>
    </w:lvl>
  </w:abstractNum>
  <w:abstractNum w:abstractNumId="62">
    <w:nsid w:val="5FB8370B"/>
    <w:multiLevelType w:val="hybridMultilevel"/>
    <w:lvl w:ilvl="0">
      <w:lvlJc w:val="left"/>
      <w:lvlText w:val="(%1)"/>
      <w:numFmt w:val="lowerRoman"/>
      <w:start w:val="2"/>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lowerLetter"/>
      <w:start w:val="1"/>
    </w:lvl>
  </w:abstractNum>
  <w:abstractNum w:abstractNumId="65">
    <w:nsid w:val="5FB8011C"/>
    <w:multiLevelType w:val="hybridMultilevel"/>
    <w:lvl w:ilvl="0">
      <w:lvlJc w:val="left"/>
      <w:lvlText w:val="%1."/>
      <w:numFmt w:val="decimal"/>
      <w:start w:val="2"/>
    </w:lvl>
  </w:abstractNum>
  <w:abstractNum w:abstractNumId="66">
    <w:nsid w:val="6AA78F7F"/>
    <w:multiLevelType w:val="hybridMultilevel"/>
    <w:lvl w:ilvl="0">
      <w:lvlJc w:val="left"/>
      <w:lvlText w:val="(%1)"/>
      <w:numFmt w:val="lowerLetter"/>
      <w:start w:val="1"/>
    </w:lvl>
  </w:abstractNum>
  <w:abstractNum w:abstractNumId="67">
    <w:nsid w:val="7672BD23"/>
    <w:multiLevelType w:val="hybridMultilevel"/>
    <w:lvl w:ilvl="0">
      <w:lvlJc w:val="left"/>
      <w:lvlText w:val="(%1)"/>
      <w:numFmt w:val="lowerLetter"/>
      <w:start w:val="4"/>
    </w:lvl>
  </w:abstractNum>
  <w:abstractNum w:abstractNumId="68">
    <w:nsid w:val="6FC75AF8"/>
    <w:multiLevelType w:val="hybridMultilevel"/>
    <w:lvl w:ilvl="0">
      <w:lvlJc w:val="left"/>
      <w:lvlText w:val="(%1)"/>
      <w:numFmt w:val="lowerLetter"/>
      <w:start w:val="1"/>
    </w:lvl>
    <w:lvl w:ilvl="1">
      <w:lvlJc w:val="left"/>
      <w:lvlText w:val="(%2)"/>
      <w:numFmt w:val="lowerRoman"/>
      <w:start w:val="1"/>
    </w:lvl>
  </w:abstractNum>
  <w:abstractNum w:abstractNumId="69">
    <w:nsid w:val="6A5F7029"/>
    <w:multiLevelType w:val="hybridMultilevel"/>
    <w:lvl w:ilvl="0">
      <w:lvlJc w:val="left"/>
      <w:lvlText w:val="(%1)"/>
      <w:numFmt w:val="lowerLetter"/>
      <w:start w:val="2"/>
    </w:lvl>
  </w:abstractNum>
  <w:abstractNum w:abstractNumId="70">
    <w:nsid w:val="7D5E18F8"/>
    <w:multiLevelType w:val="hybridMultilevel"/>
    <w:lvl w:ilvl="0">
      <w:lvlJc w:val="left"/>
      <w:lvlText w:val="(%1)"/>
      <w:numFmt w:val="lowerLetter"/>
      <w:start w:val="2"/>
    </w:lvl>
  </w:abstractNum>
  <w:abstractNum w:abstractNumId="71">
    <w:nsid w:val="5F3534A4"/>
    <w:multiLevelType w:val="hybridMultilevel"/>
    <w:lvl w:ilvl="0">
      <w:lvlJc w:val="left"/>
      <w:lvlText w:val="(%1)"/>
      <w:numFmt w:val="lowerLetter"/>
      <w:start w:val="25"/>
    </w:lvl>
  </w:abstractNum>
  <w:abstractNum w:abstractNumId="72">
    <w:nsid w:val="73A1821B"/>
    <w:multiLevelType w:val="hybridMultilevel"/>
    <w:lvl w:ilvl="0">
      <w:lvlJc w:val="left"/>
      <w:lvlText w:val="(%1)"/>
      <w:numFmt w:val="lowerLetter"/>
      <w:start w:val="4"/>
    </w:lvl>
  </w:abstractNum>
  <w:abstractNum w:abstractNumId="73">
    <w:nsid w:val="7DE67713"/>
    <w:multiLevelType w:val="hybridMultilevel"/>
    <w:lvl w:ilvl="0">
      <w:lvlJc w:val="left"/>
      <w:lvlText w:val="(%1)"/>
      <w:numFmt w:val="lowerLetter"/>
      <w:start w:val="35"/>
    </w:lvl>
  </w:abstractNum>
  <w:abstractNum w:abstractNumId="74">
    <w:nsid w:val="555C55B5"/>
    <w:multiLevelType w:val="hybridMultilevel"/>
    <w:lvl w:ilvl="0">
      <w:lvlJc w:val="left"/>
      <w:lvlText w:val="%1."/>
      <w:numFmt w:val="decimal"/>
      <w:start w:val="6"/>
    </w:lvl>
  </w:abstractNum>
  <w:abstractNum w:abstractNumId="75">
    <w:nsid w:val="3FA62ACA"/>
    <w:multiLevelType w:val="hybridMultilevel"/>
    <w:lvl w:ilvl="0">
      <w:lvlJc w:val="left"/>
      <w:lvlText w:val="(%1)"/>
      <w:numFmt w:val="lowerLetter"/>
      <w:start w:val="1"/>
    </w:lvl>
  </w:abstractNum>
  <w:abstractNum w:abstractNumId="76">
    <w:nsid w:val="14FCE74E"/>
    <w:multiLevelType w:val="hybridMultilevel"/>
    <w:lvl w:ilvl="0">
      <w:lvlJc w:val="left"/>
      <w:lvlText w:val="(%1)"/>
      <w:numFmt w:val="lowerLetter"/>
      <w:start w:val="3"/>
    </w:lvl>
    <w:lvl w:ilvl="1">
      <w:lvlJc w:val="left"/>
      <w:lvlText w:val="(%2)"/>
      <w:numFmt w:val="lowerRoman"/>
      <w:start w:val="1"/>
    </w:lvl>
  </w:abstractNum>
  <w:abstractNum w:abstractNumId="77">
    <w:nsid w:val="6A3DD3E8"/>
    <w:multiLevelType w:val="hybridMultilevel"/>
    <w:lvl w:ilvl="0">
      <w:lvlJc w:val="left"/>
      <w:lvlText w:val="%1."/>
      <w:numFmt w:val="decimal"/>
      <w:start w:val="7"/>
    </w:lvl>
  </w:abstractNum>
  <w:abstractNum w:abstractNumId="78">
    <w:nsid w:val="71C91298"/>
    <w:multiLevelType w:val="hybridMultilevel"/>
    <w:lvl w:ilvl="0">
      <w:lvlJc w:val="left"/>
      <w:lvlText w:val="(%1)"/>
      <w:numFmt w:val="lowerLetter"/>
      <w:start w:val="1"/>
    </w:lvl>
  </w:abstractNum>
  <w:abstractNum w:abstractNumId="79">
    <w:nsid w:val="9DAF632"/>
    <w:multiLevelType w:val="hybridMultilevel"/>
    <w:lvl w:ilvl="0">
      <w:lvlJc w:val="left"/>
      <w:lvlText w:val="%1."/>
      <w:numFmt w:val="decimal"/>
      <w:start w:val="8"/>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decimal"/>
      <w:start w:val="9"/>
    </w:lvl>
  </w:abstractNum>
  <w:abstractNum w:abstractNumId="82">
    <w:nsid w:val="5092CA79"/>
    <w:multiLevelType w:val="hybridMultilevel"/>
    <w:lvl w:ilvl="0">
      <w:lvlJc w:val="left"/>
      <w:lvlText w:val="(%1)"/>
      <w:numFmt w:val="lowerLetter"/>
      <w:start w:val="1"/>
    </w:lvl>
    <w:lvl w:ilvl="1">
      <w:lvlJc w:val="left"/>
      <w:lvlText w:val="(%2)"/>
      <w:numFmt w:val="lowerRoman"/>
      <w:start w:val="1"/>
    </w:lvl>
  </w:abstractNum>
  <w:abstractNum w:abstractNumId="83">
    <w:nsid w:val="1D545C4D"/>
    <w:multiLevelType w:val="hybridMultilevel"/>
    <w:lvl w:ilvl="0">
      <w:lvlJc w:val="left"/>
      <w:lvlText w:val="(%1)"/>
      <w:numFmt w:val="lowerLetter"/>
      <w:start w:val="2"/>
    </w:lvl>
    <w:lvl w:ilvl="1">
      <w:lvlJc w:val="left"/>
      <w:lvlText w:val="(%2)"/>
      <w:numFmt w:val="lowerLetter"/>
      <w:start w:val="9"/>
    </w:lvl>
  </w:abstractNum>
  <w:abstractNum w:abstractNumId="84">
    <w:nsid w:val="59ADEA3D"/>
    <w:multiLevelType w:val="hybridMultilevel"/>
    <w:lvl w:ilvl="0">
      <w:lvlJc w:val="left"/>
      <w:lvlText w:val="%1"/>
      <w:numFmt w:val="lowerLetter"/>
      <w:start w:val="1"/>
    </w:lvl>
    <w:lvl w:ilvl="1">
      <w:lvlJc w:val="left"/>
      <w:lvlText w:val="(%2)"/>
      <w:numFmt w:val="lowerLetter"/>
      <w:start w:val="35"/>
    </w:lvl>
  </w:abstractNum>
  <w:abstractNum w:abstractNumId="85">
    <w:nsid w:val="288F1A34"/>
    <w:multiLevelType w:val="hybridMultilevel"/>
    <w:lvl w:ilvl="0">
      <w:lvlJc w:val="left"/>
      <w:lvlText w:val="%1"/>
      <w:numFmt w:val="lowerLetter"/>
      <w:start w:val="1"/>
    </w:lvl>
    <w:lvl w:ilvl="1">
      <w:lvlJc w:val="left"/>
      <w:lvlText w:val="(%2)"/>
      <w:numFmt w:val="lowerRoman"/>
      <w:start w:val="3"/>
    </w:lvl>
  </w:abstractNum>
  <w:abstractNum w:abstractNumId="86">
    <w:nsid w:val="2A155DBC"/>
    <w:multiLevelType w:val="hybridMultilevel"/>
    <w:lvl w:ilvl="0">
      <w:lvlJc w:val="left"/>
      <w:lvlText w:val="(%1)"/>
      <w:numFmt w:val="lowerLetter"/>
      <w:start w:val="3"/>
    </w:lvl>
    <w:lvl w:ilvl="1">
      <w:lvlJc w:val="left"/>
      <w:lvlText w:val="(%2)"/>
      <w:numFmt w:val="lowerRoman"/>
      <w:start w:val="1"/>
    </w:lvl>
  </w:abstractNum>
  <w:abstractNum w:abstractNumId="87">
    <w:nsid w:val="1D9F6E5F"/>
    <w:multiLevelType w:val="hybridMultilevel"/>
    <w:lvl w:ilvl="0">
      <w:lvlJc w:val="left"/>
      <w:lvlText w:val="(%1)"/>
      <w:numFmt w:val="lowerRoman"/>
      <w:start w:val="5"/>
    </w:lvl>
  </w:abstractNum>
  <w:abstractNum w:abstractNumId="88">
    <w:nsid w:val="97E1B4E"/>
    <w:multiLevelType w:val="hybridMultilevel"/>
    <w:lvl w:ilvl="0">
      <w:lvlJc w:val="left"/>
      <w:lvlText w:val="(%1)"/>
      <w:numFmt w:val="lowerLetter"/>
      <w:start w:val="7"/>
    </w:lvl>
  </w:abstractNum>
  <w:abstractNum w:abstractNumId="89">
    <w:nsid w:val="51088277"/>
    <w:multiLevelType w:val="hybridMultilevel"/>
    <w:lvl w:ilvl="0">
      <w:lvlJc w:val="left"/>
      <w:lvlText w:val="(%1)"/>
      <w:numFmt w:val="lowerLetter"/>
      <w:start w:val="14"/>
    </w:lvl>
  </w:abstractNum>
  <w:abstractNum w:abstractNumId="90">
    <w:nsid w:val="1CA0C5FA"/>
    <w:multiLevelType w:val="hybridMultilevel"/>
    <w:lvl w:ilvl="0">
      <w:lvlJc w:val="left"/>
      <w:lvlText w:val="%1."/>
      <w:numFmt w:val="decimal"/>
      <w:start w:val="10"/>
    </w:lvl>
  </w:abstractNum>
  <w:abstractNum w:abstractNumId="91">
    <w:nsid w:val="53584BCB"/>
    <w:multiLevelType w:val="hybridMultilevel"/>
    <w:lvl w:ilvl="0">
      <w:lvlJc w:val="left"/>
      <w:lvlText w:val="(%1)"/>
      <w:numFmt w:val="lowerLetter"/>
      <w:start w:val="1"/>
    </w:lvl>
  </w:abstractNum>
  <w:abstractNum w:abstractNumId="92">
    <w:nsid w:val="415E286C"/>
    <w:multiLevelType w:val="hybridMultilevel"/>
    <w:lvl w:ilvl="0">
      <w:lvlJc w:val="left"/>
      <w:lvlText w:val="(%1)"/>
      <w:numFmt w:val="lowerLetter"/>
      <w:start w:val="6"/>
    </w:lvl>
  </w:abstractNum>
  <w:abstractNum w:abstractNumId="93">
    <w:nsid w:val="7C58FD05"/>
    <w:multiLevelType w:val="hybridMultilevel"/>
    <w:lvl w:ilvl="0">
      <w:lvlJc w:val="left"/>
      <w:lvlText w:val="%1."/>
      <w:numFmt w:val="decimal"/>
      <w:start w:val="1"/>
    </w:lvl>
    <w:lvl w:ilvl="1">
      <w:lvlJc w:val="left"/>
      <w:lvlText w:val="(%2)"/>
      <w:numFmt w:val="lowerLetter"/>
      <w:start w:val="1"/>
    </w:lvl>
  </w:abstractNum>
  <w:abstractNum w:abstractNumId="94">
    <w:nsid w:val="23D86AAC"/>
    <w:multiLevelType w:val="hybridMultilevel"/>
    <w:lvl w:ilvl="0">
      <w:lvlJc w:val="left"/>
      <w:lvlText w:val="%1."/>
      <w:numFmt w:val="decimal"/>
      <w:start w:val="2"/>
    </w:lvl>
  </w:abstractNum>
  <w:abstractNum w:abstractNumId="95">
    <w:nsid w:val="45E6D486"/>
    <w:multiLevelType w:val="hybridMultilevel"/>
    <w:lvl w:ilvl="0">
      <w:lvlJc w:val="left"/>
      <w:lvlText w:val="(%1)"/>
      <w:numFmt w:val="lowerLetter"/>
      <w:start w:val="1"/>
    </w:lvl>
  </w:abstractNum>
  <w:abstractNum w:abstractNumId="96">
    <w:nsid w:val="5C10FE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7">
    <w:nsid w:val="E7FFA2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8">
    <w:nsid w:val="3C5991AA"/>
    <w:multiLevelType w:val="hybridMultilevel"/>
    <w:lvl w:ilvl="0">
      <w:lvlJc w:val="left"/>
      <w:lvlText w:val="(%1)"/>
      <w:numFmt w:val="lowerLetter"/>
      <w:start w:val="2"/>
    </w:lvl>
  </w:abstractNum>
  <w:abstractNum w:abstractNumId="99">
    <w:nsid w:val="4BD8591A"/>
    <w:multiLevelType w:val="hybridMultilevel"/>
    <w:lvl w:ilvl="0">
      <w:lvlJc w:val="left"/>
      <w:lvlText w:val="(%1)"/>
      <w:numFmt w:val="lowerLetter"/>
      <w:start w:val="2"/>
    </w:lvl>
  </w:abstractNum>
  <w:abstractNum w:abstractNumId="100">
    <w:nsid w:val="78DF6A55"/>
    <w:multiLevelType w:val="hybridMultilevel"/>
    <w:lvl w:ilvl="0">
      <w:lvlJc w:val="left"/>
      <w:lvlText w:val="(%1)"/>
      <w:numFmt w:val="lowerLetter"/>
      <w:start w:val="24"/>
    </w:lvl>
  </w:abstractNum>
  <w:abstractNum w:abstractNumId="101">
    <w:nsid w:val="39B7AAA2"/>
    <w:multiLevelType w:val="hybridMultilevel"/>
    <w:lvl w:ilvl="0">
      <w:lvlJc w:val="left"/>
      <w:lvlText w:val="%1"/>
      <w:numFmt w:val="decimal"/>
      <w:start w:val="1"/>
    </w:lvl>
    <w:lvl w:ilvl="1">
      <w:lvlJc w:val="left"/>
      <w:lvlText w:val="(%2)"/>
      <w:numFmt w:val="lowerLetter"/>
      <w:start w:val="4"/>
    </w:lvl>
  </w:abstractNum>
  <w:abstractNum w:abstractNumId="102">
    <w:nsid w:val="2B0D8DBE"/>
    <w:multiLevelType w:val="hybridMultilevel"/>
    <w:lvl w:ilvl="0">
      <w:lvlJc w:val="left"/>
      <w:lvlText w:val="%1."/>
      <w:numFmt w:val="decimal"/>
      <w:start w:val="6"/>
    </w:lvl>
    <w:lvl w:ilvl="1">
      <w:lvlJc w:val="left"/>
      <w:lvlText w:val="(%2)"/>
      <w:numFmt w:val="lowerLetter"/>
      <w:start w:val="1"/>
    </w:lvl>
  </w:abstractNum>
  <w:abstractNum w:abstractNumId="103">
    <w:nsid w:val="6C80EC70"/>
    <w:multiLevelType w:val="hybridMultilevel"/>
    <w:lvl w:ilvl="0">
      <w:lvlJc w:val="left"/>
      <w:lvlText w:val="(%1)"/>
      <w:numFmt w:val="lowerLetter"/>
      <w:start w:val="2"/>
    </w:lvl>
    <w:lvl w:ilvl="1">
      <w:lvlJc w:val="left"/>
      <w:lvlText w:val="(%2)"/>
      <w:numFmt w:val="lowerRoman"/>
      <w:start w:val="1"/>
    </w:lvl>
  </w:abstractNum>
  <w:abstractNum w:abstractNumId="104">
    <w:nsid w:val="379E21B5"/>
    <w:multiLevelType w:val="hybridMultilevel"/>
    <w:lvl w:ilvl="0">
      <w:lvlJc w:val="left"/>
      <w:lvlText w:val="%1."/>
      <w:numFmt w:val="decimal"/>
      <w:start w:val="7"/>
    </w:lvl>
    <w:lvl w:ilvl="1">
      <w:lvlJc w:val="left"/>
      <w:lvlText w:val="(%2)"/>
      <w:numFmt w:val="lowerLetter"/>
      <w:start w:val="1"/>
    </w:lvl>
  </w:abstractNum>
  <w:abstractNum w:abstractNumId="105">
    <w:nsid w:val="69E373"/>
    <w:multiLevelType w:val="hybridMultilevel"/>
    <w:lvl w:ilvl="0">
      <w:lvlJc w:val="left"/>
      <w:lvlText w:val="%1."/>
      <w:numFmt w:val="decimal"/>
      <w:start w:val="9"/>
    </w:lvl>
  </w:abstractNum>
  <w:abstractNum w:abstractNumId="106">
    <w:nsid w:val="2C27173B"/>
    <w:multiLevelType w:val="hybridMultilevel"/>
    <w:lvl w:ilvl="0">
      <w:lvlJc w:val="left"/>
      <w:lvlText w:val="(%1)"/>
      <w:numFmt w:val="lowerLetter"/>
      <w:start w:val="1"/>
    </w:lvl>
    <w:lvl w:ilvl="1">
      <w:lvlJc w:val="left"/>
      <w:lvlText w:val="(%2)"/>
      <w:numFmt w:val="lowerRoman"/>
      <w:start w:val="1"/>
    </w:lvl>
  </w:abstractNum>
  <w:abstractNum w:abstractNumId="107">
    <w:nsid w:val="4C9B0904"/>
    <w:multiLevelType w:val="hybridMultilevel"/>
    <w:lvl w:ilvl="0">
      <w:lvlJc w:val="left"/>
      <w:lvlText w:val="(%1)"/>
      <w:numFmt w:val="lowerRoman"/>
      <w:start w:val="4"/>
    </w:lvl>
  </w:abstractNum>
  <w:abstractNum w:abstractNumId="108">
    <w:nsid w:val="6AA7B75C"/>
    <w:multiLevelType w:val="hybridMultilevel"/>
    <w:lvl w:ilvl="0">
      <w:lvlJc w:val="left"/>
      <w:lvlText w:val="(%1)"/>
      <w:numFmt w:val="lowerLetter"/>
      <w:start w:val="2"/>
    </w:lvl>
    <w:lvl w:ilvl="1">
      <w:lvlJc w:val="left"/>
      <w:lvlText w:val="(%2)"/>
      <w:numFmt w:val="lowerLetter"/>
      <w:start w:val="9"/>
    </w:lvl>
  </w:abstractNum>
  <w:abstractNum w:abstractNumId="109">
    <w:nsid w:val="1DF029D3"/>
    <w:multiLevelType w:val="hybridMultilevel"/>
    <w:lvl w:ilvl="0">
      <w:lvlJc w:val="left"/>
      <w:lvlText w:val="%1"/>
      <w:numFmt w:val="lowerLetter"/>
      <w:start w:val="1"/>
    </w:lvl>
    <w:lvl w:ilvl="1">
      <w:lvlJc w:val="left"/>
      <w:lvlText w:val="(%2)"/>
      <w:numFmt w:val="lowerRoman"/>
      <w:start w:val="2"/>
    </w:lvl>
  </w:abstractNum>
  <w:abstractNum w:abstractNumId="110">
    <w:nsid w:val="5675FF36"/>
    <w:multiLevelType w:val="hybridMultilevel"/>
    <w:lvl w:ilvl="0">
      <w:lvlJc w:val="left"/>
      <w:lvlText w:val="(%1)"/>
      <w:numFmt w:val="lowerLetter"/>
      <w:start w:val="3"/>
    </w:lvl>
    <w:lvl w:ilvl="1">
      <w:lvlJc w:val="left"/>
      <w:lvlText w:val="%2"/>
      <w:numFmt w:val="lowerRoman"/>
      <w:start w:val="1"/>
    </w:lvl>
  </w:abstractNum>
  <w:abstractNum w:abstractNumId="111">
    <w:nsid w:val="3DD15094"/>
    <w:multiLevelType w:val="hybridMultilevel"/>
    <w:lvl w:ilvl="0">
      <w:lvlJc w:val="left"/>
      <w:lvlText w:val="(%1)"/>
      <w:numFmt w:val="lowerLetter"/>
      <w:start w:val="6"/>
    </w:lvl>
    <w:lvl w:ilvl="1">
      <w:lvlJc w:val="left"/>
      <w:lvlText w:val="(%2)"/>
      <w:numFmt w:val="lowerRoman"/>
      <w:start w:val="1"/>
    </w:lvl>
  </w:abstractNum>
  <w:abstractNum w:abstractNumId="112">
    <w:nsid w:val="3DB012B3"/>
    <w:multiLevelType w:val="hybridMultilevel"/>
    <w:lvl w:ilvl="0">
      <w:lvlJc w:val="left"/>
      <w:lvlText w:val="(%1)"/>
      <w:numFmt w:val="lowerRoman"/>
      <w:start w:val="4"/>
    </w:lvl>
  </w:abstractNum>
  <w:abstractNum w:abstractNumId="113">
    <w:nsid w:val="2708C9AF"/>
    <w:multiLevelType w:val="hybridMultilevel"/>
    <w:lvl w:ilvl="0">
      <w:lvlJc w:val="left"/>
      <w:lvlText w:val="(%1)"/>
      <w:numFmt w:val="lowerLetter"/>
      <w:start w:val="7"/>
    </w:lvl>
  </w:abstractNum>
  <w:abstractNum w:abstractNumId="114">
    <w:nsid w:val="5B25ACE2"/>
    <w:multiLevelType w:val="hybridMultilevel"/>
    <w:lvl w:ilvl="0">
      <w:lvlJc w:val="left"/>
      <w:lvlText w:val="(%1)"/>
      <w:numFmt w:val="lowerLetter"/>
      <w:start w:val="9"/>
    </w:lvl>
  </w:abstractNum>
  <w:abstractNum w:abstractNumId="115">
    <w:nsid w:val="175DFCF0"/>
    <w:multiLevelType w:val="hybridMultilevel"/>
    <w:lvl w:ilvl="0">
      <w:lvlJc w:val="left"/>
      <w:lvlText w:val="(%1)"/>
      <w:numFmt w:val="lowerLetter"/>
      <w:start w:val="8"/>
    </w:lvl>
  </w:abstractNum>
  <w:abstractNum w:abstractNumId="116">
    <w:nsid w:val="4F97E3E4"/>
    <w:multiLevelType w:val="hybridMultilevel"/>
    <w:lvl w:ilvl="0">
      <w:lvlJc w:val="left"/>
      <w:lvlText w:val="%1"/>
      <w:numFmt w:val="decimal"/>
      <w:start w:val="1"/>
    </w:lvl>
    <w:lvl w:ilvl="1">
      <w:lvlJc w:val="left"/>
      <w:lvlText w:val="(%2)"/>
      <w:numFmt w:val="lowerLetter"/>
      <w:start w:val="13"/>
    </w:lvl>
  </w:abstractNum>
  <w:abstractNum w:abstractNumId="117">
    <w:nsid w:val="53B0A9E"/>
    <w:multiLevelType w:val="hybridMultilevel"/>
    <w:lvl w:ilvl="0">
      <w:lvlJc w:val="left"/>
      <w:lvlText w:val="%1."/>
      <w:numFmt w:val="decimal"/>
      <w:start w:val="10"/>
    </w:lvl>
    <w:lvl w:ilvl="1">
      <w:lvlJc w:val="left"/>
      <w:lvlText w:val="(%2)"/>
      <w:numFmt w:val="lowerLetter"/>
      <w:start w:val="1"/>
    </w:lvl>
  </w:abstractNum>
  <w:abstractNum w:abstractNumId="118">
    <w:nsid w:val="34FD6B4F"/>
    <w:multiLevelType w:val="hybridMultilevel"/>
    <w:lvl w:ilvl="0">
      <w:lvlJc w:val="left"/>
      <w:lvlText w:val="(%1)"/>
      <w:numFmt w:val="lowerLetter"/>
      <w:start w:val="5"/>
    </w:lvl>
  </w:abstractNum>
  <w:abstractNum w:abstractNumId="119">
    <w:nsid w:val="5915FF32"/>
    <w:multiLevelType w:val="hybridMultilevel"/>
    <w:lvl w:ilvl="0">
      <w:lvlJc w:val="left"/>
      <w:lvlText w:val="(%1)"/>
      <w:numFmt w:val="lowerLetter"/>
      <w:start w:val="1"/>
    </w:lvl>
  </w:abstractNum>
  <w:abstractNum w:abstractNumId="120">
    <w:nsid w:val="56438D15"/>
    <w:multiLevelType w:val="hybridMultilevel"/>
    <w:lvl w:ilvl="0">
      <w:lvlJc w:val="left"/>
      <w:lvlText w:val="(%1)"/>
      <w:numFmt w:val="lowerLetter"/>
      <w:start w:val="4"/>
    </w:lvl>
  </w:abstractNum>
  <w:abstractNum w:abstractNumId="121">
    <w:nsid w:val="519E3149"/>
    <w:multiLevelType w:val="hybridMultilevel"/>
    <w:lvl w:ilvl="0">
      <w:lvlJc w:val="left"/>
      <w:lvlText w:val="(%1)"/>
      <w:numFmt w:val="lowerRoman"/>
      <w:start w:val="1"/>
    </w:lvl>
  </w:abstractNum>
  <w:abstractNum w:abstractNumId="122">
    <w:nsid w:val="2C6E4AFD"/>
    <w:multiLevelType w:val="hybridMultilevel"/>
    <w:lvl w:ilvl="0">
      <w:lvlJc w:val="left"/>
      <w:lvlText w:val="(%1)"/>
      <w:numFmt w:val="lowerRoman"/>
      <w:start w:val="4"/>
    </w:lvl>
  </w:abstractNum>
  <w:abstractNum w:abstractNumId="123">
    <w:nsid w:val="17A1B582"/>
    <w:multiLevelType w:val="hybridMultilevel"/>
    <w:lvl w:ilvl="0">
      <w:lvlJc w:val="left"/>
      <w:lvlText w:val="(%1)"/>
      <w:numFmt w:val="lowerRoman"/>
      <w:start w:val="1"/>
    </w:lvl>
  </w:abstractNum>
  <w:abstractNum w:abstractNumId="124">
    <w:nsid w:val="4DF72E4E"/>
    <w:multiLevelType w:val="hybridMultilevel"/>
    <w:lvl w:ilvl="0">
      <w:lvlJc w:val="left"/>
      <w:lvlText w:val="(%1)"/>
      <w:numFmt w:val="lowerRoman"/>
      <w:start w:val="5"/>
    </w:lvl>
  </w:abstractNum>
  <w:abstractNum w:abstractNumId="125">
    <w:nsid w:val="5046B5A9"/>
    <w:multiLevelType w:val="hybridMultilevel"/>
    <w:lvl w:ilvl="0">
      <w:lvlJc w:val="left"/>
      <w:lvlText w:val="(%1)"/>
      <w:numFmt w:val="decimal"/>
      <w:start w:val="1"/>
    </w:lvl>
  </w:abstractNum>
  <w:abstractNum w:abstractNumId="126">
    <w:nsid w:val="5D888A08"/>
    <w:multiLevelType w:val="hybridMultilevel"/>
    <w:lvl w:ilvl="0">
      <w:lvlJc w:val="left"/>
      <w:lvlText w:val="%1."/>
      <w:numFmt w:val="decimal"/>
      <w:start w:val="1"/>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7"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42" Type="http://schemas.openxmlformats.org/officeDocument/2006/relationships/hyperlink" Target="https://www.sec.gov/Archives/edgar/data/1131554/000113155422000007/sncr-ex21icarus_assetpurch.htm" TargetMode="External"/><Relationship Id="rId143" Type="http://schemas.openxmlformats.org/officeDocument/2006/relationships/hyperlink" Target="https://www.sec.gov/Archives/edgar/data/1131554/000113155422000029/ex-21sncr_iqmetrixxamendme.htm" TargetMode="External"/><Relationship Id="rId144" Type="http://schemas.openxmlformats.org/officeDocument/2006/relationships/hyperlink" Target="http://www.sec.gov/Archives/edgar/data/1131554/000095012306005985/y15440a2exv3w4.txt" TargetMode="External"/><Relationship Id="rId145" Type="http://schemas.openxmlformats.org/officeDocument/2006/relationships/hyperlink" Target="http://www.sec.gov/Archives/edgar/data/1131554/000110465918010721/a18-6289_1ex3d2.htm" TargetMode="External"/><Relationship Id="rId146" Type="http://schemas.openxmlformats.org/officeDocument/2006/relationships/hyperlink" Target="https://www.sec.gov/Archives/edgar/data/1131554/000110465921087598/tm2120300d3_ex3-3.htm" TargetMode="External"/><Relationship Id="rId147" Type="http://schemas.openxmlformats.org/officeDocument/2006/relationships/hyperlink" Target="https://www.sec.gov/Archives/edgar/data/1131554/000110465921087598/tm2120300d3_ex3-1.htm" TargetMode="External"/><Relationship Id="rId148" Type="http://schemas.openxmlformats.org/officeDocument/2006/relationships/hyperlink" Target="https://www.sec.gov/Archives/edgar/data/1131554/000113155422000035/sncr-exhx31certificateofam.htm" TargetMode="External"/><Relationship Id="rId149" Type="http://schemas.openxmlformats.org/officeDocument/2006/relationships/hyperlink" Target="http://www.sec.gov/Archives/edgar/data/1131554/000095012306002345/y15440exv3w1.txt" TargetMode="External"/><Relationship Id="rId150" Type="http://schemas.openxmlformats.org/officeDocument/2006/relationships/hyperlink" Target="http://www.sec.gov/Archives/edgar/data/1131554/000095012306007587/y15440a4exv4w2.htm" TargetMode="External"/><Relationship Id="rId151" Type="http://schemas.openxmlformats.org/officeDocument/2006/relationships/hyperlink" Target="http://www.sec.gov/Archives/edgar/data/1131554/000104746914006661/a2221016zex-4_8.htm" TargetMode="External"/><Relationship Id="rId152" Type="http://schemas.openxmlformats.org/officeDocument/2006/relationships/hyperlink" Target="https://www.sec.gov/Archives/edgar/data/1131554/000110465921087598/tm2120300d3_ex4-1.htm" TargetMode="External"/><Relationship Id="rId153" Type="http://schemas.openxmlformats.org/officeDocument/2006/relationships/hyperlink" Target="https://www.sec.gov/Archives/edgar/data/1131554/000110465921087598/tm2120300d3_ex4-2.htm" TargetMode="External"/><Relationship Id="rId154" Type="http://schemas.openxmlformats.org/officeDocument/2006/relationships/hyperlink" Target="https://www.sec.gov/Archives/edgar/data/1131554/000110465921087598/tm2120300d3_ex4-3.htm" TargetMode="External"/><Relationship Id="rId155" Type="http://schemas.openxmlformats.org/officeDocument/2006/relationships/hyperlink" Target="http://www.sec.gov/Archives/edgar/data/1131554/000095012306005985/y15440a2exv10w1.txt" TargetMode="External"/><Relationship Id="rId156" Type="http://schemas.openxmlformats.org/officeDocument/2006/relationships/hyperlink" Target="http://www.sec.gov/Archives/edgar/data/1131554/000095012306002345/y15440exv10w2.txt" TargetMode="External"/><Relationship Id="rId157" Type="http://schemas.openxmlformats.org/officeDocument/2006/relationships/hyperlink" Target="http://www.sec.gov/Archives/edgar/data/1131554/000095012306005985/y15440a2exv10w3.txt" TargetMode="External"/><Relationship Id="rId158" Type="http://schemas.openxmlformats.org/officeDocument/2006/relationships/hyperlink" Target="http://www.sec.gov/Archives/edgar/data/1131554/000095012310033268/w77948def14a.htm" TargetMode="External"/><Relationship Id="rId159" Type="http://schemas.openxmlformats.org/officeDocument/2006/relationships/hyperlink" Target="http://www.sec.gov/Archives/edgar/data/1131554/000095012310076039/c04665exv10w4a.htm" TargetMode="External"/><Relationship Id="rId160" Type="http://schemas.openxmlformats.org/officeDocument/2006/relationships/hyperlink" Target="https://www.sec.gov/Archives/edgar/data/1131554/000113155422000033/sncr-exhx101amended2015equ.htm" TargetMode="External"/><Relationship Id="rId161" Type="http://schemas.openxmlformats.org/officeDocument/2006/relationships/hyperlink" Target="http://www.sec.gov/Archives/edgar/data/1131554/000110465917074626/a17-28588_1ex10d1.htm" TargetMode="External"/><Relationship Id="rId162" Type="http://schemas.openxmlformats.org/officeDocument/2006/relationships/hyperlink" Target="https://www.sec.gov/Archives/edgar/data/1131554/000113155422000018/sncr-123121ex108amendment1.htm" TargetMode="External"/><Relationship Id="rId163" Type="http://schemas.openxmlformats.org/officeDocument/2006/relationships/hyperlink" Target="http://www.sec.gov/Archives/edgar/data/1131554/000104746912001638/a2207384zex-10_5.htm" TargetMode="External"/><Relationship Id="rId164" Type="http://schemas.openxmlformats.org/officeDocument/2006/relationships/hyperlink" Target="http://www.sec.gov/Archives/edgar/data/1131554/000104746912001638/a2207384zex-10_10.htm" TargetMode="External"/><Relationship Id="rId165" Type="http://schemas.openxmlformats.org/officeDocument/2006/relationships/hyperlink" Target="http://www.sec.gov/Archives/edgar/data/1131554/000113155418000060/sncr-063018ex104.htm" TargetMode="External"/><Relationship Id="rId166" Type="http://schemas.openxmlformats.org/officeDocument/2006/relationships/hyperlink" Target="http://www.sec.gov/Archives/edgar/data/1131554/000113155418000060/sncr-063018ex105.htm" TargetMode="External"/><Relationship Id="rId168" Type="http://schemas.openxmlformats.org/officeDocument/2006/relationships/hyperlink" Target="https://www.sec.gov/Archives/edgar/data/1131554/000113155418000060/sncr-063018ex1012.htm" TargetMode="External"/><Relationship Id="rId169" Type="http://schemas.openxmlformats.org/officeDocument/2006/relationships/hyperlink" Target="https://www.sec.gov/Archives/edgar/data/1131554/000113155418000060/sncr-063018ex1013.htm" TargetMode="External"/><Relationship Id="rId170" Type="http://schemas.openxmlformats.org/officeDocument/2006/relationships/hyperlink" Target="https://www.sec.gov/Archives/edgar/data/1131554/000110465921129786/tm2130710d2_ex1-1.htm" TargetMode="External"/><Relationship Id="rId171" Type="http://schemas.openxmlformats.org/officeDocument/2006/relationships/hyperlink" Target="https://www.sec.gov/Archives/edgar/data/1131554/000113155420000088/verizonexhibit.htm" TargetMode="External"/><Relationship Id="rId172" Type="http://schemas.openxmlformats.org/officeDocument/2006/relationships/hyperlink" Target="https://www.sec.gov/Archives/edgar/data/1131554/000113155421000023/employmentagreementjmiller.htm" TargetMode="External"/><Relationship Id="rId173" Type="http://schemas.openxmlformats.org/officeDocument/2006/relationships/hyperlink" Target="https://www.sec.gov/Archives/edgar/data/1131554/000113155421000088/ex-102christinagabryspromo.htm" TargetMode="External"/><Relationship Id="rId174" Type="http://schemas.openxmlformats.org/officeDocument/2006/relationships/hyperlink" Target="https://www.sec.gov/Archives/edgar/data/1131554/000113155421000088/ex-101transitionandseparat.htm" TargetMode="External"/><Relationship Id="rId175" Type="http://schemas.openxmlformats.org/officeDocument/2006/relationships/hyperlink" Target="https://www.sec.gov/Archives/edgar/data/1131554/000113155422000035/sncr-exhx101receivablespur.htm" TargetMode="External"/><Relationship Id="rId176" Type="http://schemas.openxmlformats.org/officeDocument/2006/relationships/hyperlink" Target="https://www.sec.gov/Archives/edgar/data/1131554/000113155422000035/sncr-exhx102synchronossxus.htm" TargetMode="External"/><Relationship Id="rId177" Type="http://schemas.openxmlformats.org/officeDocument/2006/relationships/hyperlink" Target="https://www.sec.gov/Archives/edgar/data/1131554/000113155422000035/sncr-exhx103finacityadmini.htm" TargetMode="External"/><Relationship Id="rId178" Type="http://schemas.openxmlformats.org/officeDocument/2006/relationships/hyperlink" Target="https://www.sec.gov/Archives/edgar/data/1131554/000113155422000035/sncr-exhx104performancegua.htm" TargetMode="External"/><Relationship Id="rId179" Type="http://schemas.openxmlformats.org/officeDocument/2006/relationships/hyperlink" Target="https://www.sec.gov/Archives/edgar/data/1131554/000113155422000063/sncr-ex101appointmentlette.htm" TargetMode="External"/><Relationship Id="rId180" Type="http://schemas.openxmlformats.org/officeDocument/2006/relationships/hyperlink" Target="https://www.sec.gov/Archives/edgar/data/1131554/000113155422000065/ex101-20220519sncrorder_fi.htm" TargetMode="External"/><Relationship Id="rId181" Type="http://schemas.openxmlformats.org/officeDocument/2006/relationships/hyperlink" Target="https://www.sec.gov/Archives/edgar/data/1131554/000113155422000079/exh101_sncrxcr17tocloudsow.htm" TargetMode="External"/><Relationship Id="rId182" Type="http://schemas.openxmlformats.org/officeDocument/2006/relationships/hyperlink" Target="http://www.sec.gov/Archives/edgar/data/1131554/000113155418000049/sncr-123117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2023-03-15T19:29:26Z</dcterms:created>
  <dcterms:modified xsi:type="dcterms:W3CDTF">2023-03-15T19:29:26Z</dcterms:modified>
</cp:coreProperties>
</file>