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7257415" cy="711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711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UNITED STATES</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FORM 10-Q</w:t>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auto"/>
        </w:rPr>
        <w:t>(Mark One)</w:t>
      </w:r>
    </w:p>
    <w:p>
      <w:pPr>
        <w:spacing w:after="0" w:line="41" w:lineRule="exact"/>
        <w:rPr>
          <w:sz w:val="24"/>
          <w:szCs w:val="24"/>
          <w:color w:val="auto"/>
        </w:rPr>
      </w:pPr>
    </w:p>
    <w:p>
      <w:pPr>
        <w:ind w:left="1060" w:hanging="576"/>
        <w:spacing w:after="0"/>
        <w:tabs>
          <w:tab w:leader="none" w:pos="1060" w:val="left"/>
        </w:tabs>
        <w:numPr>
          <w:ilvl w:val="0"/>
          <w:numId w:val="1"/>
        </w:numPr>
        <w:rPr>
          <w:rFonts w:ascii="Arial" w:cs="Arial" w:eastAsia="Arial" w:hAnsi="Arial"/>
          <w:sz w:val="25"/>
          <w:szCs w:val="25"/>
          <w:color w:val="auto"/>
          <w:vertAlign w:val="subscript"/>
        </w:rPr>
      </w:pPr>
      <w:r>
        <w:rPr>
          <w:rFonts w:ascii="Arial" w:cs="Arial" w:eastAsia="Arial" w:hAnsi="Arial"/>
          <w:sz w:val="14"/>
          <w:szCs w:val="14"/>
          <w:b w:val="1"/>
          <w:bCs w:val="1"/>
          <w:color w:val="auto"/>
        </w:rPr>
        <w:t>QUARTERLY REPORT 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For the quarterly period ended September 30, 2018</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Or</w:t>
      </w:r>
    </w:p>
    <w:p>
      <w:pPr>
        <w:spacing w:after="0" w:line="326" w:lineRule="exact"/>
        <w:rPr>
          <w:sz w:val="24"/>
          <w:szCs w:val="24"/>
          <w:color w:val="auto"/>
        </w:rPr>
      </w:pPr>
    </w:p>
    <w:p>
      <w:pPr>
        <w:ind w:left="1060" w:hanging="612"/>
        <w:spacing w:after="0"/>
        <w:tabs>
          <w:tab w:leader="none" w:pos="10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1420"/>
          </w:cols>
          <w:pgMar w:left="240" w:top="227" w:right="239" w:bottom="1440" w:gutter="0" w:footer="0" w:header="0"/>
        </w:sectPr>
      </w:pPr>
    </w:p>
    <w:p>
      <w:pPr>
        <w:spacing w:after="0" w:line="225" w:lineRule="exact"/>
        <w:rPr>
          <w:sz w:val="24"/>
          <w:szCs w:val="24"/>
          <w:color w:val="auto"/>
        </w:rPr>
      </w:pPr>
    </w:p>
    <w:p>
      <w:pPr>
        <w:ind w:left="4500"/>
        <w:spacing w:after="0"/>
        <w:tabs>
          <w:tab w:leader="none" w:pos="678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ectPr>
          <w:pgSz w:w="11900" w:h="16838" w:orient="portrait"/>
          <w:cols w:equalWidth="0" w:num="1">
            <w:col w:w="11420"/>
          </w:cols>
          <w:pgMar w:left="240" w:top="227" w:right="239" w:bottom="1440" w:gutter="0" w:footer="0" w:header="0"/>
          <w:type w:val="continuous"/>
        </w:sectPr>
      </w:pP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Commission file number 000-52049</w:t>
      </w:r>
    </w:p>
    <w:p>
      <w:pPr>
        <w:sectPr>
          <w:pgSz w:w="11900" w:h="16838" w:orient="portrait"/>
          <w:cols w:equalWidth="0" w:num="1">
            <w:col w:w="11420"/>
          </w:cols>
          <w:pgMar w:left="240" w:top="227" w:right="239" w:bottom="1440" w:gutter="0" w:footer="0" w:header="0"/>
          <w:type w:val="continuous"/>
        </w:sect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SYNCHRONOSS TECHNOLOGIES,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136" w:lineRule="exact"/>
        <w:rPr>
          <w:sz w:val="24"/>
          <w:szCs w:val="24"/>
          <w:color w:val="auto"/>
        </w:rPr>
      </w:pPr>
    </w:p>
    <w:tbl>
      <w:tblPr>
        <w:tblLayout w:type="fixed"/>
        <w:tblInd w:w="1680" w:type="dxa"/>
        <w:tblCellMar>
          <w:top w:w="0" w:type="dxa"/>
          <w:left w:w="0" w:type="dxa"/>
          <w:bottom w:w="0" w:type="dxa"/>
          <w:right w:w="0" w:type="dxa"/>
        </w:tblCellMar>
      </w:tblPr>
      <w:tr>
        <w:trPr>
          <w:trHeight w:val="193"/>
        </w:trPr>
        <w:tc>
          <w:tcPr>
            <w:tcW w:w="2400" w:type="dxa"/>
            <w:vAlign w:val="bottom"/>
          </w:tcPr>
          <w:p>
            <w:pPr>
              <w:jc w:val="center"/>
              <w:spacing w:after="0"/>
              <w:rPr>
                <w:sz w:val="20"/>
                <w:szCs w:val="20"/>
                <w:color w:val="auto"/>
              </w:rPr>
            </w:pPr>
            <w:r>
              <w:rPr>
                <w:rFonts w:ascii="Arial" w:cs="Arial" w:eastAsia="Arial" w:hAnsi="Arial"/>
                <w:sz w:val="15"/>
                <w:szCs w:val="15"/>
                <w:b w:val="1"/>
                <w:bCs w:val="1"/>
                <w:color w:val="auto"/>
                <w:w w:val="91"/>
              </w:rPr>
              <w:t>Delaware</w:t>
            </w:r>
          </w:p>
        </w:tc>
        <w:tc>
          <w:tcPr>
            <w:tcW w:w="5060" w:type="dxa"/>
            <w:vAlign w:val="bottom"/>
          </w:tcPr>
          <w:p>
            <w:pPr>
              <w:jc w:val="right"/>
              <w:ind w:right="125"/>
              <w:spacing w:after="0"/>
              <w:rPr>
                <w:sz w:val="20"/>
                <w:szCs w:val="20"/>
                <w:color w:val="auto"/>
              </w:rPr>
            </w:pPr>
            <w:r>
              <w:rPr>
                <w:rFonts w:ascii="Arial" w:cs="Arial" w:eastAsia="Arial" w:hAnsi="Arial"/>
                <w:sz w:val="15"/>
                <w:szCs w:val="15"/>
                <w:b w:val="1"/>
                <w:bCs w:val="1"/>
                <w:color w:val="auto"/>
              </w:rPr>
              <w:t>06-1594540</w:t>
            </w:r>
          </w:p>
        </w:tc>
      </w:tr>
      <w:tr>
        <w:trPr>
          <w:trHeight w:val="234"/>
        </w:trPr>
        <w:tc>
          <w:tcPr>
            <w:tcW w:w="2400" w:type="dxa"/>
            <w:vAlign w:val="bottom"/>
          </w:tcPr>
          <w:p>
            <w:pPr>
              <w:jc w:val="center"/>
              <w:spacing w:after="0"/>
              <w:rPr>
                <w:sz w:val="20"/>
                <w:szCs w:val="20"/>
                <w:color w:val="auto"/>
              </w:rPr>
            </w:pPr>
            <w:r>
              <w:rPr>
                <w:rFonts w:ascii="Arial" w:cs="Arial" w:eastAsia="Arial" w:hAnsi="Arial"/>
                <w:sz w:val="15"/>
                <w:szCs w:val="15"/>
                <w:color w:val="auto"/>
                <w:w w:val="91"/>
              </w:rPr>
              <w:t>(State or other jurisdiction of</w:t>
            </w:r>
          </w:p>
        </w:tc>
        <w:tc>
          <w:tcPr>
            <w:tcW w:w="5060" w:type="dxa"/>
            <w:vAlign w:val="bottom"/>
          </w:tcPr>
          <w:p>
            <w:pPr>
              <w:jc w:val="center"/>
              <w:ind w:left="3845"/>
              <w:spacing w:after="0"/>
              <w:rPr>
                <w:sz w:val="20"/>
                <w:szCs w:val="20"/>
                <w:color w:val="auto"/>
              </w:rPr>
            </w:pPr>
            <w:r>
              <w:rPr>
                <w:rFonts w:ascii="Arial" w:cs="Arial" w:eastAsia="Arial" w:hAnsi="Arial"/>
                <w:sz w:val="15"/>
                <w:szCs w:val="15"/>
                <w:color w:val="auto"/>
                <w:w w:val="92"/>
              </w:rPr>
              <w:t>(I.R.S. Employer</w:t>
            </w:r>
          </w:p>
        </w:tc>
      </w:tr>
      <w:tr>
        <w:trPr>
          <w:trHeight w:val="189"/>
        </w:trPr>
        <w:tc>
          <w:tcPr>
            <w:tcW w:w="2400" w:type="dxa"/>
            <w:vAlign w:val="bottom"/>
          </w:tcPr>
          <w:p>
            <w:pPr>
              <w:jc w:val="center"/>
              <w:spacing w:after="0"/>
              <w:rPr>
                <w:sz w:val="20"/>
                <w:szCs w:val="20"/>
                <w:color w:val="auto"/>
              </w:rPr>
            </w:pPr>
            <w:r>
              <w:rPr>
                <w:rFonts w:ascii="Arial" w:cs="Arial" w:eastAsia="Arial" w:hAnsi="Arial"/>
                <w:sz w:val="15"/>
                <w:szCs w:val="15"/>
                <w:color w:val="auto"/>
                <w:w w:val="92"/>
              </w:rPr>
              <w:t>incorporation or organization)</w:t>
            </w:r>
          </w:p>
        </w:tc>
        <w:tc>
          <w:tcPr>
            <w:tcW w:w="5060" w:type="dxa"/>
            <w:vAlign w:val="bottom"/>
          </w:tcPr>
          <w:p>
            <w:pPr>
              <w:jc w:val="center"/>
              <w:ind w:left="3865"/>
              <w:spacing w:after="0"/>
              <w:rPr>
                <w:sz w:val="20"/>
                <w:szCs w:val="20"/>
                <w:color w:val="auto"/>
              </w:rPr>
            </w:pPr>
            <w:r>
              <w:rPr>
                <w:rFonts w:ascii="Arial" w:cs="Arial" w:eastAsia="Arial" w:hAnsi="Arial"/>
                <w:sz w:val="15"/>
                <w:szCs w:val="15"/>
                <w:color w:val="auto"/>
                <w:w w:val="95"/>
              </w:rPr>
              <w:t>Identification No.)</w:t>
            </w:r>
          </w:p>
        </w:tc>
      </w:tr>
      <w:tr>
        <w:trPr>
          <w:trHeight w:val="467"/>
        </w:trPr>
        <w:tc>
          <w:tcPr>
            <w:tcW w:w="2400" w:type="dxa"/>
            <w:vAlign w:val="bottom"/>
          </w:tcPr>
          <w:p>
            <w:pPr>
              <w:jc w:val="center"/>
              <w:spacing w:after="0"/>
              <w:rPr>
                <w:sz w:val="20"/>
                <w:szCs w:val="20"/>
                <w:color w:val="auto"/>
              </w:rPr>
            </w:pPr>
            <w:r>
              <w:rPr>
                <w:rFonts w:ascii="Arial" w:cs="Arial" w:eastAsia="Arial" w:hAnsi="Arial"/>
                <w:sz w:val="15"/>
                <w:szCs w:val="15"/>
                <w:b w:val="1"/>
                <w:bCs w:val="1"/>
                <w:color w:val="auto"/>
                <w:w w:val="90"/>
              </w:rPr>
              <w:t>200 Crossing Boulevard, 8th Floor</w:t>
            </w:r>
          </w:p>
        </w:tc>
        <w:tc>
          <w:tcPr>
            <w:tcW w:w="5060" w:type="dxa"/>
            <w:vAlign w:val="bottom"/>
          </w:tcPr>
          <w:p>
            <w:pPr>
              <w:spacing w:after="0"/>
              <w:rPr>
                <w:sz w:val="24"/>
                <w:szCs w:val="24"/>
                <w:color w:val="auto"/>
              </w:rPr>
            </w:pPr>
          </w:p>
        </w:tc>
      </w:tr>
      <w:tr>
        <w:trPr>
          <w:trHeight w:val="193"/>
        </w:trPr>
        <w:tc>
          <w:tcPr>
            <w:tcW w:w="2400" w:type="dxa"/>
            <w:vAlign w:val="bottom"/>
          </w:tcPr>
          <w:p>
            <w:pPr>
              <w:jc w:val="center"/>
              <w:spacing w:after="0"/>
              <w:rPr>
                <w:sz w:val="20"/>
                <w:szCs w:val="20"/>
                <w:color w:val="auto"/>
              </w:rPr>
            </w:pPr>
            <w:r>
              <w:rPr>
                <w:rFonts w:ascii="Arial" w:cs="Arial" w:eastAsia="Arial" w:hAnsi="Arial"/>
                <w:sz w:val="15"/>
                <w:szCs w:val="15"/>
                <w:b w:val="1"/>
                <w:bCs w:val="1"/>
                <w:color w:val="auto"/>
                <w:w w:val="90"/>
              </w:rPr>
              <w:t>Bridgewater, New Jersey</w:t>
            </w:r>
          </w:p>
        </w:tc>
        <w:tc>
          <w:tcPr>
            <w:tcW w:w="5060" w:type="dxa"/>
            <w:vAlign w:val="bottom"/>
          </w:tcPr>
          <w:p>
            <w:pPr>
              <w:jc w:val="right"/>
              <w:ind w:right="305"/>
              <w:spacing w:after="0"/>
              <w:rPr>
                <w:sz w:val="20"/>
                <w:szCs w:val="20"/>
                <w:color w:val="auto"/>
              </w:rPr>
            </w:pPr>
            <w:r>
              <w:rPr>
                <w:rFonts w:ascii="Arial" w:cs="Arial" w:eastAsia="Arial" w:hAnsi="Arial"/>
                <w:sz w:val="15"/>
                <w:szCs w:val="15"/>
                <w:b w:val="1"/>
                <w:bCs w:val="1"/>
                <w:color w:val="auto"/>
              </w:rPr>
              <w:t>08807</w:t>
            </w:r>
          </w:p>
        </w:tc>
      </w:tr>
      <w:tr>
        <w:trPr>
          <w:trHeight w:val="237"/>
        </w:trPr>
        <w:tc>
          <w:tcPr>
            <w:tcW w:w="2400" w:type="dxa"/>
            <w:vAlign w:val="bottom"/>
          </w:tcPr>
          <w:p>
            <w:pPr>
              <w:jc w:val="center"/>
              <w:spacing w:after="0"/>
              <w:rPr>
                <w:sz w:val="20"/>
                <w:szCs w:val="20"/>
                <w:color w:val="auto"/>
              </w:rPr>
            </w:pPr>
            <w:r>
              <w:rPr>
                <w:rFonts w:ascii="Arial" w:cs="Arial" w:eastAsia="Arial" w:hAnsi="Arial"/>
                <w:sz w:val="15"/>
                <w:szCs w:val="15"/>
                <w:color w:val="auto"/>
                <w:w w:val="91"/>
              </w:rPr>
              <w:t>(Address of principal executive offices)</w:t>
            </w:r>
          </w:p>
        </w:tc>
        <w:tc>
          <w:tcPr>
            <w:tcW w:w="5060" w:type="dxa"/>
            <w:vAlign w:val="bottom"/>
          </w:tcPr>
          <w:p>
            <w:pPr>
              <w:jc w:val="center"/>
              <w:ind w:left="3845"/>
              <w:spacing w:after="0"/>
              <w:rPr>
                <w:sz w:val="20"/>
                <w:szCs w:val="20"/>
                <w:color w:val="auto"/>
              </w:rPr>
            </w:pPr>
            <w:r>
              <w:rPr>
                <w:rFonts w:ascii="Arial" w:cs="Arial" w:eastAsia="Arial" w:hAnsi="Arial"/>
                <w:sz w:val="15"/>
                <w:szCs w:val="15"/>
                <w:color w:val="auto"/>
                <w:w w:val="93"/>
              </w:rPr>
              <w:t>(Zip Code)</w:t>
            </w:r>
          </w:p>
        </w:tc>
      </w:tr>
      <w:tr>
        <w:trPr>
          <w:trHeight w:val="372"/>
        </w:trPr>
        <w:tc>
          <w:tcPr>
            <w:tcW w:w="2400" w:type="dxa"/>
            <w:vAlign w:val="bottom"/>
          </w:tcPr>
          <w:p>
            <w:pPr>
              <w:spacing w:after="0"/>
              <w:rPr>
                <w:sz w:val="24"/>
                <w:szCs w:val="24"/>
                <w:color w:val="auto"/>
              </w:rPr>
            </w:pPr>
          </w:p>
        </w:tc>
        <w:tc>
          <w:tcPr>
            <w:tcW w:w="5060" w:type="dxa"/>
            <w:vAlign w:val="bottom"/>
          </w:tcPr>
          <w:p>
            <w:pPr>
              <w:jc w:val="right"/>
              <w:ind w:right="2885"/>
              <w:spacing w:after="0"/>
              <w:rPr>
                <w:sz w:val="20"/>
                <w:szCs w:val="20"/>
                <w:color w:val="auto"/>
              </w:rPr>
            </w:pPr>
            <w:r>
              <w:rPr>
                <w:rFonts w:ascii="Arial" w:cs="Arial" w:eastAsia="Arial" w:hAnsi="Arial"/>
                <w:sz w:val="15"/>
                <w:szCs w:val="15"/>
                <w:b w:val="1"/>
                <w:bCs w:val="1"/>
                <w:color w:val="auto"/>
              </w:rPr>
              <w:t>(866) 620-3940</w:t>
            </w:r>
          </w:p>
        </w:tc>
      </w:tr>
      <w:tr>
        <w:trPr>
          <w:trHeight w:val="189"/>
        </w:trPr>
        <w:tc>
          <w:tcPr>
            <w:tcW w:w="2400" w:type="dxa"/>
            <w:vAlign w:val="bottom"/>
          </w:tcPr>
          <w:p>
            <w:pPr>
              <w:spacing w:after="0"/>
              <w:rPr>
                <w:sz w:val="16"/>
                <w:szCs w:val="16"/>
                <w:color w:val="auto"/>
              </w:rPr>
            </w:pPr>
          </w:p>
        </w:tc>
        <w:tc>
          <w:tcPr>
            <w:tcW w:w="5060" w:type="dxa"/>
            <w:vAlign w:val="bottom"/>
          </w:tcPr>
          <w:p>
            <w:pPr>
              <w:jc w:val="center"/>
              <w:ind w:right="1705"/>
              <w:spacing w:after="0"/>
              <w:rPr>
                <w:sz w:val="20"/>
                <w:szCs w:val="20"/>
                <w:color w:val="auto"/>
              </w:rPr>
            </w:pPr>
            <w:r>
              <w:rPr>
                <w:rFonts w:ascii="Arial" w:cs="Arial" w:eastAsia="Arial" w:hAnsi="Arial"/>
                <w:sz w:val="15"/>
                <w:szCs w:val="15"/>
                <w:color w:val="auto"/>
                <w:w w:val="89"/>
              </w:rPr>
              <w:t>(Registrant’s telephone number, including area code)</w:t>
            </w:r>
          </w:p>
        </w:tc>
      </w:tr>
    </w:tbl>
    <w:p>
      <w:pPr>
        <w:spacing w:after="0" w:line="16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(Former name, former address, and former fiscal year, if changed since last report)</w:t>
      </w:r>
    </w:p>
    <w:p>
      <w:pPr>
        <w:spacing w:after="0" w:line="176"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2"/>
          <w:szCs w:val="12"/>
          <w:color w:val="auto"/>
        </w:rPr>
        <w:t>x</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101" w:lineRule="exact"/>
        <w:rPr>
          <w:sz w:val="24"/>
          <w:szCs w:val="24"/>
          <w:color w:val="auto"/>
        </w:rPr>
      </w:pPr>
    </w:p>
    <w:p>
      <w:pPr>
        <w:spacing w:after="0" w:line="18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3"/>
          <w:szCs w:val="13"/>
          <w:color w:val="auto"/>
        </w:rPr>
        <w:t>x</w:t>
      </w:r>
      <w:r>
        <w:rPr>
          <w:rFonts w:ascii="Arial" w:cs="Arial" w:eastAsia="Arial" w:hAnsi="Arial"/>
          <w:sz w:val="15"/>
          <w:szCs w:val="15"/>
          <w:color w:val="auto"/>
        </w:rPr>
        <w:t xml:space="preserve"> No </w:t>
      </w:r>
      <w:r>
        <w:rPr>
          <w:rFonts w:ascii="MS PGothic" w:cs="MS PGothic" w:eastAsia="MS PGothic" w:hAnsi="MS PGothic"/>
          <w:sz w:val="13"/>
          <w:szCs w:val="13"/>
          <w:color w:val="auto"/>
        </w:rPr>
        <w:t>☐</w:t>
      </w:r>
    </w:p>
    <w:p>
      <w:pPr>
        <w:spacing w:after="0" w:line="21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or a non-accelerated filer. See definition of “accelerated filer and large accelerated filer” in</w:t>
      </w:r>
    </w:p>
    <w:p>
      <w:pPr>
        <w:spacing w:after="0" w:line="25" w:lineRule="exact"/>
        <w:rPr>
          <w:sz w:val="24"/>
          <w:szCs w:val="24"/>
          <w:color w:val="auto"/>
        </w:rPr>
      </w:pPr>
    </w:p>
    <w:p>
      <w:pPr>
        <w:spacing w:after="0"/>
        <w:rPr>
          <w:sz w:val="20"/>
          <w:szCs w:val="20"/>
          <w:color w:val="auto"/>
        </w:rPr>
      </w:pPr>
      <w:r>
        <w:rPr>
          <w:rFonts w:ascii="Arial" w:cs="Arial" w:eastAsia="Arial" w:hAnsi="Arial"/>
          <w:sz w:val="15"/>
          <w:szCs w:val="15"/>
          <w:color w:val="auto"/>
        </w:rPr>
        <w:t>Rule 12b-2 of the Exchange Act. (Check one):</w:t>
      </w:r>
    </w:p>
    <w:p>
      <w:pPr>
        <w:spacing w:after="0" w:line="212"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2060" w:type="dxa"/>
            <w:vAlign w:val="bottom"/>
          </w:tcPr>
          <w:p>
            <w:pPr>
              <w:jc w:val="center"/>
              <w:ind w:right="325"/>
              <w:spacing w:after="0"/>
              <w:rPr>
                <w:sz w:val="20"/>
                <w:szCs w:val="20"/>
                <w:color w:val="auto"/>
              </w:rPr>
            </w:pPr>
            <w:r>
              <w:rPr>
                <w:rFonts w:ascii="Arial" w:cs="Arial" w:eastAsia="Arial" w:hAnsi="Arial"/>
                <w:sz w:val="15"/>
                <w:szCs w:val="15"/>
                <w:color w:val="auto"/>
                <w:w w:val="90"/>
              </w:rPr>
              <w:t>Large accelerated filer</w:t>
            </w:r>
          </w:p>
        </w:tc>
        <w:tc>
          <w:tcPr>
            <w:tcW w:w="320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tcPr>
          <w:p>
            <w:pPr>
              <w:jc w:val="center"/>
              <w:ind w:left="2165"/>
              <w:spacing w:after="0"/>
              <w:rPr>
                <w:sz w:val="20"/>
                <w:szCs w:val="20"/>
                <w:color w:val="auto"/>
              </w:rPr>
            </w:pPr>
            <w:r>
              <w:rPr>
                <w:rFonts w:ascii="Arial" w:cs="Arial" w:eastAsia="Arial" w:hAnsi="Arial"/>
                <w:sz w:val="15"/>
                <w:szCs w:val="15"/>
                <w:color w:val="auto"/>
                <w:w w:val="92"/>
              </w:rPr>
              <w:t>Accelerated filer</w:t>
            </w:r>
          </w:p>
        </w:tc>
        <w:tc>
          <w:tcPr>
            <w:tcW w:w="540" w:type="dxa"/>
            <w:vAlign w:val="bottom"/>
          </w:tcPr>
          <w:p>
            <w:pPr>
              <w:jc w:val="center"/>
              <w:ind w:left="349"/>
              <w:spacing w:after="0"/>
              <w:rPr>
                <w:sz w:val="20"/>
                <w:szCs w:val="20"/>
                <w:color w:val="auto"/>
              </w:rPr>
            </w:pPr>
            <w:r>
              <w:rPr>
                <w:rFonts w:ascii="Arial" w:cs="Arial" w:eastAsia="Arial" w:hAnsi="Arial"/>
                <w:sz w:val="13"/>
                <w:szCs w:val="13"/>
                <w:color w:val="auto"/>
              </w:rPr>
              <w:t>x</w:t>
            </w:r>
          </w:p>
        </w:tc>
      </w:tr>
      <w:tr>
        <w:trPr>
          <w:trHeight w:val="244"/>
        </w:trPr>
        <w:tc>
          <w:tcPr>
            <w:tcW w:w="2060" w:type="dxa"/>
            <w:vAlign w:val="bottom"/>
          </w:tcPr>
          <w:p>
            <w:pPr>
              <w:jc w:val="center"/>
              <w:ind w:right="325"/>
              <w:spacing w:after="0"/>
              <w:rPr>
                <w:sz w:val="20"/>
                <w:szCs w:val="20"/>
                <w:color w:val="auto"/>
              </w:rPr>
            </w:pPr>
            <w:r>
              <w:rPr>
                <w:rFonts w:ascii="Arial" w:cs="Arial" w:eastAsia="Arial" w:hAnsi="Arial"/>
                <w:sz w:val="15"/>
                <w:szCs w:val="15"/>
                <w:color w:val="auto"/>
                <w:w w:val="91"/>
              </w:rPr>
              <w:t>Non-accelerated filer</w:t>
            </w:r>
          </w:p>
        </w:tc>
        <w:tc>
          <w:tcPr>
            <w:tcW w:w="320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tcPr>
          <w:p>
            <w:pPr>
              <w:jc w:val="center"/>
              <w:ind w:left="2165"/>
              <w:spacing w:after="0"/>
              <w:rPr>
                <w:sz w:val="20"/>
                <w:szCs w:val="20"/>
                <w:color w:val="auto"/>
              </w:rPr>
            </w:pPr>
            <w:r>
              <w:rPr>
                <w:rFonts w:ascii="Arial" w:cs="Arial" w:eastAsia="Arial" w:hAnsi="Arial"/>
                <w:sz w:val="15"/>
                <w:szCs w:val="15"/>
                <w:color w:val="auto"/>
                <w:w w:val="91"/>
              </w:rPr>
              <w:t>Smaller Reporting Company</w:t>
            </w:r>
          </w:p>
        </w:tc>
        <w:tc>
          <w:tcPr>
            <w:tcW w:w="540" w:type="dxa"/>
            <w:vAlign w:val="bottom"/>
          </w:tcPr>
          <w:p>
            <w:pPr>
              <w:jc w:val="center"/>
              <w:ind w:left="349"/>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9"/>
        </w:trPr>
        <w:tc>
          <w:tcPr>
            <w:tcW w:w="2060" w:type="dxa"/>
            <w:vAlign w:val="bottom"/>
          </w:tcPr>
          <w:p>
            <w:pPr>
              <w:jc w:val="center"/>
              <w:ind w:right="345"/>
              <w:spacing w:after="0"/>
              <w:rPr>
                <w:sz w:val="20"/>
                <w:szCs w:val="20"/>
                <w:color w:val="auto"/>
              </w:rPr>
            </w:pPr>
            <w:r>
              <w:rPr>
                <w:rFonts w:ascii="Arial" w:cs="Arial" w:eastAsia="Arial" w:hAnsi="Arial"/>
                <w:sz w:val="15"/>
                <w:szCs w:val="15"/>
                <w:color w:val="auto"/>
                <w:w w:val="91"/>
              </w:rPr>
              <w:t>Emerging growth company</w:t>
            </w:r>
          </w:p>
        </w:tc>
        <w:tc>
          <w:tcPr>
            <w:tcW w:w="320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tcPr>
          <w:p>
            <w:pPr>
              <w:spacing w:after="0"/>
              <w:rPr>
                <w:sz w:val="21"/>
                <w:szCs w:val="21"/>
                <w:color w:val="auto"/>
              </w:rPr>
            </w:pPr>
          </w:p>
        </w:tc>
        <w:tc>
          <w:tcPr>
            <w:tcW w:w="540" w:type="dxa"/>
            <w:vAlign w:val="bottom"/>
          </w:tcPr>
          <w:p>
            <w:pPr>
              <w:spacing w:after="0"/>
              <w:rPr>
                <w:sz w:val="21"/>
                <w:szCs w:val="21"/>
                <w:color w:val="auto"/>
              </w:rPr>
            </w:pPr>
          </w:p>
        </w:tc>
      </w:tr>
    </w:tbl>
    <w:p>
      <w:pPr>
        <w:spacing w:after="0" w:line="106" w:lineRule="exact"/>
        <w:rPr>
          <w:sz w:val="24"/>
          <w:szCs w:val="24"/>
          <w:color w:val="auto"/>
        </w:rPr>
      </w:pPr>
    </w:p>
    <w:p>
      <w:pPr>
        <w:spacing w:after="0" w:line="19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Arial" w:cs="Arial" w:eastAsia="Arial" w:hAnsi="Arial"/>
          <w:sz w:val="13"/>
          <w:szCs w:val="13"/>
          <w:color w:val="auto"/>
        </w:rPr>
        <w:t>x</w:t>
      </w:r>
    </w:p>
    <w:p>
      <w:pPr>
        <w:spacing w:after="0" w:line="358"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7660" w:type="dxa"/>
            <w:vAlign w:val="bottom"/>
            <w:gridSpan w:val="2"/>
          </w:tcPr>
          <w:p>
            <w:pPr>
              <w:jc w:val="center"/>
              <w:ind w:right="3780"/>
              <w:spacing w:after="0"/>
              <w:rPr>
                <w:sz w:val="20"/>
                <w:szCs w:val="20"/>
                <w:color w:val="auto"/>
              </w:rPr>
            </w:pPr>
            <w:r>
              <w:rPr>
                <w:rFonts w:ascii="Arial" w:cs="Arial" w:eastAsia="Arial" w:hAnsi="Arial"/>
                <w:sz w:val="15"/>
                <w:szCs w:val="15"/>
                <w:color w:val="auto"/>
                <w:w w:val="85"/>
              </w:rPr>
              <w:t>Class</w:t>
            </w:r>
          </w:p>
        </w:tc>
        <w:tc>
          <w:tcPr>
            <w:tcW w:w="3760" w:type="dxa"/>
            <w:vAlign w:val="bottom"/>
          </w:tcPr>
          <w:p>
            <w:pPr>
              <w:jc w:val="center"/>
              <w:spacing w:after="0"/>
              <w:rPr>
                <w:sz w:val="20"/>
                <w:szCs w:val="20"/>
                <w:color w:val="auto"/>
              </w:rPr>
            </w:pPr>
            <w:r>
              <w:rPr>
                <w:rFonts w:ascii="Arial" w:cs="Arial" w:eastAsia="Arial" w:hAnsi="Arial"/>
                <w:sz w:val="15"/>
                <w:szCs w:val="15"/>
                <w:color w:val="auto"/>
                <w:w w:val="89"/>
              </w:rPr>
              <w:t>Outstanding at November 02, 2018</w:t>
            </w:r>
          </w:p>
        </w:tc>
      </w:tr>
      <w:tr>
        <w:trPr>
          <w:trHeight w:val="31"/>
        </w:trPr>
        <w:tc>
          <w:tcPr>
            <w:tcW w:w="388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198"/>
        </w:trPr>
        <w:tc>
          <w:tcPr>
            <w:tcW w:w="7660" w:type="dxa"/>
            <w:vAlign w:val="bottom"/>
            <w:gridSpan w:val="2"/>
          </w:tcPr>
          <w:p>
            <w:pPr>
              <w:jc w:val="center"/>
              <w:ind w:right="3760"/>
              <w:spacing w:after="0"/>
              <w:rPr>
                <w:sz w:val="20"/>
                <w:szCs w:val="20"/>
                <w:color w:val="auto"/>
              </w:rPr>
            </w:pPr>
            <w:r>
              <w:rPr>
                <w:rFonts w:ascii="Arial" w:cs="Arial" w:eastAsia="Arial" w:hAnsi="Arial"/>
                <w:sz w:val="15"/>
                <w:szCs w:val="15"/>
                <w:color w:val="auto"/>
                <w:w w:val="90"/>
              </w:rPr>
              <w:t>Common stock, $0.0001 par value</w:t>
            </w:r>
          </w:p>
        </w:tc>
        <w:tc>
          <w:tcPr>
            <w:tcW w:w="3760" w:type="dxa"/>
            <w:vAlign w:val="bottom"/>
          </w:tcPr>
          <w:p>
            <w:pPr>
              <w:jc w:val="right"/>
              <w:ind w:right="1465"/>
              <w:spacing w:after="0"/>
              <w:rPr>
                <w:sz w:val="20"/>
                <w:szCs w:val="20"/>
                <w:color w:val="auto"/>
              </w:rPr>
            </w:pPr>
            <w:r>
              <w:rPr>
                <w:rFonts w:ascii="Arial" w:cs="Arial" w:eastAsia="Arial" w:hAnsi="Arial"/>
                <w:sz w:val="15"/>
                <w:szCs w:val="15"/>
                <w:color w:val="auto"/>
              </w:rPr>
              <w:t>42,474,351</w:t>
            </w:r>
          </w:p>
        </w:tc>
      </w:tr>
    </w:tbl>
    <w:p>
      <w:pPr>
        <w:sectPr>
          <w:pgSz w:w="11900" w:h="16838" w:orient="portrait"/>
          <w:cols w:equalWidth="0" w:num="1">
            <w:col w:w="11420"/>
          </w:cols>
          <w:pgMar w:left="240" w:top="227"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60" w:type="dxa"/>
            <w:vAlign w:val="bottom"/>
            <w:gridSpan w:val="19"/>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Table of Contents</w:t>
              </w:r>
            </w:hyperlink>
          </w:p>
        </w:tc>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425"/>
        </w:trPr>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40" w:type="dxa"/>
            <w:vAlign w:val="bottom"/>
            <w:gridSpan w:val="7"/>
          </w:tcPr>
          <w:p>
            <w:pPr>
              <w:jc w:val="center"/>
              <w:ind w:left="857"/>
              <w:spacing w:after="0"/>
              <w:rPr>
                <w:sz w:val="20"/>
                <w:szCs w:val="20"/>
                <w:color w:val="auto"/>
              </w:rPr>
            </w:pPr>
            <w:r>
              <w:rPr>
                <w:rFonts w:ascii="Arial" w:cs="Arial" w:eastAsia="Arial" w:hAnsi="Arial"/>
                <w:sz w:val="17"/>
                <w:szCs w:val="17"/>
                <w:b w:val="1"/>
                <w:bCs w:val="1"/>
                <w:color w:val="auto"/>
                <w:w w:val="97"/>
              </w:rPr>
              <w:t>SYNCHRONOSS TECHNOLOGIES, INC.</w:t>
            </w:r>
          </w:p>
        </w:tc>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4"/>
          </w:tcPr>
          <w:p>
            <w:pPr>
              <w:jc w:val="center"/>
              <w:ind w:right="900"/>
              <w:spacing w:after="0"/>
              <w:rPr>
                <w:sz w:val="20"/>
                <w:szCs w:val="20"/>
                <w:color w:val="auto"/>
              </w:rPr>
            </w:pPr>
            <w:r>
              <w:rPr>
                <w:rFonts w:ascii="Arial" w:cs="Arial" w:eastAsia="Arial" w:hAnsi="Arial"/>
                <w:sz w:val="17"/>
                <w:szCs w:val="17"/>
                <w:b w:val="1"/>
                <w:bCs w:val="1"/>
                <w:color w:val="auto"/>
                <w:w w:val="99"/>
              </w:rPr>
              <w:t>FORM 10-Q INDEX</w:t>
            </w: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54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20" w:type="dxa"/>
            <w:vAlign w:val="bottom"/>
            <w:gridSpan w:val="3"/>
          </w:tcPr>
          <w:p>
            <w:pPr>
              <w:ind w:left="2680"/>
              <w:spacing w:after="0"/>
              <w:rPr>
                <w:sz w:val="20"/>
                <w:szCs w:val="20"/>
                <w:color w:val="auto"/>
              </w:rPr>
            </w:pPr>
            <w:r>
              <w:rPr>
                <w:rFonts w:ascii="Arial" w:cs="Arial" w:eastAsia="Arial" w:hAnsi="Arial"/>
                <w:sz w:val="17"/>
                <w:szCs w:val="17"/>
                <w:color w:val="auto"/>
                <w:w w:val="87"/>
              </w:rPr>
              <w:t>PAGE NO.</w:t>
            </w:r>
          </w:p>
        </w:tc>
      </w:tr>
      <w:tr>
        <w:trPr>
          <w:trHeight w:val="212"/>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7"/>
                <w:szCs w:val="17"/>
                <w:color w:val="0000EE"/>
                <w:w w:val="80"/>
              </w:rPr>
            </w:pPr>
            <w:hyperlink w:anchor="page3">
              <w:r>
                <w:rPr>
                  <w:rFonts w:ascii="Arial" w:cs="Arial" w:eastAsia="Arial" w:hAnsi="Arial"/>
                  <w:sz w:val="17"/>
                  <w:szCs w:val="17"/>
                  <w:color w:val="0000EE"/>
                  <w:w w:val="80"/>
                </w:rPr>
                <w:t>PART I.</w:t>
              </w:r>
            </w:hyperlink>
          </w:p>
        </w:tc>
        <w:tc>
          <w:tcPr>
            <w:tcW w:w="660" w:type="dxa"/>
            <w:vAlign w:val="bottom"/>
            <w:gridSpan w:val="3"/>
          </w:tcPr>
          <w:p>
            <w:pPr>
              <w:spacing w:after="0"/>
              <w:rPr>
                <w:sz w:val="18"/>
                <w:szCs w:val="18"/>
                <w:color w:val="auto"/>
              </w:rPr>
            </w:pPr>
          </w:p>
        </w:tc>
        <w:tc>
          <w:tcPr>
            <w:tcW w:w="2060" w:type="dxa"/>
            <w:vAlign w:val="bottom"/>
            <w:gridSpan w:val="6"/>
          </w:tcPr>
          <w:p>
            <w:pPr>
              <w:spacing w:after="0"/>
              <w:rPr>
                <w:rFonts w:ascii="Arial" w:cs="Arial" w:eastAsia="Arial" w:hAnsi="Arial"/>
                <w:sz w:val="17"/>
                <w:szCs w:val="17"/>
                <w:color w:val="0000EE"/>
                <w:w w:val="95"/>
              </w:rPr>
            </w:pPr>
            <w:hyperlink w:anchor="page3">
              <w:r>
                <w:rPr>
                  <w:rFonts w:ascii="Arial" w:cs="Arial" w:eastAsia="Arial" w:hAnsi="Arial"/>
                  <w:sz w:val="17"/>
                  <w:szCs w:val="17"/>
                  <w:color w:val="0000EE"/>
                  <w:w w:val="95"/>
                </w:rPr>
                <w:t>FINANCIAL INFORMATION</w:t>
              </w:r>
            </w:hyperlink>
          </w:p>
        </w:tc>
        <w:tc>
          <w:tcPr>
            <w:tcW w:w="4500" w:type="dxa"/>
            <w:vAlign w:val="bottom"/>
            <w:gridSpan w:val="8"/>
          </w:tcPr>
          <w:p>
            <w:pPr>
              <w:spacing w:after="0"/>
              <w:rPr>
                <w:sz w:val="18"/>
                <w:szCs w:val="18"/>
                <w:color w:val="auto"/>
              </w:rPr>
            </w:pPr>
          </w:p>
        </w:tc>
        <w:tc>
          <w:tcPr>
            <w:tcW w:w="3000" w:type="dxa"/>
            <w:vAlign w:val="bottom"/>
          </w:tcPr>
          <w:p>
            <w:pPr>
              <w:spacing w:after="0"/>
              <w:rPr>
                <w:sz w:val="18"/>
                <w:szCs w:val="18"/>
                <w:color w:val="auto"/>
              </w:rPr>
            </w:pPr>
          </w:p>
        </w:tc>
        <w:tc>
          <w:tcPr>
            <w:tcW w:w="80" w:type="dxa"/>
            <w:vAlign w:val="bottom"/>
          </w:tcPr>
          <w:p>
            <w:pPr>
              <w:jc w:val="center"/>
              <w:spacing w:after="0"/>
              <w:rPr>
                <w:rFonts w:ascii="Arial" w:cs="Arial" w:eastAsia="Arial" w:hAnsi="Arial"/>
                <w:sz w:val="17"/>
                <w:szCs w:val="17"/>
                <w:color w:val="0000EE"/>
                <w:w w:val="84"/>
              </w:rPr>
            </w:pPr>
            <w:hyperlink w:anchor="page3">
              <w:r>
                <w:rPr>
                  <w:rFonts w:ascii="Arial" w:cs="Arial" w:eastAsia="Arial" w:hAnsi="Arial"/>
                  <w:sz w:val="17"/>
                  <w:szCs w:val="17"/>
                  <w:color w:val="0000EE"/>
                  <w:w w:val="84"/>
                </w:rPr>
                <w:t>3</w:t>
              </w:r>
            </w:hyperlink>
          </w:p>
        </w:tc>
        <w:tc>
          <w:tcPr>
            <w:tcW w:w="3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color w:val="0000EE"/>
                <w:w w:val="92"/>
              </w:rPr>
            </w:pPr>
            <w:hyperlink w:anchor="page3">
              <w:r>
                <w:rPr>
                  <w:rFonts w:ascii="Arial" w:cs="Arial" w:eastAsia="Arial" w:hAnsi="Arial"/>
                  <w:sz w:val="17"/>
                  <w:szCs w:val="17"/>
                  <w:color w:val="0000EE"/>
                  <w:w w:val="92"/>
                </w:rPr>
                <w:t>Item 1.</w:t>
              </w:r>
            </w:hyperlink>
          </w:p>
        </w:tc>
        <w:tc>
          <w:tcPr>
            <w:tcW w:w="660" w:type="dxa"/>
            <w:vAlign w:val="bottom"/>
            <w:gridSpan w:val="3"/>
          </w:tcPr>
          <w:p>
            <w:pPr>
              <w:spacing w:after="0"/>
              <w:rPr>
                <w:sz w:val="24"/>
                <w:szCs w:val="24"/>
                <w:color w:val="auto"/>
              </w:rPr>
            </w:pPr>
          </w:p>
        </w:tc>
        <w:tc>
          <w:tcPr>
            <w:tcW w:w="6560" w:type="dxa"/>
            <w:vAlign w:val="bottom"/>
            <w:gridSpan w:val="14"/>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Condensed Consolidated Financial Statements and Notes</w:t>
              </w:r>
            </w:hyperlink>
          </w:p>
        </w:tc>
        <w:tc>
          <w:tcPr>
            <w:tcW w:w="3080" w:type="dxa"/>
            <w:vAlign w:val="bottom"/>
            <w:gridSpan w:val="2"/>
          </w:tcPr>
          <w:p>
            <w:pPr>
              <w:jc w:val="center"/>
              <w:ind w:left="2917"/>
              <w:spacing w:after="0"/>
              <w:rPr>
                <w:rFonts w:ascii="Arial" w:cs="Arial" w:eastAsia="Arial" w:hAnsi="Arial"/>
                <w:sz w:val="17"/>
                <w:szCs w:val="17"/>
                <w:color w:val="0000EE"/>
                <w:w w:val="84"/>
              </w:rPr>
            </w:pPr>
            <w:hyperlink w:anchor="page3">
              <w:r>
                <w:rPr>
                  <w:rFonts w:ascii="Arial" w:cs="Arial" w:eastAsia="Arial" w:hAnsi="Arial"/>
                  <w:sz w:val="17"/>
                  <w:szCs w:val="17"/>
                  <w:color w:val="0000EE"/>
                  <w:w w:val="84"/>
                </w:rPr>
                <w:t>3</w:t>
              </w:r>
            </w:hyperlink>
          </w:p>
        </w:tc>
        <w:tc>
          <w:tcPr>
            <w:tcW w:w="3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gridSpan w:val="9"/>
          </w:tcPr>
          <w:p>
            <w:pPr>
              <w:spacing w:after="0"/>
              <w:rPr>
                <w:rFonts w:ascii="Arial" w:cs="Arial" w:eastAsia="Arial" w:hAnsi="Arial"/>
                <w:sz w:val="17"/>
                <w:szCs w:val="17"/>
                <w:color w:val="0000EE"/>
                <w:w w:val="92"/>
              </w:rPr>
            </w:pPr>
            <w:hyperlink w:anchor="page3">
              <w:r>
                <w:rPr>
                  <w:rFonts w:ascii="Arial" w:cs="Arial" w:eastAsia="Arial" w:hAnsi="Arial"/>
                  <w:sz w:val="17"/>
                  <w:szCs w:val="17"/>
                  <w:color w:val="0000EE"/>
                  <w:w w:val="92"/>
                </w:rPr>
                <w:t>Condensed Consolidated Balance Sheets (unaudited)</w:t>
              </w:r>
            </w:hyperlink>
          </w:p>
        </w:tc>
        <w:tc>
          <w:tcPr>
            <w:tcW w:w="2800" w:type="dxa"/>
            <w:vAlign w:val="bottom"/>
            <w:gridSpan w:val="5"/>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Pr>
          <w:p>
            <w:pPr>
              <w:jc w:val="center"/>
              <w:spacing w:after="0"/>
              <w:rPr>
                <w:rFonts w:ascii="Arial" w:cs="Arial" w:eastAsia="Arial" w:hAnsi="Arial"/>
                <w:sz w:val="17"/>
                <w:szCs w:val="17"/>
                <w:color w:val="0000EE"/>
                <w:w w:val="84"/>
              </w:rPr>
            </w:pPr>
            <w:hyperlink w:anchor="page3">
              <w:r>
                <w:rPr>
                  <w:rFonts w:ascii="Arial" w:cs="Arial" w:eastAsia="Arial" w:hAnsi="Arial"/>
                  <w:sz w:val="17"/>
                  <w:szCs w:val="17"/>
                  <w:color w:val="0000EE"/>
                  <w:w w:val="84"/>
                </w:rPr>
                <w:t>3</w:t>
              </w:r>
            </w:hyperlink>
          </w:p>
        </w:tc>
        <w:tc>
          <w:tcPr>
            <w:tcW w:w="3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60" w:type="dxa"/>
            <w:vAlign w:val="bottom"/>
            <w:gridSpan w:val="14"/>
          </w:tcPr>
          <w:p>
            <w:pPr>
              <w:spacing w:after="0"/>
              <w:rPr>
                <w:rFonts w:ascii="Arial" w:cs="Arial" w:eastAsia="Arial" w:hAnsi="Arial"/>
                <w:sz w:val="17"/>
                <w:szCs w:val="17"/>
                <w:color w:val="0000EE"/>
                <w:w w:val="87"/>
              </w:rPr>
            </w:pPr>
            <w:hyperlink w:anchor="page4">
              <w:r>
                <w:rPr>
                  <w:rFonts w:ascii="Arial" w:cs="Arial" w:eastAsia="Arial" w:hAnsi="Arial"/>
                  <w:sz w:val="17"/>
                  <w:szCs w:val="17"/>
                  <w:color w:val="0000EE"/>
                  <w:w w:val="87"/>
                </w:rPr>
                <w:t>Condensed Consolidated Statements of Operations and Comprehensive Income (Loss) (unaudited)</w:t>
              </w:r>
            </w:hyperlink>
          </w:p>
        </w:tc>
        <w:tc>
          <w:tcPr>
            <w:tcW w:w="3000" w:type="dxa"/>
            <w:vAlign w:val="bottom"/>
          </w:tcPr>
          <w:p>
            <w:pPr>
              <w:spacing w:after="0"/>
              <w:rPr>
                <w:sz w:val="24"/>
                <w:szCs w:val="24"/>
                <w:color w:val="auto"/>
              </w:rPr>
            </w:pPr>
          </w:p>
        </w:tc>
        <w:tc>
          <w:tcPr>
            <w:tcW w:w="80" w:type="dxa"/>
            <w:vAlign w:val="bottom"/>
          </w:tcPr>
          <w:p>
            <w:pPr>
              <w:jc w:val="center"/>
              <w:spacing w:after="0"/>
              <w:rPr>
                <w:rFonts w:ascii="Arial" w:cs="Arial" w:eastAsia="Arial" w:hAnsi="Arial"/>
                <w:sz w:val="17"/>
                <w:szCs w:val="17"/>
                <w:color w:val="0000EE"/>
                <w:w w:val="84"/>
              </w:rPr>
            </w:pPr>
            <w:hyperlink w:anchor="page4">
              <w:r>
                <w:rPr>
                  <w:rFonts w:ascii="Arial" w:cs="Arial" w:eastAsia="Arial" w:hAnsi="Arial"/>
                  <w:sz w:val="17"/>
                  <w:szCs w:val="17"/>
                  <w:color w:val="0000EE"/>
                  <w:w w:val="84"/>
                </w:rPr>
                <w:t>4</w:t>
              </w:r>
            </w:hyperlink>
          </w:p>
        </w:tc>
        <w:tc>
          <w:tcPr>
            <w:tcW w:w="3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60" w:type="dxa"/>
            <w:vAlign w:val="bottom"/>
            <w:gridSpan w:val="14"/>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Condensed Consolidated Statements of Cash Flows (unaudited)</w:t>
              </w:r>
            </w:hyperlink>
          </w:p>
        </w:tc>
        <w:tc>
          <w:tcPr>
            <w:tcW w:w="3000" w:type="dxa"/>
            <w:vAlign w:val="bottom"/>
          </w:tcPr>
          <w:p>
            <w:pPr>
              <w:spacing w:after="0"/>
              <w:rPr>
                <w:sz w:val="24"/>
                <w:szCs w:val="24"/>
                <w:color w:val="auto"/>
              </w:rPr>
            </w:pPr>
          </w:p>
        </w:tc>
        <w:tc>
          <w:tcPr>
            <w:tcW w:w="80" w:type="dxa"/>
            <w:vAlign w:val="bottom"/>
          </w:tcPr>
          <w:p>
            <w:pPr>
              <w:jc w:val="center"/>
              <w:spacing w:after="0"/>
              <w:rPr>
                <w:rFonts w:ascii="Arial" w:cs="Arial" w:eastAsia="Arial" w:hAnsi="Arial"/>
                <w:sz w:val="17"/>
                <w:szCs w:val="17"/>
                <w:color w:val="0000EE"/>
                <w:w w:val="84"/>
              </w:rPr>
            </w:pPr>
            <w:hyperlink w:anchor="page6">
              <w:r>
                <w:rPr>
                  <w:rFonts w:ascii="Arial" w:cs="Arial" w:eastAsia="Arial" w:hAnsi="Arial"/>
                  <w:sz w:val="17"/>
                  <w:szCs w:val="17"/>
                  <w:color w:val="0000EE"/>
                  <w:w w:val="84"/>
                </w:rPr>
                <w:t>6</w:t>
              </w:r>
            </w:hyperlink>
          </w:p>
        </w:tc>
        <w:tc>
          <w:tcPr>
            <w:tcW w:w="3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60" w:type="dxa"/>
            <w:vAlign w:val="bottom"/>
            <w:gridSpan w:val="14"/>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Notes to Condensed Consolidated Financial Statements (unaudited)</w:t>
              </w:r>
            </w:hyperlink>
          </w:p>
        </w:tc>
        <w:tc>
          <w:tcPr>
            <w:tcW w:w="3080" w:type="dxa"/>
            <w:vAlign w:val="bottom"/>
            <w:gridSpan w:val="2"/>
          </w:tcPr>
          <w:p>
            <w:pPr>
              <w:jc w:val="center"/>
              <w:ind w:left="2917"/>
              <w:spacing w:after="0"/>
              <w:rPr>
                <w:rFonts w:ascii="Arial" w:cs="Arial" w:eastAsia="Arial" w:hAnsi="Arial"/>
                <w:sz w:val="17"/>
                <w:szCs w:val="17"/>
                <w:color w:val="0000EE"/>
                <w:w w:val="84"/>
              </w:rPr>
            </w:pPr>
            <w:hyperlink w:anchor="page8">
              <w:r>
                <w:rPr>
                  <w:rFonts w:ascii="Arial" w:cs="Arial" w:eastAsia="Arial" w:hAnsi="Arial"/>
                  <w:sz w:val="17"/>
                  <w:szCs w:val="17"/>
                  <w:color w:val="0000EE"/>
                  <w:w w:val="84"/>
                </w:rPr>
                <w:t>8</w:t>
              </w:r>
            </w:hyperlink>
          </w:p>
        </w:tc>
        <w:tc>
          <w:tcPr>
            <w:tcW w:w="3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728"/>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color w:val="0000EE"/>
                <w:w w:val="92"/>
              </w:rPr>
            </w:pPr>
            <w:hyperlink w:anchor="page38">
              <w:r>
                <w:rPr>
                  <w:rFonts w:ascii="Arial" w:cs="Arial" w:eastAsia="Arial" w:hAnsi="Arial"/>
                  <w:sz w:val="17"/>
                  <w:szCs w:val="17"/>
                  <w:color w:val="0000EE"/>
                  <w:w w:val="92"/>
                </w:rPr>
                <w:t>Item 2.</w:t>
              </w:r>
            </w:hyperlink>
          </w:p>
        </w:tc>
        <w:tc>
          <w:tcPr>
            <w:tcW w:w="660" w:type="dxa"/>
            <w:vAlign w:val="bottom"/>
            <w:gridSpan w:val="3"/>
          </w:tcPr>
          <w:p>
            <w:pPr>
              <w:spacing w:after="0"/>
              <w:rPr>
                <w:sz w:val="24"/>
                <w:szCs w:val="24"/>
                <w:color w:val="auto"/>
              </w:rPr>
            </w:pPr>
          </w:p>
        </w:tc>
        <w:tc>
          <w:tcPr>
            <w:tcW w:w="5940" w:type="dxa"/>
            <w:vAlign w:val="bottom"/>
            <w:gridSpan w:val="13"/>
          </w:tcPr>
          <w:p>
            <w:pPr>
              <w:spacing w:after="0"/>
              <w:rPr>
                <w:rFonts w:ascii="Arial" w:cs="Arial" w:eastAsia="Arial" w:hAnsi="Arial"/>
                <w:sz w:val="17"/>
                <w:szCs w:val="17"/>
                <w:color w:val="0000EE"/>
                <w:w w:val="88"/>
              </w:rPr>
            </w:pPr>
            <w:hyperlink w:anchor="page38">
              <w:r>
                <w:rPr>
                  <w:rFonts w:ascii="Arial" w:cs="Arial" w:eastAsia="Arial" w:hAnsi="Arial"/>
                  <w:sz w:val="17"/>
                  <w:szCs w:val="17"/>
                  <w:color w:val="0000EE"/>
                  <w:w w:val="88"/>
                </w:rPr>
                <w:t>Management’s Discussion and Analysis of Financial Condition and Results of Operations</w:t>
              </w:r>
            </w:hyperlink>
          </w:p>
        </w:tc>
        <w:tc>
          <w:tcPr>
            <w:tcW w:w="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5"/>
                <w:szCs w:val="15"/>
                <w:color w:val="0000EE"/>
                <w:w w:val="71"/>
              </w:rPr>
            </w:pPr>
            <w:hyperlink w:anchor="page38">
              <w:r>
                <w:rPr>
                  <w:rFonts w:ascii="Arial" w:cs="Arial" w:eastAsia="Arial" w:hAnsi="Arial"/>
                  <w:sz w:val="15"/>
                  <w:szCs w:val="15"/>
                  <w:color w:val="0000EE"/>
                  <w:w w:val="71"/>
                </w:rPr>
                <w:t>38</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1960" w:type="dxa"/>
            <w:vAlign w:val="bottom"/>
            <w:tcBorders>
              <w:left w:val="single" w:sz="8" w:color="0000EE"/>
            </w:tcBorders>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color w:val="0000EE"/>
                <w:w w:val="92"/>
              </w:rPr>
            </w:pPr>
            <w:hyperlink w:anchor="page50">
              <w:r>
                <w:rPr>
                  <w:rFonts w:ascii="Arial" w:cs="Arial" w:eastAsia="Arial" w:hAnsi="Arial"/>
                  <w:sz w:val="17"/>
                  <w:szCs w:val="17"/>
                  <w:color w:val="0000EE"/>
                  <w:w w:val="92"/>
                </w:rPr>
                <w:t>Item 3.</w:t>
              </w:r>
            </w:hyperlink>
          </w:p>
        </w:tc>
        <w:tc>
          <w:tcPr>
            <w:tcW w:w="660" w:type="dxa"/>
            <w:vAlign w:val="bottom"/>
            <w:gridSpan w:val="3"/>
          </w:tcPr>
          <w:p>
            <w:pPr>
              <w:spacing w:after="0"/>
              <w:rPr>
                <w:sz w:val="24"/>
                <w:szCs w:val="24"/>
                <w:color w:val="auto"/>
              </w:rPr>
            </w:pPr>
          </w:p>
        </w:tc>
        <w:tc>
          <w:tcPr>
            <w:tcW w:w="3980" w:type="dxa"/>
            <w:vAlign w:val="bottom"/>
            <w:gridSpan w:val="10"/>
          </w:tcPr>
          <w:p>
            <w:pPr>
              <w:spacing w:after="0"/>
              <w:rPr>
                <w:rFonts w:ascii="Arial" w:cs="Arial" w:eastAsia="Arial" w:hAnsi="Arial"/>
                <w:sz w:val="17"/>
                <w:szCs w:val="17"/>
                <w:color w:val="0000EE"/>
                <w:w w:val="88"/>
              </w:rPr>
            </w:pPr>
            <w:hyperlink w:anchor="page50">
              <w:r>
                <w:rPr>
                  <w:rFonts w:ascii="Arial" w:cs="Arial" w:eastAsia="Arial" w:hAnsi="Arial"/>
                  <w:sz w:val="17"/>
                  <w:szCs w:val="17"/>
                  <w:color w:val="0000EE"/>
                  <w:w w:val="88"/>
                </w:rPr>
                <w:t>Quantitative and Qualitative Disclosures About Market Risk</w:t>
              </w:r>
            </w:hyperlink>
          </w:p>
        </w:tc>
        <w:tc>
          <w:tcPr>
            <w:tcW w:w="196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5"/>
                <w:szCs w:val="15"/>
                <w:color w:val="0000EE"/>
                <w:w w:val="71"/>
              </w:rPr>
            </w:pPr>
            <w:hyperlink w:anchor="page50">
              <w:r>
                <w:rPr>
                  <w:rFonts w:ascii="Arial" w:cs="Arial" w:eastAsia="Arial" w:hAnsi="Arial"/>
                  <w:sz w:val="15"/>
                  <w:szCs w:val="15"/>
                  <w:color w:val="0000EE"/>
                  <w:w w:val="71"/>
                </w:rPr>
                <w:t>49</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2580" w:type="dxa"/>
            <w:vAlign w:val="bottom"/>
            <w:tcBorders>
              <w:left w:val="single" w:sz="8" w:color="0000EE"/>
            </w:tcBorders>
            <w:gridSpan w:val="4"/>
          </w:tcPr>
          <w:p>
            <w:pPr>
              <w:spacing w:after="0" w:line="20" w:lineRule="exact"/>
              <w:rPr>
                <w:sz w:val="1"/>
                <w:szCs w:val="1"/>
                <w:color w:val="auto"/>
              </w:rPr>
            </w:pPr>
          </w:p>
        </w:tc>
        <w:tc>
          <w:tcPr>
            <w:tcW w:w="3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color w:val="0000EE"/>
                <w:w w:val="92"/>
              </w:rPr>
            </w:pPr>
            <w:hyperlink w:anchor="page51">
              <w:r>
                <w:rPr>
                  <w:rFonts w:ascii="Arial" w:cs="Arial" w:eastAsia="Arial" w:hAnsi="Arial"/>
                  <w:sz w:val="17"/>
                  <w:szCs w:val="17"/>
                  <w:color w:val="0000EE"/>
                  <w:w w:val="92"/>
                </w:rPr>
                <w:t>Item 4.</w:t>
              </w:r>
            </w:hyperlink>
          </w:p>
        </w:tc>
        <w:tc>
          <w:tcPr>
            <w:tcW w:w="660" w:type="dxa"/>
            <w:vAlign w:val="bottom"/>
            <w:gridSpan w:val="3"/>
          </w:tcPr>
          <w:p>
            <w:pPr>
              <w:spacing w:after="0"/>
              <w:rPr>
                <w:sz w:val="24"/>
                <w:szCs w:val="24"/>
                <w:color w:val="auto"/>
              </w:rPr>
            </w:pPr>
          </w:p>
        </w:tc>
        <w:tc>
          <w:tcPr>
            <w:tcW w:w="3980" w:type="dxa"/>
            <w:vAlign w:val="bottom"/>
            <w:gridSpan w:val="10"/>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Controls and Procedures</w:t>
              </w:r>
            </w:hyperlink>
          </w:p>
        </w:tc>
        <w:tc>
          <w:tcPr>
            <w:tcW w:w="2580" w:type="dxa"/>
            <w:vAlign w:val="bottom"/>
            <w:gridSpan w:val="4"/>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5"/>
                <w:szCs w:val="15"/>
                <w:color w:val="0000EE"/>
                <w:w w:val="71"/>
              </w:rPr>
            </w:pPr>
            <w:hyperlink w:anchor="page51">
              <w:r>
                <w:rPr>
                  <w:rFonts w:ascii="Arial" w:cs="Arial" w:eastAsia="Arial" w:hAnsi="Arial"/>
                  <w:sz w:val="15"/>
                  <w:szCs w:val="15"/>
                  <w:color w:val="0000EE"/>
                  <w:w w:val="71"/>
                </w:rPr>
                <w:t>50</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3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728"/>
        </w:trPr>
        <w:tc>
          <w:tcPr>
            <w:tcW w:w="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7"/>
                <w:szCs w:val="17"/>
                <w:color w:val="0000EE"/>
                <w:w w:val="93"/>
              </w:rPr>
            </w:pPr>
            <w:hyperlink w:anchor="page53">
              <w:r>
                <w:rPr>
                  <w:rFonts w:ascii="Arial" w:cs="Arial" w:eastAsia="Arial" w:hAnsi="Arial"/>
                  <w:sz w:val="17"/>
                  <w:szCs w:val="17"/>
                  <w:color w:val="0000EE"/>
                  <w:w w:val="93"/>
                </w:rPr>
                <w:t>PART II.</w:t>
              </w:r>
            </w:hyperlink>
          </w:p>
        </w:tc>
        <w:tc>
          <w:tcPr>
            <w:tcW w:w="540" w:type="dxa"/>
            <w:vAlign w:val="bottom"/>
            <w:gridSpan w:val="2"/>
          </w:tcPr>
          <w:p>
            <w:pPr>
              <w:spacing w:after="0"/>
              <w:rPr>
                <w:sz w:val="24"/>
                <w:szCs w:val="24"/>
                <w:color w:val="auto"/>
              </w:rPr>
            </w:pPr>
          </w:p>
        </w:tc>
        <w:tc>
          <w:tcPr>
            <w:tcW w:w="1720" w:type="dxa"/>
            <w:vAlign w:val="bottom"/>
            <w:gridSpan w:val="5"/>
          </w:tcPr>
          <w:p>
            <w:pPr>
              <w:spacing w:after="0"/>
              <w:rPr>
                <w:rFonts w:ascii="Arial" w:cs="Arial" w:eastAsia="Arial" w:hAnsi="Arial"/>
                <w:sz w:val="17"/>
                <w:szCs w:val="17"/>
                <w:color w:val="0000EE"/>
                <w:w w:val="92"/>
              </w:rPr>
            </w:pPr>
            <w:hyperlink w:anchor="page53">
              <w:r>
                <w:rPr>
                  <w:rFonts w:ascii="Arial" w:cs="Arial" w:eastAsia="Arial" w:hAnsi="Arial"/>
                  <w:sz w:val="17"/>
                  <w:szCs w:val="17"/>
                  <w:color w:val="0000EE"/>
                  <w:w w:val="92"/>
                </w:rPr>
                <w:t>OTHER INFORMATION</w:t>
              </w:r>
            </w:hyperlink>
          </w:p>
        </w:tc>
        <w:tc>
          <w:tcPr>
            <w:tcW w:w="4840" w:type="dxa"/>
            <w:vAlign w:val="bottom"/>
            <w:gridSpan w:val="9"/>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5"/>
                <w:szCs w:val="15"/>
                <w:color w:val="0000EE"/>
                <w:w w:val="71"/>
              </w:rPr>
            </w:pPr>
            <w:hyperlink w:anchor="page53">
              <w:r>
                <w:rPr>
                  <w:rFonts w:ascii="Arial" w:cs="Arial" w:eastAsia="Arial" w:hAnsi="Arial"/>
                  <w:sz w:val="15"/>
                  <w:szCs w:val="15"/>
                  <w:color w:val="0000EE"/>
                  <w:w w:val="71"/>
                </w:rPr>
                <w:t>52</w:t>
              </w:r>
            </w:hyperlink>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3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color w:val="0000EE"/>
                <w:w w:val="92"/>
              </w:rPr>
            </w:pPr>
            <w:hyperlink w:anchor="page53">
              <w:r>
                <w:rPr>
                  <w:rFonts w:ascii="Arial" w:cs="Arial" w:eastAsia="Arial" w:hAnsi="Arial"/>
                  <w:sz w:val="17"/>
                  <w:szCs w:val="17"/>
                  <w:color w:val="0000EE"/>
                  <w:w w:val="92"/>
                </w:rPr>
                <w:t>Item 1.</w:t>
              </w:r>
            </w:hyperlink>
          </w:p>
        </w:tc>
        <w:tc>
          <w:tcPr>
            <w:tcW w:w="12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1720" w:type="dxa"/>
            <w:vAlign w:val="bottom"/>
            <w:gridSpan w:val="5"/>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Legal Proceedings</w:t>
              </w:r>
            </w:hyperlink>
          </w:p>
        </w:tc>
        <w:tc>
          <w:tcPr>
            <w:tcW w:w="4840" w:type="dxa"/>
            <w:vAlign w:val="bottom"/>
            <w:gridSpan w:val="9"/>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5"/>
                <w:szCs w:val="15"/>
                <w:color w:val="0000EE"/>
                <w:w w:val="71"/>
              </w:rPr>
            </w:pPr>
            <w:hyperlink w:anchor="page53">
              <w:r>
                <w:rPr>
                  <w:rFonts w:ascii="Arial" w:cs="Arial" w:eastAsia="Arial" w:hAnsi="Arial"/>
                  <w:sz w:val="15"/>
                  <w:szCs w:val="15"/>
                  <w:color w:val="0000EE"/>
                  <w:w w:val="71"/>
                </w:rPr>
                <w:t>52</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3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7"/>
                <w:szCs w:val="17"/>
                <w:color w:val="0000EE"/>
                <w:w w:val="94"/>
              </w:rPr>
            </w:pPr>
            <w:hyperlink w:anchor="page53">
              <w:r>
                <w:rPr>
                  <w:rFonts w:ascii="Arial" w:cs="Arial" w:eastAsia="Arial" w:hAnsi="Arial"/>
                  <w:sz w:val="17"/>
                  <w:szCs w:val="17"/>
                  <w:color w:val="0000EE"/>
                  <w:w w:val="94"/>
                </w:rPr>
                <w:t>Item 1A.</w:t>
              </w:r>
            </w:hyperlink>
          </w:p>
        </w:tc>
        <w:tc>
          <w:tcPr>
            <w:tcW w:w="540" w:type="dxa"/>
            <w:vAlign w:val="bottom"/>
            <w:gridSpan w:val="2"/>
          </w:tcPr>
          <w:p>
            <w:pPr>
              <w:spacing w:after="0"/>
              <w:rPr>
                <w:sz w:val="24"/>
                <w:szCs w:val="24"/>
                <w:color w:val="auto"/>
              </w:rPr>
            </w:pPr>
          </w:p>
        </w:tc>
        <w:tc>
          <w:tcPr>
            <w:tcW w:w="6560" w:type="dxa"/>
            <w:vAlign w:val="bottom"/>
            <w:gridSpan w:val="14"/>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Risk Factors</w:t>
              </w:r>
            </w:hyperlink>
          </w:p>
        </w:tc>
        <w:tc>
          <w:tcPr>
            <w:tcW w:w="3420" w:type="dxa"/>
            <w:vAlign w:val="bottom"/>
            <w:gridSpan w:val="3"/>
          </w:tcPr>
          <w:p>
            <w:pPr>
              <w:jc w:val="center"/>
              <w:ind w:left="2577"/>
              <w:spacing w:after="0"/>
              <w:rPr>
                <w:rFonts w:ascii="Arial" w:cs="Arial" w:eastAsia="Arial" w:hAnsi="Arial"/>
                <w:sz w:val="17"/>
                <w:szCs w:val="17"/>
                <w:color w:val="0000EE"/>
                <w:w w:val="84"/>
              </w:rPr>
            </w:pPr>
            <w:hyperlink w:anchor="page53">
              <w:r>
                <w:rPr>
                  <w:rFonts w:ascii="Arial" w:cs="Arial" w:eastAsia="Arial" w:hAnsi="Arial"/>
                  <w:sz w:val="17"/>
                  <w:szCs w:val="17"/>
                  <w:color w:val="0000EE"/>
                  <w:w w:val="84"/>
                </w:rPr>
                <w:t>52</w:t>
              </w:r>
            </w:hyperlink>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3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color w:val="0000EE"/>
                <w:w w:val="92"/>
              </w:rPr>
            </w:pPr>
            <w:hyperlink w:anchor="page53">
              <w:r>
                <w:rPr>
                  <w:rFonts w:ascii="Arial" w:cs="Arial" w:eastAsia="Arial" w:hAnsi="Arial"/>
                  <w:sz w:val="17"/>
                  <w:szCs w:val="17"/>
                  <w:color w:val="0000EE"/>
                  <w:w w:val="92"/>
                </w:rPr>
                <w:t>Item 2.</w:t>
              </w:r>
            </w:hyperlink>
          </w:p>
        </w:tc>
        <w:tc>
          <w:tcPr>
            <w:tcW w:w="12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6560" w:type="dxa"/>
            <w:vAlign w:val="bottom"/>
            <w:gridSpan w:val="14"/>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Unregistered Sales of Equity Securities and Use of Proceeds</w:t>
              </w:r>
            </w:hyperlink>
          </w:p>
        </w:tc>
        <w:tc>
          <w:tcPr>
            <w:tcW w:w="3420" w:type="dxa"/>
            <w:vAlign w:val="bottom"/>
            <w:gridSpan w:val="3"/>
          </w:tcPr>
          <w:p>
            <w:pPr>
              <w:jc w:val="center"/>
              <w:ind w:left="2577"/>
              <w:spacing w:after="0"/>
              <w:rPr>
                <w:rFonts w:ascii="Arial" w:cs="Arial" w:eastAsia="Arial" w:hAnsi="Arial"/>
                <w:sz w:val="17"/>
                <w:szCs w:val="17"/>
                <w:color w:val="0000EE"/>
                <w:w w:val="84"/>
              </w:rPr>
            </w:pPr>
            <w:hyperlink w:anchor="page53">
              <w:r>
                <w:rPr>
                  <w:rFonts w:ascii="Arial" w:cs="Arial" w:eastAsia="Arial" w:hAnsi="Arial"/>
                  <w:sz w:val="17"/>
                  <w:szCs w:val="17"/>
                  <w:color w:val="0000EE"/>
                  <w:w w:val="84"/>
                </w:rPr>
                <w:t>52</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3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color w:val="0000EE"/>
                <w:w w:val="92"/>
              </w:rPr>
            </w:pPr>
            <w:hyperlink w:anchor="page53">
              <w:r>
                <w:rPr>
                  <w:rFonts w:ascii="Arial" w:cs="Arial" w:eastAsia="Arial" w:hAnsi="Arial"/>
                  <w:sz w:val="17"/>
                  <w:szCs w:val="17"/>
                  <w:color w:val="0000EE"/>
                  <w:w w:val="92"/>
                </w:rPr>
                <w:t>Item 3.</w:t>
              </w:r>
            </w:hyperlink>
          </w:p>
        </w:tc>
        <w:tc>
          <w:tcPr>
            <w:tcW w:w="660" w:type="dxa"/>
            <w:vAlign w:val="bottom"/>
            <w:gridSpan w:val="3"/>
          </w:tcPr>
          <w:p>
            <w:pPr>
              <w:spacing w:after="0"/>
              <w:rPr>
                <w:sz w:val="24"/>
                <w:szCs w:val="24"/>
                <w:color w:val="auto"/>
              </w:rPr>
            </w:pPr>
          </w:p>
        </w:tc>
        <w:tc>
          <w:tcPr>
            <w:tcW w:w="2120" w:type="dxa"/>
            <w:vAlign w:val="bottom"/>
            <w:gridSpan w:val="7"/>
          </w:tcPr>
          <w:p>
            <w:pPr>
              <w:spacing w:after="0"/>
              <w:rPr>
                <w:rFonts w:ascii="Arial" w:cs="Arial" w:eastAsia="Arial" w:hAnsi="Arial"/>
                <w:sz w:val="17"/>
                <w:szCs w:val="17"/>
                <w:color w:val="0000EE"/>
                <w:w w:val="87"/>
              </w:rPr>
            </w:pPr>
            <w:hyperlink w:anchor="page53">
              <w:r>
                <w:rPr>
                  <w:rFonts w:ascii="Arial" w:cs="Arial" w:eastAsia="Arial" w:hAnsi="Arial"/>
                  <w:sz w:val="17"/>
                  <w:szCs w:val="17"/>
                  <w:color w:val="0000EE"/>
                  <w:w w:val="87"/>
                </w:rPr>
                <w:t>Defaults Upon Senior Securities</w:t>
              </w:r>
            </w:hyperlink>
          </w:p>
        </w:tc>
        <w:tc>
          <w:tcPr>
            <w:tcW w:w="1860" w:type="dxa"/>
            <w:vAlign w:val="bottom"/>
            <w:gridSpan w:val="3"/>
          </w:tcPr>
          <w:p>
            <w:pPr>
              <w:spacing w:after="0"/>
              <w:rPr>
                <w:sz w:val="24"/>
                <w:szCs w:val="24"/>
                <w:color w:val="auto"/>
              </w:rPr>
            </w:pPr>
          </w:p>
        </w:tc>
        <w:tc>
          <w:tcPr>
            <w:tcW w:w="2580" w:type="dxa"/>
            <w:vAlign w:val="bottom"/>
            <w:gridSpan w:val="4"/>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5"/>
                <w:szCs w:val="15"/>
                <w:color w:val="0000EE"/>
                <w:w w:val="71"/>
              </w:rPr>
            </w:pPr>
            <w:hyperlink w:anchor="page53">
              <w:r>
                <w:rPr>
                  <w:rFonts w:ascii="Arial" w:cs="Arial" w:eastAsia="Arial" w:hAnsi="Arial"/>
                  <w:sz w:val="15"/>
                  <w:szCs w:val="15"/>
                  <w:color w:val="0000EE"/>
                  <w:w w:val="71"/>
                </w:rPr>
                <w:t>52</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3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color w:val="0000EE"/>
                <w:w w:val="92"/>
              </w:rPr>
            </w:pPr>
            <w:hyperlink w:anchor="page53">
              <w:r>
                <w:rPr>
                  <w:rFonts w:ascii="Arial" w:cs="Arial" w:eastAsia="Arial" w:hAnsi="Arial"/>
                  <w:sz w:val="17"/>
                  <w:szCs w:val="17"/>
                  <w:color w:val="0000EE"/>
                  <w:w w:val="92"/>
                </w:rPr>
                <w:t>Item 4.</w:t>
              </w:r>
            </w:hyperlink>
          </w:p>
        </w:tc>
        <w:tc>
          <w:tcPr>
            <w:tcW w:w="660" w:type="dxa"/>
            <w:vAlign w:val="bottom"/>
            <w:gridSpan w:val="3"/>
          </w:tcPr>
          <w:p>
            <w:pPr>
              <w:spacing w:after="0"/>
              <w:rPr>
                <w:sz w:val="24"/>
                <w:szCs w:val="24"/>
                <w:color w:val="auto"/>
              </w:rPr>
            </w:pPr>
          </w:p>
        </w:tc>
        <w:tc>
          <w:tcPr>
            <w:tcW w:w="2120" w:type="dxa"/>
            <w:vAlign w:val="bottom"/>
            <w:gridSpan w:val="7"/>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Mine Safety Disclosures</w:t>
              </w:r>
            </w:hyperlink>
          </w:p>
        </w:tc>
        <w:tc>
          <w:tcPr>
            <w:tcW w:w="4440" w:type="dxa"/>
            <w:vAlign w:val="bottom"/>
            <w:gridSpan w:val="7"/>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5"/>
                <w:szCs w:val="15"/>
                <w:color w:val="0000EE"/>
                <w:w w:val="71"/>
              </w:rPr>
            </w:pPr>
            <w:hyperlink w:anchor="page53">
              <w:r>
                <w:rPr>
                  <w:rFonts w:ascii="Arial" w:cs="Arial" w:eastAsia="Arial" w:hAnsi="Arial"/>
                  <w:sz w:val="15"/>
                  <w:szCs w:val="15"/>
                  <w:color w:val="0000EE"/>
                  <w:w w:val="71"/>
                </w:rPr>
                <w:t>52</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960" w:type="dxa"/>
            <w:vAlign w:val="bottom"/>
            <w:gridSpan w:val="10"/>
          </w:tcPr>
          <w:p>
            <w:pPr>
              <w:spacing w:after="0" w:line="20" w:lineRule="exact"/>
              <w:rPr>
                <w:sz w:val="1"/>
                <w:szCs w:val="1"/>
                <w:color w:val="auto"/>
              </w:rPr>
            </w:pPr>
          </w:p>
        </w:tc>
        <w:tc>
          <w:tcPr>
            <w:tcW w:w="3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color w:val="0000EE"/>
                <w:w w:val="92"/>
              </w:rPr>
            </w:pPr>
            <w:hyperlink w:anchor="page53">
              <w:r>
                <w:rPr>
                  <w:rFonts w:ascii="Arial" w:cs="Arial" w:eastAsia="Arial" w:hAnsi="Arial"/>
                  <w:sz w:val="17"/>
                  <w:szCs w:val="17"/>
                  <w:color w:val="0000EE"/>
                  <w:w w:val="92"/>
                </w:rPr>
                <w:t>Item 5.</w:t>
              </w:r>
            </w:hyperlink>
          </w:p>
        </w:tc>
        <w:tc>
          <w:tcPr>
            <w:tcW w:w="660" w:type="dxa"/>
            <w:vAlign w:val="bottom"/>
            <w:gridSpan w:val="3"/>
          </w:tcPr>
          <w:p>
            <w:pPr>
              <w:spacing w:after="0"/>
              <w:rPr>
                <w:sz w:val="24"/>
                <w:szCs w:val="24"/>
                <w:color w:val="auto"/>
              </w:rPr>
            </w:pPr>
          </w:p>
        </w:tc>
        <w:tc>
          <w:tcPr>
            <w:tcW w:w="1600" w:type="dxa"/>
            <w:vAlign w:val="bottom"/>
            <w:gridSpan w:val="4"/>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Other Information</w:t>
              </w:r>
            </w:hyperlink>
          </w:p>
        </w:tc>
        <w:tc>
          <w:tcPr>
            <w:tcW w:w="4960" w:type="dxa"/>
            <w:vAlign w:val="bottom"/>
            <w:gridSpan w:val="10"/>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5"/>
                <w:szCs w:val="15"/>
                <w:color w:val="0000EE"/>
                <w:w w:val="71"/>
              </w:rPr>
            </w:pPr>
            <w:hyperlink w:anchor="page53">
              <w:r>
                <w:rPr>
                  <w:rFonts w:ascii="Arial" w:cs="Arial" w:eastAsia="Arial" w:hAnsi="Arial"/>
                  <w:sz w:val="15"/>
                  <w:szCs w:val="15"/>
                  <w:color w:val="0000EE"/>
                  <w:w w:val="71"/>
                </w:rPr>
                <w:t>52</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3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color w:val="0000EE"/>
                <w:w w:val="92"/>
              </w:rPr>
            </w:pPr>
            <w:hyperlink w:anchor="page54">
              <w:r>
                <w:rPr>
                  <w:rFonts w:ascii="Arial" w:cs="Arial" w:eastAsia="Arial" w:hAnsi="Arial"/>
                  <w:sz w:val="17"/>
                  <w:szCs w:val="17"/>
                  <w:color w:val="0000EE"/>
                  <w:w w:val="92"/>
                </w:rPr>
                <w:t>Item 6.</w:t>
              </w:r>
            </w:hyperlink>
          </w:p>
        </w:tc>
        <w:tc>
          <w:tcPr>
            <w:tcW w:w="660" w:type="dxa"/>
            <w:vAlign w:val="bottom"/>
            <w:gridSpan w:val="3"/>
          </w:tcPr>
          <w:p>
            <w:pPr>
              <w:spacing w:after="0"/>
              <w:rPr>
                <w:sz w:val="24"/>
                <w:szCs w:val="24"/>
                <w:color w:val="auto"/>
              </w:rPr>
            </w:pPr>
          </w:p>
        </w:tc>
        <w:tc>
          <w:tcPr>
            <w:tcW w:w="1180" w:type="dxa"/>
            <w:vAlign w:val="bottom"/>
            <w:gridSpan w:val="3"/>
          </w:tcPr>
          <w:p>
            <w:pPr>
              <w:spacing w:after="0"/>
              <w:rPr>
                <w:rFonts w:ascii="Arial" w:cs="Arial" w:eastAsia="Arial" w:hAnsi="Arial"/>
                <w:sz w:val="17"/>
                <w:szCs w:val="17"/>
                <w:color w:val="0000EE"/>
              </w:rPr>
            </w:pPr>
            <w:hyperlink w:anchor="page54">
              <w:r>
                <w:rPr>
                  <w:rFonts w:ascii="Arial" w:cs="Arial" w:eastAsia="Arial" w:hAnsi="Arial"/>
                  <w:sz w:val="17"/>
                  <w:szCs w:val="17"/>
                  <w:color w:val="0000EE"/>
                </w:rPr>
                <w:t>Exhibits</w:t>
              </w:r>
            </w:hyperlink>
          </w:p>
        </w:tc>
        <w:tc>
          <w:tcPr>
            <w:tcW w:w="5380" w:type="dxa"/>
            <w:vAlign w:val="bottom"/>
            <w:gridSpan w:val="11"/>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5"/>
                <w:szCs w:val="15"/>
                <w:color w:val="0000EE"/>
                <w:w w:val="71"/>
              </w:rPr>
            </w:pPr>
            <w:hyperlink w:anchor="page54">
              <w:r>
                <w:rPr>
                  <w:rFonts w:ascii="Arial" w:cs="Arial" w:eastAsia="Arial" w:hAnsi="Arial"/>
                  <w:sz w:val="15"/>
                  <w:szCs w:val="15"/>
                  <w:color w:val="0000EE"/>
                  <w:w w:val="71"/>
                </w:rPr>
                <w:t>53</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60" w:type="dxa"/>
            <w:vAlign w:val="bottom"/>
            <w:gridSpan w:val="3"/>
          </w:tcPr>
          <w:p>
            <w:pPr>
              <w:spacing w:after="0"/>
              <w:rPr>
                <w:rFonts w:ascii="Arial" w:cs="Arial" w:eastAsia="Arial" w:hAnsi="Arial"/>
                <w:sz w:val="17"/>
                <w:szCs w:val="17"/>
                <w:color w:val="0000EE"/>
                <w:w w:val="94"/>
              </w:rPr>
            </w:pPr>
            <w:hyperlink w:anchor="page55">
              <w:r>
                <w:rPr>
                  <w:rFonts w:ascii="Arial" w:cs="Arial" w:eastAsia="Arial" w:hAnsi="Arial"/>
                  <w:sz w:val="17"/>
                  <w:szCs w:val="17"/>
                  <w:color w:val="0000EE"/>
                  <w:w w:val="94"/>
                </w:rPr>
                <w:t>SIGNATURES</w:t>
              </w:r>
            </w:hyperlink>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20" w:type="dxa"/>
            <w:vAlign w:val="bottom"/>
            <w:gridSpan w:val="2"/>
          </w:tcPr>
          <w:p>
            <w:pPr>
              <w:jc w:val="center"/>
              <w:ind w:right="300"/>
              <w:spacing w:after="0"/>
              <w:rPr>
                <w:rFonts w:ascii="Arial" w:cs="Arial" w:eastAsia="Arial" w:hAnsi="Arial"/>
                <w:sz w:val="15"/>
                <w:szCs w:val="15"/>
                <w:color w:val="0000EE"/>
                <w:w w:val="71"/>
              </w:rPr>
            </w:pPr>
            <w:hyperlink w:anchor="page55">
              <w:r>
                <w:rPr>
                  <w:rFonts w:ascii="Arial" w:cs="Arial" w:eastAsia="Arial" w:hAnsi="Arial"/>
                  <w:sz w:val="15"/>
                  <w:szCs w:val="15"/>
                  <w:color w:val="0000EE"/>
                  <w:w w:val="71"/>
                </w:rPr>
                <w:t>54</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180"/>
          </w:cols>
          <w:pgMar w:left="240" w:top="106" w:right="47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CONDENSED CONSOLIDATED FINANCIAL STATEMENTS AND NOTES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 (Unaudited) (In thousands)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2018</w:t>
            </w:r>
          </w:p>
        </w:tc>
        <w:tc>
          <w:tcPr>
            <w:tcW w:w="200" w:type="dxa"/>
            <w:vAlign w:val="bottom"/>
          </w:tcPr>
          <w:p>
            <w:pPr>
              <w:spacing w:after="0"/>
              <w:rPr>
                <w:sz w:val="14"/>
                <w:szCs w:val="14"/>
                <w:color w:val="auto"/>
              </w:rPr>
            </w:pPr>
          </w:p>
        </w:tc>
        <w:tc>
          <w:tcPr>
            <w:tcW w:w="1500" w:type="dxa"/>
            <w:vAlign w:val="bottom"/>
          </w:tcPr>
          <w:p>
            <w:pPr>
              <w:jc w:val="right"/>
              <w:ind w:right="225"/>
              <w:spacing w:after="0"/>
              <w:rPr>
                <w:sz w:val="20"/>
                <w:szCs w:val="20"/>
                <w:color w:val="auto"/>
              </w:rPr>
            </w:pPr>
            <w:r>
              <w:rPr>
                <w:rFonts w:ascii="Arial" w:cs="Arial" w:eastAsia="Arial" w:hAnsi="Arial"/>
                <w:sz w:val="13"/>
                <w:szCs w:val="13"/>
                <w:b w:val="1"/>
                <w:bCs w:val="1"/>
                <w:color w:val="auto"/>
              </w:rPr>
              <w:t>December 31, 2017</w:t>
            </w:r>
          </w:p>
        </w:tc>
        <w:tc>
          <w:tcPr>
            <w:tcW w:w="0" w:type="dxa"/>
            <w:vAlign w:val="bottom"/>
          </w:tcPr>
          <w:p>
            <w:pPr>
              <w:spacing w:after="0"/>
              <w:rPr>
                <w:sz w:val="1"/>
                <w:szCs w:val="1"/>
                <w:color w:val="auto"/>
              </w:rPr>
            </w:pPr>
          </w:p>
        </w:tc>
      </w:tr>
      <w:tr>
        <w:trPr>
          <w:trHeight w:val="47"/>
        </w:trPr>
        <w:tc>
          <w:tcPr>
            <w:tcW w:w="7880" w:type="dxa"/>
            <w:vAlign w:val="bottom"/>
            <w:vMerge w:val="restart"/>
          </w:tcPr>
          <w:p>
            <w:pPr>
              <w:ind w:left="5440"/>
              <w:spacing w:after="0"/>
              <w:rPr>
                <w:sz w:val="20"/>
                <w:szCs w:val="20"/>
                <w:color w:val="auto"/>
              </w:rPr>
            </w:pPr>
            <w:r>
              <w:rPr>
                <w:rFonts w:ascii="Arial" w:cs="Arial" w:eastAsia="Arial" w:hAnsi="Arial"/>
                <w:sz w:val="15"/>
                <w:szCs w:val="15"/>
                <w:b w:val="1"/>
                <w:bCs w:val="1"/>
                <w:color w:val="auto"/>
              </w:rPr>
              <w:t>ASSETS</w:t>
            </w:r>
          </w:p>
        </w:tc>
        <w:tc>
          <w:tcPr>
            <w:tcW w:w="2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8"/>
        </w:trPr>
        <w:tc>
          <w:tcPr>
            <w:tcW w:w="7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7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Cash and cash equivalents</w:t>
            </w:r>
          </w:p>
        </w:tc>
        <w:tc>
          <w:tcPr>
            <w:tcW w:w="2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222,438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156,299</w:t>
            </w:r>
          </w:p>
        </w:tc>
        <w:tc>
          <w:tcPr>
            <w:tcW w:w="0" w:type="dxa"/>
            <w:vAlign w:val="bottom"/>
          </w:tcPr>
          <w:p>
            <w:pPr>
              <w:spacing w:after="0"/>
              <w:rPr>
                <w:sz w:val="1"/>
                <w:szCs w:val="1"/>
                <w:color w:val="auto"/>
              </w:rPr>
            </w:pPr>
          </w:p>
        </w:tc>
      </w:tr>
      <w:tr>
        <w:trPr>
          <w:trHeight w:val="218"/>
        </w:trPr>
        <w:tc>
          <w:tcPr>
            <w:tcW w:w="7880" w:type="dxa"/>
            <w:vAlign w:val="bottom"/>
          </w:tcPr>
          <w:p>
            <w:pPr>
              <w:ind w:left="240"/>
              <w:spacing w:after="0"/>
              <w:rPr>
                <w:sz w:val="20"/>
                <w:szCs w:val="20"/>
                <w:color w:val="auto"/>
              </w:rPr>
            </w:pPr>
            <w:r>
              <w:rPr>
                <w:rFonts w:ascii="Arial" w:cs="Arial" w:eastAsia="Arial" w:hAnsi="Arial"/>
                <w:sz w:val="15"/>
                <w:szCs w:val="15"/>
                <w:color w:val="auto"/>
              </w:rPr>
              <w:t>Restricted cash**</w:t>
            </w:r>
          </w:p>
        </w:tc>
        <w:tc>
          <w:tcPr>
            <w:tcW w:w="220" w:type="dxa"/>
            <w:vAlign w:val="bottom"/>
          </w:tcPr>
          <w:p>
            <w:pPr>
              <w:spacing w:after="0"/>
              <w:rPr>
                <w:sz w:val="18"/>
                <w:szCs w:val="18"/>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4,377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89,826</w:t>
            </w:r>
          </w:p>
        </w:tc>
        <w:tc>
          <w:tcPr>
            <w:tcW w:w="0" w:type="dxa"/>
            <w:vAlign w:val="bottom"/>
          </w:tcPr>
          <w:p>
            <w:pPr>
              <w:spacing w:after="0"/>
              <w:rPr>
                <w:sz w:val="1"/>
                <w:szCs w:val="1"/>
                <w:color w:val="auto"/>
              </w:rPr>
            </w:pPr>
          </w:p>
        </w:tc>
      </w:tr>
      <w:tr>
        <w:trPr>
          <w:trHeight w:val="31"/>
        </w:trPr>
        <w:tc>
          <w:tcPr>
            <w:tcW w:w="7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Marketable securities, current</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6,989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3,111</w:t>
            </w:r>
          </w:p>
        </w:tc>
        <w:tc>
          <w:tcPr>
            <w:tcW w:w="0" w:type="dxa"/>
            <w:vAlign w:val="bottom"/>
          </w:tcPr>
          <w:p>
            <w:pPr>
              <w:spacing w:after="0"/>
              <w:rPr>
                <w:sz w:val="1"/>
                <w:szCs w:val="1"/>
                <w:color w:val="auto"/>
              </w:rPr>
            </w:pPr>
          </w:p>
        </w:tc>
      </w:tr>
      <w:tr>
        <w:trPr>
          <w:trHeight w:val="218"/>
        </w:trPr>
        <w:tc>
          <w:tcPr>
            <w:tcW w:w="7880" w:type="dxa"/>
            <w:vAlign w:val="bottom"/>
          </w:tcPr>
          <w:p>
            <w:pPr>
              <w:ind w:left="240"/>
              <w:spacing w:after="0"/>
              <w:rPr>
                <w:sz w:val="20"/>
                <w:szCs w:val="20"/>
                <w:color w:val="auto"/>
              </w:rPr>
            </w:pPr>
            <w:r>
              <w:rPr>
                <w:rFonts w:ascii="Arial" w:cs="Arial" w:eastAsia="Arial" w:hAnsi="Arial"/>
                <w:sz w:val="15"/>
                <w:szCs w:val="15"/>
                <w:color w:val="auto"/>
                <w:w w:val="93"/>
              </w:rPr>
              <w:t>Accounts receivable, net of allowances of $3,492 and $3,107 at September 30, 2018 and December 31, 2017, respectively</w:t>
            </w:r>
          </w:p>
        </w:tc>
        <w:tc>
          <w:tcPr>
            <w:tcW w:w="220" w:type="dxa"/>
            <w:vAlign w:val="bottom"/>
          </w:tcPr>
          <w:p>
            <w:pPr>
              <w:spacing w:after="0"/>
              <w:rPr>
                <w:sz w:val="18"/>
                <w:szCs w:val="18"/>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52,617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78,186</w:t>
            </w:r>
          </w:p>
        </w:tc>
        <w:tc>
          <w:tcPr>
            <w:tcW w:w="0" w:type="dxa"/>
            <w:vAlign w:val="bottom"/>
          </w:tcPr>
          <w:p>
            <w:pPr>
              <w:spacing w:after="0"/>
              <w:rPr>
                <w:sz w:val="1"/>
                <w:szCs w:val="1"/>
                <w:color w:val="auto"/>
              </w:rPr>
            </w:pPr>
          </w:p>
        </w:tc>
      </w:tr>
      <w:tr>
        <w:trPr>
          <w:trHeight w:val="31"/>
        </w:trPr>
        <w:tc>
          <w:tcPr>
            <w:tcW w:w="7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Prepaid expenses</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46,922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33,957</w:t>
            </w:r>
          </w:p>
        </w:tc>
        <w:tc>
          <w:tcPr>
            <w:tcW w:w="0" w:type="dxa"/>
            <w:vAlign w:val="bottom"/>
          </w:tcPr>
          <w:p>
            <w:pPr>
              <w:spacing w:after="0"/>
              <w:rPr>
                <w:sz w:val="1"/>
                <w:szCs w:val="1"/>
                <w:color w:val="auto"/>
              </w:rPr>
            </w:pPr>
          </w:p>
        </w:tc>
      </w:tr>
      <w:tr>
        <w:trPr>
          <w:trHeight w:val="206"/>
        </w:trPr>
        <w:tc>
          <w:tcPr>
            <w:tcW w:w="7880" w:type="dxa"/>
            <w:vAlign w:val="bottom"/>
          </w:tcPr>
          <w:p>
            <w:pPr>
              <w:ind w:left="240"/>
              <w:spacing w:after="0"/>
              <w:rPr>
                <w:sz w:val="20"/>
                <w:szCs w:val="20"/>
                <w:color w:val="auto"/>
              </w:rPr>
            </w:pPr>
            <w:r>
              <w:rPr>
                <w:rFonts w:ascii="Arial" w:cs="Arial" w:eastAsia="Arial" w:hAnsi="Arial"/>
                <w:sz w:val="15"/>
                <w:szCs w:val="15"/>
                <w:color w:val="auto"/>
              </w:rPr>
              <w:t>Other current assets</w:t>
            </w:r>
          </w:p>
        </w:tc>
        <w:tc>
          <w:tcPr>
            <w:tcW w:w="22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14,115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9,600</w:t>
            </w:r>
          </w:p>
        </w:tc>
        <w:tc>
          <w:tcPr>
            <w:tcW w:w="0" w:type="dxa"/>
            <w:vAlign w:val="bottom"/>
          </w:tcPr>
          <w:p>
            <w:pPr>
              <w:spacing w:after="0"/>
              <w:rPr>
                <w:sz w:val="1"/>
                <w:szCs w:val="1"/>
                <w:color w:val="auto"/>
              </w:rPr>
            </w:pPr>
          </w:p>
        </w:tc>
      </w:tr>
      <w:tr>
        <w:trPr>
          <w:trHeight w:val="43"/>
        </w:trPr>
        <w:tc>
          <w:tcPr>
            <w:tcW w:w="78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current assets</w:t>
            </w:r>
          </w:p>
        </w:tc>
        <w:tc>
          <w:tcPr>
            <w:tcW w:w="2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347,458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370,979</w:t>
            </w:r>
          </w:p>
        </w:tc>
        <w:tc>
          <w:tcPr>
            <w:tcW w:w="0" w:type="dxa"/>
            <w:vAlign w:val="bottom"/>
          </w:tcPr>
          <w:p>
            <w:pPr>
              <w:spacing w:after="0"/>
              <w:rPr>
                <w:sz w:val="1"/>
                <w:szCs w:val="1"/>
                <w:color w:val="auto"/>
              </w:rPr>
            </w:pPr>
          </w:p>
        </w:tc>
      </w:tr>
      <w:tr>
        <w:trPr>
          <w:trHeight w:val="206"/>
        </w:trPr>
        <w:tc>
          <w:tcPr>
            <w:tcW w:w="7880" w:type="dxa"/>
            <w:vAlign w:val="bottom"/>
          </w:tcPr>
          <w:p>
            <w:pPr>
              <w:ind w:left="240"/>
              <w:spacing w:after="0"/>
              <w:rPr>
                <w:sz w:val="20"/>
                <w:szCs w:val="20"/>
                <w:color w:val="auto"/>
              </w:rPr>
            </w:pPr>
            <w:r>
              <w:rPr>
                <w:rFonts w:ascii="Arial" w:cs="Arial" w:eastAsia="Arial" w:hAnsi="Arial"/>
                <w:sz w:val="15"/>
                <w:szCs w:val="15"/>
                <w:color w:val="auto"/>
              </w:rPr>
              <w:t>Marketable securities, non-current</w:t>
            </w:r>
          </w:p>
        </w:tc>
        <w:tc>
          <w:tcPr>
            <w:tcW w:w="22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8,716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3"/>
        </w:trPr>
        <w:tc>
          <w:tcPr>
            <w:tcW w:w="7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Property and equipment, net</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80,519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111,825</w:t>
            </w:r>
          </w:p>
        </w:tc>
        <w:tc>
          <w:tcPr>
            <w:tcW w:w="0" w:type="dxa"/>
            <w:vAlign w:val="bottom"/>
          </w:tcPr>
          <w:p>
            <w:pPr>
              <w:spacing w:after="0"/>
              <w:rPr>
                <w:sz w:val="1"/>
                <w:szCs w:val="1"/>
                <w:color w:val="auto"/>
              </w:rPr>
            </w:pPr>
          </w:p>
        </w:tc>
      </w:tr>
      <w:tr>
        <w:trPr>
          <w:trHeight w:val="206"/>
        </w:trPr>
        <w:tc>
          <w:tcPr>
            <w:tcW w:w="7880" w:type="dxa"/>
            <w:vAlign w:val="bottom"/>
          </w:tcPr>
          <w:p>
            <w:pPr>
              <w:ind w:left="240"/>
              <w:spacing w:after="0"/>
              <w:rPr>
                <w:sz w:val="20"/>
                <w:szCs w:val="20"/>
                <w:color w:val="auto"/>
              </w:rPr>
            </w:pPr>
            <w:r>
              <w:rPr>
                <w:rFonts w:ascii="Arial" w:cs="Arial" w:eastAsia="Arial" w:hAnsi="Arial"/>
                <w:sz w:val="15"/>
                <w:szCs w:val="15"/>
                <w:color w:val="auto"/>
              </w:rPr>
              <w:t>Goodwill</w:t>
            </w:r>
          </w:p>
        </w:tc>
        <w:tc>
          <w:tcPr>
            <w:tcW w:w="22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234,480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237,303</w:t>
            </w:r>
          </w:p>
        </w:tc>
        <w:tc>
          <w:tcPr>
            <w:tcW w:w="0" w:type="dxa"/>
            <w:vAlign w:val="bottom"/>
          </w:tcPr>
          <w:p>
            <w:pPr>
              <w:spacing w:after="0"/>
              <w:rPr>
                <w:sz w:val="1"/>
                <w:szCs w:val="1"/>
                <w:color w:val="auto"/>
              </w:rPr>
            </w:pPr>
          </w:p>
        </w:tc>
      </w:tr>
      <w:tr>
        <w:trPr>
          <w:trHeight w:val="43"/>
        </w:trPr>
        <w:tc>
          <w:tcPr>
            <w:tcW w:w="7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Intangible assets, net</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117,448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132,167</w:t>
            </w:r>
          </w:p>
        </w:tc>
        <w:tc>
          <w:tcPr>
            <w:tcW w:w="0" w:type="dxa"/>
            <w:vAlign w:val="bottom"/>
          </w:tcPr>
          <w:p>
            <w:pPr>
              <w:spacing w:after="0"/>
              <w:rPr>
                <w:sz w:val="1"/>
                <w:szCs w:val="1"/>
                <w:color w:val="auto"/>
              </w:rPr>
            </w:pPr>
          </w:p>
        </w:tc>
      </w:tr>
      <w:tr>
        <w:trPr>
          <w:trHeight w:val="206"/>
        </w:trPr>
        <w:tc>
          <w:tcPr>
            <w:tcW w:w="7880" w:type="dxa"/>
            <w:vAlign w:val="bottom"/>
          </w:tcPr>
          <w:p>
            <w:pPr>
              <w:ind w:left="240"/>
              <w:spacing w:after="0"/>
              <w:rPr>
                <w:sz w:val="20"/>
                <w:szCs w:val="20"/>
                <w:color w:val="auto"/>
              </w:rPr>
            </w:pPr>
            <w:r>
              <w:rPr>
                <w:rFonts w:ascii="Arial" w:cs="Arial" w:eastAsia="Arial" w:hAnsi="Arial"/>
                <w:sz w:val="15"/>
                <w:szCs w:val="15"/>
                <w:color w:val="auto"/>
              </w:rPr>
              <w:t>Other assets</w:t>
            </w:r>
          </w:p>
        </w:tc>
        <w:tc>
          <w:tcPr>
            <w:tcW w:w="22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8,940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5,236</w:t>
            </w:r>
          </w:p>
        </w:tc>
        <w:tc>
          <w:tcPr>
            <w:tcW w:w="0" w:type="dxa"/>
            <w:vAlign w:val="bottom"/>
          </w:tcPr>
          <w:p>
            <w:pPr>
              <w:spacing w:after="0"/>
              <w:rPr>
                <w:sz w:val="1"/>
                <w:szCs w:val="1"/>
                <w:color w:val="auto"/>
              </w:rPr>
            </w:pPr>
          </w:p>
        </w:tc>
      </w:tr>
      <w:tr>
        <w:trPr>
          <w:trHeight w:val="43"/>
        </w:trPr>
        <w:tc>
          <w:tcPr>
            <w:tcW w:w="7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Note receivable from related party**</w:t>
            </w:r>
          </w:p>
        </w:tc>
        <w:tc>
          <w:tcPr>
            <w:tcW w:w="2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66,089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73,984</w:t>
            </w:r>
          </w:p>
        </w:tc>
        <w:tc>
          <w:tcPr>
            <w:tcW w:w="0" w:type="dxa"/>
            <w:vAlign w:val="bottom"/>
          </w:tcPr>
          <w:p>
            <w:pPr>
              <w:spacing w:after="0"/>
              <w:rPr>
                <w:sz w:val="1"/>
                <w:szCs w:val="1"/>
                <w:color w:val="auto"/>
              </w:rPr>
            </w:pPr>
          </w:p>
        </w:tc>
      </w:tr>
      <w:tr>
        <w:trPr>
          <w:trHeight w:val="218"/>
        </w:trPr>
        <w:tc>
          <w:tcPr>
            <w:tcW w:w="7880" w:type="dxa"/>
            <w:vAlign w:val="bottom"/>
          </w:tcPr>
          <w:p>
            <w:pPr>
              <w:ind w:left="240"/>
              <w:spacing w:after="0"/>
              <w:rPr>
                <w:sz w:val="20"/>
                <w:szCs w:val="20"/>
                <w:color w:val="auto"/>
              </w:rPr>
            </w:pPr>
            <w:r>
              <w:rPr>
                <w:rFonts w:ascii="Arial" w:cs="Arial" w:eastAsia="Arial" w:hAnsi="Arial"/>
                <w:sz w:val="15"/>
                <w:szCs w:val="15"/>
                <w:color w:val="auto"/>
              </w:rPr>
              <w:t>Equity method investment</w:t>
            </w:r>
          </w:p>
        </w:tc>
        <w:tc>
          <w:tcPr>
            <w:tcW w:w="220" w:type="dxa"/>
            <w:vAlign w:val="bottom"/>
          </w:tcPr>
          <w:p>
            <w:pPr>
              <w:spacing w:after="0"/>
              <w:rPr>
                <w:sz w:val="18"/>
                <w:szCs w:val="18"/>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30,694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33,917</w:t>
            </w:r>
          </w:p>
        </w:tc>
        <w:tc>
          <w:tcPr>
            <w:tcW w:w="0" w:type="dxa"/>
            <w:vAlign w:val="bottom"/>
          </w:tcPr>
          <w:p>
            <w:pPr>
              <w:spacing w:after="0"/>
              <w:rPr>
                <w:sz w:val="1"/>
                <w:szCs w:val="1"/>
                <w:color w:val="auto"/>
              </w:rPr>
            </w:pPr>
          </w:p>
        </w:tc>
      </w:tr>
      <w:tr>
        <w:trPr>
          <w:trHeight w:val="31"/>
        </w:trPr>
        <w:tc>
          <w:tcPr>
            <w:tcW w:w="7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2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894,344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965,411</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880" w:type="dxa"/>
            <w:vAlign w:val="bottom"/>
            <w:tcBorders>
              <w:bottom w:val="single" w:sz="8" w:color="CCEEFF"/>
            </w:tcBorders>
            <w:shd w:val="clear" w:color="auto" w:fill="CCEEFF"/>
          </w:tcPr>
          <w:p>
            <w:pPr>
              <w:ind w:left="4080"/>
              <w:spacing w:after="0"/>
              <w:rPr>
                <w:sz w:val="20"/>
                <w:szCs w:val="20"/>
                <w:color w:val="auto"/>
              </w:rPr>
            </w:pPr>
            <w:r>
              <w:rPr>
                <w:rFonts w:ascii="Arial" w:cs="Arial" w:eastAsia="Arial" w:hAnsi="Arial"/>
                <w:sz w:val="15"/>
                <w:szCs w:val="15"/>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88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7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Accounts payable</w:t>
            </w:r>
          </w:p>
        </w:tc>
        <w:tc>
          <w:tcPr>
            <w:tcW w:w="2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14,300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5,959</w:t>
            </w:r>
          </w:p>
        </w:tc>
        <w:tc>
          <w:tcPr>
            <w:tcW w:w="0" w:type="dxa"/>
            <w:vAlign w:val="bottom"/>
          </w:tcPr>
          <w:p>
            <w:pPr>
              <w:spacing w:after="0"/>
              <w:rPr>
                <w:sz w:val="1"/>
                <w:szCs w:val="1"/>
                <w:color w:val="auto"/>
              </w:rPr>
            </w:pPr>
          </w:p>
        </w:tc>
      </w:tr>
      <w:tr>
        <w:trPr>
          <w:trHeight w:val="206"/>
        </w:trPr>
        <w:tc>
          <w:tcPr>
            <w:tcW w:w="7880" w:type="dxa"/>
            <w:vAlign w:val="bottom"/>
          </w:tcPr>
          <w:p>
            <w:pPr>
              <w:ind w:left="240"/>
              <w:spacing w:after="0"/>
              <w:rPr>
                <w:sz w:val="20"/>
                <w:szCs w:val="20"/>
                <w:color w:val="auto"/>
              </w:rPr>
            </w:pPr>
            <w:r>
              <w:rPr>
                <w:rFonts w:ascii="Arial" w:cs="Arial" w:eastAsia="Arial" w:hAnsi="Arial"/>
                <w:sz w:val="15"/>
                <w:szCs w:val="15"/>
                <w:color w:val="auto"/>
              </w:rPr>
              <w:t>Accrued expenses</w:t>
            </w:r>
          </w:p>
        </w:tc>
        <w:tc>
          <w:tcPr>
            <w:tcW w:w="22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53,794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72,739</w:t>
            </w:r>
          </w:p>
        </w:tc>
        <w:tc>
          <w:tcPr>
            <w:tcW w:w="0" w:type="dxa"/>
            <w:vAlign w:val="bottom"/>
          </w:tcPr>
          <w:p>
            <w:pPr>
              <w:spacing w:after="0"/>
              <w:rPr>
                <w:sz w:val="1"/>
                <w:szCs w:val="1"/>
                <w:color w:val="auto"/>
              </w:rPr>
            </w:pPr>
          </w:p>
        </w:tc>
      </w:tr>
      <w:tr>
        <w:trPr>
          <w:trHeight w:val="43"/>
        </w:trPr>
        <w:tc>
          <w:tcPr>
            <w:tcW w:w="7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Deferred revenues, current</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54,046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75,829</w:t>
            </w:r>
          </w:p>
        </w:tc>
        <w:tc>
          <w:tcPr>
            <w:tcW w:w="0" w:type="dxa"/>
            <w:vAlign w:val="bottom"/>
          </w:tcPr>
          <w:p>
            <w:pPr>
              <w:spacing w:after="0"/>
              <w:rPr>
                <w:sz w:val="1"/>
                <w:szCs w:val="1"/>
                <w:color w:val="auto"/>
              </w:rPr>
            </w:pPr>
          </w:p>
        </w:tc>
      </w:tr>
      <w:tr>
        <w:trPr>
          <w:trHeight w:val="206"/>
        </w:trPr>
        <w:tc>
          <w:tcPr>
            <w:tcW w:w="7880" w:type="dxa"/>
            <w:vAlign w:val="bottom"/>
          </w:tcPr>
          <w:p>
            <w:pPr>
              <w:ind w:left="240"/>
              <w:spacing w:after="0"/>
              <w:rPr>
                <w:sz w:val="20"/>
                <w:szCs w:val="20"/>
                <w:color w:val="auto"/>
              </w:rPr>
            </w:pPr>
            <w:r>
              <w:rPr>
                <w:rFonts w:ascii="Arial" w:cs="Arial" w:eastAsia="Arial" w:hAnsi="Arial"/>
                <w:sz w:val="15"/>
                <w:szCs w:val="15"/>
                <w:color w:val="auto"/>
              </w:rPr>
              <w:t>Short-term debt</w:t>
            </w:r>
          </w:p>
        </w:tc>
        <w:tc>
          <w:tcPr>
            <w:tcW w:w="22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228,764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3"/>
        </w:trPr>
        <w:tc>
          <w:tcPr>
            <w:tcW w:w="7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Mandatorily redeemable financial instrument</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37,959</w:t>
            </w:r>
          </w:p>
        </w:tc>
        <w:tc>
          <w:tcPr>
            <w:tcW w:w="0" w:type="dxa"/>
            <w:vAlign w:val="bottom"/>
          </w:tcPr>
          <w:p>
            <w:pPr>
              <w:spacing w:after="0"/>
              <w:rPr>
                <w:sz w:val="1"/>
                <w:szCs w:val="1"/>
                <w:color w:val="auto"/>
              </w:rPr>
            </w:pPr>
          </w:p>
        </w:tc>
      </w:tr>
      <w:tr>
        <w:trPr>
          <w:trHeight w:val="198"/>
        </w:trPr>
        <w:tc>
          <w:tcPr>
            <w:tcW w:w="7880" w:type="dxa"/>
            <w:vAlign w:val="bottom"/>
          </w:tcPr>
          <w:p>
            <w:pPr>
              <w:ind w:left="20"/>
              <w:spacing w:after="0"/>
              <w:rPr>
                <w:sz w:val="20"/>
                <w:szCs w:val="20"/>
                <w:color w:val="auto"/>
              </w:rPr>
            </w:pPr>
            <w:r>
              <w:rPr>
                <w:rFonts w:ascii="Arial" w:cs="Arial" w:eastAsia="Arial" w:hAnsi="Arial"/>
                <w:sz w:val="15"/>
                <w:szCs w:val="15"/>
                <w:color w:val="auto"/>
              </w:rPr>
              <w:t>Total current liabilities</w:t>
            </w: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350,904</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192,486</w:t>
            </w:r>
          </w:p>
        </w:tc>
        <w:tc>
          <w:tcPr>
            <w:tcW w:w="0" w:type="dxa"/>
            <w:vAlign w:val="bottom"/>
          </w:tcPr>
          <w:p>
            <w:pPr>
              <w:spacing w:after="0"/>
              <w:rPr>
                <w:sz w:val="1"/>
                <w:szCs w:val="1"/>
                <w:color w:val="auto"/>
              </w:rPr>
            </w:pPr>
          </w:p>
        </w:tc>
      </w:tr>
      <w:tr>
        <w:trPr>
          <w:trHeight w:val="31"/>
        </w:trPr>
        <w:tc>
          <w:tcPr>
            <w:tcW w:w="7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Lease financing obligation</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10,006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11,183</w:t>
            </w:r>
          </w:p>
        </w:tc>
        <w:tc>
          <w:tcPr>
            <w:tcW w:w="0" w:type="dxa"/>
            <w:vAlign w:val="bottom"/>
          </w:tcPr>
          <w:p>
            <w:pPr>
              <w:spacing w:after="0"/>
              <w:rPr>
                <w:sz w:val="1"/>
                <w:szCs w:val="1"/>
                <w:color w:val="auto"/>
              </w:rPr>
            </w:pPr>
          </w:p>
        </w:tc>
      </w:tr>
      <w:tr>
        <w:trPr>
          <w:trHeight w:val="206"/>
        </w:trPr>
        <w:tc>
          <w:tcPr>
            <w:tcW w:w="7880" w:type="dxa"/>
            <w:vAlign w:val="bottom"/>
          </w:tcPr>
          <w:p>
            <w:pPr>
              <w:ind w:left="240"/>
              <w:spacing w:after="0"/>
              <w:rPr>
                <w:sz w:val="20"/>
                <w:szCs w:val="20"/>
                <w:color w:val="auto"/>
              </w:rPr>
            </w:pPr>
            <w:r>
              <w:rPr>
                <w:rFonts w:ascii="Arial" w:cs="Arial" w:eastAsia="Arial" w:hAnsi="Arial"/>
                <w:sz w:val="15"/>
                <w:szCs w:val="15"/>
                <w:color w:val="auto"/>
              </w:rPr>
              <w:t>Convertible debt, net of debt issuance costs</w:t>
            </w:r>
          </w:p>
        </w:tc>
        <w:tc>
          <w:tcPr>
            <w:tcW w:w="22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227,704</w:t>
            </w:r>
          </w:p>
        </w:tc>
        <w:tc>
          <w:tcPr>
            <w:tcW w:w="0" w:type="dxa"/>
            <w:vAlign w:val="bottom"/>
          </w:tcPr>
          <w:p>
            <w:pPr>
              <w:spacing w:after="0"/>
              <w:rPr>
                <w:sz w:val="1"/>
                <w:szCs w:val="1"/>
                <w:color w:val="auto"/>
              </w:rPr>
            </w:pPr>
          </w:p>
        </w:tc>
      </w:tr>
      <w:tr>
        <w:trPr>
          <w:trHeight w:val="43"/>
        </w:trPr>
        <w:tc>
          <w:tcPr>
            <w:tcW w:w="7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Deferred tax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12,109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13,735</w:t>
            </w:r>
          </w:p>
        </w:tc>
        <w:tc>
          <w:tcPr>
            <w:tcW w:w="0" w:type="dxa"/>
            <w:vAlign w:val="bottom"/>
          </w:tcPr>
          <w:p>
            <w:pPr>
              <w:spacing w:after="0"/>
              <w:rPr>
                <w:sz w:val="1"/>
                <w:szCs w:val="1"/>
                <w:color w:val="auto"/>
              </w:rPr>
            </w:pPr>
          </w:p>
        </w:tc>
      </w:tr>
      <w:tr>
        <w:trPr>
          <w:trHeight w:val="206"/>
        </w:trPr>
        <w:tc>
          <w:tcPr>
            <w:tcW w:w="7880" w:type="dxa"/>
            <w:vAlign w:val="bottom"/>
          </w:tcPr>
          <w:p>
            <w:pPr>
              <w:ind w:left="240"/>
              <w:spacing w:after="0"/>
              <w:rPr>
                <w:sz w:val="20"/>
                <w:szCs w:val="20"/>
                <w:color w:val="auto"/>
              </w:rPr>
            </w:pPr>
            <w:r>
              <w:rPr>
                <w:rFonts w:ascii="Arial" w:cs="Arial" w:eastAsia="Arial" w:hAnsi="Arial"/>
                <w:sz w:val="15"/>
                <w:szCs w:val="15"/>
                <w:color w:val="auto"/>
              </w:rPr>
              <w:t>Deferred revenues, non-current</w:t>
            </w:r>
          </w:p>
        </w:tc>
        <w:tc>
          <w:tcPr>
            <w:tcW w:w="22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29,815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25,241</w:t>
            </w:r>
          </w:p>
        </w:tc>
        <w:tc>
          <w:tcPr>
            <w:tcW w:w="0" w:type="dxa"/>
            <w:vAlign w:val="bottom"/>
          </w:tcPr>
          <w:p>
            <w:pPr>
              <w:spacing w:after="0"/>
              <w:rPr>
                <w:sz w:val="1"/>
                <w:szCs w:val="1"/>
                <w:color w:val="auto"/>
              </w:rPr>
            </w:pPr>
          </w:p>
        </w:tc>
      </w:tr>
      <w:tr>
        <w:trPr>
          <w:trHeight w:val="43"/>
        </w:trPr>
        <w:tc>
          <w:tcPr>
            <w:tcW w:w="7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Other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11,329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6,195</w:t>
            </w: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5"/>
                <w:szCs w:val="15"/>
                <w:color w:val="auto"/>
              </w:rPr>
              <w:t>Commitments and contingencies (Note 12)</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Redeemable noncontrolling interest</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12,500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25,280</w:t>
            </w:r>
          </w:p>
        </w:tc>
        <w:tc>
          <w:tcPr>
            <w:tcW w:w="0" w:type="dxa"/>
            <w:vAlign w:val="bottom"/>
          </w:tcPr>
          <w:p>
            <w:pPr>
              <w:spacing w:after="0"/>
              <w:rPr>
                <w:sz w:val="1"/>
                <w:szCs w:val="1"/>
                <w:color w:val="auto"/>
              </w:rPr>
            </w:pPr>
          </w:p>
        </w:tc>
      </w:tr>
      <w:tr>
        <w:trPr>
          <w:trHeight w:val="204"/>
        </w:trPr>
        <w:tc>
          <w:tcPr>
            <w:tcW w:w="7880" w:type="dxa"/>
            <w:vAlign w:val="bottom"/>
          </w:tcPr>
          <w:p>
            <w:pPr>
              <w:ind w:left="240"/>
              <w:spacing w:after="0"/>
              <w:rPr>
                <w:sz w:val="20"/>
                <w:szCs w:val="20"/>
                <w:color w:val="auto"/>
              </w:rPr>
            </w:pPr>
            <w:r>
              <w:rPr>
                <w:rFonts w:ascii="Arial" w:cs="Arial" w:eastAsia="Arial" w:hAnsi="Arial"/>
                <w:sz w:val="15"/>
                <w:szCs w:val="15"/>
                <w:color w:val="auto"/>
                <w:w w:val="91"/>
              </w:rPr>
              <w:t>Series A Convertible Participating Perpetual Preferred Stock, $0.0001 par value; 10,000 shares authorized; 195 shares issued</w:t>
            </w:r>
          </w:p>
        </w:tc>
        <w:tc>
          <w:tcPr>
            <w:tcW w:w="220" w:type="dxa"/>
            <w:vAlign w:val="bottom"/>
          </w:tcPr>
          <w:p>
            <w:pPr>
              <w:spacing w:after="0"/>
              <w:rPr>
                <w:sz w:val="17"/>
                <w:szCs w:val="17"/>
                <w:color w:val="auto"/>
              </w:rPr>
            </w:pPr>
          </w:p>
        </w:tc>
        <w:tc>
          <w:tcPr>
            <w:tcW w:w="1500" w:type="dxa"/>
            <w:vAlign w:val="bottom"/>
            <w:vMerge w:val="restart"/>
          </w:tcPr>
          <w:p>
            <w:pPr>
              <w:jc w:val="right"/>
              <w:ind w:right="25"/>
              <w:spacing w:after="0"/>
              <w:rPr>
                <w:sz w:val="20"/>
                <w:szCs w:val="20"/>
                <w:color w:val="auto"/>
              </w:rPr>
            </w:pPr>
            <w:r>
              <w:rPr>
                <w:rFonts w:ascii="Arial" w:cs="Arial" w:eastAsia="Arial" w:hAnsi="Arial"/>
                <w:sz w:val="15"/>
                <w:szCs w:val="15"/>
                <w:color w:val="auto"/>
              </w:rPr>
              <w:t>176,160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vMerge w:val="restart"/>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90"/>
        </w:trPr>
        <w:tc>
          <w:tcPr>
            <w:tcW w:w="7880" w:type="dxa"/>
            <w:vAlign w:val="bottom"/>
            <w:vMerge w:val="restart"/>
          </w:tcPr>
          <w:p>
            <w:pPr>
              <w:ind w:left="240"/>
              <w:spacing w:after="0"/>
              <w:rPr>
                <w:sz w:val="20"/>
                <w:szCs w:val="20"/>
                <w:color w:val="auto"/>
              </w:rPr>
            </w:pPr>
            <w:r>
              <w:rPr>
                <w:rFonts w:ascii="Arial" w:cs="Arial" w:eastAsia="Arial" w:hAnsi="Arial"/>
                <w:sz w:val="15"/>
                <w:szCs w:val="15"/>
                <w:color w:val="auto"/>
              </w:rPr>
              <w:t>and outstanding at September 30, 2018</w:t>
            </w:r>
          </w:p>
        </w:tc>
        <w:tc>
          <w:tcPr>
            <w:tcW w:w="22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78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7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Stockholders’ equity:</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880" w:type="dxa"/>
            <w:vAlign w:val="bottom"/>
          </w:tcPr>
          <w:p>
            <w:pPr>
              <w:ind w:left="240"/>
              <w:spacing w:after="0"/>
              <w:rPr>
                <w:sz w:val="20"/>
                <w:szCs w:val="20"/>
                <w:color w:val="auto"/>
              </w:rPr>
            </w:pPr>
            <w:r>
              <w:rPr>
                <w:rFonts w:ascii="Arial" w:cs="Arial" w:eastAsia="Arial" w:hAnsi="Arial"/>
                <w:sz w:val="15"/>
                <w:szCs w:val="15"/>
                <w:color w:val="auto"/>
                <w:w w:val="97"/>
              </w:rPr>
              <w:t>Common stock, $0.0001 par value; 100,000 shares authorized, 49,817 and 52,024 shares issued; 42,655 and 46,965</w:t>
            </w:r>
          </w:p>
        </w:tc>
        <w:tc>
          <w:tcPr>
            <w:tcW w:w="220" w:type="dxa"/>
            <w:vAlign w:val="bottom"/>
          </w:tcPr>
          <w:p>
            <w:pPr>
              <w:spacing w:after="0"/>
              <w:rPr>
                <w:sz w:val="17"/>
                <w:szCs w:val="17"/>
                <w:color w:val="auto"/>
              </w:rPr>
            </w:pPr>
          </w:p>
        </w:tc>
        <w:tc>
          <w:tcPr>
            <w:tcW w:w="1500" w:type="dxa"/>
            <w:vAlign w:val="bottom"/>
            <w:vMerge w:val="restart"/>
          </w:tcPr>
          <w:p>
            <w:pPr>
              <w:jc w:val="right"/>
              <w:ind w:right="25"/>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vMerge w:val="restart"/>
          </w:tcPr>
          <w:p>
            <w:pPr>
              <w:jc w:val="right"/>
              <w:ind w:right="25"/>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90"/>
        </w:trPr>
        <w:tc>
          <w:tcPr>
            <w:tcW w:w="7880" w:type="dxa"/>
            <w:vAlign w:val="bottom"/>
            <w:vMerge w:val="restart"/>
          </w:tcPr>
          <w:p>
            <w:pPr>
              <w:ind w:left="240"/>
              <w:spacing w:after="0"/>
              <w:rPr>
                <w:sz w:val="20"/>
                <w:szCs w:val="20"/>
                <w:color w:val="auto"/>
              </w:rPr>
            </w:pPr>
            <w:r>
              <w:rPr>
                <w:rFonts w:ascii="Arial" w:cs="Arial" w:eastAsia="Arial" w:hAnsi="Arial"/>
                <w:sz w:val="15"/>
                <w:szCs w:val="15"/>
                <w:color w:val="auto"/>
              </w:rPr>
              <w:t>outstanding at September 30, 2018 and December 31, 2017, respectively</w:t>
            </w:r>
          </w:p>
        </w:tc>
        <w:tc>
          <w:tcPr>
            <w:tcW w:w="22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78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7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Treasury stock, at cost (7,162 and 5,059 shares at September 30, 2018 and December 31, 2017, respectively)</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(82,087)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(105,584)</w:t>
            </w:r>
          </w:p>
        </w:tc>
        <w:tc>
          <w:tcPr>
            <w:tcW w:w="0" w:type="dxa"/>
            <w:vAlign w:val="bottom"/>
          </w:tcPr>
          <w:p>
            <w:pPr>
              <w:spacing w:after="0"/>
              <w:rPr>
                <w:sz w:val="1"/>
                <w:szCs w:val="1"/>
                <w:color w:val="auto"/>
              </w:rPr>
            </w:pPr>
          </w:p>
        </w:tc>
      </w:tr>
      <w:tr>
        <w:trPr>
          <w:trHeight w:val="206"/>
        </w:trPr>
        <w:tc>
          <w:tcPr>
            <w:tcW w:w="7880" w:type="dxa"/>
            <w:vAlign w:val="bottom"/>
          </w:tcPr>
          <w:p>
            <w:pPr>
              <w:ind w:left="240"/>
              <w:spacing w:after="0"/>
              <w:rPr>
                <w:sz w:val="20"/>
                <w:szCs w:val="20"/>
                <w:color w:val="auto"/>
              </w:rPr>
            </w:pPr>
            <w:r>
              <w:rPr>
                <w:rFonts w:ascii="Arial" w:cs="Arial" w:eastAsia="Arial" w:hAnsi="Arial"/>
                <w:sz w:val="15"/>
                <w:szCs w:val="15"/>
                <w:color w:val="auto"/>
              </w:rPr>
              <w:t>Additional paid-in capital</w:t>
            </w:r>
          </w:p>
        </w:tc>
        <w:tc>
          <w:tcPr>
            <w:tcW w:w="22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561,144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597,553</w:t>
            </w:r>
          </w:p>
        </w:tc>
        <w:tc>
          <w:tcPr>
            <w:tcW w:w="0" w:type="dxa"/>
            <w:vAlign w:val="bottom"/>
          </w:tcPr>
          <w:p>
            <w:pPr>
              <w:spacing w:after="0"/>
              <w:rPr>
                <w:sz w:val="1"/>
                <w:szCs w:val="1"/>
                <w:color w:val="auto"/>
              </w:rPr>
            </w:pPr>
          </w:p>
        </w:tc>
      </w:tr>
      <w:tr>
        <w:trPr>
          <w:trHeight w:val="43"/>
        </w:trPr>
        <w:tc>
          <w:tcPr>
            <w:tcW w:w="7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Accumulated other comprehensive loss</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(30,557)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(23,373)</w:t>
            </w:r>
          </w:p>
        </w:tc>
        <w:tc>
          <w:tcPr>
            <w:tcW w:w="0" w:type="dxa"/>
            <w:vAlign w:val="bottom"/>
          </w:tcPr>
          <w:p>
            <w:pPr>
              <w:spacing w:after="0"/>
              <w:rPr>
                <w:sz w:val="1"/>
                <w:szCs w:val="1"/>
                <w:color w:val="auto"/>
              </w:rPr>
            </w:pPr>
          </w:p>
        </w:tc>
      </w:tr>
      <w:tr>
        <w:trPr>
          <w:trHeight w:val="206"/>
        </w:trPr>
        <w:tc>
          <w:tcPr>
            <w:tcW w:w="7880" w:type="dxa"/>
            <w:vAlign w:val="bottom"/>
          </w:tcPr>
          <w:p>
            <w:pPr>
              <w:ind w:left="240"/>
              <w:spacing w:after="0"/>
              <w:rPr>
                <w:sz w:val="20"/>
                <w:szCs w:val="20"/>
                <w:color w:val="auto"/>
              </w:rPr>
            </w:pPr>
            <w:r>
              <w:rPr>
                <w:rFonts w:ascii="Arial" w:cs="Arial" w:eastAsia="Arial" w:hAnsi="Arial"/>
                <w:sz w:val="15"/>
                <w:szCs w:val="15"/>
                <w:color w:val="auto"/>
              </w:rPr>
              <w:t>Accumulated deficit</w:t>
            </w: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(156,984)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(5,014)</w:t>
            </w:r>
          </w:p>
        </w:tc>
        <w:tc>
          <w:tcPr>
            <w:tcW w:w="0" w:type="dxa"/>
            <w:vAlign w:val="bottom"/>
          </w:tcPr>
          <w:p>
            <w:pPr>
              <w:spacing w:after="0"/>
              <w:rPr>
                <w:sz w:val="1"/>
                <w:szCs w:val="1"/>
                <w:color w:val="auto"/>
              </w:rPr>
            </w:pPr>
          </w:p>
        </w:tc>
      </w:tr>
      <w:tr>
        <w:trPr>
          <w:trHeight w:val="43"/>
        </w:trPr>
        <w:tc>
          <w:tcPr>
            <w:tcW w:w="78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stockholders’ equity</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291,521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463,587</w:t>
            </w:r>
          </w:p>
        </w:tc>
        <w:tc>
          <w:tcPr>
            <w:tcW w:w="0" w:type="dxa"/>
            <w:vAlign w:val="bottom"/>
          </w:tcPr>
          <w:p>
            <w:pPr>
              <w:spacing w:after="0"/>
              <w:rPr>
                <w:sz w:val="1"/>
                <w:szCs w:val="1"/>
                <w:color w:val="auto"/>
              </w:rPr>
            </w:pPr>
          </w:p>
        </w:tc>
      </w:tr>
      <w:tr>
        <w:trPr>
          <w:trHeight w:val="198"/>
        </w:trPr>
        <w:tc>
          <w:tcPr>
            <w:tcW w:w="7880" w:type="dxa"/>
            <w:vAlign w:val="bottom"/>
          </w:tcPr>
          <w:p>
            <w:pPr>
              <w:ind w:left="20"/>
              <w:spacing w:after="0"/>
              <w:rPr>
                <w:sz w:val="20"/>
                <w:szCs w:val="20"/>
                <w:color w:val="auto"/>
              </w:rPr>
            </w:pPr>
            <w:r>
              <w:rPr>
                <w:rFonts w:ascii="Arial" w:cs="Arial" w:eastAsia="Arial" w:hAnsi="Arial"/>
                <w:sz w:val="15"/>
                <w:szCs w:val="15"/>
                <w:color w:val="auto"/>
              </w:rPr>
              <w:t>Total liabilities and stockholders’ equity</w:t>
            </w:r>
          </w:p>
        </w:tc>
        <w:tc>
          <w:tcPr>
            <w:tcW w:w="2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894,344</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965,411</w:t>
            </w:r>
          </w:p>
        </w:tc>
        <w:tc>
          <w:tcPr>
            <w:tcW w:w="0" w:type="dxa"/>
            <w:vAlign w:val="bottom"/>
          </w:tcPr>
          <w:p>
            <w:pPr>
              <w:spacing w:after="0"/>
              <w:rPr>
                <w:sz w:val="1"/>
                <w:szCs w:val="1"/>
                <w:color w:val="auto"/>
              </w:rPr>
            </w:pPr>
          </w:p>
        </w:tc>
      </w:tr>
      <w:tr>
        <w:trPr>
          <w:trHeight w:val="31"/>
        </w:trPr>
        <w:tc>
          <w:tcPr>
            <w:tcW w:w="7880" w:type="dxa"/>
            <w:vAlign w:val="bottom"/>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8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5"/>
                <w:szCs w:val="15"/>
                <w:color w:val="auto"/>
                <w:w w:val="98"/>
              </w:rPr>
              <w:t xml:space="preserve">**  See </w:t>
            </w:r>
            <w:r>
              <w:rPr>
                <w:rFonts w:ascii="Arial" w:cs="Arial" w:eastAsia="Arial" w:hAnsi="Arial"/>
                <w:sz w:val="15"/>
                <w:szCs w:val="15"/>
                <w:i w:val="1"/>
                <w:iCs w:val="1"/>
                <w:color w:val="auto"/>
                <w:w w:val="98"/>
              </w:rPr>
              <w:t>Note 5 -Investments in Affiliates and Related Transactions</w:t>
            </w:r>
            <w:r>
              <w:rPr>
                <w:rFonts w:ascii="Arial" w:cs="Arial" w:eastAsia="Arial" w:hAnsi="Arial"/>
                <w:sz w:val="15"/>
                <w:szCs w:val="15"/>
                <w:color w:val="auto"/>
                <w:w w:val="98"/>
              </w:rPr>
              <w:t xml:space="preserve"> for related party transactions reflected in this account.</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ectPr>
          <w:pgSz w:w="11900" w:h="16838" w:orient="portrait"/>
          <w:cols w:equalWidth="0" w:num="1">
            <w:col w:w="11420"/>
          </w:cols>
          <w:pgMar w:left="240" w:top="127" w:right="239" w:bottom="1440" w:gutter="0" w:footer="0" w:header="0"/>
        </w:sect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420"/>
          </w:cols>
          <w:pgMar w:left="240" w:top="127" w:right="239" w:bottom="1440" w:gutter="0" w:footer="0" w:header="0"/>
          <w:type w:val="continuous"/>
        </w:sectPr>
      </w:pPr>
    </w:p>
    <w:bookmarkStart w:id="3" w:name="page4"/>
    <w:bookmarkEnd w:id="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29" w:lineRule="exact"/>
        <w:rPr>
          <w:sz w:val="20"/>
          <w:szCs w:val="20"/>
          <w:color w:val="auto"/>
        </w:rPr>
      </w:pPr>
    </w:p>
    <w:p>
      <w:pPr>
        <w:ind w:left="32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40"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(Unaudited)</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7"/>
          <w:szCs w:val="17"/>
          <w:b w:val="1"/>
          <w:bCs w:val="1"/>
          <w:color w:val="auto"/>
        </w:rPr>
        <w:t>(In thousands, except per share data)</w:t>
      </w:r>
    </w:p>
    <w:p>
      <w:pPr>
        <w:sectPr>
          <w:pgSz w:w="11900" w:h="16838" w:orient="portrait"/>
          <w:cols w:equalWidth="0" w:num="1">
            <w:col w:w="11420"/>
          </w:cols>
          <w:pgMar w:left="240" w:top="127" w:right="239" w:bottom="1440" w:gutter="0" w:footer="0" w:header="0"/>
        </w:sectPr>
      </w:pPr>
    </w:p>
    <w:p>
      <w:pPr>
        <w:spacing w:after="0" w:line="395" w:lineRule="exact"/>
        <w:rPr>
          <w:sz w:val="20"/>
          <w:szCs w:val="20"/>
          <w:color w:val="auto"/>
        </w:rPr>
      </w:pPr>
    </w:p>
    <w:p>
      <w:pPr>
        <w:jc w:val="center"/>
        <w:ind w:left="5240"/>
        <w:spacing w:after="0"/>
        <w:rPr>
          <w:sz w:val="20"/>
          <w:szCs w:val="20"/>
          <w:color w:val="auto"/>
        </w:rPr>
      </w:pPr>
      <w:r>
        <w:rPr>
          <w:rFonts w:ascii="Arial" w:cs="Arial" w:eastAsia="Arial" w:hAnsi="Arial"/>
          <w:sz w:val="11"/>
          <w:szCs w:val="11"/>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3276600</wp:posOffset>
            </wp:positionH>
            <wp:positionV relativeFrom="paragraph">
              <wp:posOffset>35560</wp:posOffset>
            </wp:positionV>
            <wp:extent cx="19704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70405" cy="7620"/>
                    </a:xfrm>
                    <a:prstGeom prst="rect">
                      <a:avLst/>
                    </a:prstGeom>
                    <a:noFill/>
                  </pic:spPr>
                </pic:pic>
              </a:graphicData>
            </a:graphic>
          </wp:anchor>
        </w:drawing>
      </w:r>
    </w:p>
    <w:p>
      <w:pPr>
        <w:spacing w:after="0" w:line="115" w:lineRule="exact"/>
        <w:rPr>
          <w:sz w:val="20"/>
          <w:szCs w:val="20"/>
          <w:color w:val="auto"/>
        </w:rPr>
      </w:pPr>
    </w:p>
    <w:p>
      <w:pPr>
        <w:ind w:left="5780"/>
        <w:spacing w:after="0"/>
        <w:tabs>
          <w:tab w:leader="none" w:pos="738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3276600</wp:posOffset>
            </wp:positionH>
            <wp:positionV relativeFrom="paragraph">
              <wp:posOffset>20955</wp:posOffset>
            </wp:positionV>
            <wp:extent cx="19704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04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27940</wp:posOffset>
            </wp:positionV>
            <wp:extent cx="19386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38655" cy="7620"/>
                    </a:xfrm>
                    <a:prstGeom prst="rect">
                      <a:avLst/>
                    </a:prstGeom>
                    <a:noFill/>
                  </pic:spPr>
                </pic:pic>
              </a:graphicData>
            </a:graphic>
          </wp:anchor>
        </w:drawing>
      </w:r>
    </w:p>
    <w:p>
      <w:pPr>
        <w:spacing w:after="0" w:line="104" w:lineRule="exact"/>
        <w:rPr>
          <w:sz w:val="20"/>
          <w:szCs w:val="20"/>
          <w:color w:val="auto"/>
        </w:rPr>
      </w:pPr>
    </w:p>
    <w:p>
      <w:pPr>
        <w:ind w:left="60"/>
        <w:spacing w:after="0"/>
        <w:tabs>
          <w:tab w:leader="none" w:pos="162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20955</wp:posOffset>
            </wp:positionV>
            <wp:extent cx="19386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3865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00" w:space="720"/>
            <w:col w:w="2500"/>
          </w:cols>
          <w:pgMar w:left="240" w:top="127" w:right="239" w:bottom="1440" w:gutter="0" w:footer="0" w:header="0"/>
          <w:type w:val="continuous"/>
        </w:sectPr>
      </w:pP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500" w:type="dxa"/>
            <w:vAlign w:val="bottom"/>
            <w:tcBorders>
              <w:bottom w:val="single" w:sz="8" w:color="CCEEFF"/>
            </w:tcBorders>
            <w:shd w:val="clear" w:color="auto" w:fill="CCEEFF"/>
          </w:tcPr>
          <w:p>
            <w:pPr>
              <w:jc w:val="right"/>
              <w:ind w:right="325"/>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83,286</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91,015</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243,737</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296,102</w:t>
            </w:r>
          </w:p>
        </w:tc>
        <w:tc>
          <w:tcPr>
            <w:tcW w:w="0" w:type="dxa"/>
            <w:vAlign w:val="bottom"/>
          </w:tcPr>
          <w:p>
            <w:pPr>
              <w:spacing w:after="0"/>
              <w:rPr>
                <w:sz w:val="1"/>
                <w:szCs w:val="1"/>
                <w:color w:val="auto"/>
              </w:rPr>
            </w:pPr>
          </w:p>
        </w:tc>
      </w:tr>
      <w:tr>
        <w:trPr>
          <w:trHeight w:val="218"/>
        </w:trPr>
        <w:tc>
          <w:tcPr>
            <w:tcW w:w="5160" w:type="dxa"/>
            <w:vAlign w:val="bottom"/>
          </w:tcPr>
          <w:p>
            <w:pPr>
              <w:ind w:left="20"/>
              <w:spacing w:after="0"/>
              <w:rPr>
                <w:sz w:val="20"/>
                <w:szCs w:val="20"/>
                <w:color w:val="auto"/>
              </w:rPr>
            </w:pPr>
            <w:r>
              <w:rPr>
                <w:rFonts w:ascii="Arial" w:cs="Arial" w:eastAsia="Arial" w:hAnsi="Arial"/>
                <w:sz w:val="15"/>
                <w:szCs w:val="15"/>
                <w:color w:val="auto"/>
              </w:rPr>
              <w:t>Costs and expenses:</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5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Cost of revenues*</w:t>
            </w:r>
          </w:p>
        </w:tc>
        <w:tc>
          <w:tcPr>
            <w:tcW w:w="5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43,714</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45,576</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127,788</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139,386</w:t>
            </w:r>
          </w:p>
        </w:tc>
        <w:tc>
          <w:tcPr>
            <w:tcW w:w="0" w:type="dxa"/>
            <w:vAlign w:val="bottom"/>
          </w:tcPr>
          <w:p>
            <w:pPr>
              <w:spacing w:after="0"/>
              <w:rPr>
                <w:sz w:val="1"/>
                <w:szCs w:val="1"/>
                <w:color w:val="auto"/>
              </w:rPr>
            </w:pPr>
          </w:p>
        </w:tc>
      </w:tr>
      <w:tr>
        <w:trPr>
          <w:trHeight w:val="218"/>
        </w:trPr>
        <w:tc>
          <w:tcPr>
            <w:tcW w:w="5160" w:type="dxa"/>
            <w:vAlign w:val="bottom"/>
          </w:tcPr>
          <w:p>
            <w:pPr>
              <w:ind w:left="240"/>
              <w:spacing w:after="0"/>
              <w:rPr>
                <w:sz w:val="20"/>
                <w:szCs w:val="20"/>
                <w:color w:val="auto"/>
              </w:rPr>
            </w:pPr>
            <w:r>
              <w:rPr>
                <w:rFonts w:ascii="Arial" w:cs="Arial" w:eastAsia="Arial" w:hAnsi="Arial"/>
                <w:sz w:val="15"/>
                <w:szCs w:val="15"/>
                <w:color w:val="auto"/>
              </w:rPr>
              <w:t>Research and development</w:t>
            </w:r>
          </w:p>
        </w:tc>
        <w:tc>
          <w:tcPr>
            <w:tcW w:w="500" w:type="dxa"/>
            <w:vAlign w:val="bottom"/>
          </w:tcPr>
          <w:p>
            <w:pPr>
              <w:spacing w:after="0"/>
              <w:rPr>
                <w:sz w:val="18"/>
                <w:szCs w:val="18"/>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18,684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20,926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59,789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67,234</w:t>
            </w:r>
          </w:p>
        </w:tc>
        <w:tc>
          <w:tcPr>
            <w:tcW w:w="0" w:type="dxa"/>
            <w:vAlign w:val="bottom"/>
          </w:tcPr>
          <w:p>
            <w:pPr>
              <w:spacing w:after="0"/>
              <w:rPr>
                <w:sz w:val="1"/>
                <w:szCs w:val="1"/>
                <w:color w:val="auto"/>
              </w:rPr>
            </w:pPr>
          </w:p>
        </w:tc>
      </w:tr>
      <w:tr>
        <w:trPr>
          <w:trHeight w:val="31"/>
        </w:trPr>
        <w:tc>
          <w:tcPr>
            <w:tcW w:w="5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Selling, general and administrative</w:t>
            </w:r>
          </w:p>
        </w:tc>
        <w:tc>
          <w:tcPr>
            <w:tcW w:w="5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27,320</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34,881</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99,368</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103,049</w:t>
            </w:r>
          </w:p>
        </w:tc>
        <w:tc>
          <w:tcPr>
            <w:tcW w:w="0" w:type="dxa"/>
            <w:vAlign w:val="bottom"/>
          </w:tcPr>
          <w:p>
            <w:pPr>
              <w:spacing w:after="0"/>
              <w:rPr>
                <w:sz w:val="1"/>
                <w:szCs w:val="1"/>
                <w:color w:val="auto"/>
              </w:rPr>
            </w:pPr>
          </w:p>
        </w:tc>
      </w:tr>
      <w:tr>
        <w:trPr>
          <w:trHeight w:val="218"/>
        </w:trPr>
        <w:tc>
          <w:tcPr>
            <w:tcW w:w="5160" w:type="dxa"/>
            <w:vAlign w:val="bottom"/>
          </w:tcPr>
          <w:p>
            <w:pPr>
              <w:ind w:left="240"/>
              <w:spacing w:after="0"/>
              <w:rPr>
                <w:sz w:val="20"/>
                <w:szCs w:val="20"/>
                <w:color w:val="auto"/>
              </w:rPr>
            </w:pPr>
            <w:r>
              <w:rPr>
                <w:rFonts w:ascii="Arial" w:cs="Arial" w:eastAsia="Arial" w:hAnsi="Arial"/>
                <w:sz w:val="15"/>
                <w:szCs w:val="15"/>
                <w:color w:val="auto"/>
              </w:rPr>
              <w:t>Restructuring charges</w:t>
            </w:r>
          </w:p>
        </w:tc>
        <w:tc>
          <w:tcPr>
            <w:tcW w:w="500" w:type="dxa"/>
            <w:vAlign w:val="bottom"/>
          </w:tcPr>
          <w:p>
            <w:pPr>
              <w:spacing w:after="0"/>
              <w:rPr>
                <w:sz w:val="18"/>
                <w:szCs w:val="18"/>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4,539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2,312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8,425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11,715</w:t>
            </w:r>
          </w:p>
        </w:tc>
        <w:tc>
          <w:tcPr>
            <w:tcW w:w="0" w:type="dxa"/>
            <w:vAlign w:val="bottom"/>
          </w:tcPr>
          <w:p>
            <w:pPr>
              <w:spacing w:after="0"/>
              <w:rPr>
                <w:sz w:val="1"/>
                <w:szCs w:val="1"/>
                <w:color w:val="auto"/>
              </w:rPr>
            </w:pPr>
          </w:p>
        </w:tc>
      </w:tr>
      <w:tr>
        <w:trPr>
          <w:trHeight w:val="31"/>
        </w:trPr>
        <w:tc>
          <w:tcPr>
            <w:tcW w:w="5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Depreciation and amortization</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23,658</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23,459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70,330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71,098</w:t>
            </w:r>
          </w:p>
        </w:tc>
        <w:tc>
          <w:tcPr>
            <w:tcW w:w="0" w:type="dxa"/>
            <w:vAlign w:val="bottom"/>
          </w:tcPr>
          <w:p>
            <w:pPr>
              <w:spacing w:after="0"/>
              <w:rPr>
                <w:sz w:val="1"/>
                <w:szCs w:val="1"/>
                <w:color w:val="auto"/>
              </w:rPr>
            </w:pPr>
          </w:p>
        </w:tc>
      </w:tr>
      <w:tr>
        <w:trPr>
          <w:trHeight w:val="198"/>
        </w:trPr>
        <w:tc>
          <w:tcPr>
            <w:tcW w:w="5160" w:type="dxa"/>
            <w:vAlign w:val="bottom"/>
          </w:tcPr>
          <w:p>
            <w:pPr>
              <w:ind w:left="20"/>
              <w:spacing w:after="0"/>
              <w:rPr>
                <w:sz w:val="20"/>
                <w:szCs w:val="20"/>
                <w:color w:val="auto"/>
              </w:rPr>
            </w:pPr>
            <w:r>
              <w:rPr>
                <w:rFonts w:ascii="Arial" w:cs="Arial" w:eastAsia="Arial" w:hAnsi="Arial"/>
                <w:sz w:val="15"/>
                <w:szCs w:val="15"/>
                <w:color w:val="auto"/>
              </w:rPr>
              <w:t>Total costs and expenses</w:t>
            </w: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117,915</w:t>
            </w:r>
          </w:p>
        </w:tc>
        <w:tc>
          <w:tcPr>
            <w:tcW w:w="14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127,154</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365,700</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392,482</w:t>
            </w:r>
          </w:p>
        </w:tc>
        <w:tc>
          <w:tcPr>
            <w:tcW w:w="0" w:type="dxa"/>
            <w:vAlign w:val="bottom"/>
          </w:tcPr>
          <w:p>
            <w:pPr>
              <w:spacing w:after="0"/>
              <w:rPr>
                <w:sz w:val="1"/>
                <w:szCs w:val="1"/>
                <w:color w:val="auto"/>
              </w:rPr>
            </w:pPr>
          </w:p>
        </w:tc>
      </w:tr>
      <w:tr>
        <w:trPr>
          <w:trHeight w:val="31"/>
        </w:trPr>
        <w:tc>
          <w:tcPr>
            <w:tcW w:w="5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Loss from continuing operations</w:t>
            </w: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(34,629)</w:t>
            </w: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(36,139)</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(121,963)</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(96,380)</w:t>
            </w:r>
          </w:p>
        </w:tc>
        <w:tc>
          <w:tcPr>
            <w:tcW w:w="0" w:type="dxa"/>
            <w:vAlign w:val="bottom"/>
          </w:tcPr>
          <w:p>
            <w:pPr>
              <w:spacing w:after="0"/>
              <w:rPr>
                <w:sz w:val="1"/>
                <w:szCs w:val="1"/>
                <w:color w:val="auto"/>
              </w:rPr>
            </w:pPr>
          </w:p>
        </w:tc>
      </w:tr>
      <w:tr>
        <w:trPr>
          <w:trHeight w:val="218"/>
        </w:trPr>
        <w:tc>
          <w:tcPr>
            <w:tcW w:w="5160" w:type="dxa"/>
            <w:vAlign w:val="bottom"/>
          </w:tcPr>
          <w:p>
            <w:pPr>
              <w:ind w:left="240"/>
              <w:spacing w:after="0"/>
              <w:rPr>
                <w:sz w:val="20"/>
                <w:szCs w:val="20"/>
                <w:color w:val="auto"/>
              </w:rPr>
            </w:pPr>
            <w:r>
              <w:rPr>
                <w:rFonts w:ascii="Arial" w:cs="Arial" w:eastAsia="Arial" w:hAnsi="Arial"/>
                <w:sz w:val="15"/>
                <w:szCs w:val="15"/>
                <w:color w:val="auto"/>
              </w:rPr>
              <w:t>Interest income</w:t>
            </w:r>
          </w:p>
        </w:tc>
        <w:tc>
          <w:tcPr>
            <w:tcW w:w="500" w:type="dxa"/>
            <w:vAlign w:val="bottom"/>
          </w:tcPr>
          <w:p>
            <w:pPr>
              <w:spacing w:after="0"/>
              <w:rPr>
                <w:sz w:val="18"/>
                <w:szCs w:val="18"/>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203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3,274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7,518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9,157</w:t>
            </w:r>
          </w:p>
        </w:tc>
        <w:tc>
          <w:tcPr>
            <w:tcW w:w="0" w:type="dxa"/>
            <w:vAlign w:val="bottom"/>
          </w:tcPr>
          <w:p>
            <w:pPr>
              <w:spacing w:after="0"/>
              <w:rPr>
                <w:sz w:val="1"/>
                <w:szCs w:val="1"/>
                <w:color w:val="auto"/>
              </w:rPr>
            </w:pPr>
          </w:p>
        </w:tc>
      </w:tr>
      <w:tr>
        <w:trPr>
          <w:trHeight w:val="31"/>
        </w:trPr>
        <w:tc>
          <w:tcPr>
            <w:tcW w:w="5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Interest expense</w:t>
            </w:r>
          </w:p>
        </w:tc>
        <w:tc>
          <w:tcPr>
            <w:tcW w:w="5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(1,370)</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(25,555)</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(3,935)</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(48,016)</w:t>
            </w:r>
          </w:p>
        </w:tc>
        <w:tc>
          <w:tcPr>
            <w:tcW w:w="0" w:type="dxa"/>
            <w:vAlign w:val="bottom"/>
          </w:tcPr>
          <w:p>
            <w:pPr>
              <w:spacing w:after="0"/>
              <w:rPr>
                <w:sz w:val="1"/>
                <w:szCs w:val="1"/>
                <w:color w:val="auto"/>
              </w:rPr>
            </w:pPr>
          </w:p>
        </w:tc>
      </w:tr>
      <w:tr>
        <w:trPr>
          <w:trHeight w:val="218"/>
        </w:trPr>
        <w:tc>
          <w:tcPr>
            <w:tcW w:w="5160" w:type="dxa"/>
            <w:vAlign w:val="bottom"/>
          </w:tcPr>
          <w:p>
            <w:pPr>
              <w:ind w:left="240"/>
              <w:spacing w:after="0"/>
              <w:rPr>
                <w:sz w:val="20"/>
                <w:szCs w:val="20"/>
                <w:color w:val="auto"/>
              </w:rPr>
            </w:pPr>
            <w:r>
              <w:rPr>
                <w:rFonts w:ascii="Arial" w:cs="Arial" w:eastAsia="Arial" w:hAnsi="Arial"/>
                <w:sz w:val="15"/>
                <w:szCs w:val="15"/>
                <w:color w:val="auto"/>
              </w:rPr>
              <w:t>Other (expense) income, net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(13,439)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(256)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(9,180)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2,374</w:t>
            </w:r>
          </w:p>
        </w:tc>
        <w:tc>
          <w:tcPr>
            <w:tcW w:w="0" w:type="dxa"/>
            <w:vAlign w:val="bottom"/>
          </w:tcPr>
          <w:p>
            <w:pPr>
              <w:spacing w:after="0"/>
              <w:rPr>
                <w:sz w:val="1"/>
                <w:szCs w:val="1"/>
                <w:color w:val="auto"/>
              </w:rPr>
            </w:pPr>
          </w:p>
        </w:tc>
      </w:tr>
      <w:tr>
        <w:trPr>
          <w:trHeight w:val="31"/>
        </w:trPr>
        <w:tc>
          <w:tcPr>
            <w:tcW w:w="5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Equity method investment income</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283</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1,626</w:t>
            </w:r>
          </w:p>
        </w:tc>
        <w:tc>
          <w:tcPr>
            <w:tcW w:w="0" w:type="dxa"/>
            <w:vAlign w:val="bottom"/>
          </w:tcPr>
          <w:p>
            <w:pPr>
              <w:spacing w:after="0"/>
              <w:rPr>
                <w:sz w:val="1"/>
                <w:szCs w:val="1"/>
                <w:color w:val="auto"/>
              </w:rPr>
            </w:pPr>
          </w:p>
        </w:tc>
      </w:tr>
      <w:tr>
        <w:trPr>
          <w:trHeight w:val="198"/>
        </w:trPr>
        <w:tc>
          <w:tcPr>
            <w:tcW w:w="5160" w:type="dxa"/>
            <w:vAlign w:val="bottom"/>
          </w:tcPr>
          <w:p>
            <w:pPr>
              <w:ind w:left="20"/>
              <w:spacing w:after="0"/>
              <w:rPr>
                <w:sz w:val="20"/>
                <w:szCs w:val="20"/>
                <w:color w:val="auto"/>
              </w:rPr>
            </w:pPr>
            <w:r>
              <w:rPr>
                <w:rFonts w:ascii="Arial" w:cs="Arial" w:eastAsia="Arial" w:hAnsi="Arial"/>
                <w:sz w:val="15"/>
                <w:szCs w:val="15"/>
                <w:color w:val="auto"/>
              </w:rPr>
              <w:t>Loss from continuing operations, before taxes</w:t>
            </w: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(48,952)</w:t>
            </w:r>
          </w:p>
        </w:tc>
        <w:tc>
          <w:tcPr>
            <w:tcW w:w="14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(58,031)</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(127,489)</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(131,239)</w:t>
            </w:r>
          </w:p>
        </w:tc>
        <w:tc>
          <w:tcPr>
            <w:tcW w:w="0" w:type="dxa"/>
            <w:vAlign w:val="bottom"/>
          </w:tcPr>
          <w:p>
            <w:pPr>
              <w:spacing w:after="0"/>
              <w:rPr>
                <w:sz w:val="1"/>
                <w:szCs w:val="1"/>
                <w:color w:val="auto"/>
              </w:rPr>
            </w:pPr>
          </w:p>
        </w:tc>
      </w:tr>
      <w:tr>
        <w:trPr>
          <w:trHeight w:val="31"/>
        </w:trPr>
        <w:tc>
          <w:tcPr>
            <w:tcW w:w="5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Benefit for income taxes</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2,308</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12,825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1,604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17,973</w:t>
            </w:r>
          </w:p>
        </w:tc>
        <w:tc>
          <w:tcPr>
            <w:tcW w:w="0" w:type="dxa"/>
            <w:vAlign w:val="bottom"/>
          </w:tcPr>
          <w:p>
            <w:pPr>
              <w:spacing w:after="0"/>
              <w:rPr>
                <w:sz w:val="1"/>
                <w:szCs w:val="1"/>
                <w:color w:val="auto"/>
              </w:rPr>
            </w:pPr>
          </w:p>
        </w:tc>
      </w:tr>
      <w:tr>
        <w:trPr>
          <w:trHeight w:val="198"/>
        </w:trPr>
        <w:tc>
          <w:tcPr>
            <w:tcW w:w="5160" w:type="dxa"/>
            <w:vAlign w:val="bottom"/>
          </w:tcPr>
          <w:p>
            <w:pPr>
              <w:ind w:left="20"/>
              <w:spacing w:after="0"/>
              <w:rPr>
                <w:sz w:val="20"/>
                <w:szCs w:val="20"/>
                <w:color w:val="auto"/>
              </w:rPr>
            </w:pPr>
            <w:r>
              <w:rPr>
                <w:rFonts w:ascii="Arial" w:cs="Arial" w:eastAsia="Arial" w:hAnsi="Arial"/>
                <w:sz w:val="15"/>
                <w:szCs w:val="15"/>
                <w:color w:val="auto"/>
              </w:rPr>
              <w:t>Net loss from continuing operations</w:t>
            </w: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(46,644)</w:t>
            </w:r>
          </w:p>
        </w:tc>
        <w:tc>
          <w:tcPr>
            <w:tcW w:w="14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(45,206)</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(125,885)</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(113,266)</w:t>
            </w:r>
          </w:p>
        </w:tc>
        <w:tc>
          <w:tcPr>
            <w:tcW w:w="0" w:type="dxa"/>
            <w:vAlign w:val="bottom"/>
          </w:tcPr>
          <w:p>
            <w:pPr>
              <w:spacing w:after="0"/>
              <w:rPr>
                <w:sz w:val="1"/>
                <w:szCs w:val="1"/>
                <w:color w:val="auto"/>
              </w:rPr>
            </w:pPr>
          </w:p>
        </w:tc>
      </w:tr>
      <w:tr>
        <w:trPr>
          <w:trHeight w:val="31"/>
        </w:trPr>
        <w:tc>
          <w:tcPr>
            <w:tcW w:w="5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Net income (loss) from discontinued operations, net of tax**</w:t>
            </w: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8,842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(14,067)</w:t>
            </w:r>
          </w:p>
        </w:tc>
        <w:tc>
          <w:tcPr>
            <w:tcW w:w="0" w:type="dxa"/>
            <w:vAlign w:val="bottom"/>
          </w:tcPr>
          <w:p>
            <w:pPr>
              <w:spacing w:after="0"/>
              <w:rPr>
                <w:sz w:val="1"/>
                <w:szCs w:val="1"/>
                <w:color w:val="auto"/>
              </w:rPr>
            </w:pPr>
          </w:p>
        </w:tc>
      </w:tr>
      <w:tr>
        <w:trPr>
          <w:trHeight w:val="198"/>
        </w:trPr>
        <w:tc>
          <w:tcPr>
            <w:tcW w:w="5160" w:type="dxa"/>
            <w:vAlign w:val="bottom"/>
          </w:tcPr>
          <w:p>
            <w:pPr>
              <w:ind w:left="20"/>
              <w:spacing w:after="0"/>
              <w:rPr>
                <w:sz w:val="20"/>
                <w:szCs w:val="20"/>
                <w:color w:val="auto"/>
              </w:rPr>
            </w:pPr>
            <w:r>
              <w:rPr>
                <w:rFonts w:ascii="Arial" w:cs="Arial" w:eastAsia="Arial" w:hAnsi="Arial"/>
                <w:sz w:val="15"/>
                <w:szCs w:val="15"/>
                <w:color w:val="auto"/>
              </w:rPr>
              <w:t>Net loss</w:t>
            </w: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(46,644)</w:t>
            </w:r>
          </w:p>
        </w:tc>
        <w:tc>
          <w:tcPr>
            <w:tcW w:w="14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(36,364)</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(125,885)</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(127,333)</w:t>
            </w:r>
          </w:p>
        </w:tc>
        <w:tc>
          <w:tcPr>
            <w:tcW w:w="0" w:type="dxa"/>
            <w:vAlign w:val="bottom"/>
          </w:tcPr>
          <w:p>
            <w:pPr>
              <w:spacing w:after="0"/>
              <w:rPr>
                <w:sz w:val="1"/>
                <w:szCs w:val="1"/>
                <w:color w:val="auto"/>
              </w:rPr>
            </w:pPr>
          </w:p>
        </w:tc>
      </w:tr>
      <w:tr>
        <w:trPr>
          <w:trHeight w:val="31"/>
        </w:trPr>
        <w:tc>
          <w:tcPr>
            <w:tcW w:w="5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Net (income) loss attributable to redeemable noncontrolling interests</w:t>
            </w:r>
          </w:p>
        </w:tc>
        <w:tc>
          <w:tcPr>
            <w:tcW w:w="5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(422)</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1,276</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2,122</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6,980</w:t>
            </w:r>
          </w:p>
        </w:tc>
        <w:tc>
          <w:tcPr>
            <w:tcW w:w="0" w:type="dxa"/>
            <w:vAlign w:val="bottom"/>
          </w:tcPr>
          <w:p>
            <w:pPr>
              <w:spacing w:after="0"/>
              <w:rPr>
                <w:sz w:val="1"/>
                <w:szCs w:val="1"/>
                <w:color w:val="auto"/>
              </w:rPr>
            </w:pPr>
          </w:p>
        </w:tc>
      </w:tr>
      <w:tr>
        <w:trPr>
          <w:trHeight w:val="218"/>
        </w:trPr>
        <w:tc>
          <w:tcPr>
            <w:tcW w:w="5160" w:type="dxa"/>
            <w:vAlign w:val="bottom"/>
          </w:tcPr>
          <w:p>
            <w:pPr>
              <w:ind w:left="240"/>
              <w:spacing w:after="0"/>
              <w:rPr>
                <w:sz w:val="20"/>
                <w:szCs w:val="20"/>
                <w:color w:val="auto"/>
              </w:rPr>
            </w:pPr>
            <w:r>
              <w:rPr>
                <w:rFonts w:ascii="Arial" w:cs="Arial" w:eastAsia="Arial" w:hAnsi="Arial"/>
                <w:sz w:val="15"/>
                <w:szCs w:val="15"/>
                <w:color w:val="auto"/>
              </w:rPr>
              <w:t>Preferred stock dividend</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(7,463)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(18,076)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
        </w:trPr>
        <w:tc>
          <w:tcPr>
            <w:tcW w:w="5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loss attributable to Synchronoss</w:t>
            </w:r>
          </w:p>
        </w:tc>
        <w:tc>
          <w:tcPr>
            <w:tcW w:w="50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(54,529)</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(35,088)</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(141,839)</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(120,353)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Basic:</w:t>
            </w:r>
          </w:p>
        </w:tc>
        <w:tc>
          <w:tcPr>
            <w:tcW w:w="5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tcPr>
          <w:p>
            <w:pPr>
              <w:ind w:left="240"/>
              <w:spacing w:after="0"/>
              <w:rPr>
                <w:sz w:val="20"/>
                <w:szCs w:val="20"/>
                <w:color w:val="auto"/>
              </w:rPr>
            </w:pPr>
            <w:r>
              <w:rPr>
                <w:rFonts w:ascii="Arial" w:cs="Arial" w:eastAsia="Arial" w:hAnsi="Arial"/>
                <w:sz w:val="15"/>
                <w:szCs w:val="15"/>
                <w:color w:val="auto"/>
              </w:rPr>
              <w:t>Continuing operations</w:t>
            </w:r>
          </w:p>
        </w:tc>
        <w:tc>
          <w:tcPr>
            <w:tcW w:w="500" w:type="dxa"/>
            <w:vAlign w:val="bottom"/>
          </w:tcPr>
          <w:p>
            <w:pPr>
              <w:jc w:val="right"/>
              <w:ind w:right="325"/>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(1.38)</w:t>
            </w:r>
          </w:p>
        </w:tc>
        <w:tc>
          <w:tcPr>
            <w:tcW w:w="140" w:type="dxa"/>
            <w:vAlign w:val="bottom"/>
          </w:tcPr>
          <w:p>
            <w:pPr>
              <w:spacing w:after="0"/>
              <w:rPr>
                <w:sz w:val="18"/>
                <w:szCs w:val="18"/>
                <w:color w:val="auto"/>
              </w:rPr>
            </w:pPr>
          </w:p>
        </w:tc>
        <w:tc>
          <w:tcPr>
            <w:tcW w:w="480" w:type="dxa"/>
            <w:vAlign w:val="bottom"/>
          </w:tcPr>
          <w:p>
            <w:pPr>
              <w:jc w:val="right"/>
              <w:ind w:right="305"/>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(0.98)</w:t>
            </w:r>
          </w:p>
        </w:tc>
        <w:tc>
          <w:tcPr>
            <w:tcW w:w="120" w:type="dxa"/>
            <w:vAlign w:val="bottom"/>
          </w:tcPr>
          <w:p>
            <w:pPr>
              <w:spacing w:after="0"/>
              <w:rPr>
                <w:sz w:val="18"/>
                <w:szCs w:val="18"/>
                <w:color w:val="auto"/>
              </w:rPr>
            </w:pP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(3.51)</w:t>
            </w:r>
          </w:p>
        </w:tc>
        <w:tc>
          <w:tcPr>
            <w:tcW w:w="120" w:type="dxa"/>
            <w:vAlign w:val="bottom"/>
          </w:tcPr>
          <w:p>
            <w:pPr>
              <w:spacing w:after="0"/>
              <w:rPr>
                <w:sz w:val="18"/>
                <w:szCs w:val="18"/>
                <w:color w:val="auto"/>
              </w:rPr>
            </w:pP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r>
        <w:trPr>
          <w:trHeight w:val="31"/>
        </w:trPr>
        <w:tc>
          <w:tcPr>
            <w:tcW w:w="5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Discontinued operations**</w:t>
            </w: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(0.32)</w:t>
            </w:r>
          </w:p>
        </w:tc>
        <w:tc>
          <w:tcPr>
            <w:tcW w:w="0" w:type="dxa"/>
            <w:vAlign w:val="bottom"/>
          </w:tcPr>
          <w:p>
            <w:pPr>
              <w:spacing w:after="0"/>
              <w:rPr>
                <w:sz w:val="1"/>
                <w:szCs w:val="1"/>
                <w:color w:val="auto"/>
              </w:rPr>
            </w:pPr>
          </w:p>
        </w:tc>
      </w:tr>
      <w:tr>
        <w:trPr>
          <w:trHeight w:val="198"/>
        </w:trPr>
        <w:tc>
          <w:tcPr>
            <w:tcW w:w="5160" w:type="dxa"/>
            <w:vAlign w:val="bottom"/>
          </w:tcPr>
          <w:p>
            <w:pPr>
              <w:spacing w:after="0"/>
              <w:rPr>
                <w:sz w:val="17"/>
                <w:szCs w:val="17"/>
                <w:color w:val="auto"/>
              </w:rPr>
            </w:pPr>
          </w:p>
        </w:tc>
        <w:tc>
          <w:tcPr>
            <w:tcW w:w="500" w:type="dxa"/>
            <w:vAlign w:val="bottom"/>
            <w:tcBorders>
              <w:top w:val="single" w:sz="8" w:color="auto"/>
            </w:tcBorders>
          </w:tcPr>
          <w:p>
            <w:pPr>
              <w:jc w:val="right"/>
              <w:ind w:right="325"/>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(1.38)</w:t>
            </w:r>
          </w:p>
        </w:tc>
        <w:tc>
          <w:tcPr>
            <w:tcW w:w="140" w:type="dxa"/>
            <w:vAlign w:val="bottom"/>
          </w:tcPr>
          <w:p>
            <w:pPr>
              <w:spacing w:after="0"/>
              <w:rPr>
                <w:sz w:val="17"/>
                <w:szCs w:val="17"/>
                <w:color w:val="auto"/>
              </w:rPr>
            </w:pPr>
          </w:p>
        </w:tc>
        <w:tc>
          <w:tcPr>
            <w:tcW w:w="48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(0.78)</w:t>
            </w:r>
          </w:p>
        </w:tc>
        <w:tc>
          <w:tcPr>
            <w:tcW w:w="120" w:type="dxa"/>
            <w:vAlign w:val="bottom"/>
          </w:tcPr>
          <w:p>
            <w:pPr>
              <w:spacing w:after="0"/>
              <w:rPr>
                <w:sz w:val="17"/>
                <w:szCs w:val="17"/>
                <w:color w:val="auto"/>
              </w:rPr>
            </w:pPr>
          </w:p>
        </w:tc>
        <w:tc>
          <w:tcPr>
            <w:tcW w:w="460" w:type="dxa"/>
            <w:vAlign w:val="bottom"/>
            <w:tcBorders>
              <w:top w:val="single" w:sz="8" w:color="auto"/>
            </w:tcBorders>
          </w:tcPr>
          <w:p>
            <w:pPr>
              <w:jc w:val="right"/>
              <w:ind w:right="285"/>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(3.51)</w:t>
            </w:r>
          </w:p>
        </w:tc>
        <w:tc>
          <w:tcPr>
            <w:tcW w:w="120" w:type="dxa"/>
            <w:vAlign w:val="bottom"/>
          </w:tcPr>
          <w:p>
            <w:pPr>
              <w:spacing w:after="0"/>
              <w:rPr>
                <w:sz w:val="17"/>
                <w:szCs w:val="17"/>
                <w:color w:val="auto"/>
              </w:rPr>
            </w:pPr>
          </w:p>
        </w:tc>
        <w:tc>
          <w:tcPr>
            <w:tcW w:w="460" w:type="dxa"/>
            <w:vAlign w:val="bottom"/>
            <w:tcBorders>
              <w:top w:val="single" w:sz="8" w:color="auto"/>
            </w:tcBorders>
          </w:tcPr>
          <w:p>
            <w:pPr>
              <w:jc w:val="right"/>
              <w:ind w:right="285"/>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(2.70)</w:t>
            </w:r>
          </w:p>
        </w:tc>
        <w:tc>
          <w:tcPr>
            <w:tcW w:w="0" w:type="dxa"/>
            <w:vAlign w:val="bottom"/>
          </w:tcPr>
          <w:p>
            <w:pPr>
              <w:spacing w:after="0"/>
              <w:rPr>
                <w:sz w:val="1"/>
                <w:szCs w:val="1"/>
                <w:color w:val="auto"/>
              </w:rPr>
            </w:pPr>
          </w:p>
        </w:tc>
      </w:tr>
      <w:tr>
        <w:trPr>
          <w:trHeight w:val="71"/>
        </w:trPr>
        <w:tc>
          <w:tcPr>
            <w:tcW w:w="516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Diluted:</w:t>
            </w: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160" w:type="dxa"/>
            <w:vAlign w:val="bottom"/>
          </w:tcPr>
          <w:p>
            <w:pPr>
              <w:ind w:left="240"/>
              <w:spacing w:after="0"/>
              <w:rPr>
                <w:sz w:val="20"/>
                <w:szCs w:val="20"/>
                <w:color w:val="auto"/>
              </w:rPr>
            </w:pPr>
            <w:r>
              <w:rPr>
                <w:rFonts w:ascii="Arial" w:cs="Arial" w:eastAsia="Arial" w:hAnsi="Arial"/>
                <w:sz w:val="15"/>
                <w:szCs w:val="15"/>
                <w:color w:val="auto"/>
              </w:rPr>
              <w:t>Continuing operations</w:t>
            </w:r>
          </w:p>
        </w:tc>
        <w:tc>
          <w:tcPr>
            <w:tcW w:w="500" w:type="dxa"/>
            <w:vAlign w:val="bottom"/>
          </w:tcPr>
          <w:p>
            <w:pPr>
              <w:jc w:val="right"/>
              <w:ind w:right="325"/>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(1.38)</w:t>
            </w:r>
          </w:p>
        </w:tc>
        <w:tc>
          <w:tcPr>
            <w:tcW w:w="140" w:type="dxa"/>
            <w:vAlign w:val="bottom"/>
          </w:tcPr>
          <w:p>
            <w:pPr>
              <w:spacing w:after="0"/>
              <w:rPr>
                <w:sz w:val="18"/>
                <w:szCs w:val="18"/>
                <w:color w:val="auto"/>
              </w:rPr>
            </w:pPr>
          </w:p>
        </w:tc>
        <w:tc>
          <w:tcPr>
            <w:tcW w:w="480" w:type="dxa"/>
            <w:vAlign w:val="bottom"/>
          </w:tcPr>
          <w:p>
            <w:pPr>
              <w:jc w:val="right"/>
              <w:ind w:right="305"/>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(0.98)</w:t>
            </w:r>
          </w:p>
        </w:tc>
        <w:tc>
          <w:tcPr>
            <w:tcW w:w="120" w:type="dxa"/>
            <w:vAlign w:val="bottom"/>
          </w:tcPr>
          <w:p>
            <w:pPr>
              <w:spacing w:after="0"/>
              <w:rPr>
                <w:sz w:val="18"/>
                <w:szCs w:val="18"/>
                <w:color w:val="auto"/>
              </w:rPr>
            </w:pP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(3.51)</w:t>
            </w:r>
          </w:p>
        </w:tc>
        <w:tc>
          <w:tcPr>
            <w:tcW w:w="120" w:type="dxa"/>
            <w:vAlign w:val="bottom"/>
          </w:tcPr>
          <w:p>
            <w:pPr>
              <w:spacing w:after="0"/>
              <w:rPr>
                <w:sz w:val="18"/>
                <w:szCs w:val="18"/>
                <w:color w:val="auto"/>
              </w:rPr>
            </w:pP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r>
        <w:trPr>
          <w:trHeight w:val="31"/>
        </w:trPr>
        <w:tc>
          <w:tcPr>
            <w:tcW w:w="5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Discontinued operations**</w:t>
            </w: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(0.32)</w:t>
            </w:r>
          </w:p>
        </w:tc>
        <w:tc>
          <w:tcPr>
            <w:tcW w:w="0" w:type="dxa"/>
            <w:vAlign w:val="bottom"/>
          </w:tcPr>
          <w:p>
            <w:pPr>
              <w:spacing w:after="0"/>
              <w:rPr>
                <w:sz w:val="1"/>
                <w:szCs w:val="1"/>
                <w:color w:val="auto"/>
              </w:rPr>
            </w:pPr>
          </w:p>
        </w:tc>
      </w:tr>
      <w:tr>
        <w:trPr>
          <w:trHeight w:val="198"/>
        </w:trPr>
        <w:tc>
          <w:tcPr>
            <w:tcW w:w="5160" w:type="dxa"/>
            <w:vAlign w:val="bottom"/>
          </w:tcPr>
          <w:p>
            <w:pPr>
              <w:spacing w:after="0"/>
              <w:rPr>
                <w:sz w:val="17"/>
                <w:szCs w:val="17"/>
                <w:color w:val="auto"/>
              </w:rPr>
            </w:pPr>
          </w:p>
        </w:tc>
        <w:tc>
          <w:tcPr>
            <w:tcW w:w="500" w:type="dxa"/>
            <w:vAlign w:val="bottom"/>
            <w:tcBorders>
              <w:top w:val="single" w:sz="8" w:color="auto"/>
            </w:tcBorders>
          </w:tcPr>
          <w:p>
            <w:pPr>
              <w:jc w:val="right"/>
              <w:ind w:right="325"/>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(1.38)</w:t>
            </w:r>
          </w:p>
        </w:tc>
        <w:tc>
          <w:tcPr>
            <w:tcW w:w="140" w:type="dxa"/>
            <w:vAlign w:val="bottom"/>
          </w:tcPr>
          <w:p>
            <w:pPr>
              <w:spacing w:after="0"/>
              <w:rPr>
                <w:sz w:val="17"/>
                <w:szCs w:val="17"/>
                <w:color w:val="auto"/>
              </w:rPr>
            </w:pPr>
          </w:p>
        </w:tc>
        <w:tc>
          <w:tcPr>
            <w:tcW w:w="48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(0.78)</w:t>
            </w:r>
          </w:p>
        </w:tc>
        <w:tc>
          <w:tcPr>
            <w:tcW w:w="120" w:type="dxa"/>
            <w:vAlign w:val="bottom"/>
          </w:tcPr>
          <w:p>
            <w:pPr>
              <w:spacing w:after="0"/>
              <w:rPr>
                <w:sz w:val="17"/>
                <w:szCs w:val="17"/>
                <w:color w:val="auto"/>
              </w:rPr>
            </w:pPr>
          </w:p>
        </w:tc>
        <w:tc>
          <w:tcPr>
            <w:tcW w:w="460" w:type="dxa"/>
            <w:vAlign w:val="bottom"/>
            <w:tcBorders>
              <w:top w:val="single" w:sz="8" w:color="auto"/>
            </w:tcBorders>
          </w:tcPr>
          <w:p>
            <w:pPr>
              <w:jc w:val="right"/>
              <w:ind w:right="285"/>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(3.51)</w:t>
            </w:r>
          </w:p>
        </w:tc>
        <w:tc>
          <w:tcPr>
            <w:tcW w:w="120" w:type="dxa"/>
            <w:vAlign w:val="bottom"/>
          </w:tcPr>
          <w:p>
            <w:pPr>
              <w:spacing w:after="0"/>
              <w:rPr>
                <w:sz w:val="17"/>
                <w:szCs w:val="17"/>
                <w:color w:val="auto"/>
              </w:rPr>
            </w:pPr>
          </w:p>
        </w:tc>
        <w:tc>
          <w:tcPr>
            <w:tcW w:w="460" w:type="dxa"/>
            <w:vAlign w:val="bottom"/>
            <w:tcBorders>
              <w:top w:val="single" w:sz="8" w:color="auto"/>
            </w:tcBorders>
          </w:tcPr>
          <w:p>
            <w:pPr>
              <w:jc w:val="right"/>
              <w:ind w:right="285"/>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(2.70)</w:t>
            </w:r>
          </w:p>
        </w:tc>
        <w:tc>
          <w:tcPr>
            <w:tcW w:w="0" w:type="dxa"/>
            <w:vAlign w:val="bottom"/>
          </w:tcPr>
          <w:p>
            <w:pPr>
              <w:spacing w:after="0"/>
              <w:rPr>
                <w:sz w:val="1"/>
                <w:szCs w:val="1"/>
                <w:color w:val="auto"/>
              </w:rPr>
            </w:pPr>
          </w:p>
        </w:tc>
      </w:tr>
      <w:tr>
        <w:trPr>
          <w:trHeight w:val="71"/>
        </w:trPr>
        <w:tc>
          <w:tcPr>
            <w:tcW w:w="516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Weighted-average common shares outstanding:</w:t>
            </w: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160" w:type="dxa"/>
            <w:vAlign w:val="bottom"/>
          </w:tcPr>
          <w:p>
            <w:pPr>
              <w:ind w:left="240"/>
              <w:spacing w:after="0"/>
              <w:rPr>
                <w:sz w:val="20"/>
                <w:szCs w:val="20"/>
                <w:color w:val="auto"/>
              </w:rPr>
            </w:pPr>
            <w:r>
              <w:rPr>
                <w:rFonts w:ascii="Arial" w:cs="Arial" w:eastAsia="Arial" w:hAnsi="Arial"/>
                <w:sz w:val="15"/>
                <w:szCs w:val="15"/>
                <w:color w:val="auto"/>
              </w:rPr>
              <w:t>Basic</w:t>
            </w:r>
          </w:p>
        </w:tc>
        <w:tc>
          <w:tcPr>
            <w:tcW w:w="500" w:type="dxa"/>
            <w:vAlign w:val="bottom"/>
          </w:tcPr>
          <w:p>
            <w:pPr>
              <w:spacing w:after="0"/>
              <w:rPr>
                <w:sz w:val="18"/>
                <w:szCs w:val="18"/>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39,612</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44,893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40,405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44,576</w:t>
            </w:r>
          </w:p>
        </w:tc>
        <w:tc>
          <w:tcPr>
            <w:tcW w:w="0" w:type="dxa"/>
            <w:vAlign w:val="bottom"/>
          </w:tcPr>
          <w:p>
            <w:pPr>
              <w:spacing w:after="0"/>
              <w:rPr>
                <w:sz w:val="1"/>
                <w:szCs w:val="1"/>
                <w:color w:val="auto"/>
              </w:rPr>
            </w:pPr>
          </w:p>
        </w:tc>
      </w:tr>
      <w:tr>
        <w:trPr>
          <w:trHeight w:val="31"/>
        </w:trPr>
        <w:tc>
          <w:tcPr>
            <w:tcW w:w="5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Diluted</w:t>
            </w: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39,612</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44,893</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40,405</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44,576</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16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00" w:hanging="300"/>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Cost of revenues excludes depreciation and amortization which are shown separately.</w:t>
      </w:r>
    </w:p>
    <w:p>
      <w:pPr>
        <w:spacing w:after="0" w:line="4"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xml:space="preserve">See </w:t>
      </w:r>
      <w:r>
        <w:rPr>
          <w:rFonts w:ascii="Arial" w:cs="Arial" w:eastAsia="Arial" w:hAnsi="Arial"/>
          <w:sz w:val="15"/>
          <w:szCs w:val="15"/>
          <w:i w:val="1"/>
          <w:iCs w:val="1"/>
          <w:color w:val="auto"/>
        </w:rPr>
        <w:t>Note 3 - Acquisitions and Divestitures</w:t>
      </w:r>
      <w:r>
        <w:rPr>
          <w:rFonts w:ascii="Arial" w:cs="Arial" w:eastAsia="Arial" w:hAnsi="Arial"/>
          <w:sz w:val="15"/>
          <w:szCs w:val="15"/>
          <w:color w:val="auto"/>
        </w:rPr>
        <w:t xml:space="preserve"> for transactions classified as discontinued operations.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ectPr>
          <w:pgSz w:w="11900" w:h="16838" w:orient="portrait"/>
          <w:cols w:equalWidth="0" w:num="1">
            <w:col w:w="11420"/>
          </w:cols>
          <w:pgMar w:left="240" w:top="12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420"/>
          </w:cols>
          <w:pgMar w:left="240" w:top="127" w:right="239" w:bottom="1440" w:gutter="0" w:footer="0" w:header="0"/>
          <w:type w:val="continuous"/>
        </w:sectPr>
      </w:pPr>
    </w:p>
    <w:bookmarkStart w:id="4" w:name="page5"/>
    <w:bookmarkEnd w:id="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29"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29"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(Unaudited)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40" w:type="dxa"/>
            <w:vAlign w:val="bottom"/>
            <w:gridSpan w:val="5"/>
          </w:tcPr>
          <w:p>
            <w:pPr>
              <w:ind w:left="560"/>
              <w:spacing w:after="0"/>
              <w:rPr>
                <w:sz w:val="20"/>
                <w:szCs w:val="20"/>
                <w:color w:val="auto"/>
              </w:rPr>
            </w:pPr>
            <w:r>
              <w:rPr>
                <w:rFonts w:ascii="Arial" w:cs="Arial" w:eastAsia="Arial" w:hAnsi="Arial"/>
                <w:sz w:val="12"/>
                <w:szCs w:val="12"/>
                <w:b w:val="1"/>
                <w:bCs w:val="1"/>
                <w:color w:val="auto"/>
              </w:rPr>
              <w:t>Three Months Ended</w:t>
            </w:r>
          </w:p>
        </w:tc>
        <w:tc>
          <w:tcPr>
            <w:tcW w:w="300" w:type="dxa"/>
            <w:vAlign w:val="bottom"/>
          </w:tcPr>
          <w:p>
            <w:pPr>
              <w:spacing w:after="0"/>
              <w:rPr>
                <w:sz w:val="12"/>
                <w:szCs w:val="12"/>
                <w:color w:val="auto"/>
              </w:rPr>
            </w:pPr>
          </w:p>
        </w:tc>
        <w:tc>
          <w:tcPr>
            <w:tcW w:w="2300" w:type="dxa"/>
            <w:vAlign w:val="bottom"/>
            <w:gridSpan w:val="4"/>
          </w:tcPr>
          <w:p>
            <w:pPr>
              <w:jc w:val="right"/>
              <w:ind w:right="654"/>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58"/>
        </w:trPr>
        <w:tc>
          <w:tcPr>
            <w:tcW w:w="60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2"/>
                <w:szCs w:val="12"/>
                <w:b w:val="1"/>
                <w:bCs w:val="1"/>
                <w:color w:val="auto"/>
              </w:rPr>
              <w:t>September 30,</w:t>
            </w: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60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76"/>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54"/>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36"/>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34"/>
              <w:spacing w:after="0"/>
              <w:rPr>
                <w:sz w:val="20"/>
                <w:szCs w:val="20"/>
                <w:color w:val="auto"/>
              </w:rPr>
            </w:pPr>
            <w:r>
              <w:rPr>
                <w:rFonts w:ascii="Arial" w:cs="Arial" w:eastAsia="Arial" w:hAnsi="Arial"/>
                <w:sz w:val="12"/>
                <w:szCs w:val="12"/>
                <w:b w:val="1"/>
                <w:bCs w:val="1"/>
                <w:color w:val="auto"/>
              </w:rPr>
              <w:t>2017</w:t>
            </w:r>
          </w:p>
        </w:tc>
        <w:tc>
          <w:tcPr>
            <w:tcW w:w="0" w:type="dxa"/>
            <w:vAlign w:val="bottom"/>
          </w:tcPr>
          <w:p>
            <w:pPr>
              <w:spacing w:after="0"/>
              <w:rPr>
                <w:sz w:val="1"/>
                <w:szCs w:val="1"/>
                <w:color w:val="auto"/>
              </w:rPr>
            </w:pPr>
          </w:p>
        </w:tc>
      </w:tr>
      <w:tr>
        <w:trPr>
          <w:trHeight w:val="237"/>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32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(46,644)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(36,364)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(125,885)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(127,333)</w:t>
            </w:r>
          </w:p>
        </w:tc>
        <w:tc>
          <w:tcPr>
            <w:tcW w:w="0" w:type="dxa"/>
            <w:vAlign w:val="bottom"/>
          </w:tcPr>
          <w:p>
            <w:pPr>
              <w:spacing w:after="0"/>
              <w:rPr>
                <w:sz w:val="1"/>
                <w:szCs w:val="1"/>
                <w:color w:val="auto"/>
              </w:rPr>
            </w:pPr>
          </w:p>
        </w:tc>
      </w:tr>
      <w:tr>
        <w:trPr>
          <w:trHeight w:val="244"/>
        </w:trPr>
        <w:tc>
          <w:tcPr>
            <w:tcW w:w="6060" w:type="dxa"/>
            <w:vAlign w:val="bottom"/>
          </w:tcPr>
          <w:p>
            <w:pPr>
              <w:ind w:left="140"/>
              <w:spacing w:after="0"/>
              <w:rPr>
                <w:sz w:val="20"/>
                <w:szCs w:val="20"/>
                <w:color w:val="auto"/>
              </w:rPr>
            </w:pPr>
            <w:r>
              <w:rPr>
                <w:rFonts w:ascii="Arial" w:cs="Arial" w:eastAsia="Arial" w:hAnsi="Arial"/>
                <w:sz w:val="13"/>
                <w:szCs w:val="13"/>
                <w:color w:val="auto"/>
              </w:rPr>
              <w:t>Other comprehensive income, net of tax:</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60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Foreign currency translation adjustments</w:t>
            </w: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(1,544)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4,631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(6,529)</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17,003</w:t>
            </w:r>
          </w:p>
        </w:tc>
        <w:tc>
          <w:tcPr>
            <w:tcW w:w="0" w:type="dxa"/>
            <w:vAlign w:val="bottom"/>
          </w:tcPr>
          <w:p>
            <w:pPr>
              <w:spacing w:after="0"/>
              <w:rPr>
                <w:sz w:val="1"/>
                <w:szCs w:val="1"/>
                <w:color w:val="auto"/>
              </w:rPr>
            </w:pPr>
          </w:p>
        </w:tc>
      </w:tr>
      <w:tr>
        <w:trPr>
          <w:trHeight w:val="244"/>
        </w:trPr>
        <w:tc>
          <w:tcPr>
            <w:tcW w:w="6060" w:type="dxa"/>
            <w:vAlign w:val="bottom"/>
          </w:tcPr>
          <w:p>
            <w:pPr>
              <w:ind w:left="240"/>
              <w:spacing w:after="0"/>
              <w:rPr>
                <w:sz w:val="20"/>
                <w:szCs w:val="20"/>
                <w:color w:val="auto"/>
              </w:rPr>
            </w:pPr>
            <w:r>
              <w:rPr>
                <w:rFonts w:ascii="Arial" w:cs="Arial" w:eastAsia="Arial" w:hAnsi="Arial"/>
                <w:sz w:val="13"/>
                <w:szCs w:val="13"/>
                <w:color w:val="auto"/>
              </w:rPr>
              <w:t>Unrealized loss on available for sale securities</w:t>
            </w:r>
          </w:p>
        </w:tc>
        <w:tc>
          <w:tcPr>
            <w:tcW w:w="32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54"/>
        </w:trPr>
        <w:tc>
          <w:tcPr>
            <w:tcW w:w="60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Net (loss) income on intra-entity foreign currency transactions</w:t>
            </w:r>
          </w:p>
        </w:tc>
        <w:tc>
          <w:tcPr>
            <w:tcW w:w="3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932</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(603)</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1,940</w:t>
            </w:r>
          </w:p>
        </w:tc>
        <w:tc>
          <w:tcPr>
            <w:tcW w:w="0" w:type="dxa"/>
            <w:vAlign w:val="bottom"/>
          </w:tcPr>
          <w:p>
            <w:pPr>
              <w:spacing w:after="0"/>
              <w:rPr>
                <w:sz w:val="1"/>
                <w:szCs w:val="1"/>
                <w:color w:val="auto"/>
              </w:rPr>
            </w:pPr>
          </w:p>
        </w:tc>
      </w:tr>
      <w:tr>
        <w:trPr>
          <w:trHeight w:val="157"/>
        </w:trPr>
        <w:tc>
          <w:tcPr>
            <w:tcW w:w="6060" w:type="dxa"/>
            <w:vAlign w:val="bottom"/>
          </w:tcPr>
          <w:p>
            <w:pPr>
              <w:ind w:left="20"/>
              <w:spacing w:after="0"/>
              <w:rPr>
                <w:sz w:val="20"/>
                <w:szCs w:val="20"/>
                <w:color w:val="auto"/>
              </w:rPr>
            </w:pPr>
            <w:r>
              <w:rPr>
                <w:rFonts w:ascii="Arial" w:cs="Arial" w:eastAsia="Arial" w:hAnsi="Arial"/>
                <w:sz w:val="13"/>
                <w:szCs w:val="13"/>
                <w:color w:val="auto"/>
              </w:rPr>
              <w:t>Total other comprehensive (loss) income</w:t>
            </w:r>
          </w:p>
        </w:tc>
        <w:tc>
          <w:tcPr>
            <w:tcW w:w="320" w:type="dxa"/>
            <w:vAlign w:val="bottom"/>
          </w:tcPr>
          <w:p>
            <w:pPr>
              <w:spacing w:after="0"/>
              <w:rPr>
                <w:sz w:val="13"/>
                <w:szCs w:val="13"/>
                <w:color w:val="auto"/>
              </w:rPr>
            </w:pPr>
          </w:p>
        </w:tc>
        <w:tc>
          <w:tcPr>
            <w:tcW w:w="980" w:type="dxa"/>
            <w:vAlign w:val="bottom"/>
            <w:vMerge w:val="restart"/>
          </w:tcPr>
          <w:p>
            <w:pPr>
              <w:jc w:val="right"/>
              <w:ind w:right="16"/>
              <w:spacing w:after="0"/>
              <w:rPr>
                <w:sz w:val="20"/>
                <w:szCs w:val="20"/>
                <w:color w:val="auto"/>
              </w:rPr>
            </w:pPr>
            <w:r>
              <w:rPr>
                <w:rFonts w:ascii="Arial" w:cs="Arial" w:eastAsia="Arial" w:hAnsi="Arial"/>
                <w:sz w:val="13"/>
                <w:szCs w:val="13"/>
                <w:color w:val="auto"/>
              </w:rPr>
              <w:t>(1,619)</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vMerge w:val="restart"/>
          </w:tcPr>
          <w:p>
            <w:pPr>
              <w:jc w:val="right"/>
              <w:ind w:right="54"/>
              <w:spacing w:after="0"/>
              <w:rPr>
                <w:sz w:val="20"/>
                <w:szCs w:val="20"/>
                <w:color w:val="auto"/>
              </w:rPr>
            </w:pPr>
            <w:r>
              <w:rPr>
                <w:rFonts w:ascii="Arial" w:cs="Arial" w:eastAsia="Arial" w:hAnsi="Arial"/>
                <w:sz w:val="13"/>
                <w:szCs w:val="13"/>
                <w:color w:val="auto"/>
              </w:rPr>
              <w:t>5,556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(7,184)</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vMerge w:val="restart"/>
          </w:tcPr>
          <w:p>
            <w:pPr>
              <w:jc w:val="right"/>
              <w:ind w:right="34"/>
              <w:spacing w:after="0"/>
              <w:rPr>
                <w:sz w:val="20"/>
                <w:szCs w:val="20"/>
                <w:color w:val="auto"/>
              </w:rPr>
            </w:pPr>
            <w:r>
              <w:rPr>
                <w:rFonts w:ascii="Arial" w:cs="Arial" w:eastAsia="Arial" w:hAnsi="Arial"/>
                <w:sz w:val="13"/>
                <w:szCs w:val="13"/>
                <w:color w:val="auto"/>
              </w:rPr>
              <w:t>18,963</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loss</w:t>
            </w:r>
          </w:p>
        </w:tc>
        <w:tc>
          <w:tcPr>
            <w:tcW w:w="3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(48,263)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(30,808)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(133,069)</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(108,370)</w:t>
            </w:r>
          </w:p>
        </w:tc>
        <w:tc>
          <w:tcPr>
            <w:tcW w:w="0" w:type="dxa"/>
            <w:vAlign w:val="bottom"/>
          </w:tcPr>
          <w:p>
            <w:pPr>
              <w:spacing w:after="0"/>
              <w:rPr>
                <w:sz w:val="1"/>
                <w:szCs w:val="1"/>
                <w:color w:val="auto"/>
              </w:rPr>
            </w:pPr>
          </w:p>
        </w:tc>
      </w:tr>
      <w:tr>
        <w:trPr>
          <w:trHeight w:val="72"/>
        </w:trPr>
        <w:tc>
          <w:tcPr>
            <w:tcW w:w="60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Comprehensive (income) loss attributable to redeemable noncontrolling interests</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(422)</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1,276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2,122</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6,980</w:t>
            </w:r>
          </w:p>
        </w:tc>
        <w:tc>
          <w:tcPr>
            <w:tcW w:w="0" w:type="dxa"/>
            <w:vAlign w:val="bottom"/>
          </w:tcPr>
          <w:p>
            <w:pPr>
              <w:spacing w:after="0"/>
              <w:rPr>
                <w:sz w:val="1"/>
                <w:szCs w:val="1"/>
                <w:color w:val="auto"/>
              </w:rPr>
            </w:pPr>
          </w:p>
        </w:tc>
      </w:tr>
      <w:tr>
        <w:trPr>
          <w:trHeight w:val="217"/>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Comprehensive loss attributable to Synchronoss</w:t>
            </w:r>
          </w:p>
        </w:tc>
        <w:tc>
          <w:tcPr>
            <w:tcW w:w="3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(48,685)</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(29,532)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(130,947)</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(101,390)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7"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SYNCHRONOSS TECHNOLOGIES,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 thousands)</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8320" w:type="dxa"/>
            <w:vAlign w:val="bottom"/>
          </w:tcPr>
          <w:p>
            <w:pPr>
              <w:spacing w:after="0"/>
              <w:rPr>
                <w:sz w:val="15"/>
                <w:szCs w:val="15"/>
                <w:color w:val="auto"/>
              </w:rPr>
            </w:pPr>
          </w:p>
        </w:tc>
        <w:tc>
          <w:tcPr>
            <w:tcW w:w="3060" w:type="dxa"/>
            <w:vAlign w:val="bottom"/>
            <w:tcBorders>
              <w:bottom w:val="single" w:sz="8" w:color="auto"/>
            </w:tcBorders>
            <w:gridSpan w:val="5"/>
          </w:tcPr>
          <w:p>
            <w:pPr>
              <w:jc w:val="right"/>
              <w:ind w:right="454"/>
              <w:spacing w:after="0"/>
              <w:rPr>
                <w:sz w:val="20"/>
                <w:szCs w:val="20"/>
                <w:color w:val="auto"/>
              </w:rPr>
            </w:pPr>
            <w:r>
              <w:rPr>
                <w:rFonts w:ascii="Arial" w:cs="Arial" w:eastAsia="Arial" w:hAnsi="Arial"/>
                <w:sz w:val="13"/>
                <w:szCs w:val="13"/>
                <w:b w:val="1"/>
                <w:bCs w:val="1"/>
                <w:color w:val="auto"/>
              </w:rPr>
              <w:t>Nine Months Ended September 30,</w:t>
            </w:r>
          </w:p>
        </w:tc>
      </w:tr>
      <w:tr>
        <w:trPr>
          <w:trHeight w:val="239"/>
        </w:trPr>
        <w:tc>
          <w:tcPr>
            <w:tcW w:w="83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3"/>
                <w:szCs w:val="13"/>
                <w:b w:val="1"/>
                <w:bCs w:val="1"/>
                <w:color w:val="auto"/>
              </w:rPr>
              <w:t>2017</w:t>
            </w:r>
          </w:p>
        </w:tc>
      </w:tr>
      <w:tr>
        <w:trPr>
          <w:trHeight w:val="244"/>
        </w:trPr>
        <w:tc>
          <w:tcPr>
            <w:tcW w:w="8320" w:type="dxa"/>
            <w:vAlign w:val="bottom"/>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loss from continuing operations</w:t>
            </w:r>
          </w:p>
        </w:tc>
        <w:tc>
          <w:tcPr>
            <w:tcW w:w="880" w:type="dxa"/>
            <w:vAlign w:val="bottom"/>
            <w:shd w:val="clear" w:color="auto" w:fill="CCEEFF"/>
          </w:tcPr>
          <w:p>
            <w:pPr>
              <w:jc w:val="right"/>
              <w:ind w:right="734"/>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(125,885)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(113,266)</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Net loss from discontinued operations**</w:t>
            </w:r>
          </w:p>
        </w:tc>
        <w:tc>
          <w:tcPr>
            <w:tcW w:w="88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(14,067)</w:t>
            </w:r>
          </w:p>
        </w:tc>
      </w:tr>
      <w:tr>
        <w:trPr>
          <w:trHeight w:val="130"/>
        </w:trPr>
        <w:tc>
          <w:tcPr>
            <w:tcW w:w="8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44"/>
        </w:trPr>
        <w:tc>
          <w:tcPr>
            <w:tcW w:w="8320" w:type="dxa"/>
            <w:vAlign w:val="bottom"/>
          </w:tcPr>
          <w:p>
            <w:pPr>
              <w:ind w:left="2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Depreciation and amortization expense</w:t>
            </w: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70,330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71,098</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Change in fair value of financial instruments</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(3,849)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Amortization of debt issuance costs</w:t>
            </w: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1,060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12,523</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Accrued PIK interest*</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(7,037)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(8,805)</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Allowance for loan losses*</w:t>
            </w: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18,225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Loss (earnings) from equity method investments*</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(1,626)</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Loss (Gain) on disposals</w:t>
            </w: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277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(4,947)</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Discontinued operations non-cash and working capital adjustments**</w:t>
            </w:r>
          </w:p>
        </w:tc>
        <w:tc>
          <w:tcPr>
            <w:tcW w:w="88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3"/>
                <w:szCs w:val="13"/>
                <w:color w:val="auto"/>
              </w:rPr>
              <w:t>68,377</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Amortization of bond premium</w:t>
            </w: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219</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Deferred income taxes</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(8,937)</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Stock-based compensation</w:t>
            </w: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22,040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14,427</w:t>
            </w:r>
          </w:p>
        </w:tc>
      </w:tr>
      <w:tr>
        <w:trPr>
          <w:trHeight w:val="244"/>
        </w:trPr>
        <w:tc>
          <w:tcPr>
            <w:tcW w:w="8320" w:type="dxa"/>
            <w:vAlign w:val="bottom"/>
          </w:tcPr>
          <w:p>
            <w:pPr>
              <w:ind w:left="20"/>
              <w:spacing w:after="0"/>
              <w:rPr>
                <w:sz w:val="20"/>
                <w:szCs w:val="20"/>
                <w:color w:val="auto"/>
              </w:rPr>
            </w:pPr>
            <w:r>
              <w:rPr>
                <w:rFonts w:ascii="Arial" w:cs="Arial" w:eastAsia="Arial" w:hAnsi="Arial"/>
                <w:sz w:val="13"/>
                <w:szCs w:val="13"/>
                <w:color w:val="auto"/>
              </w:rPr>
              <w:t>Changes in operating assets and liabilities:</w:t>
            </w: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Accounts receivable, net of allowance for doubtful accounts</w:t>
            </w: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28,789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24,029</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Prepaid expenses and other current assets</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(12,844)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(29,143)</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assets</w:t>
            </w: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947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2,768</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Accounts payable</w:t>
            </w:r>
          </w:p>
        </w:tc>
        <w:tc>
          <w:tcPr>
            <w:tcW w:w="880" w:type="dxa"/>
            <w:vAlign w:val="bottom"/>
          </w:tcPr>
          <w:p>
            <w:pPr>
              <w:spacing w:after="0"/>
              <w:rPr>
                <w:sz w:val="21"/>
                <w:szCs w:val="21"/>
                <w:color w:val="auto"/>
              </w:rPr>
            </w:pPr>
          </w:p>
        </w:tc>
        <w:tc>
          <w:tcPr>
            <w:tcW w:w="600" w:type="dxa"/>
            <w:vAlign w:val="bottom"/>
          </w:tcPr>
          <w:p>
            <w:pPr>
              <w:jc w:val="right"/>
              <w:ind w:right="54"/>
              <w:spacing w:after="0"/>
              <w:rPr>
                <w:sz w:val="20"/>
                <w:szCs w:val="20"/>
                <w:color w:val="auto"/>
              </w:rPr>
            </w:pPr>
            <w:r>
              <w:rPr>
                <w:rFonts w:ascii="Arial" w:cs="Arial" w:eastAsia="Arial" w:hAnsi="Arial"/>
                <w:sz w:val="13"/>
                <w:szCs w:val="13"/>
                <w:color w:val="auto"/>
              </w:rPr>
              <w:t>8,195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(2,294)</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Accrued expenses</w:t>
            </w: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(24,539)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(16,775)</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Other liabilities</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(3,886)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3"/>
                <w:szCs w:val="13"/>
                <w:color w:val="auto"/>
              </w:rPr>
              <w:t>594</w:t>
            </w:r>
          </w:p>
        </w:tc>
      </w:tr>
      <w:tr>
        <w:trPr>
          <w:trHeight w:val="249"/>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Deferred revenues</w:t>
            </w:r>
          </w:p>
        </w:tc>
        <w:tc>
          <w:tcPr>
            <w:tcW w:w="8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(30,841)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4,732</w:t>
            </w:r>
          </w:p>
        </w:tc>
      </w:tr>
      <w:tr>
        <w:trPr>
          <w:trHeight w:val="229"/>
        </w:trPr>
        <w:tc>
          <w:tcPr>
            <w:tcW w:w="8320" w:type="dxa"/>
            <w:vAlign w:val="bottom"/>
          </w:tcPr>
          <w:p>
            <w:pPr>
              <w:ind w:left="20"/>
              <w:spacing w:after="0"/>
              <w:rPr>
                <w:sz w:val="20"/>
                <w:szCs w:val="20"/>
                <w:color w:val="auto"/>
              </w:rPr>
            </w:pPr>
            <w:r>
              <w:rPr>
                <w:rFonts w:ascii="Arial" w:cs="Arial" w:eastAsia="Arial" w:hAnsi="Arial"/>
                <w:sz w:val="13"/>
                <w:szCs w:val="13"/>
                <w:color w:val="auto"/>
              </w:rPr>
              <w:t>Net cash used in operating activities</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(60,662)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(1,093)</w:t>
            </w:r>
          </w:p>
        </w:tc>
      </w:tr>
      <w:tr>
        <w:trPr>
          <w:trHeight w:val="154"/>
        </w:trPr>
        <w:tc>
          <w:tcPr>
            <w:tcW w:w="8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44"/>
        </w:trPr>
        <w:tc>
          <w:tcPr>
            <w:tcW w:w="832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Purchases of fixed assets</w:t>
            </w: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(8,565)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(10,315)</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Purchases of intangible assets and capitalized software</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(11,012)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(7,848)</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Proceeds from the sale of SpeechCycle</w:t>
            </w:r>
          </w:p>
        </w:tc>
        <w:tc>
          <w:tcPr>
            <w:tcW w:w="8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13,500</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Purchases of marketable securities available for sale</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(15,784)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(219)</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Maturity of marketable securities available for sale</w:t>
            </w: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3,050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10,856</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Equity investment distributions</w:t>
            </w:r>
          </w:p>
        </w:tc>
        <w:tc>
          <w:tcPr>
            <w:tcW w:w="88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3"/>
                <w:szCs w:val="13"/>
                <w:color w:val="auto"/>
              </w:rPr>
              <w:t>608</w:t>
            </w:r>
          </w:p>
        </w:tc>
      </w:tr>
      <w:tr>
        <w:trPr>
          <w:trHeight w:val="254"/>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Investing in discontinued operations**</w:t>
            </w:r>
          </w:p>
        </w:tc>
        <w:tc>
          <w:tcPr>
            <w:tcW w:w="8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(11,429)</w:t>
            </w:r>
          </w:p>
        </w:tc>
      </w:tr>
      <w:tr>
        <w:trPr>
          <w:trHeight w:val="244"/>
        </w:trPr>
        <w:tc>
          <w:tcPr>
            <w:tcW w:w="8320" w:type="dxa"/>
            <w:vAlign w:val="bottom"/>
          </w:tcPr>
          <w:p>
            <w:pPr>
              <w:ind w:left="260"/>
              <w:spacing w:after="0"/>
              <w:rPr>
                <w:sz w:val="20"/>
                <w:szCs w:val="20"/>
                <w:color w:val="auto"/>
              </w:rPr>
            </w:pPr>
            <w:r>
              <w:rPr>
                <w:rFonts w:ascii="Arial" w:cs="Arial" w:eastAsia="Arial" w:hAnsi="Arial"/>
                <w:sz w:val="13"/>
                <w:szCs w:val="13"/>
                <w:color w:val="auto"/>
              </w:rPr>
              <w:t>Investment in note receivable</w:t>
            </w:r>
          </w:p>
        </w:tc>
        <w:tc>
          <w:tcPr>
            <w:tcW w:w="88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(6,187)</w:t>
            </w:r>
          </w:p>
        </w:tc>
      </w:tr>
      <w:tr>
        <w:trPr>
          <w:trHeight w:val="249"/>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Business acquired, net of cash</w:t>
            </w:r>
          </w:p>
        </w:tc>
        <w:tc>
          <w:tcPr>
            <w:tcW w:w="8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(9,734)</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(815,008)</w:t>
            </w:r>
          </w:p>
        </w:tc>
      </w:tr>
      <w:tr>
        <w:trPr>
          <w:trHeight w:val="224"/>
        </w:trPr>
        <w:tc>
          <w:tcPr>
            <w:tcW w:w="8320" w:type="dxa"/>
            <w:vAlign w:val="bottom"/>
          </w:tcPr>
          <w:p>
            <w:pPr>
              <w:ind w:left="20"/>
              <w:spacing w:after="0"/>
              <w:rPr>
                <w:sz w:val="20"/>
                <w:szCs w:val="20"/>
                <w:color w:val="auto"/>
              </w:rPr>
            </w:pPr>
            <w:r>
              <w:rPr>
                <w:rFonts w:ascii="Arial" w:cs="Arial" w:eastAsia="Arial" w:hAnsi="Arial"/>
                <w:sz w:val="13"/>
                <w:szCs w:val="13"/>
                <w:color w:val="auto"/>
              </w:rPr>
              <w:t>Net cash used in investing activities</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(42,045)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(826,042)</w:t>
            </w:r>
          </w:p>
        </w:tc>
      </w:tr>
    </w:tbl>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7" w:right="25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231775</wp:posOffset>
            </wp:positionV>
            <wp:extent cx="7225665" cy="158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5665" cy="15811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Financing activities: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320" w:type="dxa"/>
            <w:vAlign w:val="bottom"/>
          </w:tcPr>
          <w:p>
            <w:pPr>
              <w:ind w:left="260"/>
              <w:spacing w:after="0"/>
              <w:rPr>
                <w:sz w:val="20"/>
                <w:szCs w:val="20"/>
                <w:color w:val="auto"/>
              </w:rPr>
            </w:pPr>
            <w:r>
              <w:rPr>
                <w:rFonts w:ascii="Arial" w:cs="Arial" w:eastAsia="Arial" w:hAnsi="Arial"/>
                <w:sz w:val="13"/>
                <w:szCs w:val="13"/>
                <w:color w:val="auto"/>
              </w:rPr>
              <w:t>Share-based compensation-related proceeds, net of taxes paid on withholding shares</w:t>
            </w:r>
          </w:p>
        </w:tc>
        <w:tc>
          <w:tcPr>
            <w:tcW w:w="5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960" w:type="dxa"/>
            <w:vAlign w:val="bottom"/>
          </w:tcPr>
          <w:p>
            <w:pPr>
              <w:jc w:val="right"/>
              <w:ind w:right="34"/>
              <w:spacing w:after="0"/>
              <w:rPr>
                <w:sz w:val="20"/>
                <w:szCs w:val="20"/>
                <w:color w:val="auto"/>
              </w:rPr>
            </w:pPr>
            <w:r>
              <w:rPr>
                <w:rFonts w:ascii="Arial" w:cs="Arial" w:eastAsia="Arial" w:hAnsi="Arial"/>
                <w:sz w:val="13"/>
                <w:szCs w:val="13"/>
                <w:color w:val="auto"/>
              </w:rPr>
              <w:t>2,460</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Taxes paid on withholding shares</w:t>
            </w:r>
          </w:p>
        </w:tc>
        <w:tc>
          <w:tcPr>
            <w:tcW w:w="5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20" w:type="dxa"/>
            <w:vAlign w:val="bottom"/>
          </w:tcPr>
          <w:p>
            <w:pPr>
              <w:ind w:left="260"/>
              <w:spacing w:after="0"/>
              <w:rPr>
                <w:sz w:val="20"/>
                <w:szCs w:val="20"/>
                <w:color w:val="auto"/>
              </w:rPr>
            </w:pPr>
            <w:r>
              <w:rPr>
                <w:rFonts w:ascii="Arial" w:cs="Arial" w:eastAsia="Arial" w:hAnsi="Arial"/>
                <w:sz w:val="13"/>
                <w:szCs w:val="13"/>
                <w:color w:val="auto"/>
              </w:rPr>
              <w:t>Debt issuance costs related to the Credit Facility</w:t>
            </w:r>
          </w:p>
        </w:tc>
        <w:tc>
          <w:tcPr>
            <w:tcW w:w="5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(3,692)</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Debt issuance cost related to amendment</w:t>
            </w:r>
          </w:p>
        </w:tc>
        <w:tc>
          <w:tcPr>
            <w:tcW w:w="5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(16,776)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20" w:type="dxa"/>
            <w:vAlign w:val="bottom"/>
          </w:tcPr>
          <w:p>
            <w:pPr>
              <w:ind w:left="260"/>
              <w:spacing w:after="0"/>
              <w:rPr>
                <w:sz w:val="20"/>
                <w:szCs w:val="20"/>
                <w:color w:val="auto"/>
              </w:rPr>
            </w:pPr>
            <w:r>
              <w:rPr>
                <w:rFonts w:ascii="Arial" w:cs="Arial" w:eastAsia="Arial" w:hAnsi="Arial"/>
                <w:sz w:val="13"/>
                <w:szCs w:val="13"/>
                <w:color w:val="auto"/>
              </w:rPr>
              <w:t>Debt issuance costs related to long term debt</w:t>
            </w:r>
          </w:p>
        </w:tc>
        <w:tc>
          <w:tcPr>
            <w:tcW w:w="5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(19,887)</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Proceeds from issuance of long term debt</w:t>
            </w:r>
          </w:p>
        </w:tc>
        <w:tc>
          <w:tcPr>
            <w:tcW w:w="5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900,000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20" w:type="dxa"/>
            <w:vAlign w:val="bottom"/>
          </w:tcPr>
          <w:p>
            <w:pPr>
              <w:ind w:left="260"/>
              <w:spacing w:after="0"/>
              <w:rPr>
                <w:sz w:val="20"/>
                <w:szCs w:val="20"/>
                <w:color w:val="auto"/>
              </w:rPr>
            </w:pPr>
            <w:r>
              <w:rPr>
                <w:rFonts w:ascii="Arial" w:cs="Arial" w:eastAsia="Arial" w:hAnsi="Arial"/>
                <w:sz w:val="13"/>
                <w:szCs w:val="13"/>
                <w:color w:val="auto"/>
              </w:rPr>
              <w:t>Repayment of long term debt</w:t>
            </w:r>
          </w:p>
        </w:tc>
        <w:tc>
          <w:tcPr>
            <w:tcW w:w="5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(4,500)</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Repayment of revolving line of credit</w:t>
            </w:r>
          </w:p>
        </w:tc>
        <w:tc>
          <w:tcPr>
            <w:tcW w:w="5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20" w:type="dxa"/>
            <w:vAlign w:val="bottom"/>
          </w:tcPr>
          <w:p>
            <w:pPr>
              <w:ind w:left="260"/>
              <w:spacing w:after="0"/>
              <w:rPr>
                <w:sz w:val="20"/>
                <w:szCs w:val="20"/>
                <w:color w:val="auto"/>
              </w:rPr>
            </w:pPr>
            <w:r>
              <w:rPr>
                <w:rFonts w:ascii="Arial" w:cs="Arial" w:eastAsia="Arial" w:hAnsi="Arial"/>
                <w:sz w:val="13"/>
                <w:szCs w:val="13"/>
                <w:color w:val="auto"/>
              </w:rPr>
              <w:t>Proceeds from the sale of treasury stock in connection with an employee stock purchase plan</w:t>
            </w:r>
          </w:p>
        </w:tc>
        <w:tc>
          <w:tcPr>
            <w:tcW w:w="5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3"/>
                <w:szCs w:val="13"/>
                <w:color w:val="auto"/>
              </w:rPr>
              <w:t>1,047</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Proceeds from issuance of preferred stock</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86,220</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2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Payments on capital obligations</w:t>
            </w: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(1,018)</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85,202</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826,998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2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Effect of exchange rate changes on cash</w:t>
            </w: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(1,805)</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4,938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decrease in cash, restricted cash and cash equivalents</w:t>
            </w: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(19,310)</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4,801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Cash, restricted cash and cash equivalents, beginning of period</w:t>
            </w: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246,125</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211,433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restricted cash and cash equivalents, end of period</w:t>
            </w:r>
          </w:p>
        </w:tc>
        <w:tc>
          <w:tcPr>
            <w:tcW w:w="52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226,815</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216,234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8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disclosures of non-cash investing and financing activities:</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20" w:type="dxa"/>
            <w:vAlign w:val="bottom"/>
          </w:tcPr>
          <w:p>
            <w:pPr>
              <w:ind w:left="260"/>
              <w:spacing w:after="0"/>
              <w:rPr>
                <w:sz w:val="20"/>
                <w:szCs w:val="20"/>
                <w:color w:val="auto"/>
              </w:rPr>
            </w:pPr>
            <w:r>
              <w:rPr>
                <w:rFonts w:ascii="Arial" w:cs="Arial" w:eastAsia="Arial" w:hAnsi="Arial"/>
                <w:sz w:val="13"/>
                <w:szCs w:val="13"/>
                <w:color w:val="auto"/>
              </w:rPr>
              <w:t>Issuance of common stock in connection with Intralinks acquisition</w:t>
            </w:r>
          </w:p>
        </w:tc>
        <w:tc>
          <w:tcPr>
            <w:tcW w:w="520" w:type="dxa"/>
            <w:vAlign w:val="bottom"/>
          </w:tcPr>
          <w:p>
            <w:pPr>
              <w:jc w:val="right"/>
              <w:ind w:right="374"/>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354"/>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4"/>
              <w:spacing w:after="0"/>
              <w:rPr>
                <w:sz w:val="20"/>
                <w:szCs w:val="20"/>
                <w:color w:val="auto"/>
              </w:rPr>
            </w:pPr>
            <w:r>
              <w:rPr>
                <w:rFonts w:ascii="Arial" w:cs="Arial" w:eastAsia="Arial" w:hAnsi="Arial"/>
                <w:sz w:val="13"/>
                <w:szCs w:val="13"/>
                <w:color w:val="auto"/>
              </w:rPr>
              <w:t>4,700</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83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20" w:type="dxa"/>
            <w:vAlign w:val="bottom"/>
          </w:tcPr>
          <w:p>
            <w:pPr>
              <w:ind w:left="260"/>
              <w:spacing w:after="0"/>
              <w:rPr>
                <w:sz w:val="20"/>
                <w:szCs w:val="20"/>
                <w:color w:val="auto"/>
              </w:rPr>
            </w:pPr>
            <w:r>
              <w:rPr>
                <w:rFonts w:ascii="Arial" w:cs="Arial" w:eastAsia="Arial" w:hAnsi="Arial"/>
                <w:sz w:val="13"/>
                <w:szCs w:val="13"/>
                <w:color w:val="auto"/>
              </w:rPr>
              <w:t>Cash and cash equivalents per the Condensed Consolidated Balance Sheets</w:t>
            </w:r>
          </w:p>
        </w:tc>
        <w:tc>
          <w:tcPr>
            <w:tcW w:w="520" w:type="dxa"/>
            <w:vAlign w:val="bottom"/>
          </w:tcPr>
          <w:p>
            <w:pPr>
              <w:jc w:val="right"/>
              <w:ind w:right="374"/>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54"/>
              <w:spacing w:after="0"/>
              <w:rPr>
                <w:sz w:val="20"/>
                <w:szCs w:val="20"/>
                <w:color w:val="auto"/>
              </w:rPr>
            </w:pPr>
            <w:r>
              <w:rPr>
                <w:rFonts w:ascii="Arial" w:cs="Arial" w:eastAsia="Arial" w:hAnsi="Arial"/>
                <w:sz w:val="13"/>
                <w:szCs w:val="13"/>
                <w:color w:val="auto"/>
              </w:rPr>
              <w:t>222,438</w:t>
            </w:r>
          </w:p>
        </w:tc>
        <w:tc>
          <w:tcPr>
            <w:tcW w:w="120" w:type="dxa"/>
            <w:vAlign w:val="bottom"/>
          </w:tcPr>
          <w:p>
            <w:pPr>
              <w:spacing w:after="0"/>
              <w:rPr>
                <w:sz w:val="21"/>
                <w:szCs w:val="21"/>
                <w:color w:val="auto"/>
              </w:rPr>
            </w:pPr>
          </w:p>
        </w:tc>
        <w:tc>
          <w:tcPr>
            <w:tcW w:w="500" w:type="dxa"/>
            <w:vAlign w:val="bottom"/>
          </w:tcPr>
          <w:p>
            <w:pPr>
              <w:jc w:val="right"/>
              <w:ind w:right="354"/>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4"/>
              <w:spacing w:after="0"/>
              <w:rPr>
                <w:sz w:val="20"/>
                <w:szCs w:val="20"/>
                <w:color w:val="auto"/>
              </w:rPr>
            </w:pPr>
            <w:r>
              <w:rPr>
                <w:rFonts w:ascii="Arial" w:cs="Arial" w:eastAsia="Arial" w:hAnsi="Arial"/>
                <w:sz w:val="13"/>
                <w:szCs w:val="13"/>
                <w:color w:val="auto"/>
              </w:rPr>
              <w:t>210,070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Restricted cash per the Condensed Consolidated Balance Sheets</w:t>
            </w: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4,377</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6,164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tcPr>
          <w:p>
            <w:pPr>
              <w:ind w:left="20"/>
              <w:spacing w:after="0"/>
              <w:rPr>
                <w:sz w:val="20"/>
                <w:szCs w:val="20"/>
                <w:color w:val="auto"/>
              </w:rPr>
            </w:pPr>
            <w:r>
              <w:rPr>
                <w:rFonts w:ascii="Arial" w:cs="Arial" w:eastAsia="Arial" w:hAnsi="Arial"/>
                <w:sz w:val="13"/>
                <w:szCs w:val="13"/>
                <w:b w:val="1"/>
                <w:bCs w:val="1"/>
                <w:color w:val="auto"/>
              </w:rPr>
              <w:t>Total cash, cash equivalents and restricted cash</w:t>
            </w:r>
          </w:p>
        </w:tc>
        <w:tc>
          <w:tcPr>
            <w:tcW w:w="52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226,815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216,234</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jc w:val="right"/>
              <w:ind w:right="5614"/>
              <w:spacing w:after="0"/>
              <w:rPr>
                <w:sz w:val="20"/>
                <w:szCs w:val="20"/>
                <w:color w:val="auto"/>
              </w:rPr>
            </w:pPr>
            <w:r>
              <w:rPr>
                <w:rFonts w:ascii="Arial" w:cs="Arial" w:eastAsia="Arial" w:hAnsi="Arial"/>
                <w:sz w:val="17"/>
                <w:szCs w:val="17"/>
                <w:color w:val="auto"/>
                <w:w w:val="87"/>
              </w:rPr>
              <w:t>________________________________</w:t>
            </w: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right="3320"/>
        <w:spacing w:after="0" w:line="280" w:lineRule="auto"/>
        <w:tabs>
          <w:tab w:leader="none" w:pos="299"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Note 5 -Investments in Affiliates and Related Transactions</w:t>
      </w:r>
      <w:r>
        <w:rPr>
          <w:rFonts w:ascii="Arial" w:cs="Arial" w:eastAsia="Arial" w:hAnsi="Arial"/>
          <w:sz w:val="16"/>
          <w:szCs w:val="16"/>
          <w:color w:val="auto"/>
        </w:rPr>
        <w:t xml:space="preserve"> for related party transactions reflected in this account. ** See </w:t>
      </w:r>
      <w:r>
        <w:rPr>
          <w:rFonts w:ascii="Arial" w:cs="Arial" w:eastAsia="Arial" w:hAnsi="Arial"/>
          <w:sz w:val="16"/>
          <w:szCs w:val="16"/>
          <w:i w:val="1"/>
          <w:iCs w:val="1"/>
          <w:color w:val="auto"/>
        </w:rPr>
        <w:t>Note 3 - Acquisitions and Divestitures</w:t>
      </w:r>
      <w:r>
        <w:rPr>
          <w:rFonts w:ascii="Arial" w:cs="Arial" w:eastAsia="Arial" w:hAnsi="Arial"/>
          <w:sz w:val="16"/>
          <w:szCs w:val="16"/>
          <w:color w:val="auto"/>
        </w:rPr>
        <w:t xml:space="preserve"> for transactions classified as discontinued operations.</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7" w:right="25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03"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Synchronoss Technologies, Inc. (“Synchronoss” or the “Company”) is a global software and services company that provides essential technologies for the mobile transformation of business. The Company’s portfolio, contains offerings such as personal cloud, secure-mobility, identity management, digital transformation and scalable messaging platforms, products and solutions. These essential technologies create a better way of delivering the transformative mobile experiences that our customers need to help them stay ahead of the curve in competition, innovation, productivity, growth and operational efficiency.</w:t>
      </w:r>
    </w:p>
    <w:p>
      <w:pPr>
        <w:spacing w:after="0" w:line="163"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6"/>
          <w:szCs w:val="16"/>
          <w:color w:val="auto"/>
        </w:rPr>
        <w:t>Synchronoss’ products and platforms are designed to be carrier-grade, flexible and scalable, enabling multiple converged communication services to be managed across a range of distribution channels including e-commerce, m-commerce, telesales, customer stores, indirect and other retail outlets. This business model allows the Company to meet the rapidly changing converged services and connected devices offered by their customers. Synchronoss’ products, platforms and solutions enable its customers to acquire, retain and service subscribers and employees quickly, reliably and cost-effectively with white label and custom-branded solutions. Synchronoss’ customers can simplify the processes associated with managing the customer experience for procuring, activating, connecting, backing-up, synchronizing and sharing/collaboration with connected devices and contents from these devices and associated services. The extensibility, scalability, reliability and relevance of the Company’s platforms enable new revenue streams and retention opportunities for their customers through new subscriber acquisitions, sale of new devices, accessories and new value-added service offerings in the Cloud. By using the Company’s technologies, Synchronoss’ customers can optimize their cost of operations while enhancing their customer experience.</w:t>
      </w:r>
    </w:p>
    <w:p>
      <w:pPr>
        <w:spacing w:after="0" w:line="173" w:lineRule="exact"/>
        <w:rPr>
          <w:sz w:val="20"/>
          <w:szCs w:val="20"/>
          <w:color w:val="auto"/>
        </w:rPr>
      </w:pPr>
    </w:p>
    <w:p>
      <w:pPr>
        <w:jc w:val="both"/>
        <w:ind w:firstLine="299"/>
        <w:spacing w:after="0" w:line="332" w:lineRule="auto"/>
        <w:rPr>
          <w:sz w:val="20"/>
          <w:szCs w:val="20"/>
          <w:color w:val="auto"/>
        </w:rPr>
      </w:pPr>
      <w:r>
        <w:rPr>
          <w:rFonts w:ascii="Arial" w:cs="Arial" w:eastAsia="Arial" w:hAnsi="Arial"/>
          <w:sz w:val="15"/>
          <w:szCs w:val="15"/>
          <w:color w:val="auto"/>
        </w:rPr>
        <w:t>The Company currently operates in and markets its solutions and services directly through its sales organizations in the United States, Canada and Latin America (collectively, the “Americas”); Europe, Middle East and Africa (collectively, “EMEA”); and Australia, Japan, Southeast Asia and China (collectively, “APAC”).</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Providers, Retailers, OEMs, Re-sellers and Service Integrators</w:t>
      </w:r>
    </w:p>
    <w:p>
      <w:pPr>
        <w:spacing w:after="0" w:line="203" w:lineRule="exact"/>
        <w:rPr>
          <w:sz w:val="20"/>
          <w:szCs w:val="20"/>
          <w:color w:val="auto"/>
        </w:rPr>
      </w:pPr>
    </w:p>
    <w:p>
      <w:pPr>
        <w:jc w:val="both"/>
        <w:ind w:firstLine="299"/>
        <w:spacing w:after="0" w:line="286" w:lineRule="auto"/>
        <w:rPr>
          <w:sz w:val="20"/>
          <w:szCs w:val="20"/>
          <w:color w:val="auto"/>
        </w:rPr>
      </w:pPr>
      <w:r>
        <w:rPr>
          <w:rFonts w:ascii="Arial" w:cs="Arial" w:eastAsia="Arial" w:hAnsi="Arial"/>
          <w:sz w:val="15"/>
          <w:szCs w:val="15"/>
          <w:color w:val="auto"/>
        </w:rPr>
        <w:t>The Company’s products and platforms provide end-to-end seamless integration between customer-facing channels/applications, communication services, or devices and “back-office” infrastructure-related systems and processes. Synchronoss’ customers rely on these solutions and technology to automate the process of activation and content and settings management for their subscribers’ devices while delivering additional communication services. Synchronoss’ portfolio includes: cloud-based sync, backup, storage and content engagement capabilities, broadband connectivity solutions, analytics, white label messaging, identity/access management that enable communications service providers (“CSPs”), cable operators/multi-services operators (“MSOs”) and original equipment manufacturers (“OEMs”) with embedded connectivity (e.g. smartphones, laptops, tablets and mobile internet devices (“MIDs”) such as automobiles, wearables for personal health and wellness, and connected homes), multi-channel retailers, as well as other customers to accelerate and monetize value-add services for secure and broadband networks and connected devices.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Basis of Presentation and Consolidation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203"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The accompanying interim unaudited condensed consolidated financial statements have been prepared by Synchronoss and in the opinion of management, include all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included in the Company’s Annual Report on Form 10-K/A for the year ended December 31, 2017. The results of operations for the three and nine months ended September 30, 2018 are not necessarily indicative of the results to be expected for the year ending December 31, 2018.</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7" w:right="2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The condensed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 Certain prior year amounts have been reclassified to conform to the current year's presentation.</w:t>
      </w:r>
    </w:p>
    <w:p>
      <w:pPr>
        <w:spacing w:after="0" w:line="184"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For further information about the Company’s basis of presentation and consolidation or its significant accounting policies, refer to the consolidated financial statements and footnotes thereto included in the Company’s Annual Report on Form 10-K/A for the year ended December 31, 2017.</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03"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Restricted cash includes amounts to various deposits, escrows and other cash collateral that are restricted by contractual obligation. During the nine months ended September 30, 2018, $87.3 million was released from escrow on notification that Siris Capital Group, LLC (“Siris”) would exercise its option on the issuance of preferred stock. These funds were restricted from the proceeds received upon the sale of Intralinks, through the date of issuance of preferred stock. Remaining amounts were primarily attributed to cash held in transit, and operating cash held by the Company’s consolidated joint venture Zentry, LLC (“Zentry”), which cannot be used to fulfill the obligations of the Company as a whole.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Out of Period Adjustments</w:t>
      </w:r>
    </w:p>
    <w:p>
      <w:pPr>
        <w:spacing w:after="0" w:line="203" w:lineRule="exact"/>
        <w:rPr>
          <w:sz w:val="20"/>
          <w:szCs w:val="20"/>
          <w:color w:val="auto"/>
        </w:rPr>
      </w:pPr>
    </w:p>
    <w:p>
      <w:pPr>
        <w:jc w:val="both"/>
        <w:ind w:firstLine="299"/>
        <w:spacing w:after="0" w:line="286" w:lineRule="auto"/>
        <w:rPr>
          <w:sz w:val="20"/>
          <w:szCs w:val="20"/>
          <w:color w:val="auto"/>
        </w:rPr>
      </w:pPr>
      <w:r>
        <w:rPr>
          <w:rFonts w:ascii="Arial" w:cs="Arial" w:eastAsia="Arial" w:hAnsi="Arial"/>
          <w:sz w:val="15"/>
          <w:szCs w:val="15"/>
          <w:color w:val="auto"/>
        </w:rPr>
        <w:t>The Company as a part of implementation of more comprehensive reconciliation controls and other ongoing remediation efforts related to the material weaknesses described in Part II, Item 9A of its Annual Report on Form 10-K/A for the year ended December 31, 2017, identified certain adjustments that were not recorded in its financial statements for March 31, 2018 and June 30, 2018 quarterly periods. Specifically, the Company identified an adjustment to cost of revenues, which resulted in reporting an understatement for the three-month period ended March 31, 2018, of approximately $4.9 million, as well as other immaterial adjustments. The Company, considered the effects of all adjustments identified on its current period and prior period financial statements and determined that the adjustments did not have a material effect on its financial statements presented for the nine-month period ended September 30, 2018. Accordingly, the Company recorded this material adjustment of approximately $4.9 million as an out-of-period adjustment to cost of revenues in the three-month period ended September 30, 2018.</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 accounting pronouncements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89535</wp:posOffset>
            </wp:positionV>
            <wp:extent cx="72097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9790" cy="76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p>
      <w:pPr>
        <w:spacing w:after="0" w:line="170"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5"/>
          <w:szCs w:val="15"/>
          <w:color w:val="auto"/>
        </w:rPr>
        <w:t>Standard</w:t>
      </w:r>
      <w:r>
        <w:rPr>
          <w:sz w:val="20"/>
          <w:szCs w:val="20"/>
          <w:color w:val="auto"/>
        </w:rPr>
        <w:tab/>
      </w:r>
      <w:r>
        <w:rPr>
          <w:rFonts w:ascii="Arial" w:cs="Arial" w:eastAsia="Arial" w:hAnsi="Arial"/>
          <w:sz w:val="15"/>
          <w:szCs w:val="15"/>
          <w:color w:val="auto"/>
        </w:rPr>
        <w:t>Description</w:t>
      </w:r>
    </w:p>
    <w:p>
      <w:pPr>
        <w:spacing w:after="0" w:line="77"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5"/>
          <w:szCs w:val="15"/>
          <w:color w:val="auto"/>
        </w:rPr>
        <w:t>Accounting Standards Update</w:t>
      </w:r>
      <w:r>
        <w:rPr>
          <w:sz w:val="20"/>
          <w:szCs w:val="20"/>
          <w:color w:val="auto"/>
        </w:rPr>
        <w:tab/>
      </w:r>
      <w:r>
        <w:rPr>
          <w:rFonts w:ascii="Arial" w:cs="Arial" w:eastAsia="Arial" w:hAnsi="Arial"/>
          <w:sz w:val="13"/>
          <w:szCs w:val="13"/>
          <w:color w:val="auto"/>
        </w:rPr>
        <w:t>In May 2017, the Financial Accounting Standards Board (“FASB”) issued guidance which clarifies</w:t>
      </w:r>
    </w:p>
    <w:p>
      <w:pPr>
        <w:spacing w:after="0" w:line="17"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5"/>
          <w:szCs w:val="15"/>
          <w:color w:val="auto"/>
        </w:rPr>
        <w:t>(“ASU”) 2017-09 Stock</w:t>
      </w:r>
      <w:r>
        <w:rPr>
          <w:sz w:val="20"/>
          <w:szCs w:val="20"/>
          <w:color w:val="auto"/>
        </w:rPr>
        <w:tab/>
      </w:r>
      <w:r>
        <w:rPr>
          <w:rFonts w:ascii="Arial" w:cs="Arial" w:eastAsia="Arial" w:hAnsi="Arial"/>
          <w:sz w:val="13"/>
          <w:szCs w:val="13"/>
          <w:color w:val="auto"/>
        </w:rPr>
        <w:t>when changes to the terms or conditions of a share-based payment award must be accounted for as</w:t>
      </w:r>
    </w:p>
    <w:p>
      <w:pPr>
        <w:spacing w:after="0" w:line="14"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5"/>
          <w:szCs w:val="15"/>
          <w:color w:val="auto"/>
        </w:rPr>
        <w:t>Compensation (Topic 718),</w:t>
      </w:r>
      <w:r>
        <w:rPr>
          <w:sz w:val="20"/>
          <w:szCs w:val="20"/>
          <w:color w:val="auto"/>
        </w:rPr>
        <w:tab/>
      </w:r>
      <w:r>
        <w:rPr>
          <w:rFonts w:ascii="Arial" w:cs="Arial" w:eastAsia="Arial" w:hAnsi="Arial"/>
          <w:sz w:val="13"/>
          <w:szCs w:val="13"/>
          <w:color w:val="auto"/>
        </w:rPr>
        <w:t>modifications. Entities will apply the modification accounting guidance if the value, vesting conditions</w:t>
      </w:r>
    </w:p>
    <w:p>
      <w:pPr>
        <w:spacing w:after="0" w:line="14"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5"/>
          <w:szCs w:val="15"/>
          <w:color w:val="auto"/>
        </w:rPr>
        <w:t>Scope of Modification</w:t>
      </w:r>
      <w:r>
        <w:rPr>
          <w:sz w:val="20"/>
          <w:szCs w:val="20"/>
          <w:color w:val="auto"/>
        </w:rPr>
        <w:tab/>
      </w:r>
      <w:r>
        <w:rPr>
          <w:rFonts w:ascii="Arial" w:cs="Arial" w:eastAsia="Arial" w:hAnsi="Arial"/>
          <w:sz w:val="13"/>
          <w:szCs w:val="13"/>
          <w:color w:val="auto"/>
        </w:rPr>
        <w:t>or classification of the award changes. The guidance also clarifies that a modification to an award</w:t>
      </w:r>
    </w:p>
    <w:p>
      <w:pPr>
        <w:spacing w:after="0" w:line="14" w:lineRule="exact"/>
        <w:rPr>
          <w:sz w:val="20"/>
          <w:szCs w:val="20"/>
          <w:color w:val="auto"/>
        </w:rPr>
      </w:pPr>
    </w:p>
    <w:p>
      <w:pPr>
        <w:ind w:left="2120" w:right="100"/>
        <w:spacing w:after="0" w:line="265" w:lineRule="auto"/>
        <w:rPr>
          <w:sz w:val="20"/>
          <w:szCs w:val="20"/>
          <w:color w:val="auto"/>
        </w:rPr>
      </w:pPr>
      <w:r>
        <w:rPr>
          <w:rFonts w:ascii="Arial" w:cs="Arial" w:eastAsia="Arial" w:hAnsi="Arial"/>
          <w:sz w:val="15"/>
          <w:szCs w:val="15"/>
          <w:color w:val="auto"/>
        </w:rPr>
        <w:t>could be significant and therefore require disclosure, even if modification accounting is not required. ASU 2017-09 is effective for fiscal years, and interim periods within those years, beginning after December 31, 2017. Early adoption is permitted as of the beginning of an annual period for which financial statements have not been issued. ASU 2017-09 should be applied prospectively to an award modified on or after the adoption date.</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5"/>
          <w:szCs w:val="15"/>
          <w:color w:val="auto"/>
        </w:rPr>
        <w:t>Date of adoption: January 1,</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5"/>
          <w:szCs w:val="15"/>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28575</wp:posOffset>
            </wp:positionV>
            <wp:extent cx="72097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979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Effect on the financial statements</w:t>
      </w:r>
    </w:p>
    <w:p>
      <w:pPr>
        <w:spacing w:after="0" w:line="77" w:lineRule="exact"/>
        <w:rPr>
          <w:sz w:val="20"/>
          <w:szCs w:val="20"/>
          <w:color w:val="auto"/>
        </w:rPr>
      </w:pPr>
    </w:p>
    <w:p>
      <w:pPr>
        <w:ind w:right="160"/>
        <w:spacing w:after="0" w:line="332" w:lineRule="auto"/>
        <w:rPr>
          <w:sz w:val="20"/>
          <w:szCs w:val="20"/>
          <w:color w:val="auto"/>
        </w:rPr>
      </w:pPr>
      <w:r>
        <w:rPr>
          <w:rFonts w:ascii="Arial" w:cs="Arial" w:eastAsia="Arial" w:hAnsi="Arial"/>
          <w:sz w:val="13"/>
          <w:szCs w:val="13"/>
          <w:color w:val="auto"/>
        </w:rPr>
        <w:t>This ASU did not have a material effect on the Company’s condensed consolidated financial statements as of the date of adoption.</w:t>
      </w:r>
    </w:p>
    <w:p>
      <w:pPr>
        <w:spacing w:after="0" w:line="1673" w:lineRule="exact"/>
        <w:rPr>
          <w:sz w:val="20"/>
          <w:szCs w:val="20"/>
          <w:color w:val="auto"/>
        </w:rPr>
      </w:pPr>
    </w:p>
    <w:p>
      <w:pPr>
        <w:sectPr>
          <w:pgSz w:w="11900" w:h="16838" w:orient="portrait"/>
          <w:cols w:equalWidth="0" w:num="2">
            <w:col w:w="8280" w:space="200"/>
            <w:col w:w="2940"/>
          </w:cols>
          <w:pgMar w:left="240" w:top="12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420"/>
          </w:cols>
          <w:pgMar w:left="240" w:top="127" w:right="239" w:bottom="1440" w:gutter="0" w:footer="0" w:header="0"/>
          <w:type w:val="continuous"/>
        </w:sectPr>
      </w:pPr>
    </w:p>
    <w:bookmarkStart w:id="9" w:name="page10"/>
    <w:bookmarkEnd w:id="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Standards issued not yet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89535</wp:posOffset>
            </wp:positionV>
            <wp:extent cx="724154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1540" cy="7620"/>
                    </a:xfrm>
                    <a:prstGeom prst="rect">
                      <a:avLst/>
                    </a:prstGeom>
                    <a:noFill/>
                  </pic:spPr>
                </pic:pic>
              </a:graphicData>
            </a:graphic>
          </wp:anchor>
        </w:drawing>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940" w:type="dxa"/>
            <w:vAlign w:val="bottom"/>
          </w:tcPr>
          <w:p>
            <w:pPr>
              <w:ind w:left="20"/>
              <w:spacing w:after="0"/>
              <w:rPr>
                <w:sz w:val="20"/>
                <w:szCs w:val="20"/>
                <w:color w:val="auto"/>
              </w:rPr>
            </w:pPr>
            <w:r>
              <w:rPr>
                <w:rFonts w:ascii="Arial" w:cs="Arial" w:eastAsia="Arial" w:hAnsi="Arial"/>
                <w:sz w:val="15"/>
                <w:szCs w:val="15"/>
                <w:color w:val="auto"/>
              </w:rPr>
              <w:t>Standard</w:t>
            </w:r>
          </w:p>
        </w:tc>
        <w:tc>
          <w:tcPr>
            <w:tcW w:w="6420" w:type="dxa"/>
            <w:vAlign w:val="bottom"/>
          </w:tcPr>
          <w:p>
            <w:pPr>
              <w:ind w:left="140"/>
              <w:spacing w:after="0"/>
              <w:rPr>
                <w:sz w:val="20"/>
                <w:szCs w:val="20"/>
                <w:color w:val="auto"/>
              </w:rPr>
            </w:pPr>
            <w:r>
              <w:rPr>
                <w:rFonts w:ascii="Arial" w:cs="Arial" w:eastAsia="Arial" w:hAnsi="Arial"/>
                <w:sz w:val="15"/>
                <w:szCs w:val="15"/>
                <w:color w:val="auto"/>
              </w:rPr>
              <w:t>Description</w:t>
            </w:r>
          </w:p>
        </w:tc>
        <w:tc>
          <w:tcPr>
            <w:tcW w:w="3040" w:type="dxa"/>
            <w:vAlign w:val="bottom"/>
          </w:tcPr>
          <w:p>
            <w:pPr>
              <w:ind w:left="100"/>
              <w:spacing w:after="0"/>
              <w:rPr>
                <w:sz w:val="20"/>
                <w:szCs w:val="20"/>
                <w:color w:val="auto"/>
              </w:rPr>
            </w:pPr>
            <w:r>
              <w:rPr>
                <w:rFonts w:ascii="Arial" w:cs="Arial" w:eastAsia="Arial" w:hAnsi="Arial"/>
                <w:sz w:val="15"/>
                <w:szCs w:val="15"/>
                <w:color w:val="auto"/>
              </w:rPr>
              <w:t>Effect on the financial statements</w:t>
            </w:r>
          </w:p>
        </w:tc>
      </w:tr>
      <w:tr>
        <w:trPr>
          <w:trHeight w:val="31"/>
        </w:trPr>
        <w:tc>
          <w:tcPr>
            <w:tcW w:w="194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r>
      <w:tr>
        <w:trPr>
          <w:trHeight w:val="196"/>
        </w:trPr>
        <w:tc>
          <w:tcPr>
            <w:tcW w:w="1940" w:type="dxa"/>
            <w:vAlign w:val="bottom"/>
          </w:tcPr>
          <w:p>
            <w:pPr>
              <w:ind w:left="20"/>
              <w:spacing w:after="0"/>
              <w:rPr>
                <w:sz w:val="20"/>
                <w:szCs w:val="20"/>
                <w:color w:val="auto"/>
              </w:rPr>
            </w:pPr>
            <w:r>
              <w:rPr>
                <w:rFonts w:ascii="Arial" w:cs="Arial" w:eastAsia="Arial" w:hAnsi="Arial"/>
                <w:sz w:val="15"/>
                <w:szCs w:val="15"/>
                <w:color w:val="auto"/>
              </w:rPr>
              <w:t>ASU 2018-15 Intangibles -</w:t>
            </w:r>
          </w:p>
        </w:tc>
        <w:tc>
          <w:tcPr>
            <w:tcW w:w="6420" w:type="dxa"/>
            <w:vAlign w:val="bottom"/>
          </w:tcPr>
          <w:p>
            <w:pPr>
              <w:ind w:left="140"/>
              <w:spacing w:after="0"/>
              <w:rPr>
                <w:sz w:val="20"/>
                <w:szCs w:val="20"/>
                <w:color w:val="auto"/>
              </w:rPr>
            </w:pPr>
            <w:r>
              <w:rPr>
                <w:rFonts w:ascii="Arial" w:cs="Arial" w:eastAsia="Arial" w:hAnsi="Arial"/>
                <w:sz w:val="15"/>
                <w:szCs w:val="15"/>
                <w:color w:val="auto"/>
              </w:rPr>
              <w:t>In August 2018, the FASB issued final guidance requiring a customer in a cloud computing</w:t>
            </w:r>
          </w:p>
        </w:tc>
        <w:tc>
          <w:tcPr>
            <w:tcW w:w="3040" w:type="dxa"/>
            <w:vAlign w:val="bottom"/>
          </w:tcPr>
          <w:p>
            <w:pPr>
              <w:ind w:left="100"/>
              <w:spacing w:after="0"/>
              <w:rPr>
                <w:sz w:val="20"/>
                <w:szCs w:val="20"/>
                <w:color w:val="auto"/>
              </w:rPr>
            </w:pPr>
            <w:r>
              <w:rPr>
                <w:rFonts w:ascii="Arial" w:cs="Arial" w:eastAsia="Arial" w:hAnsi="Arial"/>
                <w:sz w:val="15"/>
                <w:szCs w:val="15"/>
                <w:color w:val="auto"/>
                <w:w w:val="98"/>
              </w:rPr>
              <w:t>The Company is currently reviewing its cloud</w:t>
            </w:r>
          </w:p>
        </w:tc>
      </w:tr>
      <w:tr>
        <w:trPr>
          <w:trHeight w:val="187"/>
        </w:trPr>
        <w:tc>
          <w:tcPr>
            <w:tcW w:w="1940" w:type="dxa"/>
            <w:vAlign w:val="bottom"/>
          </w:tcPr>
          <w:p>
            <w:pPr>
              <w:ind w:left="20"/>
              <w:spacing w:after="0"/>
              <w:rPr>
                <w:sz w:val="20"/>
                <w:szCs w:val="20"/>
                <w:color w:val="auto"/>
              </w:rPr>
            </w:pPr>
            <w:r>
              <w:rPr>
                <w:rFonts w:ascii="Arial" w:cs="Arial" w:eastAsia="Arial" w:hAnsi="Arial"/>
                <w:sz w:val="15"/>
                <w:szCs w:val="15"/>
                <w:color w:val="auto"/>
                <w:w w:val="99"/>
              </w:rPr>
              <w:t>Goodwill and Other - Internal</w:t>
            </w:r>
          </w:p>
        </w:tc>
        <w:tc>
          <w:tcPr>
            <w:tcW w:w="6420" w:type="dxa"/>
            <w:vAlign w:val="bottom"/>
          </w:tcPr>
          <w:p>
            <w:pPr>
              <w:ind w:left="140"/>
              <w:spacing w:after="0"/>
              <w:rPr>
                <w:sz w:val="20"/>
                <w:szCs w:val="20"/>
                <w:color w:val="auto"/>
              </w:rPr>
            </w:pPr>
            <w:r>
              <w:rPr>
                <w:rFonts w:ascii="Arial" w:cs="Arial" w:eastAsia="Arial" w:hAnsi="Arial"/>
                <w:sz w:val="15"/>
                <w:szCs w:val="15"/>
                <w:color w:val="auto"/>
                <w:w w:val="98"/>
              </w:rPr>
              <w:t>arrangement that is a service contract to follow the internal use software guidance in Accounting</w:t>
            </w:r>
          </w:p>
        </w:tc>
        <w:tc>
          <w:tcPr>
            <w:tcW w:w="3040" w:type="dxa"/>
            <w:vAlign w:val="bottom"/>
          </w:tcPr>
          <w:p>
            <w:pPr>
              <w:ind w:left="100"/>
              <w:spacing w:after="0"/>
              <w:rPr>
                <w:sz w:val="20"/>
                <w:szCs w:val="20"/>
                <w:color w:val="auto"/>
              </w:rPr>
            </w:pPr>
            <w:r>
              <w:rPr>
                <w:rFonts w:ascii="Arial" w:cs="Arial" w:eastAsia="Arial" w:hAnsi="Arial"/>
                <w:sz w:val="15"/>
                <w:szCs w:val="15"/>
                <w:color w:val="auto"/>
                <w:w w:val="92"/>
              </w:rPr>
              <w:t>computing arrangements to evaluate the impact</w:t>
            </w:r>
          </w:p>
        </w:tc>
      </w:tr>
      <w:tr>
        <w:trPr>
          <w:trHeight w:val="187"/>
        </w:trPr>
        <w:tc>
          <w:tcPr>
            <w:tcW w:w="1940" w:type="dxa"/>
            <w:vAlign w:val="bottom"/>
          </w:tcPr>
          <w:p>
            <w:pPr>
              <w:ind w:left="20"/>
              <w:spacing w:after="0"/>
              <w:rPr>
                <w:sz w:val="20"/>
                <w:szCs w:val="20"/>
                <w:color w:val="auto"/>
              </w:rPr>
            </w:pPr>
            <w:r>
              <w:rPr>
                <w:rFonts w:ascii="Arial" w:cs="Arial" w:eastAsia="Arial" w:hAnsi="Arial"/>
                <w:sz w:val="15"/>
                <w:szCs w:val="15"/>
                <w:color w:val="auto"/>
                <w:w w:val="99"/>
              </w:rPr>
              <w:t>Use Software (Subtopic 350-</w:t>
            </w:r>
          </w:p>
        </w:tc>
        <w:tc>
          <w:tcPr>
            <w:tcW w:w="6420" w:type="dxa"/>
            <w:vAlign w:val="bottom"/>
          </w:tcPr>
          <w:p>
            <w:pPr>
              <w:ind w:left="140"/>
              <w:spacing w:after="0"/>
              <w:rPr>
                <w:sz w:val="20"/>
                <w:szCs w:val="20"/>
                <w:color w:val="auto"/>
              </w:rPr>
            </w:pPr>
            <w:r>
              <w:rPr>
                <w:rFonts w:ascii="Arial" w:cs="Arial" w:eastAsia="Arial" w:hAnsi="Arial"/>
                <w:sz w:val="15"/>
                <w:szCs w:val="15"/>
                <w:color w:val="auto"/>
                <w:w w:val="97"/>
              </w:rPr>
              <w:t>Standards Codification (“ASC”) 350-402 Intangibles - Goodwill and Other - Internal Use Software</w:t>
            </w:r>
          </w:p>
        </w:tc>
        <w:tc>
          <w:tcPr>
            <w:tcW w:w="3040" w:type="dxa"/>
            <w:vAlign w:val="bottom"/>
          </w:tcPr>
          <w:p>
            <w:pPr>
              <w:ind w:left="100"/>
              <w:spacing w:after="0"/>
              <w:rPr>
                <w:sz w:val="20"/>
                <w:szCs w:val="20"/>
                <w:color w:val="auto"/>
              </w:rPr>
            </w:pPr>
            <w:r>
              <w:rPr>
                <w:rFonts w:ascii="Arial" w:cs="Arial" w:eastAsia="Arial" w:hAnsi="Arial"/>
                <w:sz w:val="15"/>
                <w:szCs w:val="15"/>
                <w:color w:val="auto"/>
                <w:w w:val="97"/>
              </w:rPr>
              <w:t>of adoption of the final guidance but does not</w:t>
            </w:r>
          </w:p>
        </w:tc>
      </w:tr>
      <w:tr>
        <w:trPr>
          <w:trHeight w:val="187"/>
        </w:trPr>
        <w:tc>
          <w:tcPr>
            <w:tcW w:w="1940" w:type="dxa"/>
            <w:vAlign w:val="bottom"/>
          </w:tcPr>
          <w:p>
            <w:pPr>
              <w:ind w:left="20"/>
              <w:spacing w:after="0"/>
              <w:rPr>
                <w:sz w:val="20"/>
                <w:szCs w:val="20"/>
                <w:color w:val="auto"/>
              </w:rPr>
            </w:pPr>
            <w:r>
              <w:rPr>
                <w:rFonts w:ascii="Arial" w:cs="Arial" w:eastAsia="Arial" w:hAnsi="Arial"/>
                <w:sz w:val="15"/>
                <w:szCs w:val="15"/>
                <w:color w:val="auto"/>
              </w:rPr>
              <w:t>40): Cloud Computing</w:t>
            </w:r>
          </w:p>
        </w:tc>
        <w:tc>
          <w:tcPr>
            <w:tcW w:w="6420" w:type="dxa"/>
            <w:vAlign w:val="bottom"/>
          </w:tcPr>
          <w:p>
            <w:pPr>
              <w:ind w:left="140"/>
              <w:spacing w:after="0"/>
              <w:rPr>
                <w:sz w:val="20"/>
                <w:szCs w:val="20"/>
                <w:color w:val="auto"/>
              </w:rPr>
            </w:pPr>
            <w:r>
              <w:rPr>
                <w:rFonts w:ascii="Arial" w:cs="Arial" w:eastAsia="Arial" w:hAnsi="Arial"/>
                <w:sz w:val="15"/>
                <w:szCs w:val="15"/>
                <w:color w:val="auto"/>
                <w:w w:val="91"/>
              </w:rPr>
              <w:t>(Subtopic 350-40) to determine which implementation costs to capitalize as assets. The amendments in</w:t>
            </w:r>
          </w:p>
        </w:tc>
        <w:tc>
          <w:tcPr>
            <w:tcW w:w="3040" w:type="dxa"/>
            <w:vAlign w:val="bottom"/>
          </w:tcPr>
          <w:p>
            <w:pPr>
              <w:ind w:left="100"/>
              <w:spacing w:after="0"/>
              <w:rPr>
                <w:sz w:val="20"/>
                <w:szCs w:val="20"/>
                <w:color w:val="auto"/>
              </w:rPr>
            </w:pPr>
            <w:r>
              <w:rPr>
                <w:rFonts w:ascii="Arial" w:cs="Arial" w:eastAsia="Arial" w:hAnsi="Arial"/>
                <w:sz w:val="15"/>
                <w:szCs w:val="15"/>
                <w:color w:val="auto"/>
              </w:rPr>
              <w:t>expect that the pending adoption of this</w:t>
            </w:r>
          </w:p>
        </w:tc>
      </w:tr>
      <w:tr>
        <w:trPr>
          <w:trHeight w:val="187"/>
        </w:trPr>
        <w:tc>
          <w:tcPr>
            <w:tcW w:w="1940" w:type="dxa"/>
            <w:vAlign w:val="bottom"/>
          </w:tcPr>
          <w:p>
            <w:pPr>
              <w:ind w:left="20"/>
              <w:spacing w:after="0"/>
              <w:rPr>
                <w:sz w:val="20"/>
                <w:szCs w:val="20"/>
                <w:color w:val="auto"/>
              </w:rPr>
            </w:pPr>
            <w:r>
              <w:rPr>
                <w:rFonts w:ascii="Arial" w:cs="Arial" w:eastAsia="Arial" w:hAnsi="Arial"/>
                <w:sz w:val="15"/>
                <w:szCs w:val="15"/>
                <w:color w:val="auto"/>
              </w:rPr>
              <w:t>Arrangements</w:t>
            </w:r>
          </w:p>
        </w:tc>
        <w:tc>
          <w:tcPr>
            <w:tcW w:w="6420" w:type="dxa"/>
            <w:vAlign w:val="bottom"/>
          </w:tcPr>
          <w:p>
            <w:pPr>
              <w:ind w:left="140"/>
              <w:spacing w:after="0"/>
              <w:rPr>
                <w:sz w:val="20"/>
                <w:szCs w:val="20"/>
                <w:color w:val="auto"/>
              </w:rPr>
            </w:pPr>
            <w:r>
              <w:rPr>
                <w:rFonts w:ascii="Arial" w:cs="Arial" w:eastAsia="Arial" w:hAnsi="Arial"/>
                <w:sz w:val="15"/>
                <w:szCs w:val="15"/>
                <w:color w:val="auto"/>
                <w:w w:val="99"/>
              </w:rPr>
              <w:t>this ASU are effective for fiscal years beginning after December 15, 2019. Early adoption of the</w:t>
            </w:r>
          </w:p>
        </w:tc>
        <w:tc>
          <w:tcPr>
            <w:tcW w:w="3040" w:type="dxa"/>
            <w:vAlign w:val="bottom"/>
          </w:tcPr>
          <w:p>
            <w:pPr>
              <w:ind w:left="100"/>
              <w:spacing w:after="0"/>
              <w:rPr>
                <w:sz w:val="20"/>
                <w:szCs w:val="20"/>
                <w:color w:val="auto"/>
              </w:rPr>
            </w:pPr>
            <w:r>
              <w:rPr>
                <w:rFonts w:ascii="Arial" w:cs="Arial" w:eastAsia="Arial" w:hAnsi="Arial"/>
                <w:sz w:val="15"/>
                <w:szCs w:val="15"/>
                <w:color w:val="auto"/>
              </w:rPr>
              <w:t>ASU will have a material effect on its</w:t>
            </w:r>
          </w:p>
        </w:tc>
      </w:tr>
      <w:tr>
        <w:trPr>
          <w:trHeight w:val="187"/>
        </w:trPr>
        <w:tc>
          <w:tcPr>
            <w:tcW w:w="1940" w:type="dxa"/>
            <w:vAlign w:val="bottom"/>
          </w:tcPr>
          <w:p>
            <w:pPr>
              <w:spacing w:after="0"/>
              <w:rPr>
                <w:sz w:val="16"/>
                <w:szCs w:val="16"/>
                <w:color w:val="auto"/>
              </w:rPr>
            </w:pPr>
          </w:p>
        </w:tc>
        <w:tc>
          <w:tcPr>
            <w:tcW w:w="6420" w:type="dxa"/>
            <w:vAlign w:val="bottom"/>
          </w:tcPr>
          <w:p>
            <w:pPr>
              <w:ind w:left="140"/>
              <w:spacing w:after="0"/>
              <w:rPr>
                <w:sz w:val="20"/>
                <w:szCs w:val="20"/>
                <w:color w:val="auto"/>
              </w:rPr>
            </w:pPr>
            <w:r>
              <w:rPr>
                <w:rFonts w:ascii="Arial" w:cs="Arial" w:eastAsia="Arial" w:hAnsi="Arial"/>
                <w:sz w:val="15"/>
                <w:szCs w:val="15"/>
                <w:color w:val="auto"/>
                <w:w w:val="99"/>
              </w:rPr>
              <w:t>amendments is permitted, including adoption in any interim period, for all entities and should be</w:t>
            </w:r>
          </w:p>
        </w:tc>
        <w:tc>
          <w:tcPr>
            <w:tcW w:w="3040" w:type="dxa"/>
            <w:vAlign w:val="bottom"/>
          </w:tcPr>
          <w:p>
            <w:pPr>
              <w:ind w:left="100"/>
              <w:spacing w:after="0"/>
              <w:rPr>
                <w:sz w:val="20"/>
                <w:szCs w:val="20"/>
                <w:color w:val="auto"/>
              </w:rPr>
            </w:pPr>
            <w:r>
              <w:rPr>
                <w:rFonts w:ascii="Arial" w:cs="Arial" w:eastAsia="Arial" w:hAnsi="Arial"/>
                <w:sz w:val="15"/>
                <w:szCs w:val="15"/>
                <w:color w:val="auto"/>
                <w:w w:val="96"/>
              </w:rPr>
              <w:t>condensed consolidated financial statements.</w:t>
            </w:r>
          </w:p>
        </w:tc>
      </w:tr>
      <w:tr>
        <w:trPr>
          <w:trHeight w:val="187"/>
        </w:trPr>
        <w:tc>
          <w:tcPr>
            <w:tcW w:w="1940" w:type="dxa"/>
            <w:vAlign w:val="bottom"/>
          </w:tcPr>
          <w:p>
            <w:pPr>
              <w:spacing w:after="0"/>
              <w:rPr>
                <w:sz w:val="16"/>
                <w:szCs w:val="16"/>
                <w:color w:val="auto"/>
              </w:rPr>
            </w:pPr>
          </w:p>
        </w:tc>
        <w:tc>
          <w:tcPr>
            <w:tcW w:w="6420" w:type="dxa"/>
            <w:vAlign w:val="bottom"/>
          </w:tcPr>
          <w:p>
            <w:pPr>
              <w:ind w:left="140"/>
              <w:spacing w:after="0"/>
              <w:rPr>
                <w:sz w:val="20"/>
                <w:szCs w:val="20"/>
                <w:color w:val="auto"/>
              </w:rPr>
            </w:pPr>
            <w:r>
              <w:rPr>
                <w:rFonts w:ascii="Arial" w:cs="Arial" w:eastAsia="Arial" w:hAnsi="Arial"/>
                <w:sz w:val="15"/>
                <w:szCs w:val="15"/>
                <w:color w:val="auto"/>
                <w:w w:val="96"/>
              </w:rPr>
              <w:t>applied either retrospectively or prospectively to all implementation costs incurred after the date of</w:t>
            </w:r>
          </w:p>
        </w:tc>
        <w:tc>
          <w:tcPr>
            <w:tcW w:w="3040" w:type="dxa"/>
            <w:vAlign w:val="bottom"/>
          </w:tcPr>
          <w:p>
            <w:pPr>
              <w:spacing w:after="0"/>
              <w:rPr>
                <w:sz w:val="16"/>
                <w:szCs w:val="16"/>
                <w:color w:val="auto"/>
              </w:rPr>
            </w:pPr>
          </w:p>
        </w:tc>
      </w:tr>
      <w:tr>
        <w:trPr>
          <w:trHeight w:val="189"/>
        </w:trPr>
        <w:tc>
          <w:tcPr>
            <w:tcW w:w="1940" w:type="dxa"/>
            <w:vAlign w:val="bottom"/>
          </w:tcPr>
          <w:p>
            <w:pPr>
              <w:spacing w:after="0"/>
              <w:rPr>
                <w:sz w:val="16"/>
                <w:szCs w:val="16"/>
                <w:color w:val="auto"/>
              </w:rPr>
            </w:pPr>
          </w:p>
        </w:tc>
        <w:tc>
          <w:tcPr>
            <w:tcW w:w="6420" w:type="dxa"/>
            <w:vAlign w:val="bottom"/>
          </w:tcPr>
          <w:p>
            <w:pPr>
              <w:ind w:left="140"/>
              <w:spacing w:after="0"/>
              <w:rPr>
                <w:sz w:val="20"/>
                <w:szCs w:val="20"/>
                <w:color w:val="auto"/>
              </w:rPr>
            </w:pPr>
            <w:r>
              <w:rPr>
                <w:rFonts w:ascii="Arial" w:cs="Arial" w:eastAsia="Arial" w:hAnsi="Arial"/>
                <w:sz w:val="15"/>
                <w:szCs w:val="15"/>
                <w:color w:val="auto"/>
              </w:rPr>
              <w:t>adoption.</w:t>
            </w:r>
          </w:p>
        </w:tc>
        <w:tc>
          <w:tcPr>
            <w:tcW w:w="3040" w:type="dxa"/>
            <w:vAlign w:val="bottom"/>
          </w:tcPr>
          <w:p>
            <w:pPr>
              <w:spacing w:after="0"/>
              <w:rPr>
                <w:sz w:val="16"/>
                <w:szCs w:val="16"/>
                <w:color w:val="auto"/>
              </w:rPr>
            </w:pPr>
          </w:p>
        </w:tc>
      </w:tr>
      <w:tr>
        <w:trPr>
          <w:trHeight w:val="234"/>
        </w:trPr>
        <w:tc>
          <w:tcPr>
            <w:tcW w:w="1940" w:type="dxa"/>
            <w:vAlign w:val="bottom"/>
          </w:tcPr>
          <w:p>
            <w:pPr>
              <w:ind w:left="20"/>
              <w:spacing w:after="0"/>
              <w:rPr>
                <w:sz w:val="20"/>
                <w:szCs w:val="20"/>
                <w:color w:val="auto"/>
              </w:rPr>
            </w:pPr>
            <w:r>
              <w:rPr>
                <w:rFonts w:ascii="Arial" w:cs="Arial" w:eastAsia="Arial" w:hAnsi="Arial"/>
                <w:sz w:val="15"/>
                <w:szCs w:val="15"/>
                <w:color w:val="auto"/>
              </w:rPr>
              <w:t>Date of adoption: January 1,</w:t>
            </w:r>
          </w:p>
        </w:tc>
        <w:tc>
          <w:tcPr>
            <w:tcW w:w="642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189"/>
        </w:trPr>
        <w:tc>
          <w:tcPr>
            <w:tcW w:w="1940" w:type="dxa"/>
            <w:vAlign w:val="bottom"/>
          </w:tcPr>
          <w:p>
            <w:pPr>
              <w:ind w:left="20"/>
              <w:spacing w:after="0"/>
              <w:rPr>
                <w:sz w:val="20"/>
                <w:szCs w:val="20"/>
                <w:color w:val="auto"/>
              </w:rPr>
            </w:pPr>
            <w:r>
              <w:rPr>
                <w:rFonts w:ascii="Arial" w:cs="Arial" w:eastAsia="Arial" w:hAnsi="Arial"/>
                <w:sz w:val="15"/>
                <w:szCs w:val="15"/>
                <w:color w:val="auto"/>
              </w:rPr>
              <w:t>2020.</w:t>
            </w:r>
          </w:p>
        </w:tc>
        <w:tc>
          <w:tcPr>
            <w:tcW w:w="6420" w:type="dxa"/>
            <w:vAlign w:val="bottom"/>
          </w:tcPr>
          <w:p>
            <w:pPr>
              <w:spacing w:after="0"/>
              <w:rPr>
                <w:sz w:val="16"/>
                <w:szCs w:val="16"/>
                <w:color w:val="auto"/>
              </w:rPr>
            </w:pPr>
          </w:p>
        </w:tc>
        <w:tc>
          <w:tcPr>
            <w:tcW w:w="30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19685</wp:posOffset>
            </wp:positionV>
            <wp:extent cx="724154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1540" cy="76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p>
      <w:pPr>
        <w:spacing w:after="0" w:line="60" w:lineRule="exact"/>
        <w:rPr>
          <w:sz w:val="20"/>
          <w:szCs w:val="20"/>
          <w:color w:val="auto"/>
        </w:rPr>
      </w:pPr>
    </w:p>
    <w:p>
      <w:pPr>
        <w:ind w:left="40" w:right="60"/>
        <w:spacing w:after="0" w:line="312" w:lineRule="auto"/>
        <w:rPr>
          <w:sz w:val="20"/>
          <w:szCs w:val="20"/>
          <w:color w:val="auto"/>
        </w:rPr>
      </w:pPr>
      <w:r>
        <w:rPr>
          <w:rFonts w:ascii="Arial" w:cs="Arial" w:eastAsia="Arial" w:hAnsi="Arial"/>
          <w:sz w:val="13"/>
          <w:szCs w:val="13"/>
          <w:color w:val="auto"/>
        </w:rPr>
        <w:t>Update 2018-07— Compensation—Stock Compensation (Topic 718): Improvements to Non-employee Share-Based Payment Accounting</w:t>
      </w:r>
    </w:p>
    <w:p>
      <w:pPr>
        <w:spacing w:after="0" w:line="192" w:lineRule="exact"/>
        <w:rPr>
          <w:sz w:val="20"/>
          <w:szCs w:val="20"/>
          <w:color w:val="auto"/>
        </w:rPr>
      </w:pPr>
    </w:p>
    <w:p>
      <w:pPr>
        <w:ind w:left="40"/>
        <w:spacing w:after="0" w:line="283" w:lineRule="auto"/>
        <w:rPr>
          <w:sz w:val="20"/>
          <w:szCs w:val="20"/>
          <w:color w:val="auto"/>
        </w:rPr>
      </w:pPr>
      <w:r>
        <w:rPr>
          <w:rFonts w:ascii="Arial" w:cs="Arial" w:eastAsia="Arial" w:hAnsi="Arial"/>
          <w:sz w:val="15"/>
          <w:szCs w:val="15"/>
          <w:color w:val="auto"/>
        </w:rPr>
        <w:t>Date of adoption: January 1, 2019.</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In June 2018, the FASB issued ASU 2018-07, regarding ASC Topic 718 “Compensation - Stock Compensation,” which largely aligns the accounting for share-based compensation for non-employees with employees. The amendments in this ASU are effective for public business entities for fiscal years beginning after December 15, 2018, including interim periods within that fiscal year. For all other entities, the amendments are effective for fiscal years beginning after December 15, 2019, and interim periods within fiscal years beginning after December 15, 2020. Early adoption is permitted, but no earlier than an entity’s adoption date of Topic 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271145</wp:posOffset>
            </wp:positionV>
            <wp:extent cx="724154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15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180"/>
        <w:spacing w:after="0" w:line="332" w:lineRule="auto"/>
        <w:rPr>
          <w:sz w:val="20"/>
          <w:szCs w:val="20"/>
          <w:color w:val="auto"/>
        </w:rPr>
      </w:pPr>
      <w:r>
        <w:rPr>
          <w:rFonts w:ascii="Arial" w:cs="Arial" w:eastAsia="Arial" w:hAnsi="Arial"/>
          <w:sz w:val="13"/>
          <w:szCs w:val="13"/>
          <w:color w:val="auto"/>
        </w:rPr>
        <w:t>The Company does not expect the adoption of this standard to have a material effect on its condensed consolidated financial statements.</w:t>
      </w:r>
    </w:p>
    <w:p>
      <w:pPr>
        <w:spacing w:after="0" w:line="1173" w:lineRule="exact"/>
        <w:rPr>
          <w:sz w:val="20"/>
          <w:szCs w:val="20"/>
          <w:color w:val="auto"/>
        </w:rPr>
      </w:pPr>
    </w:p>
    <w:p>
      <w:pPr>
        <w:sectPr>
          <w:pgSz w:w="11900" w:h="16838" w:orient="portrait"/>
          <w:cols w:equalWidth="0" w:num="3">
            <w:col w:w="1740" w:space="360"/>
            <w:col w:w="6140" w:space="240"/>
            <w:col w:w="2940"/>
          </w:cols>
          <w:pgMar w:left="240" w:top="127" w:right="239" w:bottom="1440" w:gutter="0" w:footer="0" w:header="0"/>
          <w:type w:val="continuous"/>
        </w:sectPr>
      </w:pPr>
    </w:p>
    <w:p>
      <w:pPr>
        <w:ind w:left="40"/>
        <w:spacing w:after="0" w:line="265" w:lineRule="auto"/>
        <w:rPr>
          <w:sz w:val="20"/>
          <w:szCs w:val="20"/>
          <w:color w:val="auto"/>
        </w:rPr>
      </w:pPr>
      <w:r>
        <w:rPr>
          <w:rFonts w:ascii="Arial" w:cs="Arial" w:eastAsia="Arial" w:hAnsi="Arial"/>
          <w:sz w:val="15"/>
          <w:szCs w:val="15"/>
          <w:color w:val="auto"/>
        </w:rPr>
        <w:t>ASU 2016-13 Financial Instruments-Credit Losses (Topic 326): Measurement of Credit Losses on Financial Instruments</w:t>
      </w:r>
    </w:p>
    <w:p>
      <w:pPr>
        <w:spacing w:after="0" w:line="219" w:lineRule="exact"/>
        <w:rPr>
          <w:sz w:val="20"/>
          <w:szCs w:val="20"/>
          <w:color w:val="auto"/>
        </w:rPr>
      </w:pPr>
    </w:p>
    <w:p>
      <w:pPr>
        <w:ind w:left="40" w:right="60"/>
        <w:spacing w:after="0" w:line="283" w:lineRule="auto"/>
        <w:rPr>
          <w:sz w:val="20"/>
          <w:szCs w:val="20"/>
          <w:color w:val="auto"/>
        </w:rPr>
      </w:pPr>
      <w:r>
        <w:rPr>
          <w:rFonts w:ascii="Arial" w:cs="Arial" w:eastAsia="Arial" w:hAnsi="Arial"/>
          <w:sz w:val="15"/>
          <w:szCs w:val="15"/>
          <w:color w:val="auto"/>
        </w:rPr>
        <w:t>Date of adoption: January 1, 2020.</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5"/>
          <w:szCs w:val="15"/>
          <w:color w:val="auto"/>
        </w:rPr>
        <w:t>In June 2016, the FASB issued ASU 2016-13 which replaces the incurred loss impairment methodology in current U.S. GAAP with a methodology that reflects expected credit losses and requires consideration of a broader range of reasonable and supportable information to inform credit loss estimates. The ASU is effective for public companies in annual periods beginning after December 15, 2019, and interim periods within those years. Early adoption is permitted beginning after December 15, 2018 and interim periods within those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279400</wp:posOffset>
            </wp:positionV>
            <wp:extent cx="724154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15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99" w:lineRule="auto"/>
        <w:rPr>
          <w:sz w:val="20"/>
          <w:szCs w:val="20"/>
          <w:color w:val="auto"/>
        </w:rPr>
      </w:pPr>
      <w:r>
        <w:rPr>
          <w:rFonts w:ascii="Arial" w:cs="Arial" w:eastAsia="Arial" w:hAnsi="Arial"/>
          <w:sz w:val="14"/>
          <w:szCs w:val="14"/>
          <w:color w:val="auto"/>
        </w:rPr>
        <w:t>The Company is currently evaluating the impact of the adoption of this ASU on its condensed consolidated financial statements.</w:t>
      </w:r>
    </w:p>
    <w:p>
      <w:pPr>
        <w:spacing w:after="0" w:line="1176" w:lineRule="exact"/>
        <w:rPr>
          <w:sz w:val="20"/>
          <w:szCs w:val="20"/>
          <w:color w:val="auto"/>
        </w:rPr>
      </w:pPr>
    </w:p>
    <w:p>
      <w:pPr>
        <w:sectPr>
          <w:pgSz w:w="11900" w:h="16838" w:orient="portrait"/>
          <w:cols w:equalWidth="0" w:num="3">
            <w:col w:w="1800" w:space="300"/>
            <w:col w:w="6220" w:space="160"/>
            <w:col w:w="2940"/>
          </w:cols>
          <w:pgMar w:left="240" w:top="127" w:right="239" w:bottom="144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420"/>
          </w:cols>
          <w:pgMar w:left="240" w:top="127" w:right="239" w:bottom="1440" w:gutter="0" w:footer="0" w:header="0"/>
          <w:type w:val="continuous"/>
        </w:sectPr>
      </w:pPr>
    </w:p>
    <w:bookmarkStart w:id="10" w:name="page11"/>
    <w:bookmarkEnd w:id="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 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tables in thousands, except for per share data or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358140</wp:posOffset>
            </wp:positionV>
            <wp:extent cx="724154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1540" cy="76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15"/>
          <w:szCs w:val="15"/>
          <w:color w:val="auto"/>
        </w:rPr>
        <w:t>ASU 2016-02 Leases (Topic</w:t>
      </w:r>
      <w:r>
        <w:rPr>
          <w:sz w:val="20"/>
          <w:szCs w:val="20"/>
          <w:color w:val="auto"/>
        </w:rPr>
        <w:tab/>
      </w:r>
      <w:r>
        <w:rPr>
          <w:rFonts w:ascii="Arial" w:cs="Arial" w:eastAsia="Arial" w:hAnsi="Arial"/>
          <w:sz w:val="13"/>
          <w:szCs w:val="13"/>
          <w:color w:val="auto"/>
        </w:rPr>
        <w:t>In February 2016, the FASB issued ASU 2016-02 which requires lessees to recognize, for all leases of</w:t>
      </w:r>
    </w:p>
    <w:p>
      <w:pPr>
        <w:spacing w:after="0" w:line="17"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15"/>
          <w:szCs w:val="15"/>
          <w:color w:val="auto"/>
        </w:rPr>
        <w:t>842 or “ASC 842”)</w:t>
      </w:r>
      <w:r>
        <w:rPr>
          <w:sz w:val="20"/>
          <w:szCs w:val="20"/>
          <w:color w:val="auto"/>
        </w:rPr>
        <w:tab/>
      </w:r>
      <w:r>
        <w:rPr>
          <w:rFonts w:ascii="Arial" w:cs="Arial" w:eastAsia="Arial" w:hAnsi="Arial"/>
          <w:sz w:val="13"/>
          <w:szCs w:val="13"/>
          <w:color w:val="auto"/>
        </w:rPr>
        <w:t>12 months or more, a liability to make lease payments and a right-of-use asset representing the right to</w:t>
      </w:r>
    </w:p>
    <w:p>
      <w:pPr>
        <w:spacing w:after="0" w:line="14" w:lineRule="exact"/>
        <w:rPr>
          <w:sz w:val="20"/>
          <w:szCs w:val="20"/>
          <w:color w:val="auto"/>
        </w:rPr>
      </w:pPr>
    </w:p>
    <w:p>
      <w:pPr>
        <w:ind w:left="2100"/>
        <w:spacing w:after="0" w:line="320" w:lineRule="auto"/>
        <w:rPr>
          <w:sz w:val="20"/>
          <w:szCs w:val="20"/>
          <w:color w:val="auto"/>
        </w:rPr>
      </w:pPr>
      <w:r>
        <w:rPr>
          <w:rFonts w:ascii="Arial" w:cs="Arial" w:eastAsia="Arial" w:hAnsi="Arial"/>
          <w:sz w:val="13"/>
          <w:szCs w:val="13"/>
          <w:color w:val="auto"/>
        </w:rPr>
        <w:t>use the underlying asset for the lease term. Additionally, the guidance requires improved disclosures to help users of financial statements better understand the nature of an entity’s leasing activities. The ASU is effective for public companies in interim and annual periods beginning after December 15, 2018, with early adoption permitted, and must be adopted using a modified retrospective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15"/>
          <w:szCs w:val="15"/>
          <w:color w:val="auto"/>
        </w:rPr>
        <w:t>Date of adoption: January 1,</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5"/>
          <w:szCs w:val="15"/>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859790</wp:posOffset>
            </wp:positionV>
            <wp:extent cx="724154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15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right="20"/>
        <w:spacing w:after="0" w:line="300" w:lineRule="auto"/>
        <w:rPr>
          <w:sz w:val="20"/>
          <w:szCs w:val="20"/>
          <w:color w:val="auto"/>
        </w:rPr>
      </w:pPr>
      <w:r>
        <w:rPr>
          <w:rFonts w:ascii="Arial" w:cs="Arial" w:eastAsia="Arial" w:hAnsi="Arial"/>
          <w:sz w:val="13"/>
          <w:szCs w:val="13"/>
          <w:color w:val="auto"/>
        </w:rPr>
        <w:t>The Company has elected to apply the transition requirements as of January 1, 2019 and as such, the Company will neither restate comparative periods for the effects of applying ASC 842 nor provide the disclosures required by ASC 842 for the comparative periods. In addition, there are several practical expedients and accounting policy elections offered within ASC 842 to both ease the transition to, and simplify the adoption of, ASC 842. In connection therewith, the Company elected the package of transition practical expedients related to lease identification, lease classification, and initial direct costs. The Company also elected the lessor practical expedient to not separate lease and non-lease components when the requisite criteria is met to be treated as such. In addition, the Company made the following accounting policy elections: (1) the Company will not separate lease and non-lease components by class of underlying asset (2) the Company will apply the portfolio approach, specifically in the development of the Company’s discount rates</w:t>
      </w:r>
    </w:p>
    <w:p>
      <w:pPr>
        <w:spacing w:after="0" w:line="4" w:lineRule="exact"/>
        <w:rPr>
          <w:sz w:val="20"/>
          <w:szCs w:val="20"/>
          <w:color w:val="auto"/>
        </w:rPr>
      </w:pPr>
    </w:p>
    <w:p>
      <w:pPr>
        <w:ind w:right="60" w:firstLine="7"/>
        <w:spacing w:after="0" w:line="266" w:lineRule="auto"/>
        <w:tabs>
          <w:tab w:leader="none" w:pos="212"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Company will apply the short-term lease exemption by class of underlying asset (4) the Company will apply a capitalization threshold policy.</w:t>
      </w:r>
    </w:p>
    <w:p>
      <w:pPr>
        <w:spacing w:after="0" w:line="31" w:lineRule="exact"/>
        <w:rPr>
          <w:sz w:val="20"/>
          <w:szCs w:val="20"/>
          <w:color w:val="auto"/>
        </w:rPr>
      </w:pPr>
    </w:p>
    <w:p>
      <w:pPr>
        <w:ind w:right="20"/>
        <w:spacing w:after="0" w:line="308" w:lineRule="auto"/>
        <w:rPr>
          <w:sz w:val="20"/>
          <w:szCs w:val="20"/>
          <w:color w:val="auto"/>
        </w:rPr>
      </w:pPr>
      <w:r>
        <w:rPr>
          <w:rFonts w:ascii="Arial" w:cs="Arial" w:eastAsia="Arial" w:hAnsi="Arial"/>
          <w:sz w:val="13"/>
          <w:szCs w:val="13"/>
          <w:color w:val="auto"/>
        </w:rPr>
        <w:t>Adoption of the new standard will result in the recording of additional net lease assets and lease liabilities as of January 1, 2019. The difference between the additional lease assets and lease liabilities, net of the deferred tax impact, will be recorded as an adjustment to retained earnings. The standard will not materially impact our consolidated net earnings and will have no impact on cash flows.</w:t>
      </w:r>
    </w:p>
    <w:p>
      <w:pPr>
        <w:spacing w:after="0" w:line="188" w:lineRule="exact"/>
        <w:rPr>
          <w:sz w:val="20"/>
          <w:szCs w:val="20"/>
          <w:color w:val="auto"/>
        </w:rPr>
      </w:pPr>
    </w:p>
    <w:p>
      <w:pPr>
        <w:sectPr>
          <w:pgSz w:w="11900" w:h="16838" w:orient="portrait"/>
          <w:cols w:equalWidth="0" w:num="2">
            <w:col w:w="8300" w:space="180"/>
            <w:col w:w="2940"/>
          </w:cols>
          <w:pgMar w:left="240" w:top="127" w:right="239" w:bottom="1440" w:gutter="0" w:footer="0" w:header="0"/>
          <w:type w:val="continuous"/>
        </w:sectPr>
      </w:pPr>
    </w:p>
    <w:p>
      <w:pPr>
        <w:jc w:val="both"/>
        <w:ind w:firstLine="299"/>
        <w:spacing w:after="0" w:line="295" w:lineRule="auto"/>
        <w:rPr>
          <w:sz w:val="20"/>
          <w:szCs w:val="20"/>
          <w:color w:val="auto"/>
        </w:rPr>
      </w:pPr>
      <w:r>
        <w:rPr>
          <w:rFonts w:ascii="Arial" w:cs="Arial" w:eastAsia="Arial" w:hAnsi="Arial"/>
          <w:sz w:val="15"/>
          <w:szCs w:val="15"/>
          <w:color w:val="auto"/>
        </w:rPr>
        <w:t>In May 2014, the FASB issued a new accounting standard related to revenue recognition, ASU 2014-09, “Revenue from Contracts with Customers,” (“Topic 606”). The new standard supersedes the existing revenue recognition requirements under U.S. GAAP and requires entities to recognize revenue when they transfer control of promised goods or services to customers in an amount that reflects the consideration to which the entity expects to be entitled to in exchange for those goods or services. It also requires increased disclosures regarding the nature, amount, timing, and uncertainty of revenues and cash flows arising from contracts with customers.</w:t>
      </w:r>
    </w:p>
    <w:p>
      <w:pPr>
        <w:spacing w:after="0" w:line="149"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On January 1, 2018, the Company adopted Topic 606 applying the modified retrospective method to all contracts that were not completed as of January 1, 2018. Results for reporting periods beginning after January 1, 2018 are presented under Topic 606, while prior period amounts are not adjusted and continue to be reported under the accounting standards in effect for the prior period. The Company recorded a net reduction to opening retained earnings of approximately $10.1 million as of January 1, 2018 due to the cumulative impact of adopting Topic 606. The impact to revenues for the nine months ended September 30, 2018 was an increase of $31.9 million as a result of adopting Topic 606. The impact to costs was not material.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27" w:right="239" w:bottom="1440" w:gutter="0" w:footer="0" w:header="0"/>
          <w:type w:val="continuous"/>
        </w:sectPr>
      </w:pPr>
    </w:p>
    <w:bookmarkStart w:id="11" w:name="page12"/>
    <w:bookmarkEnd w:id="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jc w:val="both"/>
        <w:ind w:firstLine="299"/>
        <w:spacing w:after="0" w:line="283" w:lineRule="auto"/>
        <w:rPr>
          <w:sz w:val="20"/>
          <w:szCs w:val="20"/>
          <w:color w:val="auto"/>
        </w:rPr>
      </w:pPr>
      <w:r>
        <w:rPr>
          <w:rFonts w:ascii="Arial" w:cs="Arial" w:eastAsia="Arial" w:hAnsi="Arial"/>
          <w:sz w:val="15"/>
          <w:szCs w:val="15"/>
          <w:color w:val="auto"/>
        </w:rPr>
        <w:t>The impact of adoption primarily relates to (1) the delayed pattern of recognition under Topic 606 for certain professional services revenue when such professional services involve the customization of features and functionality for subscription services customers, and (2) the earlier pattern of recognition under Topic 606 for license revenue when the Company provides hosting services for on-premise license customers. In the case of professional services that involve the customization of features and functionality for subscription services, under historic accounting policies the professional services were considered to have standalone value, and as a result were recognized as the services were performed. Under Topic 606, such professional services are not considered to be a distinct performance obligation within the context of the subscription services contract, and as such each month’s customization services revenue is recognized over the shorter of the estimated remaining life of the subscription software (typically three years) or the remaining term of the subscription services contract. In the case of license contracts sold in association with hosting, under historic accounting policies the license revenue was recognized over the hosting term due to the lack of vendor specific objective evidence (“VSOE”) of fair value for the hosting services. Under Topic 606, VSOE is no longer required in order separate revenue between the license and the hosting elements, and the license revenue is generally recognized upon delivery of the software based on the relative allocation of the contract price based on the established standalone selling price (“SSP”).</w:t>
      </w:r>
    </w:p>
    <w:p>
      <w:pPr>
        <w:spacing w:after="0" w:line="160" w:lineRule="exact"/>
        <w:rPr>
          <w:sz w:val="20"/>
          <w:szCs w:val="20"/>
          <w:color w:val="auto"/>
        </w:rPr>
      </w:pPr>
    </w:p>
    <w:p>
      <w:pPr>
        <w:jc w:val="both"/>
        <w:ind w:firstLine="299"/>
        <w:spacing w:after="0" w:line="286" w:lineRule="auto"/>
        <w:rPr>
          <w:sz w:val="20"/>
          <w:szCs w:val="20"/>
          <w:color w:val="auto"/>
        </w:rPr>
      </w:pPr>
      <w:r>
        <w:rPr>
          <w:rFonts w:ascii="Arial" w:cs="Arial" w:eastAsia="Arial" w:hAnsi="Arial"/>
          <w:sz w:val="15"/>
          <w:szCs w:val="15"/>
          <w:color w:val="auto"/>
        </w:rPr>
        <w:t>Additional impacts of adoption include (1) in certain cases changes in the amount allocated to the various performance obligations in accordance with the relative standalone selling price method required by Topic 606 compared to the amount allocated to the various elements in accordance with the residual method or the relative selling price method, as applicable, under historic accounting policies, (2) the capitalization and subsequent amortization of certain sales commissions as costs to obtain a contract under ASC 340-40, whereas under historic accounting policies all such amounts were expensed as incurred (3) the timing and amount of revenue recognition for certain sales contracts that are considered to involve variable consideration under Topic 606, but were considered to either not be fixed or determinable or to involve contingent revenue features under historic accounting policies, (4) in certain limited cases, the accounting for discounted customer options to purchase future software or services as material rights under Topic 606, as well as (5) the income tax impact of the above items, as applicable.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Changes in accounting policies as a result of adopting Topic 606 and nature of goods</w:t>
      </w:r>
    </w:p>
    <w:p>
      <w:pPr>
        <w:spacing w:after="0" w:line="203"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The following is a description of principal activities from which the Company generates revenue. Revenues are recognized when control of the promised goods or services are transferred to the Company’s customers, in an amount that reflects the consideration that the Company expects to receive in exchange for those goods or services. The Company generates all of its revenue from contracts with customers.</w:t>
      </w:r>
    </w:p>
    <w:p>
      <w:pPr>
        <w:spacing w:after="0" w:line="177"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6"/>
          <w:szCs w:val="16"/>
          <w:color w:val="auto"/>
        </w:rPr>
        <w:t>Subscription and Transaction revenues consist of revenues derived from the processing of transactions through the Company’s service platforms, providing enterprise portal management services on a subscription basis and maintenance agreements on software licenses. The Company generates revenue from Subscription services from monthly active user fees, software as a service (“SaaS”) fees, hosting and storage fees, and fees for the related maintenance support for those services. In most cases, the subscription or transaction arrangement is a single performance obligation comprised of a series of distinct services that are substantially the same and that have the same pattern of transfer (i.e., distinct days of service). The Company applies a measure of progress (typically time-based) to any fixed consideration and allocates variable consideration to the distinct periods of service based on usage, under Topic 606 Section 10-25-14(b). When the Company does not allocate variable consideration to distinct periods of service, the total estimated transaction price is recognized ratably over the term of the contract, where the level of service provided to the customer does not vary significantly from one period to another.</w:t>
      </w:r>
    </w:p>
    <w:p>
      <w:pPr>
        <w:spacing w:after="0" w:line="169" w:lineRule="exact"/>
        <w:rPr>
          <w:sz w:val="20"/>
          <w:szCs w:val="20"/>
          <w:color w:val="auto"/>
        </w:rPr>
      </w:pPr>
    </w:p>
    <w:p>
      <w:pPr>
        <w:jc w:val="both"/>
        <w:ind w:firstLine="299"/>
        <w:spacing w:after="0" w:line="206" w:lineRule="exact"/>
        <w:rPr>
          <w:sz w:val="20"/>
          <w:szCs w:val="20"/>
          <w:color w:val="auto"/>
        </w:rPr>
      </w:pPr>
      <w:r>
        <w:rPr>
          <w:rFonts w:ascii="Arial" w:cs="Arial" w:eastAsia="Arial" w:hAnsi="Arial"/>
          <w:sz w:val="17"/>
          <w:szCs w:val="17"/>
          <w:color w:val="auto"/>
        </w:rPr>
        <w:t>Transaction service arrangements include services such as processing equipment orders, new account set</w:t>
      </w:r>
      <w:r>
        <w:rPr>
          <w:rFonts w:ascii="MS PGothic" w:cs="MS PGothic" w:eastAsia="MS PGothic" w:hAnsi="MS PGothic"/>
          <w:sz w:val="17"/>
          <w:szCs w:val="17"/>
          <w:color w:val="auto"/>
        </w:rPr>
        <w:t>‑</w:t>
      </w:r>
      <w:r>
        <w:rPr>
          <w:rFonts w:ascii="Arial" w:cs="Arial" w:eastAsia="Arial" w:hAnsi="Arial"/>
          <w:sz w:val="17"/>
          <w:szCs w:val="17"/>
          <w:color w:val="auto"/>
        </w:rPr>
        <w:t>up and activation, number port requests, credit checks and inventory management.</w:t>
      </w:r>
    </w:p>
    <w:p>
      <w:pPr>
        <w:spacing w:after="0" w:line="188" w:lineRule="exact"/>
        <w:rPr>
          <w:sz w:val="20"/>
          <w:szCs w:val="20"/>
          <w:color w:val="auto"/>
        </w:rPr>
      </w:pPr>
    </w:p>
    <w:p>
      <w:pPr>
        <w:jc w:val="both"/>
        <w:ind w:firstLine="299"/>
        <w:spacing w:after="0" w:line="296" w:lineRule="auto"/>
        <w:rPr>
          <w:sz w:val="20"/>
          <w:szCs w:val="20"/>
          <w:color w:val="auto"/>
        </w:rPr>
      </w:pPr>
      <w:r>
        <w:rPr>
          <w:rFonts w:ascii="Arial" w:cs="Arial" w:eastAsia="Arial" w:hAnsi="Arial"/>
          <w:sz w:val="16"/>
          <w:szCs w:val="16"/>
          <w:color w:val="auto"/>
        </w:rPr>
        <w:t>Transaction revenues are principally based on a contractual price per transaction and are recognized based on the number of transactions processed during each reporting period. Revenues are recorded based on the total number of transactions processed at the applicable price established in the relevant contract.</w:t>
      </w:r>
    </w:p>
    <w:p>
      <w:pPr>
        <w:spacing w:after="0" w:line="144" w:lineRule="exact"/>
        <w:rPr>
          <w:sz w:val="20"/>
          <w:szCs w:val="20"/>
          <w:color w:val="auto"/>
        </w:rPr>
      </w:pPr>
    </w:p>
    <w:p>
      <w:pPr>
        <w:jc w:val="both"/>
        <w:ind w:firstLine="299"/>
        <w:spacing w:after="0" w:line="202" w:lineRule="exact"/>
        <w:rPr>
          <w:sz w:val="20"/>
          <w:szCs w:val="20"/>
          <w:color w:val="auto"/>
        </w:rPr>
      </w:pPr>
      <w:r>
        <w:rPr>
          <w:rFonts w:ascii="Arial" w:cs="Arial" w:eastAsia="Arial" w:hAnsi="Arial"/>
          <w:sz w:val="15"/>
          <w:szCs w:val="15"/>
          <w:color w:val="auto"/>
        </w:rPr>
        <w:t>Many of the Company’s contracts guarantee minimum volume transactions from the customer. In these instances, if the customer’s total estimated transaction volume for the period is expected to be less than the contractual amount, the Company records revenues at the minimum guaranteed amount on a straight line based over the period covered by the minimum. Set</w:t>
      </w:r>
      <w:r>
        <w:rPr>
          <w:rFonts w:ascii="MS PGothic" w:cs="MS PGothic" w:eastAsia="MS PGothic" w:hAnsi="MS PGothic"/>
          <w:sz w:val="15"/>
          <w:szCs w:val="15"/>
          <w:color w:val="auto"/>
        </w:rPr>
        <w:t>‑</w:t>
      </w:r>
      <w:r>
        <w:rPr>
          <w:rFonts w:ascii="Arial" w:cs="Arial" w:eastAsia="Arial" w:hAnsi="Arial"/>
          <w:sz w:val="15"/>
          <w:szCs w:val="15"/>
          <w:color w:val="auto"/>
        </w:rPr>
        <w:t>up fees for transactional service arrangements are deferred until set up activities are completed and recognized on a straight</w:t>
      </w:r>
      <w:r>
        <w:rPr>
          <w:rFonts w:ascii="MS PGothic" w:cs="MS PGothic" w:eastAsia="MS PGothic" w:hAnsi="MS PGothic"/>
          <w:sz w:val="15"/>
          <w:szCs w:val="15"/>
          <w:color w:val="auto"/>
        </w:rPr>
        <w:t>‑</w:t>
      </w:r>
      <w:r>
        <w:rPr>
          <w:rFonts w:ascii="Arial" w:cs="Arial" w:eastAsia="Arial" w:hAnsi="Arial"/>
          <w:sz w:val="15"/>
          <w:szCs w:val="15"/>
          <w:color w:val="auto"/>
        </w:rPr>
        <w:t>line basis over remaining expected customer relationship period. Revenues are presented net of discounts, which are volume level driven.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27" w:right="2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accordance with Topic 606 Section 10-50-20, any credits due to customers, which are generally performance driven and based upon system availability or response times to incidents, are determined and accounted for in the period in which the services are provided. The Company recognizes revenues from support and maintenance performance obligations over the service delivery period.</w:t>
      </w:r>
    </w:p>
    <w:p>
      <w:pPr>
        <w:spacing w:after="0" w:line="177"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The Company’s software licenses typically provide for a perpetual or term right to use the Company’s software. The Company has concluded that in most cases its software license is distinct as the customer can benefit from the software on its own. Software revenue is typically recognized when the software is delivered to the customer. Contracts that include software customization or specified upgrades may result in the combination of the customization services with the software license as one performance obligation. The Company does not have a history of returns, or refunds of is software licenses, however, in limited instances, the Company may constrain consideration to high-risk customers, until collection is resolved.</w:t>
      </w:r>
    </w:p>
    <w:p>
      <w:pPr>
        <w:spacing w:after="0" w:line="182"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The Company’s professional services include software development and customization. The contracts generally include project deliverables specified by each customer. The performance obligations in the agreements are generally combined into one deliverable and generally result in the transfer of control over time. The underlying deliverable is owned and controlled by the customer and does not create an asset with an alternative use to us. The Company recognizes revenue on fixed fee contracts on the proportion of labor hours expended to the total hours expected to complete the contract performance obligation.</w:t>
      </w:r>
    </w:p>
    <w:p>
      <w:pPr>
        <w:spacing w:after="0" w:line="163" w:lineRule="exact"/>
        <w:rPr>
          <w:sz w:val="20"/>
          <w:szCs w:val="20"/>
          <w:color w:val="auto"/>
        </w:rPr>
      </w:pPr>
    </w:p>
    <w:p>
      <w:pPr>
        <w:jc w:val="both"/>
        <w:ind w:firstLine="299"/>
        <w:spacing w:after="0" w:line="266" w:lineRule="auto"/>
        <w:rPr>
          <w:sz w:val="20"/>
          <w:szCs w:val="20"/>
          <w:color w:val="auto"/>
        </w:rPr>
      </w:pPr>
      <w:r>
        <w:rPr>
          <w:rFonts w:ascii="Arial" w:cs="Arial" w:eastAsia="Arial" w:hAnsi="Arial"/>
          <w:sz w:val="16"/>
          <w:szCs w:val="16"/>
          <w:color w:val="auto"/>
        </w:rPr>
        <w:t>Most of the Company’s contracts with customers contain multiple performance obligations which generally include either 1) a perpetual software license with support and maintenance and sometimes a hosting agreement or 2) a term SaaS agreement, in many cases these are sold along with professional services. For these contracts, the Company accounts for individual goods and services separately if they are distinct performance obligations. This often requires significant judgment based upon knowledge of the products, the solution provided and the structure of the sales contract. In SaaS agreements, the Company provides a service to the customer which combines the software functionality, maintenance and hosting into a single performance obligation when the customer doesn’t have the ability to take possession of the underlying software license. The Company may also sell the same three goods and services in a contract, but there may be three performance obligations, where the customer has the right to take possession of the software license without significant penalty.</w:t>
      </w:r>
    </w:p>
    <w:p>
      <w:pPr>
        <w:spacing w:after="0" w:line="168"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The transaction price is allocated to the separate performance obligations on a relative standalone selling price basis. The Company estimates standalone selling prices of software based on observable inputs of past transactions to similarly situated customers. When such observable data is not available for certain software licenses because there is a limited number of transactions or prices are highly variable, the Company will estimate the standalone selling price using the residual approach. Standalone selling prices of services are typically determined based on observable transactions when these services are sold on a standalone basis to similarly situated customers or estimated using a cost plus margin approach.</w:t>
      </w:r>
    </w:p>
    <w:p>
      <w:pPr>
        <w:spacing w:after="0" w:line="182"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Estimating the transaction price of variable consideration including the variable quantity subscription or transaction contracts in a multiple performance obligation arrangement requires significant judgment. The Company generally estimates this variable consideration at the most likely amount to which the Company expects to be entitled and in certain cases based on the expected value.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us. The Company reviews and update these estimates on a quarterly basis.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27" w:right="2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Company’s typical performance obligations include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Performance Obligation</w:t>
            </w:r>
          </w:p>
        </w:tc>
        <w:tc>
          <w:tcPr>
            <w:tcW w:w="100" w:type="dxa"/>
            <w:vAlign w:val="bottom"/>
            <w:vMerge w:val="restart"/>
          </w:tcPr>
          <w:p>
            <w:pPr>
              <w:spacing w:after="0"/>
              <w:rPr>
                <w:sz w:val="13"/>
                <w:szCs w:val="13"/>
                <w:color w:val="auto"/>
              </w:rPr>
            </w:pPr>
          </w:p>
        </w:tc>
        <w:tc>
          <w:tcPr>
            <w:tcW w:w="2980" w:type="dxa"/>
            <w:vAlign w:val="bottom"/>
            <w:gridSpan w:val="2"/>
          </w:tcPr>
          <w:p>
            <w:pPr>
              <w:ind w:left="40"/>
              <w:spacing w:after="0"/>
              <w:rPr>
                <w:sz w:val="20"/>
                <w:szCs w:val="20"/>
                <w:color w:val="auto"/>
              </w:rPr>
            </w:pPr>
            <w:r>
              <w:rPr>
                <w:rFonts w:ascii="Arial" w:cs="Arial" w:eastAsia="Arial" w:hAnsi="Arial"/>
                <w:sz w:val="13"/>
                <w:szCs w:val="13"/>
                <w:b w:val="1"/>
                <w:bCs w:val="1"/>
                <w:color w:val="auto"/>
              </w:rPr>
              <w:t>When Performance Obligation is Typically</w:t>
            </w:r>
          </w:p>
        </w:tc>
        <w:tc>
          <w:tcPr>
            <w:tcW w:w="27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When Payment is Typically Due</w:t>
            </w:r>
          </w:p>
        </w:tc>
        <w:tc>
          <w:tcPr>
            <w:tcW w:w="100" w:type="dxa"/>
            <w:vAlign w:val="bottom"/>
            <w:vMerge w:val="restart"/>
          </w:tcPr>
          <w:p>
            <w:pPr>
              <w:spacing w:after="0"/>
              <w:rPr>
                <w:sz w:val="13"/>
                <w:szCs w:val="13"/>
                <w:color w:val="auto"/>
              </w:rPr>
            </w:pPr>
          </w:p>
        </w:tc>
        <w:tc>
          <w:tcPr>
            <w:tcW w:w="2740" w:type="dxa"/>
            <w:vAlign w:val="bottom"/>
          </w:tcPr>
          <w:p>
            <w:pPr>
              <w:ind w:left="40"/>
              <w:spacing w:after="0"/>
              <w:rPr>
                <w:sz w:val="20"/>
                <w:szCs w:val="20"/>
                <w:color w:val="auto"/>
              </w:rPr>
            </w:pPr>
            <w:r>
              <w:rPr>
                <w:rFonts w:ascii="Arial" w:cs="Arial" w:eastAsia="Arial" w:hAnsi="Arial"/>
                <w:sz w:val="13"/>
                <w:szCs w:val="13"/>
                <w:b w:val="1"/>
                <w:bCs w:val="1"/>
                <w:color w:val="auto"/>
              </w:rPr>
              <w:t>How Standalone Selling Price is Typically</w:t>
            </w:r>
          </w:p>
        </w:tc>
        <w:tc>
          <w:tcPr>
            <w:tcW w:w="0" w:type="dxa"/>
            <w:vAlign w:val="bottom"/>
          </w:tcPr>
          <w:p>
            <w:pPr>
              <w:spacing w:after="0"/>
              <w:rPr>
                <w:sz w:val="1"/>
                <w:szCs w:val="1"/>
                <w:color w:val="auto"/>
              </w:rPr>
            </w:pPr>
          </w:p>
        </w:tc>
      </w:tr>
      <w:tr>
        <w:trPr>
          <w:trHeight w:val="177"/>
        </w:trPr>
        <w:tc>
          <w:tcPr>
            <w:tcW w:w="2760" w:type="dxa"/>
            <w:vAlign w:val="bottom"/>
            <w:tcBorders>
              <w:bottom w:val="single" w:sz="8" w:color="auto"/>
            </w:tcBorders>
            <w:gridSpan w:val="4"/>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Satisfied</w:t>
            </w:r>
          </w:p>
        </w:tc>
        <w:tc>
          <w:tcPr>
            <w:tcW w:w="120" w:type="dxa"/>
            <w:vAlign w:val="bottom"/>
            <w:tcBorders>
              <w:bottom w:val="single" w:sz="8" w:color="CCEEFF"/>
            </w:tcBorders>
          </w:tcPr>
          <w:p>
            <w:pPr>
              <w:spacing w:after="0"/>
              <w:rPr>
                <w:sz w:val="15"/>
                <w:szCs w:val="15"/>
                <w:color w:val="auto"/>
              </w:rPr>
            </w:pPr>
          </w:p>
        </w:tc>
        <w:tc>
          <w:tcPr>
            <w:tcW w:w="2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47"/>
        </w:trPr>
        <w:tc>
          <w:tcPr>
            <w:tcW w:w="2860" w:type="dxa"/>
            <w:vAlign w:val="bottom"/>
            <w:gridSpan w:val="5"/>
            <w:shd w:val="clear" w:color="auto" w:fill="CCEEFF"/>
          </w:tcPr>
          <w:p>
            <w:pPr>
              <w:ind w:left="20"/>
              <w:spacing w:after="0" w:line="147" w:lineRule="exact"/>
              <w:rPr>
                <w:sz w:val="20"/>
                <w:szCs w:val="20"/>
                <w:color w:val="auto"/>
              </w:rPr>
            </w:pPr>
            <w:r>
              <w:rPr>
                <w:rFonts w:ascii="Arial" w:cs="Arial" w:eastAsia="Arial" w:hAnsi="Arial"/>
                <w:sz w:val="13"/>
                <w:szCs w:val="13"/>
                <w:b w:val="1"/>
                <w:bCs w:val="1"/>
                <w:color w:val="auto"/>
              </w:rPr>
              <w:t>Software License</w:t>
            </w:r>
          </w:p>
        </w:tc>
        <w:tc>
          <w:tcPr>
            <w:tcW w:w="2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840" w:type="dxa"/>
            <w:vAlign w:val="bottom"/>
            <w:gridSpan w:val="4"/>
          </w:tcPr>
          <w:p>
            <w:pPr>
              <w:ind w:left="120"/>
              <w:spacing w:after="0" w:line="146" w:lineRule="exact"/>
              <w:rPr>
                <w:sz w:val="20"/>
                <w:szCs w:val="20"/>
                <w:color w:val="auto"/>
              </w:rPr>
            </w:pPr>
            <w:r>
              <w:rPr>
                <w:rFonts w:ascii="Arial" w:cs="Arial" w:eastAsia="Arial" w:hAnsi="Arial"/>
                <w:sz w:val="13"/>
                <w:szCs w:val="13"/>
                <w:color w:val="auto"/>
              </w:rPr>
              <w:t>Software License</w:t>
            </w:r>
          </w:p>
        </w:tc>
        <w:tc>
          <w:tcPr>
            <w:tcW w:w="298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Upon shipment or made available for download</w:t>
            </w:r>
          </w:p>
        </w:tc>
        <w:tc>
          <w:tcPr>
            <w:tcW w:w="284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Within 90 days of delivery</w:t>
            </w:r>
          </w:p>
        </w:tc>
        <w:tc>
          <w:tcPr>
            <w:tcW w:w="2740" w:type="dxa"/>
            <w:vAlign w:val="bottom"/>
          </w:tcPr>
          <w:p>
            <w:pPr>
              <w:ind w:left="40"/>
              <w:spacing w:after="0" w:line="146" w:lineRule="exact"/>
              <w:rPr>
                <w:sz w:val="20"/>
                <w:szCs w:val="20"/>
                <w:color w:val="auto"/>
              </w:rPr>
            </w:pPr>
            <w:r>
              <w:rPr>
                <w:rFonts w:ascii="Arial" w:cs="Arial" w:eastAsia="Arial" w:hAnsi="Arial"/>
                <w:sz w:val="13"/>
                <w:szCs w:val="13"/>
                <w:color w:val="auto"/>
              </w:rPr>
              <w:t>Observable transactions or residual approach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2"/>
          </w:tcPr>
          <w:p>
            <w:pPr>
              <w:ind w:left="40"/>
              <w:spacing w:after="0"/>
              <w:rPr>
                <w:sz w:val="20"/>
                <w:szCs w:val="20"/>
                <w:color w:val="auto"/>
              </w:rPr>
            </w:pPr>
            <w:r>
              <w:rPr>
                <w:rFonts w:ascii="Arial" w:cs="Arial" w:eastAsia="Arial" w:hAnsi="Arial"/>
                <w:sz w:val="13"/>
                <w:szCs w:val="13"/>
                <w:color w:val="auto"/>
              </w:rPr>
              <w:t>(point in time)</w:t>
            </w:r>
          </w:p>
        </w:tc>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ind w:left="40"/>
              <w:spacing w:after="0"/>
              <w:rPr>
                <w:sz w:val="20"/>
                <w:szCs w:val="20"/>
                <w:color w:val="auto"/>
              </w:rPr>
            </w:pPr>
            <w:r>
              <w:rPr>
                <w:rFonts w:ascii="Arial" w:cs="Arial" w:eastAsia="Arial" w:hAnsi="Arial"/>
                <w:sz w:val="13"/>
                <w:szCs w:val="13"/>
                <w:color w:val="auto"/>
              </w:rPr>
              <w:t>when prices are highly variable or uncertain</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2840" w:type="dxa"/>
            <w:vAlign w:val="bottom"/>
            <w:gridSpan w:val="4"/>
            <w:shd w:val="clear" w:color="auto" w:fill="CCEEFF"/>
          </w:tcPr>
          <w:p>
            <w:pPr>
              <w:ind w:left="120"/>
              <w:spacing w:after="0"/>
              <w:rPr>
                <w:sz w:val="20"/>
                <w:szCs w:val="20"/>
                <w:color w:val="auto"/>
              </w:rPr>
            </w:pPr>
            <w:r>
              <w:rPr>
                <w:rFonts w:ascii="Arial" w:cs="Arial" w:eastAsia="Arial" w:hAnsi="Arial"/>
                <w:sz w:val="13"/>
                <w:szCs w:val="13"/>
                <w:color w:val="auto"/>
                <w:w w:val="99"/>
              </w:rPr>
              <w:t>Software License with significant customization</w:t>
            </w:r>
          </w:p>
        </w:tc>
        <w:tc>
          <w:tcPr>
            <w:tcW w:w="29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Over the performance of the customization and</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Within 90 days of services</w:t>
            </w:r>
          </w:p>
        </w:tc>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Residual approach</w:t>
            </w: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installation of the software (over time)</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being performed</w:t>
            </w:r>
          </w:p>
        </w:tc>
        <w:tc>
          <w:tcPr>
            <w:tcW w:w="2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840" w:type="dxa"/>
            <w:vAlign w:val="bottom"/>
            <w:gridSpan w:val="4"/>
          </w:tcPr>
          <w:p>
            <w:pPr>
              <w:ind w:left="120"/>
              <w:spacing w:after="0" w:line="146" w:lineRule="exact"/>
              <w:rPr>
                <w:sz w:val="20"/>
                <w:szCs w:val="20"/>
                <w:color w:val="auto"/>
              </w:rPr>
            </w:pPr>
            <w:r>
              <w:rPr>
                <w:rFonts w:ascii="Arial" w:cs="Arial" w:eastAsia="Arial" w:hAnsi="Arial"/>
                <w:sz w:val="13"/>
                <w:szCs w:val="13"/>
                <w:color w:val="auto"/>
              </w:rPr>
              <w:t>Hosting Services</w:t>
            </w:r>
          </w:p>
        </w:tc>
        <w:tc>
          <w:tcPr>
            <w:tcW w:w="298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As hosting services are provided (over time)</w:t>
            </w:r>
          </w:p>
        </w:tc>
        <w:tc>
          <w:tcPr>
            <w:tcW w:w="284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Within 90 days of services</w:t>
            </w:r>
          </w:p>
        </w:tc>
        <w:tc>
          <w:tcPr>
            <w:tcW w:w="2740" w:type="dxa"/>
            <w:vAlign w:val="bottom"/>
          </w:tcPr>
          <w:p>
            <w:pPr>
              <w:ind w:left="40"/>
              <w:spacing w:after="0" w:line="146" w:lineRule="exact"/>
              <w:rPr>
                <w:sz w:val="20"/>
                <w:szCs w:val="20"/>
                <w:color w:val="auto"/>
              </w:rPr>
            </w:pPr>
            <w:r>
              <w:rPr>
                <w:rFonts w:ascii="Arial" w:cs="Arial" w:eastAsia="Arial" w:hAnsi="Arial"/>
                <w:sz w:val="13"/>
                <w:szCs w:val="13"/>
                <w:color w:val="auto"/>
              </w:rPr>
              <w:t>Estimated using a cost-plus margin approach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gridSpan w:val="2"/>
          </w:tcPr>
          <w:p>
            <w:pPr>
              <w:ind w:left="20"/>
              <w:spacing w:after="0"/>
              <w:rPr>
                <w:sz w:val="20"/>
                <w:szCs w:val="20"/>
                <w:color w:val="auto"/>
              </w:rPr>
            </w:pPr>
            <w:r>
              <w:rPr>
                <w:rFonts w:ascii="Arial" w:cs="Arial" w:eastAsia="Arial" w:hAnsi="Arial"/>
                <w:sz w:val="13"/>
                <w:szCs w:val="13"/>
                <w:color w:val="auto"/>
              </w:rPr>
              <w:t>being provided</w:t>
            </w: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860" w:type="dxa"/>
            <w:vAlign w:val="bottom"/>
            <w:gridSpan w:val="5"/>
            <w:shd w:val="clear" w:color="auto" w:fill="CCEEFF"/>
          </w:tcPr>
          <w:p>
            <w:pPr>
              <w:ind w:left="20"/>
              <w:spacing w:after="0"/>
              <w:rPr>
                <w:sz w:val="20"/>
                <w:szCs w:val="20"/>
                <w:color w:val="auto"/>
              </w:rPr>
            </w:pPr>
            <w:r>
              <w:rPr>
                <w:rFonts w:ascii="Arial" w:cs="Arial" w:eastAsia="Arial" w:hAnsi="Arial"/>
                <w:sz w:val="13"/>
                <w:szCs w:val="13"/>
                <w:b w:val="1"/>
                <w:bCs w:val="1"/>
                <w:color w:val="auto"/>
              </w:rPr>
              <w:t>Professional Services</w:t>
            </w:r>
          </w:p>
        </w:tc>
        <w:tc>
          <w:tcPr>
            <w:tcW w:w="2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sectPr>
          <w:pgSz w:w="11900" w:h="16838" w:orient="portrait"/>
          <w:cols w:equalWidth="0" w:num="1">
            <w:col w:w="11420"/>
          </w:cols>
          <w:pgMar w:left="240" w:top="127" w:right="239" w:bottom="1440" w:gutter="0" w:footer="0" w:header="0"/>
        </w:sectPr>
      </w:pPr>
    </w:p>
    <w:p>
      <w:pPr>
        <w:spacing w:after="0" w:line="3" w:lineRule="exact"/>
        <w:rPr>
          <w:sz w:val="20"/>
          <w:szCs w:val="20"/>
          <w:color w:val="auto"/>
        </w:rPr>
      </w:pPr>
    </w:p>
    <w:p>
      <w:pPr>
        <w:ind w:left="140"/>
        <w:spacing w:after="0"/>
        <w:tabs>
          <w:tab w:leader="none" w:pos="2880" w:val="left"/>
        </w:tabs>
        <w:rPr>
          <w:sz w:val="20"/>
          <w:szCs w:val="20"/>
          <w:color w:val="auto"/>
        </w:rPr>
      </w:pPr>
      <w:r>
        <w:rPr>
          <w:rFonts w:ascii="Arial" w:cs="Arial" w:eastAsia="Arial" w:hAnsi="Arial"/>
          <w:sz w:val="12"/>
          <w:szCs w:val="12"/>
          <w:color w:val="auto"/>
        </w:rPr>
        <w:t>Consulting</w:t>
      </w:r>
      <w:r>
        <w:rPr>
          <w:sz w:val="20"/>
          <w:szCs w:val="20"/>
          <w:color w:val="auto"/>
        </w:rPr>
        <w:tab/>
      </w:r>
      <w:r>
        <w:rPr>
          <w:rFonts w:ascii="Arial" w:cs="Arial" w:eastAsia="Arial" w:hAnsi="Arial"/>
          <w:sz w:val="12"/>
          <w:szCs w:val="12"/>
          <w:color w:val="auto"/>
        </w:rPr>
        <w:t>As work is performed (over time)</w:t>
      </w:r>
    </w:p>
    <w:p>
      <w:pPr>
        <w:spacing w:after="0" w:line="20" w:lineRule="exact"/>
        <w:rPr>
          <w:sz w:val="20"/>
          <w:szCs w:val="20"/>
          <w:color w:val="auto"/>
        </w:rPr>
      </w:pPr>
      <w:r>
        <w:rPr>
          <w:sz w:val="20"/>
          <w:szCs w:val="20"/>
          <w:color w:val="auto"/>
        </w:rPr>
        <w:br w:type="column"/>
      </w:r>
    </w:p>
    <w:p>
      <w:pPr>
        <w:spacing w:after="0"/>
        <w:tabs>
          <w:tab w:leader="none" w:pos="2840" w:val="left"/>
        </w:tabs>
        <w:rPr>
          <w:sz w:val="20"/>
          <w:szCs w:val="20"/>
          <w:color w:val="auto"/>
        </w:rPr>
      </w:pPr>
      <w:r>
        <w:rPr>
          <w:rFonts w:ascii="Arial" w:cs="Arial" w:eastAsia="Arial" w:hAnsi="Arial"/>
          <w:sz w:val="13"/>
          <w:szCs w:val="13"/>
          <w:color w:val="auto"/>
        </w:rPr>
        <w:t>Within 90 days of services</w:t>
      </w:r>
      <w:r>
        <w:rPr>
          <w:sz w:val="20"/>
          <w:szCs w:val="20"/>
          <w:color w:val="auto"/>
        </w:rPr>
        <w:tab/>
      </w:r>
      <w:r>
        <w:rPr>
          <w:rFonts w:ascii="Arial" w:cs="Arial" w:eastAsia="Arial" w:hAnsi="Arial"/>
          <w:sz w:val="11"/>
          <w:szCs w:val="11"/>
          <w:color w:val="auto"/>
        </w:rPr>
        <w:t>Observable transactions</w:t>
      </w:r>
    </w:p>
    <w:p>
      <w:pPr>
        <w:spacing w:after="0"/>
        <w:rPr>
          <w:sz w:val="20"/>
          <w:szCs w:val="20"/>
          <w:color w:val="auto"/>
        </w:rPr>
      </w:pPr>
      <w:r>
        <w:rPr>
          <w:rFonts w:ascii="Arial" w:cs="Arial" w:eastAsia="Arial" w:hAnsi="Arial"/>
          <w:sz w:val="13"/>
          <w:szCs w:val="13"/>
          <w:color w:val="auto"/>
        </w:rPr>
        <w:t>being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-3720465</wp:posOffset>
            </wp:positionH>
            <wp:positionV relativeFrom="paragraph">
              <wp:posOffset>12065</wp:posOffset>
            </wp:positionV>
            <wp:extent cx="7257415" cy="482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7415" cy="482600"/>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5140" w:space="720"/>
            <w:col w:w="5560"/>
          </w:cols>
          <w:pgMar w:left="240" w:top="127" w:right="239" w:bottom="1440" w:gutter="0" w:footer="0" w:header="0"/>
          <w:type w:val="continuous"/>
        </w:sectPr>
      </w:pPr>
    </w:p>
    <w:p>
      <w:pPr>
        <w:ind w:left="140"/>
        <w:spacing w:after="0"/>
        <w:rPr>
          <w:sz w:val="20"/>
          <w:szCs w:val="20"/>
          <w:color w:val="auto"/>
        </w:rPr>
      </w:pPr>
      <w:r>
        <w:rPr>
          <w:rFonts w:ascii="Arial" w:cs="Arial" w:eastAsia="Arial" w:hAnsi="Arial"/>
          <w:sz w:val="13"/>
          <w:szCs w:val="13"/>
          <w:color w:val="auto"/>
        </w:rPr>
        <w:t>Customization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60"/>
        <w:spacing w:after="0"/>
        <w:rPr>
          <w:sz w:val="20"/>
          <w:szCs w:val="20"/>
          <w:color w:val="auto"/>
        </w:rPr>
      </w:pPr>
      <w:r>
        <w:rPr>
          <w:rFonts w:ascii="Arial" w:cs="Arial" w:eastAsia="Arial" w:hAnsi="Arial"/>
          <w:sz w:val="11"/>
          <w:szCs w:val="11"/>
          <w:b w:val="1"/>
          <w:bCs w:val="1"/>
          <w:u w:val="single" w:color="auto"/>
          <w:color w:val="auto"/>
        </w:rPr>
        <w:t>Transaction Services</w:t>
      </w:r>
    </w:p>
    <w:p>
      <w:pPr>
        <w:spacing w:after="0" w:line="123" w:lineRule="exact"/>
        <w:rPr>
          <w:sz w:val="20"/>
          <w:szCs w:val="20"/>
          <w:color w:val="auto"/>
        </w:rPr>
      </w:pPr>
    </w:p>
    <w:p>
      <w:pPr>
        <w:jc w:val="center"/>
        <w:ind w:right="920"/>
        <w:spacing w:after="0"/>
        <w:rPr>
          <w:sz w:val="20"/>
          <w:szCs w:val="20"/>
          <w:color w:val="auto"/>
        </w:rPr>
      </w:pPr>
      <w:r>
        <w:rPr>
          <w:rFonts w:ascii="Arial" w:cs="Arial" w:eastAsia="Arial" w:hAnsi="Arial"/>
          <w:sz w:val="11"/>
          <w:szCs w:val="11"/>
          <w:b w:val="1"/>
          <w:bCs w:val="1"/>
          <w:u w:val="single" w:color="auto"/>
          <w:color w:val="auto"/>
        </w:rPr>
        <w:t>Subscription Services</w:t>
      </w:r>
    </w:p>
    <w:p>
      <w:pPr>
        <w:spacing w:after="0" w:line="127" w:lineRule="exact"/>
        <w:rPr>
          <w:sz w:val="20"/>
          <w:szCs w:val="20"/>
          <w:color w:val="auto"/>
        </w:rPr>
      </w:pPr>
    </w:p>
    <w:p>
      <w:pPr>
        <w:jc w:val="center"/>
        <w:ind w:right="920"/>
        <w:spacing w:after="0"/>
        <w:rPr>
          <w:sz w:val="20"/>
          <w:szCs w:val="20"/>
          <w:color w:val="auto"/>
        </w:rPr>
      </w:pPr>
      <w:r>
        <w:rPr>
          <w:rFonts w:ascii="Arial" w:cs="Arial" w:eastAsia="Arial" w:hAnsi="Arial"/>
          <w:sz w:val="13"/>
          <w:szCs w:val="13"/>
          <w:color w:val="auto"/>
        </w:rPr>
        <w:t>Customer Support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2860" w:type="dxa"/>
            <w:vAlign w:val="bottom"/>
          </w:tcPr>
          <w:p>
            <w:pPr>
              <w:spacing w:after="0"/>
              <w:rPr>
                <w:sz w:val="20"/>
                <w:szCs w:val="20"/>
                <w:color w:val="auto"/>
              </w:rPr>
            </w:pPr>
            <w:r>
              <w:rPr>
                <w:rFonts w:ascii="Arial" w:cs="Arial" w:eastAsia="Arial" w:hAnsi="Arial"/>
                <w:sz w:val="13"/>
                <w:szCs w:val="13"/>
                <w:color w:val="auto"/>
              </w:rPr>
              <w:t>SaaS: Over the remaining term of the SaaS</w:t>
            </w:r>
          </w:p>
        </w:tc>
        <w:tc>
          <w:tcPr>
            <w:tcW w:w="2300" w:type="dxa"/>
            <w:vAlign w:val="bottom"/>
          </w:tcPr>
          <w:p>
            <w:pPr>
              <w:ind w:left="100"/>
              <w:spacing w:after="0"/>
              <w:rPr>
                <w:sz w:val="20"/>
                <w:szCs w:val="20"/>
                <w:color w:val="auto"/>
              </w:rPr>
            </w:pPr>
            <w:r>
              <w:rPr>
                <w:rFonts w:ascii="Arial" w:cs="Arial" w:eastAsia="Arial" w:hAnsi="Arial"/>
                <w:sz w:val="13"/>
                <w:szCs w:val="13"/>
                <w:color w:val="auto"/>
              </w:rPr>
              <w:t>Within 90 days of services</w:t>
            </w:r>
          </w:p>
        </w:tc>
        <w:tc>
          <w:tcPr>
            <w:tcW w:w="1920" w:type="dxa"/>
            <w:vAlign w:val="bottom"/>
          </w:tcPr>
          <w:p>
            <w:pPr>
              <w:ind w:left="660"/>
              <w:spacing w:after="0"/>
              <w:rPr>
                <w:sz w:val="20"/>
                <w:szCs w:val="20"/>
                <w:color w:val="auto"/>
              </w:rPr>
            </w:pPr>
            <w:r>
              <w:rPr>
                <w:rFonts w:ascii="Arial" w:cs="Arial" w:eastAsia="Arial" w:hAnsi="Arial"/>
                <w:sz w:val="13"/>
                <w:szCs w:val="13"/>
                <w:color w:val="auto"/>
                <w:w w:val="88"/>
              </w:rPr>
              <w:t>Observable transactions</w:t>
            </w:r>
          </w:p>
        </w:tc>
      </w:tr>
      <w:tr>
        <w:trPr>
          <w:trHeight w:val="177"/>
        </w:trPr>
        <w:tc>
          <w:tcPr>
            <w:tcW w:w="2860" w:type="dxa"/>
            <w:vAlign w:val="bottom"/>
          </w:tcPr>
          <w:p>
            <w:pPr>
              <w:spacing w:after="0"/>
              <w:rPr>
                <w:sz w:val="20"/>
                <w:szCs w:val="20"/>
                <w:color w:val="auto"/>
              </w:rPr>
            </w:pPr>
            <w:r>
              <w:rPr>
                <w:rFonts w:ascii="Arial" w:cs="Arial" w:eastAsia="Arial" w:hAnsi="Arial"/>
                <w:sz w:val="13"/>
                <w:szCs w:val="13"/>
                <w:color w:val="auto"/>
              </w:rPr>
              <w:t>agreement</w:t>
            </w:r>
          </w:p>
        </w:tc>
        <w:tc>
          <w:tcPr>
            <w:tcW w:w="2300" w:type="dxa"/>
            <w:vAlign w:val="bottom"/>
          </w:tcPr>
          <w:p>
            <w:pPr>
              <w:ind w:left="100"/>
              <w:spacing w:after="0"/>
              <w:rPr>
                <w:sz w:val="20"/>
                <w:szCs w:val="20"/>
                <w:color w:val="auto"/>
              </w:rPr>
            </w:pPr>
            <w:r>
              <w:rPr>
                <w:rFonts w:ascii="Arial" w:cs="Arial" w:eastAsia="Arial" w:hAnsi="Arial"/>
                <w:sz w:val="13"/>
                <w:szCs w:val="13"/>
                <w:color w:val="auto"/>
              </w:rPr>
              <w:t>being performed</w:t>
            </w:r>
          </w:p>
        </w:tc>
        <w:tc>
          <w:tcPr>
            <w:tcW w:w="1920" w:type="dxa"/>
            <w:vAlign w:val="bottom"/>
          </w:tcPr>
          <w:p>
            <w:pPr>
              <w:spacing w:after="0"/>
              <w:rPr>
                <w:sz w:val="15"/>
                <w:szCs w:val="15"/>
                <w:color w:val="auto"/>
              </w:rPr>
            </w:pPr>
          </w:p>
        </w:tc>
      </w:tr>
      <w:tr>
        <w:trPr>
          <w:trHeight w:val="243"/>
        </w:trPr>
        <w:tc>
          <w:tcPr>
            <w:tcW w:w="2860" w:type="dxa"/>
            <w:vAlign w:val="bottom"/>
          </w:tcPr>
          <w:p>
            <w:pPr>
              <w:spacing w:after="0"/>
              <w:rPr>
                <w:sz w:val="20"/>
                <w:szCs w:val="20"/>
                <w:color w:val="auto"/>
              </w:rPr>
            </w:pPr>
            <w:r>
              <w:rPr>
                <w:rFonts w:ascii="Arial" w:cs="Arial" w:eastAsia="Arial" w:hAnsi="Arial"/>
                <w:sz w:val="13"/>
                <w:szCs w:val="13"/>
                <w:color w:val="auto"/>
                <w:w w:val="95"/>
              </w:rPr>
              <w:t>License: Over the performance of the customization</w:t>
            </w:r>
          </w:p>
        </w:tc>
        <w:tc>
          <w:tcPr>
            <w:tcW w:w="23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168"/>
        </w:trPr>
        <w:tc>
          <w:tcPr>
            <w:tcW w:w="2860" w:type="dxa"/>
            <w:vAlign w:val="bottom"/>
          </w:tcPr>
          <w:p>
            <w:pPr>
              <w:spacing w:after="0"/>
              <w:rPr>
                <w:sz w:val="20"/>
                <w:szCs w:val="20"/>
                <w:color w:val="auto"/>
              </w:rPr>
            </w:pPr>
            <w:r>
              <w:rPr>
                <w:rFonts w:ascii="Arial" w:cs="Arial" w:eastAsia="Arial" w:hAnsi="Arial"/>
                <w:sz w:val="13"/>
                <w:szCs w:val="13"/>
                <w:color w:val="auto"/>
              </w:rPr>
              <w:t>and installation of the software (over time)</w:t>
            </w:r>
          </w:p>
        </w:tc>
        <w:tc>
          <w:tcPr>
            <w:tcW w:w="23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7"/>
        </w:trPr>
        <w:tc>
          <w:tcPr>
            <w:tcW w:w="2860" w:type="dxa"/>
            <w:vAlign w:val="bottom"/>
          </w:tcPr>
          <w:p>
            <w:pPr>
              <w:spacing w:after="0"/>
              <w:rPr>
                <w:sz w:val="20"/>
                <w:szCs w:val="20"/>
                <w:color w:val="auto"/>
              </w:rPr>
            </w:pPr>
            <w:r>
              <w:rPr>
                <w:rFonts w:ascii="Arial" w:cs="Arial" w:eastAsia="Arial" w:hAnsi="Arial"/>
                <w:sz w:val="13"/>
                <w:szCs w:val="13"/>
                <w:color w:val="auto"/>
              </w:rPr>
              <w:t>As transaction is processed (over time)</w:t>
            </w:r>
          </w:p>
        </w:tc>
        <w:tc>
          <w:tcPr>
            <w:tcW w:w="2300" w:type="dxa"/>
            <w:vAlign w:val="bottom"/>
          </w:tcPr>
          <w:p>
            <w:pPr>
              <w:ind w:left="100"/>
              <w:spacing w:after="0"/>
              <w:rPr>
                <w:sz w:val="20"/>
                <w:szCs w:val="20"/>
                <w:color w:val="auto"/>
              </w:rPr>
            </w:pPr>
            <w:r>
              <w:rPr>
                <w:rFonts w:ascii="Arial" w:cs="Arial" w:eastAsia="Arial" w:hAnsi="Arial"/>
                <w:sz w:val="13"/>
                <w:szCs w:val="13"/>
                <w:color w:val="auto"/>
              </w:rPr>
              <w:t>Within 90 days of transaction</w:t>
            </w:r>
          </w:p>
        </w:tc>
        <w:tc>
          <w:tcPr>
            <w:tcW w:w="1920" w:type="dxa"/>
            <w:vAlign w:val="bottom"/>
          </w:tcPr>
          <w:p>
            <w:pPr>
              <w:ind w:left="660"/>
              <w:spacing w:after="0"/>
              <w:rPr>
                <w:sz w:val="20"/>
                <w:szCs w:val="20"/>
                <w:color w:val="auto"/>
              </w:rPr>
            </w:pPr>
            <w:r>
              <w:rPr>
                <w:rFonts w:ascii="Arial" w:cs="Arial" w:eastAsia="Arial" w:hAnsi="Arial"/>
                <w:sz w:val="13"/>
                <w:szCs w:val="13"/>
                <w:color w:val="auto"/>
                <w:w w:val="88"/>
              </w:rPr>
              <w:t>Observable transactions</w:t>
            </w:r>
          </w:p>
        </w:tc>
      </w:tr>
      <w:tr>
        <w:trPr>
          <w:trHeight w:val="467"/>
        </w:trPr>
        <w:tc>
          <w:tcPr>
            <w:tcW w:w="2860" w:type="dxa"/>
            <w:vAlign w:val="bottom"/>
          </w:tcPr>
          <w:p>
            <w:pPr>
              <w:spacing w:after="0"/>
              <w:rPr>
                <w:sz w:val="20"/>
                <w:szCs w:val="20"/>
                <w:color w:val="auto"/>
              </w:rPr>
            </w:pPr>
            <w:r>
              <w:rPr>
                <w:rFonts w:ascii="Arial" w:cs="Arial" w:eastAsia="Arial" w:hAnsi="Arial"/>
                <w:sz w:val="13"/>
                <w:szCs w:val="13"/>
                <w:color w:val="auto"/>
              </w:rPr>
              <w:t>Ratably over the course of the support contract</w:t>
            </w:r>
          </w:p>
        </w:tc>
        <w:tc>
          <w:tcPr>
            <w:tcW w:w="2300" w:type="dxa"/>
            <w:vAlign w:val="bottom"/>
          </w:tcPr>
          <w:p>
            <w:pPr>
              <w:ind w:left="100"/>
              <w:spacing w:after="0"/>
              <w:rPr>
                <w:sz w:val="20"/>
                <w:szCs w:val="20"/>
                <w:color w:val="auto"/>
              </w:rPr>
            </w:pPr>
            <w:r>
              <w:rPr>
                <w:rFonts w:ascii="Arial" w:cs="Arial" w:eastAsia="Arial" w:hAnsi="Arial"/>
                <w:sz w:val="13"/>
                <w:szCs w:val="13"/>
                <w:color w:val="auto"/>
              </w:rPr>
              <w:t>At the beginning of the</w:t>
            </w:r>
          </w:p>
        </w:tc>
        <w:tc>
          <w:tcPr>
            <w:tcW w:w="1920" w:type="dxa"/>
            <w:vAlign w:val="bottom"/>
          </w:tcPr>
          <w:p>
            <w:pPr>
              <w:ind w:left="660"/>
              <w:spacing w:after="0"/>
              <w:rPr>
                <w:sz w:val="20"/>
                <w:szCs w:val="20"/>
                <w:color w:val="auto"/>
              </w:rPr>
            </w:pPr>
            <w:r>
              <w:rPr>
                <w:rFonts w:ascii="Arial" w:cs="Arial" w:eastAsia="Arial" w:hAnsi="Arial"/>
                <w:sz w:val="13"/>
                <w:szCs w:val="13"/>
                <w:color w:val="auto"/>
                <w:w w:val="88"/>
              </w:rPr>
              <w:t>Observable transactions</w:t>
            </w:r>
          </w:p>
        </w:tc>
      </w:tr>
      <w:tr>
        <w:trPr>
          <w:trHeight w:val="168"/>
        </w:trPr>
        <w:tc>
          <w:tcPr>
            <w:tcW w:w="2860" w:type="dxa"/>
            <w:vAlign w:val="bottom"/>
          </w:tcPr>
          <w:p>
            <w:pPr>
              <w:spacing w:after="0"/>
              <w:rPr>
                <w:sz w:val="20"/>
                <w:szCs w:val="20"/>
                <w:color w:val="auto"/>
              </w:rPr>
            </w:pPr>
            <w:r>
              <w:rPr>
                <w:rFonts w:ascii="Arial" w:cs="Arial" w:eastAsia="Arial" w:hAnsi="Arial"/>
                <w:sz w:val="13"/>
                <w:szCs w:val="13"/>
                <w:color w:val="auto"/>
              </w:rPr>
              <w:t>(over time)</w:t>
            </w:r>
          </w:p>
        </w:tc>
        <w:tc>
          <w:tcPr>
            <w:tcW w:w="2300" w:type="dxa"/>
            <w:vAlign w:val="bottom"/>
          </w:tcPr>
          <w:p>
            <w:pPr>
              <w:ind w:left="100"/>
              <w:spacing w:after="0"/>
              <w:rPr>
                <w:sz w:val="20"/>
                <w:szCs w:val="20"/>
                <w:color w:val="auto"/>
              </w:rPr>
            </w:pPr>
            <w:r>
              <w:rPr>
                <w:rFonts w:ascii="Arial" w:cs="Arial" w:eastAsia="Arial" w:hAnsi="Arial"/>
                <w:sz w:val="13"/>
                <w:szCs w:val="13"/>
                <w:color w:val="auto"/>
              </w:rPr>
              <w:t>contract period</w:t>
            </w:r>
          </w:p>
        </w:tc>
        <w:tc>
          <w:tcPr>
            <w:tcW w:w="19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-1840865</wp:posOffset>
            </wp:positionH>
            <wp:positionV relativeFrom="paragraph">
              <wp:posOffset>-356870</wp:posOffset>
            </wp:positionV>
            <wp:extent cx="7257415" cy="158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7415" cy="158115"/>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2180" w:space="720"/>
            <w:col w:w="8520"/>
          </w:cols>
          <w:pgMar w:left="240" w:top="127"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1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SaaS</w:t>
            </w:r>
          </w:p>
        </w:tc>
        <w:tc>
          <w:tcPr>
            <w:tcW w:w="4100" w:type="dxa"/>
            <w:vAlign w:val="bottom"/>
            <w:shd w:val="clear" w:color="auto" w:fill="CCEEFF"/>
          </w:tcPr>
          <w:p>
            <w:pPr>
              <w:ind w:left="1240"/>
              <w:spacing w:after="0"/>
              <w:rPr>
                <w:sz w:val="20"/>
                <w:szCs w:val="20"/>
                <w:color w:val="auto"/>
              </w:rPr>
            </w:pPr>
            <w:r>
              <w:rPr>
                <w:rFonts w:ascii="Arial" w:cs="Arial" w:eastAsia="Arial" w:hAnsi="Arial"/>
                <w:sz w:val="13"/>
                <w:szCs w:val="13"/>
                <w:color w:val="auto"/>
                <w:w w:val="92"/>
              </w:rPr>
              <w:t>Over the course of the SaaS service once the system</w:t>
            </w:r>
          </w:p>
        </w:tc>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Within 90 days of services</w:t>
            </w:r>
          </w:p>
        </w:tc>
        <w:tc>
          <w:tcPr>
            <w:tcW w:w="3440" w:type="dxa"/>
            <w:vAlign w:val="bottom"/>
            <w:shd w:val="clear" w:color="auto" w:fill="CCEEFF"/>
          </w:tcPr>
          <w:p>
            <w:pPr>
              <w:ind w:left="740"/>
              <w:spacing w:after="0"/>
              <w:rPr>
                <w:sz w:val="20"/>
                <w:szCs w:val="20"/>
                <w:color w:val="auto"/>
              </w:rPr>
            </w:pPr>
            <w:r>
              <w:rPr>
                <w:rFonts w:ascii="Arial" w:cs="Arial" w:eastAsia="Arial" w:hAnsi="Arial"/>
                <w:sz w:val="13"/>
                <w:szCs w:val="13"/>
                <w:color w:val="auto"/>
              </w:rPr>
              <w:t>Estimated using a cost-plus margin approach</w:t>
            </w:r>
          </w:p>
        </w:tc>
      </w:tr>
      <w:tr>
        <w:trPr>
          <w:trHeight w:val="137"/>
        </w:trPr>
        <w:tc>
          <w:tcPr>
            <w:tcW w:w="1660" w:type="dxa"/>
            <w:vAlign w:val="bottom"/>
            <w:shd w:val="clear" w:color="auto" w:fill="CCEEFF"/>
          </w:tcPr>
          <w:p>
            <w:pPr>
              <w:spacing w:after="0"/>
              <w:rPr>
                <w:sz w:val="11"/>
                <w:szCs w:val="11"/>
                <w:color w:val="auto"/>
              </w:rPr>
            </w:pPr>
          </w:p>
        </w:tc>
        <w:tc>
          <w:tcPr>
            <w:tcW w:w="4100" w:type="dxa"/>
            <w:vAlign w:val="bottom"/>
            <w:shd w:val="clear" w:color="auto" w:fill="CCEEFF"/>
          </w:tcPr>
          <w:p>
            <w:pPr>
              <w:ind w:left="1240"/>
              <w:spacing w:after="0" w:line="138" w:lineRule="exact"/>
              <w:rPr>
                <w:sz w:val="20"/>
                <w:szCs w:val="20"/>
                <w:color w:val="auto"/>
              </w:rPr>
            </w:pPr>
            <w:r>
              <w:rPr>
                <w:rFonts w:ascii="Arial" w:cs="Arial" w:eastAsia="Arial" w:hAnsi="Arial"/>
                <w:sz w:val="13"/>
                <w:szCs w:val="13"/>
                <w:color w:val="auto"/>
              </w:rPr>
              <w:t>is available for use</w:t>
            </w:r>
          </w:p>
        </w:tc>
        <w:tc>
          <w:tcPr>
            <w:tcW w:w="2220" w:type="dxa"/>
            <w:vAlign w:val="bottom"/>
            <w:shd w:val="clear" w:color="auto" w:fill="CCEEFF"/>
          </w:tcPr>
          <w:p>
            <w:pPr>
              <w:ind w:left="100"/>
              <w:spacing w:after="0" w:line="138" w:lineRule="exact"/>
              <w:rPr>
                <w:sz w:val="20"/>
                <w:szCs w:val="20"/>
                <w:color w:val="auto"/>
              </w:rPr>
            </w:pPr>
            <w:r>
              <w:rPr>
                <w:rFonts w:ascii="Arial" w:cs="Arial" w:eastAsia="Arial" w:hAnsi="Arial"/>
                <w:sz w:val="13"/>
                <w:szCs w:val="13"/>
                <w:color w:val="auto"/>
              </w:rPr>
              <w:t>being performed</w:t>
            </w:r>
          </w:p>
        </w:tc>
        <w:tc>
          <w:tcPr>
            <w:tcW w:w="3440" w:type="dxa"/>
            <w:vAlign w:val="bottom"/>
            <w:shd w:val="clear" w:color="auto" w:fill="CCEEFF"/>
          </w:tcPr>
          <w:p>
            <w:pPr>
              <w:spacing w:after="0"/>
              <w:rPr>
                <w:sz w:val="11"/>
                <w:szCs w:val="11"/>
                <w:color w:val="auto"/>
              </w:rPr>
            </w:pPr>
          </w:p>
        </w:tc>
      </w:tr>
      <w:tr>
        <w:trPr>
          <w:trHeight w:val="178"/>
        </w:trPr>
        <w:tc>
          <w:tcPr>
            <w:tcW w:w="1660" w:type="dxa"/>
            <w:vAlign w:val="bottom"/>
            <w:shd w:val="clear" w:color="auto" w:fill="CCEEFF"/>
          </w:tcPr>
          <w:p>
            <w:pPr>
              <w:spacing w:after="0"/>
              <w:rPr>
                <w:sz w:val="15"/>
                <w:szCs w:val="15"/>
                <w:color w:val="auto"/>
              </w:rPr>
            </w:pPr>
          </w:p>
        </w:tc>
        <w:tc>
          <w:tcPr>
            <w:tcW w:w="4100" w:type="dxa"/>
            <w:vAlign w:val="bottom"/>
            <w:shd w:val="clear" w:color="auto" w:fill="CCEEFF"/>
          </w:tcPr>
          <w:p>
            <w:pPr>
              <w:ind w:left="1240"/>
              <w:spacing w:after="0"/>
              <w:rPr>
                <w:sz w:val="20"/>
                <w:szCs w:val="20"/>
                <w:color w:val="auto"/>
              </w:rPr>
            </w:pPr>
            <w:r>
              <w:rPr>
                <w:rFonts w:ascii="Arial" w:cs="Arial" w:eastAsia="Arial" w:hAnsi="Arial"/>
                <w:sz w:val="13"/>
                <w:szCs w:val="13"/>
                <w:color w:val="auto"/>
              </w:rPr>
              <w:t>(over time)</w:t>
            </w:r>
          </w:p>
        </w:tc>
        <w:tc>
          <w:tcPr>
            <w:tcW w:w="222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Disaggregation of revenue</w:t>
      </w:r>
    </w:p>
    <w:p>
      <w:pPr>
        <w:spacing w:after="0" w:line="203" w:lineRule="exact"/>
        <w:rPr>
          <w:sz w:val="20"/>
          <w:szCs w:val="20"/>
          <w:color w:val="auto"/>
        </w:rPr>
      </w:pPr>
    </w:p>
    <w:p>
      <w:pPr>
        <w:jc w:val="both"/>
        <w:ind w:firstLine="299"/>
        <w:spacing w:after="0" w:line="332" w:lineRule="auto"/>
        <w:rPr>
          <w:sz w:val="20"/>
          <w:szCs w:val="20"/>
          <w:color w:val="auto"/>
        </w:rPr>
      </w:pPr>
      <w:r>
        <w:rPr>
          <w:rFonts w:ascii="Arial" w:cs="Arial" w:eastAsia="Arial" w:hAnsi="Arial"/>
          <w:sz w:val="15"/>
          <w:szCs w:val="15"/>
          <w:color w:val="auto"/>
        </w:rPr>
        <w:t>The Company disaggregates revenue from contracts with customers into the nature of the products and services and geographical regions. The Company’s geographic regions are the Americas, EMEA, and APAC. The majority of the Company’s revenue is from the Technology, Media and Telecom (collectively, “TMT”) sector.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7"/>
          </w:tcPr>
          <w:p>
            <w:pPr>
              <w:ind w:left="20"/>
              <w:spacing w:after="0"/>
              <w:rPr>
                <w:sz w:val="20"/>
                <w:szCs w:val="20"/>
                <w:color w:val="auto"/>
              </w:rPr>
            </w:pPr>
            <w:r>
              <w:rPr>
                <w:rFonts w:ascii="Arial" w:cs="Arial" w:eastAsia="Arial" w:hAnsi="Arial"/>
                <w:sz w:val="13"/>
                <w:szCs w:val="13"/>
                <w:b w:val="1"/>
                <w:bCs w:val="1"/>
                <w:color w:val="auto"/>
                <w:w w:val="93"/>
              </w:rPr>
              <w:t>Three Months Ended September 30, 2018</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4"/>
              </w:rPr>
              <w:t>Three Months Ended September 30, 2017</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242"/>
        </w:trPr>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286"/>
              <w:spacing w:after="0"/>
              <w:rPr>
                <w:sz w:val="20"/>
                <w:szCs w:val="20"/>
                <w:color w:val="auto"/>
              </w:rPr>
            </w:pPr>
            <w:r>
              <w:rPr>
                <w:rFonts w:ascii="Arial" w:cs="Arial" w:eastAsia="Arial" w:hAnsi="Arial"/>
                <w:sz w:val="13"/>
                <w:szCs w:val="13"/>
                <w:b w:val="1"/>
                <w:bCs w:val="1"/>
                <w:color w:val="auto"/>
              </w:rPr>
              <w:t>Cloud</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b w:val="1"/>
                <w:bCs w:val="1"/>
                <w:color w:val="auto"/>
              </w:rPr>
              <w:t>Digital</w:t>
            </w:r>
          </w:p>
        </w:tc>
        <w:tc>
          <w:tcPr>
            <w:tcW w:w="160" w:type="dxa"/>
            <w:vAlign w:val="bottom"/>
          </w:tcPr>
          <w:p>
            <w:pPr>
              <w:spacing w:after="0"/>
              <w:rPr>
                <w:sz w:val="21"/>
                <w:szCs w:val="21"/>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Messaging</w:t>
            </w:r>
          </w:p>
        </w:tc>
        <w:tc>
          <w:tcPr>
            <w:tcW w:w="240" w:type="dxa"/>
            <w:vAlign w:val="bottom"/>
          </w:tcPr>
          <w:p>
            <w:pPr>
              <w:spacing w:after="0"/>
              <w:rPr>
                <w:sz w:val="21"/>
                <w:szCs w:val="21"/>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21"/>
                <w:szCs w:val="21"/>
                <w:color w:val="auto"/>
              </w:rPr>
            </w:pPr>
          </w:p>
        </w:tc>
        <w:tc>
          <w:tcPr>
            <w:tcW w:w="760" w:type="dxa"/>
            <w:vAlign w:val="bottom"/>
          </w:tcPr>
          <w:p>
            <w:pPr>
              <w:jc w:val="right"/>
              <w:ind w:right="226"/>
              <w:spacing w:after="0"/>
              <w:rPr>
                <w:sz w:val="20"/>
                <w:szCs w:val="20"/>
                <w:color w:val="auto"/>
              </w:rPr>
            </w:pPr>
            <w:r>
              <w:rPr>
                <w:rFonts w:ascii="Arial" w:cs="Arial" w:eastAsia="Arial" w:hAnsi="Arial"/>
                <w:sz w:val="13"/>
                <w:szCs w:val="13"/>
                <w:b w:val="1"/>
                <w:bCs w:val="1"/>
                <w:color w:val="auto"/>
              </w:rPr>
              <w:t>Cloud</w:t>
            </w:r>
          </w:p>
        </w:tc>
        <w:tc>
          <w:tcPr>
            <w:tcW w:w="360" w:type="dxa"/>
            <w:vAlign w:val="bottom"/>
          </w:tcPr>
          <w:p>
            <w:pPr>
              <w:spacing w:after="0"/>
              <w:rPr>
                <w:sz w:val="21"/>
                <w:szCs w:val="21"/>
                <w:color w:val="auto"/>
              </w:rPr>
            </w:pPr>
          </w:p>
        </w:tc>
        <w:tc>
          <w:tcPr>
            <w:tcW w:w="840" w:type="dxa"/>
            <w:vAlign w:val="bottom"/>
          </w:tcPr>
          <w:p>
            <w:pPr>
              <w:jc w:val="right"/>
              <w:ind w:right="266"/>
              <w:spacing w:after="0"/>
              <w:rPr>
                <w:sz w:val="20"/>
                <w:szCs w:val="20"/>
                <w:color w:val="auto"/>
              </w:rPr>
            </w:pPr>
            <w:r>
              <w:rPr>
                <w:rFonts w:ascii="Arial" w:cs="Arial" w:eastAsia="Arial" w:hAnsi="Arial"/>
                <w:sz w:val="13"/>
                <w:szCs w:val="13"/>
                <w:b w:val="1"/>
                <w:bCs w:val="1"/>
                <w:color w:val="auto"/>
              </w:rPr>
              <w:t>Digital</w:t>
            </w:r>
          </w:p>
        </w:tc>
        <w:tc>
          <w:tcPr>
            <w:tcW w:w="240" w:type="dxa"/>
            <w:vAlign w:val="bottom"/>
          </w:tcPr>
          <w:p>
            <w:pPr>
              <w:spacing w:after="0"/>
              <w:rPr>
                <w:sz w:val="21"/>
                <w:szCs w:val="21"/>
                <w:color w:val="auto"/>
              </w:rPr>
            </w:pPr>
          </w:p>
        </w:tc>
        <w:tc>
          <w:tcPr>
            <w:tcW w:w="1000" w:type="dxa"/>
            <w:vAlign w:val="bottom"/>
          </w:tcPr>
          <w:p>
            <w:pPr>
              <w:jc w:val="right"/>
              <w:ind w:right="266"/>
              <w:spacing w:after="0"/>
              <w:rPr>
                <w:sz w:val="20"/>
                <w:szCs w:val="20"/>
                <w:color w:val="auto"/>
              </w:rPr>
            </w:pPr>
            <w:r>
              <w:rPr>
                <w:rFonts w:ascii="Arial" w:cs="Arial" w:eastAsia="Arial" w:hAnsi="Arial"/>
                <w:sz w:val="13"/>
                <w:szCs w:val="13"/>
                <w:b w:val="1"/>
                <w:bCs w:val="1"/>
                <w:color w:val="auto"/>
                <w:w w:val="95"/>
              </w:rPr>
              <w:t>Messaging</w:t>
            </w:r>
          </w:p>
        </w:tc>
        <w:tc>
          <w:tcPr>
            <w:tcW w:w="220" w:type="dxa"/>
            <w:vAlign w:val="bottom"/>
          </w:tcPr>
          <w:p>
            <w:pPr>
              <w:spacing w:after="0"/>
              <w:rPr>
                <w:sz w:val="21"/>
                <w:szCs w:val="21"/>
                <w:color w:val="auto"/>
              </w:rPr>
            </w:pPr>
          </w:p>
        </w:tc>
        <w:tc>
          <w:tcPr>
            <w:tcW w:w="780" w:type="dxa"/>
            <w:vAlign w:val="bottom"/>
          </w:tcPr>
          <w:p>
            <w:pPr>
              <w:jc w:val="right"/>
              <w:ind w:right="286"/>
              <w:spacing w:after="0"/>
              <w:rPr>
                <w:sz w:val="20"/>
                <w:szCs w:val="20"/>
                <w:color w:val="auto"/>
              </w:rPr>
            </w:pPr>
            <w:r>
              <w:rPr>
                <w:rFonts w:ascii="Arial" w:cs="Arial" w:eastAsia="Arial" w:hAnsi="Arial"/>
                <w:sz w:val="13"/>
                <w:szCs w:val="13"/>
                <w:b w:val="1"/>
                <w:bCs w:val="1"/>
                <w:color w:val="auto"/>
              </w:rPr>
              <w:t>Total</w:t>
            </w:r>
          </w:p>
        </w:tc>
      </w:tr>
      <w:tr>
        <w:trPr>
          <w:trHeight w:val="227"/>
        </w:trPr>
        <w:tc>
          <w:tcPr>
            <w:tcW w:w="2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Geography</w:t>
            </w: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18"/>
        </w:trPr>
        <w:tc>
          <w:tcPr>
            <w:tcW w:w="2400" w:type="dxa"/>
            <w:vAlign w:val="bottom"/>
          </w:tcPr>
          <w:p>
            <w:pPr>
              <w:ind w:left="240"/>
              <w:spacing w:after="0"/>
              <w:rPr>
                <w:sz w:val="20"/>
                <w:szCs w:val="20"/>
                <w:color w:val="auto"/>
              </w:rPr>
            </w:pPr>
            <w:r>
              <w:rPr>
                <w:rFonts w:ascii="Arial" w:cs="Arial" w:eastAsia="Arial" w:hAnsi="Arial"/>
                <w:sz w:val="15"/>
                <w:szCs w:val="15"/>
                <w:color w:val="auto"/>
              </w:rPr>
              <w:t>Americas</w:t>
            </w:r>
          </w:p>
        </w:tc>
        <w:tc>
          <w:tcPr>
            <w:tcW w:w="240" w:type="dxa"/>
            <w:vAlign w:val="bottom"/>
          </w:tcPr>
          <w:p>
            <w:pPr>
              <w:jc w:val="right"/>
              <w:ind w:right="65"/>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41,029</w:t>
            </w:r>
          </w:p>
        </w:tc>
        <w:tc>
          <w:tcPr>
            <w:tcW w:w="340" w:type="dxa"/>
            <w:vAlign w:val="bottom"/>
            <w:gridSpan w:val="2"/>
          </w:tcPr>
          <w:p>
            <w:pPr>
              <w:jc w:val="right"/>
              <w:ind w:right="4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6"/>
              <w:spacing w:after="0"/>
              <w:rPr>
                <w:sz w:val="20"/>
                <w:szCs w:val="20"/>
                <w:color w:val="auto"/>
              </w:rPr>
            </w:pPr>
            <w:r>
              <w:rPr>
                <w:rFonts w:ascii="Arial" w:cs="Arial" w:eastAsia="Arial" w:hAnsi="Arial"/>
                <w:sz w:val="15"/>
                <w:szCs w:val="15"/>
                <w:color w:val="auto"/>
              </w:rPr>
              <w:t>24,563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2,714</w:t>
            </w:r>
          </w:p>
        </w:tc>
        <w:tc>
          <w:tcPr>
            <w:tcW w:w="100" w:type="dxa"/>
            <w:vAlign w:val="bottom"/>
          </w:tcPr>
          <w:p>
            <w:pPr>
              <w:spacing w:after="0"/>
              <w:rPr>
                <w:sz w:val="18"/>
                <w:szCs w:val="18"/>
                <w:color w:val="auto"/>
              </w:rPr>
            </w:pPr>
          </w:p>
        </w:tc>
        <w:tc>
          <w:tcPr>
            <w:tcW w:w="240" w:type="dxa"/>
            <w:vAlign w:val="bottom"/>
          </w:tcPr>
          <w:p>
            <w:pPr>
              <w:jc w:val="right"/>
              <w:ind w:right="65"/>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68,306</w:t>
            </w:r>
          </w:p>
        </w:tc>
        <w:tc>
          <w:tcPr>
            <w:tcW w:w="100" w:type="dxa"/>
            <w:vAlign w:val="bottom"/>
          </w:tcPr>
          <w:p>
            <w:pPr>
              <w:spacing w:after="0"/>
              <w:rPr>
                <w:sz w:val="18"/>
                <w:szCs w:val="18"/>
                <w:color w:val="auto"/>
              </w:rPr>
            </w:pP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49,555</w:t>
            </w:r>
          </w:p>
        </w:tc>
        <w:tc>
          <w:tcPr>
            <w:tcW w:w="3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66"/>
              <w:spacing w:after="0"/>
              <w:rPr>
                <w:sz w:val="20"/>
                <w:szCs w:val="20"/>
                <w:color w:val="auto"/>
              </w:rPr>
            </w:pPr>
            <w:r>
              <w:rPr>
                <w:rFonts w:ascii="Arial" w:cs="Arial" w:eastAsia="Arial" w:hAnsi="Arial"/>
                <w:sz w:val="15"/>
                <w:szCs w:val="15"/>
                <w:color w:val="auto"/>
              </w:rPr>
              <w:t>28,071</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6"/>
              <w:spacing w:after="0"/>
              <w:rPr>
                <w:sz w:val="20"/>
                <w:szCs w:val="20"/>
                <w:color w:val="auto"/>
              </w:rPr>
            </w:pPr>
            <w:r>
              <w:rPr>
                <w:rFonts w:ascii="Arial" w:cs="Arial" w:eastAsia="Arial" w:hAnsi="Arial"/>
                <w:sz w:val="15"/>
                <w:szCs w:val="15"/>
                <w:color w:val="auto"/>
              </w:rPr>
              <w:t>2,125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79,751</w:t>
            </w:r>
          </w:p>
        </w:tc>
      </w:tr>
      <w:tr>
        <w:trPr>
          <w:trHeight w:val="31"/>
        </w:trPr>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2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APAC</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2,082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4,647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6,729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rPr>
              <w:t>1,637</w:t>
            </w: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rPr>
              <w:t>4,540</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6,177</w:t>
            </w:r>
          </w:p>
        </w:tc>
      </w:tr>
      <w:tr>
        <w:trPr>
          <w:trHeight w:val="218"/>
        </w:trPr>
        <w:tc>
          <w:tcPr>
            <w:tcW w:w="2400" w:type="dxa"/>
            <w:vAlign w:val="bottom"/>
          </w:tcPr>
          <w:p>
            <w:pPr>
              <w:ind w:left="240"/>
              <w:spacing w:after="0"/>
              <w:rPr>
                <w:sz w:val="20"/>
                <w:szCs w:val="20"/>
                <w:color w:val="auto"/>
              </w:rPr>
            </w:pPr>
            <w:r>
              <w:rPr>
                <w:rFonts w:ascii="Arial" w:cs="Arial" w:eastAsia="Arial" w:hAnsi="Arial"/>
                <w:sz w:val="15"/>
                <w:szCs w:val="15"/>
                <w:color w:val="auto"/>
              </w:rPr>
              <w:t>EMEA</w:t>
            </w:r>
          </w:p>
        </w:tc>
        <w:tc>
          <w:tcPr>
            <w:tcW w:w="240" w:type="dxa"/>
            <w:vAlign w:val="bottom"/>
          </w:tcPr>
          <w:p>
            <w:pPr>
              <w:spacing w:after="0"/>
              <w:rPr>
                <w:sz w:val="18"/>
                <w:szCs w:val="18"/>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1,967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6"/>
              <w:spacing w:after="0"/>
              <w:rPr>
                <w:sz w:val="20"/>
                <w:szCs w:val="20"/>
                <w:color w:val="auto"/>
              </w:rPr>
            </w:pPr>
            <w:r>
              <w:rPr>
                <w:rFonts w:ascii="Arial" w:cs="Arial" w:eastAsia="Arial" w:hAnsi="Arial"/>
                <w:sz w:val="15"/>
                <w:szCs w:val="15"/>
                <w:color w:val="auto"/>
              </w:rPr>
              <w:t>2,216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4,068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8,251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1,708</w:t>
            </w:r>
          </w:p>
        </w:tc>
        <w:tc>
          <w:tcPr>
            <w:tcW w:w="360" w:type="dxa"/>
            <w:vAlign w:val="bottom"/>
          </w:tcPr>
          <w:p>
            <w:pPr>
              <w:spacing w:after="0"/>
              <w:rPr>
                <w:sz w:val="18"/>
                <w:szCs w:val="18"/>
                <w:color w:val="auto"/>
              </w:rPr>
            </w:pPr>
          </w:p>
        </w:tc>
        <w:tc>
          <w:tcPr>
            <w:tcW w:w="840" w:type="dxa"/>
            <w:vAlign w:val="bottom"/>
          </w:tcPr>
          <w:p>
            <w:pPr>
              <w:jc w:val="right"/>
              <w:ind w:right="66"/>
              <w:spacing w:after="0"/>
              <w:rPr>
                <w:sz w:val="20"/>
                <w:szCs w:val="20"/>
                <w:color w:val="auto"/>
              </w:rPr>
            </w:pPr>
            <w:r>
              <w:rPr>
                <w:rFonts w:ascii="Arial" w:cs="Arial" w:eastAsia="Arial" w:hAnsi="Arial"/>
                <w:sz w:val="15"/>
                <w:szCs w:val="15"/>
                <w:color w:val="auto"/>
              </w:rPr>
              <w:t>634</w:t>
            </w:r>
          </w:p>
        </w:tc>
        <w:tc>
          <w:tcPr>
            <w:tcW w:w="240" w:type="dxa"/>
            <w:vAlign w:val="bottom"/>
          </w:tcPr>
          <w:p>
            <w:pPr>
              <w:spacing w:after="0"/>
              <w:rPr>
                <w:sz w:val="18"/>
                <w:szCs w:val="18"/>
                <w:color w:val="auto"/>
              </w:rPr>
            </w:pPr>
          </w:p>
        </w:tc>
        <w:tc>
          <w:tcPr>
            <w:tcW w:w="1000" w:type="dxa"/>
            <w:vAlign w:val="bottom"/>
          </w:tcPr>
          <w:p>
            <w:pPr>
              <w:jc w:val="right"/>
              <w:ind w:right="166"/>
              <w:spacing w:after="0"/>
              <w:rPr>
                <w:sz w:val="20"/>
                <w:szCs w:val="20"/>
                <w:color w:val="auto"/>
              </w:rPr>
            </w:pPr>
            <w:r>
              <w:rPr>
                <w:rFonts w:ascii="Arial" w:cs="Arial" w:eastAsia="Arial" w:hAnsi="Arial"/>
                <w:sz w:val="15"/>
                <w:szCs w:val="15"/>
                <w:color w:val="auto"/>
              </w:rPr>
              <w:t>2,745</w:t>
            </w:r>
          </w:p>
        </w:tc>
        <w:tc>
          <w:tcPr>
            <w:tcW w:w="220" w:type="dxa"/>
            <w:vAlign w:val="bottom"/>
          </w:tcPr>
          <w:p>
            <w:pPr>
              <w:spacing w:after="0"/>
              <w:rPr>
                <w:sz w:val="18"/>
                <w:szCs w:val="18"/>
                <w:color w:val="auto"/>
              </w:rPr>
            </w:pP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5,087</w:t>
            </w:r>
          </w:p>
        </w:tc>
      </w:tr>
      <w:tr>
        <w:trPr>
          <w:trHeight w:val="31"/>
        </w:trPr>
        <w:tc>
          <w:tcPr>
            <w:tcW w:w="2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2"/>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42,996</w:t>
            </w:r>
          </w:p>
        </w:tc>
        <w:tc>
          <w:tcPr>
            <w:tcW w:w="340" w:type="dxa"/>
            <w:vAlign w:val="bottom"/>
            <w:tcBorders>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28,861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11,429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83,286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51,263</w:t>
            </w:r>
          </w:p>
        </w:tc>
        <w:tc>
          <w:tcPr>
            <w:tcW w:w="3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rPr>
              <w:t>30,342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rPr>
              <w:t>9,410</w:t>
            </w:r>
          </w:p>
        </w:tc>
        <w:tc>
          <w:tcPr>
            <w:tcW w:w="2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91,015</w:t>
            </w:r>
          </w:p>
        </w:tc>
      </w:tr>
      <w:tr>
        <w:trPr>
          <w:trHeight w:val="299"/>
        </w:trPr>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9"/>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Service Line</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r>
      <w:tr>
        <w:trPr>
          <w:trHeight w:val="218"/>
        </w:trPr>
        <w:tc>
          <w:tcPr>
            <w:tcW w:w="2400" w:type="dxa"/>
            <w:vAlign w:val="bottom"/>
          </w:tcPr>
          <w:p>
            <w:pPr>
              <w:ind w:left="240"/>
              <w:spacing w:after="0"/>
              <w:rPr>
                <w:sz w:val="20"/>
                <w:szCs w:val="20"/>
                <w:color w:val="auto"/>
              </w:rPr>
            </w:pPr>
            <w:r>
              <w:rPr>
                <w:rFonts w:ascii="Arial" w:cs="Arial" w:eastAsia="Arial" w:hAnsi="Arial"/>
                <w:sz w:val="15"/>
                <w:szCs w:val="15"/>
                <w:color w:val="auto"/>
              </w:rPr>
              <w:t>Professional Services</w:t>
            </w:r>
          </w:p>
        </w:tc>
        <w:tc>
          <w:tcPr>
            <w:tcW w:w="240" w:type="dxa"/>
            <w:vAlign w:val="bottom"/>
          </w:tcPr>
          <w:p>
            <w:pPr>
              <w:jc w:val="right"/>
              <w:ind w:right="65"/>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2,982</w:t>
            </w:r>
          </w:p>
        </w:tc>
        <w:tc>
          <w:tcPr>
            <w:tcW w:w="340" w:type="dxa"/>
            <w:vAlign w:val="bottom"/>
            <w:gridSpan w:val="2"/>
          </w:tcPr>
          <w:p>
            <w:pPr>
              <w:jc w:val="right"/>
              <w:ind w:right="4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6"/>
              <w:spacing w:after="0"/>
              <w:rPr>
                <w:sz w:val="20"/>
                <w:szCs w:val="20"/>
                <w:color w:val="auto"/>
              </w:rPr>
            </w:pPr>
            <w:r>
              <w:rPr>
                <w:rFonts w:ascii="Arial" w:cs="Arial" w:eastAsia="Arial" w:hAnsi="Arial"/>
                <w:sz w:val="15"/>
                <w:szCs w:val="15"/>
                <w:color w:val="auto"/>
              </w:rPr>
              <w:t>4,051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1,728</w:t>
            </w:r>
          </w:p>
        </w:tc>
        <w:tc>
          <w:tcPr>
            <w:tcW w:w="100" w:type="dxa"/>
            <w:vAlign w:val="bottom"/>
          </w:tcPr>
          <w:p>
            <w:pPr>
              <w:spacing w:after="0"/>
              <w:rPr>
                <w:sz w:val="18"/>
                <w:szCs w:val="18"/>
                <w:color w:val="auto"/>
              </w:rPr>
            </w:pPr>
          </w:p>
        </w:tc>
        <w:tc>
          <w:tcPr>
            <w:tcW w:w="240" w:type="dxa"/>
            <w:vAlign w:val="bottom"/>
          </w:tcPr>
          <w:p>
            <w:pPr>
              <w:jc w:val="right"/>
              <w:ind w:right="65"/>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8,761</w:t>
            </w:r>
          </w:p>
        </w:tc>
        <w:tc>
          <w:tcPr>
            <w:tcW w:w="100" w:type="dxa"/>
            <w:vAlign w:val="bottom"/>
          </w:tcPr>
          <w:p>
            <w:pPr>
              <w:spacing w:after="0"/>
              <w:rPr>
                <w:sz w:val="18"/>
                <w:szCs w:val="18"/>
                <w:color w:val="auto"/>
              </w:rPr>
            </w:pP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4,309</w:t>
            </w:r>
          </w:p>
        </w:tc>
        <w:tc>
          <w:tcPr>
            <w:tcW w:w="3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66"/>
              <w:spacing w:after="0"/>
              <w:rPr>
                <w:sz w:val="20"/>
                <w:szCs w:val="20"/>
                <w:color w:val="auto"/>
              </w:rPr>
            </w:pPr>
            <w:r>
              <w:rPr>
                <w:rFonts w:ascii="Arial" w:cs="Arial" w:eastAsia="Arial" w:hAnsi="Arial"/>
                <w:sz w:val="15"/>
                <w:szCs w:val="15"/>
                <w:color w:val="auto"/>
              </w:rPr>
              <w:t>6,990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6"/>
              <w:spacing w:after="0"/>
              <w:rPr>
                <w:sz w:val="20"/>
                <w:szCs w:val="20"/>
                <w:color w:val="auto"/>
              </w:rPr>
            </w:pPr>
            <w:r>
              <w:rPr>
                <w:rFonts w:ascii="Arial" w:cs="Arial" w:eastAsia="Arial" w:hAnsi="Arial"/>
                <w:sz w:val="15"/>
                <w:szCs w:val="15"/>
                <w:color w:val="auto"/>
              </w:rPr>
              <w:t>1,809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13,108</w:t>
            </w:r>
          </w:p>
        </w:tc>
      </w:tr>
      <w:tr>
        <w:trPr>
          <w:trHeight w:val="31"/>
        </w:trPr>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2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Transaction Services</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1,918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2,845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4,763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2,883</w:t>
            </w:r>
          </w:p>
        </w:tc>
        <w:tc>
          <w:tcPr>
            <w:tcW w:w="3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rPr>
              <w:t>4,113</w:t>
            </w: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6,996</w:t>
            </w:r>
          </w:p>
        </w:tc>
      </w:tr>
      <w:tr>
        <w:trPr>
          <w:trHeight w:val="218"/>
        </w:trPr>
        <w:tc>
          <w:tcPr>
            <w:tcW w:w="2400" w:type="dxa"/>
            <w:vAlign w:val="bottom"/>
          </w:tcPr>
          <w:p>
            <w:pPr>
              <w:ind w:left="240"/>
              <w:spacing w:after="0"/>
              <w:rPr>
                <w:sz w:val="20"/>
                <w:szCs w:val="20"/>
                <w:color w:val="auto"/>
              </w:rPr>
            </w:pPr>
            <w:r>
              <w:rPr>
                <w:rFonts w:ascii="Arial" w:cs="Arial" w:eastAsia="Arial" w:hAnsi="Arial"/>
                <w:sz w:val="15"/>
                <w:szCs w:val="15"/>
                <w:color w:val="auto"/>
              </w:rPr>
              <w:t>Subscription Services</w:t>
            </w:r>
          </w:p>
        </w:tc>
        <w:tc>
          <w:tcPr>
            <w:tcW w:w="240" w:type="dxa"/>
            <w:vAlign w:val="bottom"/>
          </w:tcPr>
          <w:p>
            <w:pPr>
              <w:spacing w:after="0"/>
              <w:rPr>
                <w:sz w:val="18"/>
                <w:szCs w:val="18"/>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38,096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6"/>
              <w:spacing w:after="0"/>
              <w:rPr>
                <w:sz w:val="20"/>
                <w:szCs w:val="20"/>
                <w:color w:val="auto"/>
              </w:rPr>
            </w:pPr>
            <w:r>
              <w:rPr>
                <w:rFonts w:ascii="Arial" w:cs="Arial" w:eastAsia="Arial" w:hAnsi="Arial"/>
                <w:sz w:val="15"/>
                <w:szCs w:val="15"/>
                <w:color w:val="auto"/>
              </w:rPr>
              <w:t>20,572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7,976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66,644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41,831</w:t>
            </w:r>
          </w:p>
        </w:tc>
        <w:tc>
          <w:tcPr>
            <w:tcW w:w="360" w:type="dxa"/>
            <w:vAlign w:val="bottom"/>
          </w:tcPr>
          <w:p>
            <w:pPr>
              <w:spacing w:after="0"/>
              <w:rPr>
                <w:sz w:val="18"/>
                <w:szCs w:val="18"/>
                <w:color w:val="auto"/>
              </w:rPr>
            </w:pPr>
          </w:p>
        </w:tc>
        <w:tc>
          <w:tcPr>
            <w:tcW w:w="840" w:type="dxa"/>
            <w:vAlign w:val="bottom"/>
          </w:tcPr>
          <w:p>
            <w:pPr>
              <w:jc w:val="right"/>
              <w:ind w:right="66"/>
              <w:spacing w:after="0"/>
              <w:rPr>
                <w:sz w:val="20"/>
                <w:szCs w:val="20"/>
                <w:color w:val="auto"/>
              </w:rPr>
            </w:pPr>
            <w:r>
              <w:rPr>
                <w:rFonts w:ascii="Arial" w:cs="Arial" w:eastAsia="Arial" w:hAnsi="Arial"/>
                <w:sz w:val="15"/>
                <w:szCs w:val="15"/>
                <w:color w:val="auto"/>
              </w:rPr>
              <w:t>17,666</w:t>
            </w:r>
          </w:p>
        </w:tc>
        <w:tc>
          <w:tcPr>
            <w:tcW w:w="240" w:type="dxa"/>
            <w:vAlign w:val="bottom"/>
          </w:tcPr>
          <w:p>
            <w:pPr>
              <w:spacing w:after="0"/>
              <w:rPr>
                <w:sz w:val="18"/>
                <w:szCs w:val="18"/>
                <w:color w:val="auto"/>
              </w:rPr>
            </w:pPr>
          </w:p>
        </w:tc>
        <w:tc>
          <w:tcPr>
            <w:tcW w:w="1000" w:type="dxa"/>
            <w:vAlign w:val="bottom"/>
          </w:tcPr>
          <w:p>
            <w:pPr>
              <w:jc w:val="right"/>
              <w:ind w:right="166"/>
              <w:spacing w:after="0"/>
              <w:rPr>
                <w:sz w:val="20"/>
                <w:szCs w:val="20"/>
                <w:color w:val="auto"/>
              </w:rPr>
            </w:pPr>
            <w:r>
              <w:rPr>
                <w:rFonts w:ascii="Arial" w:cs="Arial" w:eastAsia="Arial" w:hAnsi="Arial"/>
                <w:sz w:val="15"/>
                <w:szCs w:val="15"/>
                <w:color w:val="auto"/>
              </w:rPr>
              <w:t>5,706</w:t>
            </w:r>
          </w:p>
        </w:tc>
        <w:tc>
          <w:tcPr>
            <w:tcW w:w="220" w:type="dxa"/>
            <w:vAlign w:val="bottom"/>
          </w:tcPr>
          <w:p>
            <w:pPr>
              <w:spacing w:after="0"/>
              <w:rPr>
                <w:sz w:val="18"/>
                <w:szCs w:val="18"/>
                <w:color w:val="auto"/>
              </w:rPr>
            </w:pP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65,203</w:t>
            </w:r>
          </w:p>
        </w:tc>
      </w:tr>
      <w:tr>
        <w:trPr>
          <w:trHeight w:val="31"/>
        </w:trPr>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9"/>
        </w:trPr>
        <w:tc>
          <w:tcPr>
            <w:tcW w:w="2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License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1,393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1,725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2,240</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rPr>
              <w:t>1,573</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rPr>
              <w:t>1,895</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5,708</w:t>
            </w:r>
          </w:p>
        </w:tc>
      </w:tr>
      <w:tr>
        <w:trPr>
          <w:trHeight w:val="211"/>
        </w:trPr>
        <w:tc>
          <w:tcPr>
            <w:tcW w:w="2400" w:type="dxa"/>
            <w:vAlign w:val="bottom"/>
          </w:tcPr>
          <w:p>
            <w:pPr>
              <w:ind w:left="20"/>
              <w:spacing w:after="0"/>
              <w:rPr>
                <w:sz w:val="20"/>
                <w:szCs w:val="20"/>
                <w:color w:val="auto"/>
              </w:rPr>
            </w:pPr>
            <w:r>
              <w:rPr>
                <w:rFonts w:ascii="Arial" w:cs="Arial" w:eastAsia="Arial" w:hAnsi="Arial"/>
                <w:sz w:val="15"/>
                <w:szCs w:val="15"/>
                <w:color w:val="auto"/>
              </w:rPr>
              <w:t>Total</w:t>
            </w:r>
          </w:p>
        </w:tc>
        <w:tc>
          <w:tcPr>
            <w:tcW w:w="24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42,996</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28,861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11,429</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83,286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51,263</w:t>
            </w:r>
          </w:p>
        </w:tc>
        <w:tc>
          <w:tcPr>
            <w:tcW w:w="36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rPr>
              <w:t>30,342</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ind w:right="166"/>
              <w:spacing w:after="0"/>
              <w:rPr>
                <w:sz w:val="20"/>
                <w:szCs w:val="20"/>
                <w:color w:val="auto"/>
              </w:rPr>
            </w:pPr>
            <w:r>
              <w:rPr>
                <w:rFonts w:ascii="Arial" w:cs="Arial" w:eastAsia="Arial" w:hAnsi="Arial"/>
                <w:sz w:val="15"/>
                <w:szCs w:val="15"/>
                <w:color w:val="auto"/>
              </w:rPr>
              <w:t>9,410</w:t>
            </w: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91,015</w:t>
            </w: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27" w:right="239" w:bottom="1440" w:gutter="0" w:footer="0" w:header="0"/>
          <w:type w:val="continuous"/>
        </w:sectPr>
      </w:pPr>
    </w:p>
    <w:bookmarkStart w:id="14" w:name="page15"/>
    <w:bookmarkEnd w:id="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2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7"/>
          </w:tcPr>
          <w:p>
            <w:pPr>
              <w:ind w:left="80"/>
              <w:spacing w:after="0"/>
              <w:rPr>
                <w:sz w:val="20"/>
                <w:szCs w:val="20"/>
                <w:color w:val="auto"/>
              </w:rPr>
            </w:pPr>
            <w:r>
              <w:rPr>
                <w:rFonts w:ascii="Arial" w:cs="Arial" w:eastAsia="Arial" w:hAnsi="Arial"/>
                <w:sz w:val="13"/>
                <w:szCs w:val="13"/>
                <w:b w:val="1"/>
                <w:bCs w:val="1"/>
                <w:color w:val="auto"/>
                <w:w w:val="94"/>
              </w:rPr>
              <w:t>Nine Months Ended September 30, 2018</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4"/>
              </w:rPr>
              <w:t>Nine Months Ended September 30, 2017</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242"/>
        </w:trPr>
        <w:tc>
          <w:tcPr>
            <w:tcW w:w="2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66"/>
              <w:spacing w:after="0"/>
              <w:rPr>
                <w:sz w:val="20"/>
                <w:szCs w:val="20"/>
                <w:color w:val="auto"/>
              </w:rPr>
            </w:pPr>
            <w:r>
              <w:rPr>
                <w:rFonts w:ascii="Arial" w:cs="Arial" w:eastAsia="Arial" w:hAnsi="Arial"/>
                <w:sz w:val="13"/>
                <w:szCs w:val="13"/>
                <w:b w:val="1"/>
                <w:bCs w:val="1"/>
                <w:color w:val="auto"/>
              </w:rPr>
              <w:t>Cloud</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Digital</w:t>
            </w:r>
          </w:p>
        </w:tc>
        <w:tc>
          <w:tcPr>
            <w:tcW w:w="16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Messaging</w:t>
            </w:r>
          </w:p>
        </w:tc>
        <w:tc>
          <w:tcPr>
            <w:tcW w:w="240" w:type="dxa"/>
            <w:vAlign w:val="bottom"/>
          </w:tcPr>
          <w:p>
            <w:pPr>
              <w:spacing w:after="0"/>
              <w:rPr>
                <w:sz w:val="21"/>
                <w:szCs w:val="21"/>
                <w:color w:val="auto"/>
              </w:rPr>
            </w:pPr>
          </w:p>
        </w:tc>
        <w:tc>
          <w:tcPr>
            <w:tcW w:w="88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21"/>
                <w:szCs w:val="21"/>
                <w:color w:val="auto"/>
              </w:rPr>
            </w:pPr>
          </w:p>
        </w:tc>
        <w:tc>
          <w:tcPr>
            <w:tcW w:w="760" w:type="dxa"/>
            <w:vAlign w:val="bottom"/>
          </w:tcPr>
          <w:p>
            <w:pPr>
              <w:jc w:val="right"/>
              <w:ind w:right="226"/>
              <w:spacing w:after="0"/>
              <w:rPr>
                <w:sz w:val="20"/>
                <w:szCs w:val="20"/>
                <w:color w:val="auto"/>
              </w:rPr>
            </w:pPr>
            <w:r>
              <w:rPr>
                <w:rFonts w:ascii="Arial" w:cs="Arial" w:eastAsia="Arial" w:hAnsi="Arial"/>
                <w:sz w:val="13"/>
                <w:szCs w:val="13"/>
                <w:b w:val="1"/>
                <w:bCs w:val="1"/>
                <w:color w:val="auto"/>
              </w:rPr>
              <w:t>Cloud</w:t>
            </w:r>
          </w:p>
        </w:tc>
        <w:tc>
          <w:tcPr>
            <w:tcW w:w="360" w:type="dxa"/>
            <w:vAlign w:val="bottom"/>
          </w:tcPr>
          <w:p>
            <w:pPr>
              <w:spacing w:after="0"/>
              <w:rPr>
                <w:sz w:val="21"/>
                <w:szCs w:val="21"/>
                <w:color w:val="auto"/>
              </w:rPr>
            </w:pPr>
          </w:p>
        </w:tc>
        <w:tc>
          <w:tcPr>
            <w:tcW w:w="820" w:type="dxa"/>
            <w:vAlign w:val="bottom"/>
          </w:tcPr>
          <w:p>
            <w:pPr>
              <w:jc w:val="right"/>
              <w:ind w:right="266"/>
              <w:spacing w:after="0"/>
              <w:rPr>
                <w:sz w:val="20"/>
                <w:szCs w:val="20"/>
                <w:color w:val="auto"/>
              </w:rPr>
            </w:pPr>
            <w:r>
              <w:rPr>
                <w:rFonts w:ascii="Arial" w:cs="Arial" w:eastAsia="Arial" w:hAnsi="Arial"/>
                <w:sz w:val="13"/>
                <w:szCs w:val="13"/>
                <w:b w:val="1"/>
                <w:bCs w:val="1"/>
                <w:color w:val="auto"/>
              </w:rPr>
              <w:t>Digital</w:t>
            </w:r>
          </w:p>
        </w:tc>
        <w:tc>
          <w:tcPr>
            <w:tcW w:w="240" w:type="dxa"/>
            <w:vAlign w:val="bottom"/>
          </w:tcPr>
          <w:p>
            <w:pPr>
              <w:spacing w:after="0"/>
              <w:rPr>
                <w:sz w:val="21"/>
                <w:szCs w:val="21"/>
                <w:color w:val="auto"/>
              </w:rPr>
            </w:pPr>
          </w:p>
        </w:tc>
        <w:tc>
          <w:tcPr>
            <w:tcW w:w="980" w:type="dxa"/>
            <w:vAlign w:val="bottom"/>
          </w:tcPr>
          <w:p>
            <w:pPr>
              <w:jc w:val="right"/>
              <w:ind w:right="246"/>
              <w:spacing w:after="0"/>
              <w:rPr>
                <w:sz w:val="20"/>
                <w:szCs w:val="20"/>
                <w:color w:val="auto"/>
              </w:rPr>
            </w:pPr>
            <w:r>
              <w:rPr>
                <w:rFonts w:ascii="Arial" w:cs="Arial" w:eastAsia="Arial" w:hAnsi="Arial"/>
                <w:sz w:val="13"/>
                <w:szCs w:val="13"/>
                <w:b w:val="1"/>
                <w:bCs w:val="1"/>
                <w:color w:val="auto"/>
                <w:w w:val="95"/>
              </w:rPr>
              <w:t>Messaging</w:t>
            </w:r>
          </w:p>
        </w:tc>
        <w:tc>
          <w:tcPr>
            <w:tcW w:w="220" w:type="dxa"/>
            <w:vAlign w:val="bottom"/>
          </w:tcPr>
          <w:p>
            <w:pPr>
              <w:spacing w:after="0"/>
              <w:rPr>
                <w:sz w:val="21"/>
                <w:szCs w:val="21"/>
                <w:color w:val="auto"/>
              </w:rPr>
            </w:pPr>
          </w:p>
        </w:tc>
        <w:tc>
          <w:tcPr>
            <w:tcW w:w="780" w:type="dxa"/>
            <w:vAlign w:val="bottom"/>
          </w:tcPr>
          <w:p>
            <w:pPr>
              <w:jc w:val="right"/>
              <w:ind w:right="286"/>
              <w:spacing w:after="0"/>
              <w:rPr>
                <w:sz w:val="20"/>
                <w:szCs w:val="20"/>
                <w:color w:val="auto"/>
              </w:rPr>
            </w:pPr>
            <w:r>
              <w:rPr>
                <w:rFonts w:ascii="Arial" w:cs="Arial" w:eastAsia="Arial" w:hAnsi="Arial"/>
                <w:sz w:val="13"/>
                <w:szCs w:val="13"/>
                <w:b w:val="1"/>
                <w:bCs w:val="1"/>
                <w:color w:val="auto"/>
              </w:rPr>
              <w:t>Total</w:t>
            </w:r>
          </w:p>
        </w:tc>
      </w:tr>
      <w:tr>
        <w:trPr>
          <w:trHeight w:val="227"/>
        </w:trPr>
        <w:tc>
          <w:tcPr>
            <w:tcW w:w="2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Geography</w:t>
            </w: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18"/>
        </w:trPr>
        <w:tc>
          <w:tcPr>
            <w:tcW w:w="2400" w:type="dxa"/>
            <w:vAlign w:val="bottom"/>
          </w:tcPr>
          <w:p>
            <w:pPr>
              <w:ind w:left="260"/>
              <w:spacing w:after="0"/>
              <w:rPr>
                <w:sz w:val="20"/>
                <w:szCs w:val="20"/>
                <w:color w:val="auto"/>
              </w:rPr>
            </w:pPr>
            <w:r>
              <w:rPr>
                <w:rFonts w:ascii="Arial" w:cs="Arial" w:eastAsia="Arial" w:hAnsi="Arial"/>
                <w:sz w:val="15"/>
                <w:szCs w:val="15"/>
                <w:color w:val="auto"/>
              </w:rPr>
              <w:t>Americas</w:t>
            </w: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113,452</w:t>
            </w:r>
          </w:p>
        </w:tc>
        <w:tc>
          <w:tcPr>
            <w:tcW w:w="340" w:type="dxa"/>
            <w:vAlign w:val="bottom"/>
            <w:gridSpan w:val="2"/>
          </w:tcPr>
          <w:p>
            <w:pPr>
              <w:jc w:val="right"/>
              <w:ind w:right="4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6"/>
              <w:spacing w:after="0"/>
              <w:rPr>
                <w:sz w:val="20"/>
                <w:szCs w:val="20"/>
                <w:color w:val="auto"/>
              </w:rPr>
            </w:pPr>
            <w:r>
              <w:rPr>
                <w:rFonts w:ascii="Arial" w:cs="Arial" w:eastAsia="Arial" w:hAnsi="Arial"/>
                <w:sz w:val="15"/>
                <w:szCs w:val="15"/>
                <w:color w:val="auto"/>
              </w:rPr>
              <w:t>65,614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7,585</w:t>
            </w:r>
          </w:p>
        </w:tc>
        <w:tc>
          <w:tcPr>
            <w:tcW w:w="100" w:type="dxa"/>
            <w:vAlign w:val="bottom"/>
          </w:tcPr>
          <w:p>
            <w:pPr>
              <w:spacing w:after="0"/>
              <w:rPr>
                <w:sz w:val="18"/>
                <w:szCs w:val="18"/>
                <w:color w:val="auto"/>
              </w:rPr>
            </w:pPr>
          </w:p>
        </w:tc>
        <w:tc>
          <w:tcPr>
            <w:tcW w:w="240" w:type="dxa"/>
            <w:vAlign w:val="bottom"/>
          </w:tcPr>
          <w:p>
            <w:pPr>
              <w:jc w:val="right"/>
              <w:ind w:right="65"/>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186,651</w:t>
            </w:r>
          </w:p>
        </w:tc>
        <w:tc>
          <w:tcPr>
            <w:tcW w:w="100" w:type="dxa"/>
            <w:vAlign w:val="bottom"/>
          </w:tcPr>
          <w:p>
            <w:pPr>
              <w:spacing w:after="0"/>
              <w:rPr>
                <w:sz w:val="18"/>
                <w:szCs w:val="18"/>
                <w:color w:val="auto"/>
              </w:rPr>
            </w:pP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6"/>
              <w:spacing w:after="0"/>
              <w:rPr>
                <w:sz w:val="20"/>
                <w:szCs w:val="20"/>
                <w:color w:val="auto"/>
              </w:rPr>
            </w:pPr>
            <w:r>
              <w:rPr>
                <w:rFonts w:ascii="Arial" w:cs="Arial" w:eastAsia="Arial" w:hAnsi="Arial"/>
                <w:sz w:val="15"/>
                <w:szCs w:val="15"/>
                <w:color w:val="auto"/>
              </w:rPr>
              <w:t>175,560</w:t>
            </w:r>
          </w:p>
        </w:tc>
        <w:tc>
          <w:tcPr>
            <w:tcW w:w="3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6"/>
              <w:spacing w:after="0"/>
              <w:rPr>
                <w:sz w:val="20"/>
                <w:szCs w:val="20"/>
                <w:color w:val="auto"/>
              </w:rPr>
            </w:pPr>
            <w:r>
              <w:rPr>
                <w:rFonts w:ascii="Arial" w:cs="Arial" w:eastAsia="Arial" w:hAnsi="Arial"/>
                <w:sz w:val="15"/>
                <w:szCs w:val="15"/>
                <w:color w:val="auto"/>
              </w:rPr>
              <w:t>75,371</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6"/>
              <w:spacing w:after="0"/>
              <w:rPr>
                <w:sz w:val="20"/>
                <w:szCs w:val="20"/>
                <w:color w:val="auto"/>
              </w:rPr>
            </w:pPr>
            <w:r>
              <w:rPr>
                <w:rFonts w:ascii="Arial" w:cs="Arial" w:eastAsia="Arial" w:hAnsi="Arial"/>
                <w:sz w:val="15"/>
                <w:szCs w:val="15"/>
                <w:color w:val="auto"/>
              </w:rPr>
              <w:t>5,812</w:t>
            </w: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256,743</w:t>
            </w:r>
          </w:p>
        </w:tc>
      </w:tr>
      <w:tr>
        <w:trPr>
          <w:trHeight w:val="31"/>
        </w:trPr>
        <w:tc>
          <w:tcPr>
            <w:tcW w:w="2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2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APAC</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4,697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30,287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34,984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rPr>
              <w:t>5,157</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rPr>
              <w:t>17,864</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23,021</w:t>
            </w:r>
          </w:p>
        </w:tc>
      </w:tr>
      <w:tr>
        <w:trPr>
          <w:trHeight w:val="218"/>
        </w:trPr>
        <w:tc>
          <w:tcPr>
            <w:tcW w:w="2400" w:type="dxa"/>
            <w:vAlign w:val="bottom"/>
          </w:tcPr>
          <w:p>
            <w:pPr>
              <w:ind w:left="260"/>
              <w:spacing w:after="0"/>
              <w:rPr>
                <w:sz w:val="20"/>
                <w:szCs w:val="20"/>
                <w:color w:val="auto"/>
              </w:rPr>
            </w:pPr>
            <w:r>
              <w:rPr>
                <w:rFonts w:ascii="Arial" w:cs="Arial" w:eastAsia="Arial" w:hAnsi="Arial"/>
                <w:sz w:val="15"/>
                <w:szCs w:val="15"/>
                <w:color w:val="auto"/>
              </w:rPr>
              <w:t>EMEA</w:t>
            </w:r>
          </w:p>
        </w:tc>
        <w:tc>
          <w:tcPr>
            <w:tcW w:w="220" w:type="dxa"/>
            <w:vAlign w:val="bottom"/>
          </w:tcPr>
          <w:p>
            <w:pPr>
              <w:spacing w:after="0"/>
              <w:rPr>
                <w:sz w:val="18"/>
                <w:szCs w:val="18"/>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6,568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46"/>
              <w:spacing w:after="0"/>
              <w:rPr>
                <w:sz w:val="20"/>
                <w:szCs w:val="20"/>
                <w:color w:val="auto"/>
              </w:rPr>
            </w:pPr>
            <w:r>
              <w:rPr>
                <w:rFonts w:ascii="Arial" w:cs="Arial" w:eastAsia="Arial" w:hAnsi="Arial"/>
                <w:sz w:val="15"/>
                <w:szCs w:val="15"/>
                <w:color w:val="auto"/>
              </w:rPr>
              <w:t>3,747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11,787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22,102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6"/>
              <w:spacing w:after="0"/>
              <w:rPr>
                <w:sz w:val="20"/>
                <w:szCs w:val="20"/>
                <w:color w:val="auto"/>
              </w:rPr>
            </w:pPr>
            <w:r>
              <w:rPr>
                <w:rFonts w:ascii="Arial" w:cs="Arial" w:eastAsia="Arial" w:hAnsi="Arial"/>
                <w:sz w:val="15"/>
                <w:szCs w:val="15"/>
                <w:color w:val="auto"/>
              </w:rPr>
              <w:t>5,248</w:t>
            </w:r>
          </w:p>
        </w:tc>
        <w:tc>
          <w:tcPr>
            <w:tcW w:w="360" w:type="dxa"/>
            <w:vAlign w:val="bottom"/>
          </w:tcPr>
          <w:p>
            <w:pPr>
              <w:spacing w:after="0"/>
              <w:rPr>
                <w:sz w:val="18"/>
                <w:szCs w:val="18"/>
                <w:color w:val="auto"/>
              </w:rPr>
            </w:pPr>
          </w:p>
        </w:tc>
        <w:tc>
          <w:tcPr>
            <w:tcW w:w="820" w:type="dxa"/>
            <w:vAlign w:val="bottom"/>
          </w:tcPr>
          <w:p>
            <w:pPr>
              <w:jc w:val="right"/>
              <w:ind w:right="66"/>
              <w:spacing w:after="0"/>
              <w:rPr>
                <w:sz w:val="20"/>
                <w:szCs w:val="20"/>
                <w:color w:val="auto"/>
              </w:rPr>
            </w:pPr>
            <w:r>
              <w:rPr>
                <w:rFonts w:ascii="Arial" w:cs="Arial" w:eastAsia="Arial" w:hAnsi="Arial"/>
                <w:sz w:val="15"/>
                <w:szCs w:val="15"/>
                <w:color w:val="auto"/>
              </w:rPr>
              <w:t>2,630</w:t>
            </w:r>
          </w:p>
        </w:tc>
        <w:tc>
          <w:tcPr>
            <w:tcW w:w="240" w:type="dxa"/>
            <w:vAlign w:val="bottom"/>
          </w:tcPr>
          <w:p>
            <w:pPr>
              <w:spacing w:after="0"/>
              <w:rPr>
                <w:sz w:val="18"/>
                <w:szCs w:val="18"/>
                <w:color w:val="auto"/>
              </w:rPr>
            </w:pPr>
          </w:p>
        </w:tc>
        <w:tc>
          <w:tcPr>
            <w:tcW w:w="980" w:type="dxa"/>
            <w:vAlign w:val="bottom"/>
          </w:tcPr>
          <w:p>
            <w:pPr>
              <w:jc w:val="right"/>
              <w:ind w:right="166"/>
              <w:spacing w:after="0"/>
              <w:rPr>
                <w:sz w:val="20"/>
                <w:szCs w:val="20"/>
                <w:color w:val="auto"/>
              </w:rPr>
            </w:pPr>
            <w:r>
              <w:rPr>
                <w:rFonts w:ascii="Arial" w:cs="Arial" w:eastAsia="Arial" w:hAnsi="Arial"/>
                <w:sz w:val="15"/>
                <w:szCs w:val="15"/>
                <w:color w:val="auto"/>
              </w:rPr>
              <w:t>8,460</w:t>
            </w:r>
          </w:p>
        </w:tc>
        <w:tc>
          <w:tcPr>
            <w:tcW w:w="220" w:type="dxa"/>
            <w:vAlign w:val="bottom"/>
          </w:tcPr>
          <w:p>
            <w:pPr>
              <w:spacing w:after="0"/>
              <w:rPr>
                <w:sz w:val="18"/>
                <w:szCs w:val="18"/>
                <w:color w:val="auto"/>
              </w:rPr>
            </w:pP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16,338</w:t>
            </w:r>
          </w:p>
        </w:tc>
      </w:tr>
      <w:tr>
        <w:trPr>
          <w:trHeight w:val="31"/>
        </w:trPr>
        <w:tc>
          <w:tcPr>
            <w:tcW w:w="2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2"/>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120,020</w:t>
            </w:r>
          </w:p>
        </w:tc>
        <w:tc>
          <w:tcPr>
            <w:tcW w:w="340" w:type="dxa"/>
            <w:vAlign w:val="bottom"/>
            <w:tcBorders>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74,058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49,659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243,737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180,808</w:t>
            </w:r>
          </w:p>
        </w:tc>
        <w:tc>
          <w:tcPr>
            <w:tcW w:w="3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rPr>
              <w:t>83,158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rPr>
              <w:t>32,136</w:t>
            </w:r>
          </w:p>
        </w:tc>
        <w:tc>
          <w:tcPr>
            <w:tcW w:w="2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296,102</w:t>
            </w:r>
          </w:p>
        </w:tc>
      </w:tr>
      <w:tr>
        <w:trPr>
          <w:trHeight w:val="299"/>
        </w:trPr>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9"/>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Service Line</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r>
      <w:tr>
        <w:trPr>
          <w:trHeight w:val="218"/>
        </w:trPr>
        <w:tc>
          <w:tcPr>
            <w:tcW w:w="2400" w:type="dxa"/>
            <w:vAlign w:val="bottom"/>
          </w:tcPr>
          <w:p>
            <w:pPr>
              <w:ind w:left="260"/>
              <w:spacing w:after="0"/>
              <w:rPr>
                <w:sz w:val="20"/>
                <w:szCs w:val="20"/>
                <w:color w:val="auto"/>
              </w:rPr>
            </w:pPr>
            <w:r>
              <w:rPr>
                <w:rFonts w:ascii="Arial" w:cs="Arial" w:eastAsia="Arial" w:hAnsi="Arial"/>
                <w:sz w:val="15"/>
                <w:szCs w:val="15"/>
                <w:color w:val="auto"/>
              </w:rPr>
              <w:t>Professional Services</w:t>
            </w: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10,002</w:t>
            </w:r>
          </w:p>
        </w:tc>
        <w:tc>
          <w:tcPr>
            <w:tcW w:w="340" w:type="dxa"/>
            <w:vAlign w:val="bottom"/>
            <w:gridSpan w:val="2"/>
          </w:tcPr>
          <w:p>
            <w:pPr>
              <w:jc w:val="right"/>
              <w:ind w:right="4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6"/>
              <w:spacing w:after="0"/>
              <w:rPr>
                <w:sz w:val="20"/>
                <w:szCs w:val="20"/>
                <w:color w:val="auto"/>
              </w:rPr>
            </w:pPr>
            <w:r>
              <w:rPr>
                <w:rFonts w:ascii="Arial" w:cs="Arial" w:eastAsia="Arial" w:hAnsi="Arial"/>
                <w:sz w:val="15"/>
                <w:szCs w:val="15"/>
                <w:color w:val="auto"/>
              </w:rPr>
              <w:t>14,053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8,118</w:t>
            </w:r>
          </w:p>
        </w:tc>
        <w:tc>
          <w:tcPr>
            <w:tcW w:w="100" w:type="dxa"/>
            <w:vAlign w:val="bottom"/>
          </w:tcPr>
          <w:p>
            <w:pPr>
              <w:spacing w:after="0"/>
              <w:rPr>
                <w:sz w:val="18"/>
                <w:szCs w:val="18"/>
                <w:color w:val="auto"/>
              </w:rPr>
            </w:pPr>
          </w:p>
        </w:tc>
        <w:tc>
          <w:tcPr>
            <w:tcW w:w="240" w:type="dxa"/>
            <w:vAlign w:val="bottom"/>
          </w:tcPr>
          <w:p>
            <w:pPr>
              <w:jc w:val="right"/>
              <w:ind w:right="65"/>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32,173</w:t>
            </w:r>
          </w:p>
        </w:tc>
        <w:tc>
          <w:tcPr>
            <w:tcW w:w="100" w:type="dxa"/>
            <w:vAlign w:val="bottom"/>
          </w:tcPr>
          <w:p>
            <w:pPr>
              <w:spacing w:after="0"/>
              <w:rPr>
                <w:sz w:val="18"/>
                <w:szCs w:val="18"/>
                <w:color w:val="auto"/>
              </w:rPr>
            </w:pP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6"/>
              <w:spacing w:after="0"/>
              <w:rPr>
                <w:sz w:val="20"/>
                <w:szCs w:val="20"/>
                <w:color w:val="auto"/>
              </w:rPr>
            </w:pPr>
            <w:r>
              <w:rPr>
                <w:rFonts w:ascii="Arial" w:cs="Arial" w:eastAsia="Arial" w:hAnsi="Arial"/>
                <w:sz w:val="15"/>
                <w:szCs w:val="15"/>
                <w:color w:val="auto"/>
              </w:rPr>
              <w:t>23,731</w:t>
            </w:r>
          </w:p>
        </w:tc>
        <w:tc>
          <w:tcPr>
            <w:tcW w:w="3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6"/>
              <w:spacing w:after="0"/>
              <w:rPr>
                <w:sz w:val="20"/>
                <w:szCs w:val="20"/>
                <w:color w:val="auto"/>
              </w:rPr>
            </w:pPr>
            <w:r>
              <w:rPr>
                <w:rFonts w:ascii="Arial" w:cs="Arial" w:eastAsia="Arial" w:hAnsi="Arial"/>
                <w:sz w:val="15"/>
                <w:szCs w:val="15"/>
                <w:color w:val="auto"/>
              </w:rPr>
              <w:t>19,307</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66"/>
              <w:spacing w:after="0"/>
              <w:rPr>
                <w:sz w:val="20"/>
                <w:szCs w:val="20"/>
                <w:color w:val="auto"/>
              </w:rPr>
            </w:pPr>
            <w:r>
              <w:rPr>
                <w:rFonts w:ascii="Arial" w:cs="Arial" w:eastAsia="Arial" w:hAnsi="Arial"/>
                <w:sz w:val="15"/>
                <w:szCs w:val="15"/>
                <w:color w:val="auto"/>
              </w:rPr>
              <w:t>5,423</w:t>
            </w: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48,461</w:t>
            </w:r>
          </w:p>
        </w:tc>
      </w:tr>
      <w:tr>
        <w:trPr>
          <w:trHeight w:val="31"/>
        </w:trPr>
        <w:tc>
          <w:tcPr>
            <w:tcW w:w="2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2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Transaction Services</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6,703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6,740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13,443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9,098</w:t>
            </w:r>
          </w:p>
        </w:tc>
        <w:tc>
          <w:tcPr>
            <w:tcW w:w="3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rPr>
              <w:t>15,058</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24,156</w:t>
            </w:r>
          </w:p>
        </w:tc>
      </w:tr>
      <w:tr>
        <w:trPr>
          <w:trHeight w:val="218"/>
        </w:trPr>
        <w:tc>
          <w:tcPr>
            <w:tcW w:w="2400" w:type="dxa"/>
            <w:vAlign w:val="bottom"/>
          </w:tcPr>
          <w:p>
            <w:pPr>
              <w:ind w:left="260"/>
              <w:spacing w:after="0"/>
              <w:rPr>
                <w:sz w:val="20"/>
                <w:szCs w:val="20"/>
                <w:color w:val="auto"/>
              </w:rPr>
            </w:pPr>
            <w:r>
              <w:rPr>
                <w:rFonts w:ascii="Arial" w:cs="Arial" w:eastAsia="Arial" w:hAnsi="Arial"/>
                <w:sz w:val="15"/>
                <w:szCs w:val="15"/>
                <w:color w:val="auto"/>
              </w:rPr>
              <w:t>Subscription Services</w:t>
            </w:r>
          </w:p>
        </w:tc>
        <w:tc>
          <w:tcPr>
            <w:tcW w:w="220" w:type="dxa"/>
            <w:vAlign w:val="bottom"/>
          </w:tcPr>
          <w:p>
            <w:pPr>
              <w:spacing w:after="0"/>
              <w:rPr>
                <w:sz w:val="18"/>
                <w:szCs w:val="18"/>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102,891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46"/>
              <w:spacing w:after="0"/>
              <w:rPr>
                <w:sz w:val="20"/>
                <w:szCs w:val="20"/>
                <w:color w:val="auto"/>
              </w:rPr>
            </w:pPr>
            <w:r>
              <w:rPr>
                <w:rFonts w:ascii="Arial" w:cs="Arial" w:eastAsia="Arial" w:hAnsi="Arial"/>
                <w:sz w:val="15"/>
                <w:szCs w:val="15"/>
                <w:color w:val="auto"/>
              </w:rPr>
              <w:t>50,103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23,709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6"/>
              <w:spacing w:after="0"/>
              <w:rPr>
                <w:sz w:val="20"/>
                <w:szCs w:val="20"/>
                <w:color w:val="auto"/>
              </w:rPr>
            </w:pPr>
            <w:r>
              <w:rPr>
                <w:rFonts w:ascii="Arial" w:cs="Arial" w:eastAsia="Arial" w:hAnsi="Arial"/>
                <w:sz w:val="15"/>
                <w:szCs w:val="15"/>
                <w:color w:val="auto"/>
              </w:rPr>
              <w:t>176,703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6"/>
              <w:spacing w:after="0"/>
              <w:rPr>
                <w:sz w:val="20"/>
                <w:szCs w:val="20"/>
                <w:color w:val="auto"/>
              </w:rPr>
            </w:pPr>
            <w:r>
              <w:rPr>
                <w:rFonts w:ascii="Arial" w:cs="Arial" w:eastAsia="Arial" w:hAnsi="Arial"/>
                <w:sz w:val="15"/>
                <w:szCs w:val="15"/>
                <w:color w:val="auto"/>
              </w:rPr>
              <w:t>140,224</w:t>
            </w:r>
          </w:p>
        </w:tc>
        <w:tc>
          <w:tcPr>
            <w:tcW w:w="360" w:type="dxa"/>
            <w:vAlign w:val="bottom"/>
          </w:tcPr>
          <w:p>
            <w:pPr>
              <w:spacing w:after="0"/>
              <w:rPr>
                <w:sz w:val="18"/>
                <w:szCs w:val="18"/>
                <w:color w:val="auto"/>
              </w:rPr>
            </w:pPr>
          </w:p>
        </w:tc>
        <w:tc>
          <w:tcPr>
            <w:tcW w:w="820" w:type="dxa"/>
            <w:vAlign w:val="bottom"/>
          </w:tcPr>
          <w:p>
            <w:pPr>
              <w:jc w:val="right"/>
              <w:ind w:right="66"/>
              <w:spacing w:after="0"/>
              <w:rPr>
                <w:sz w:val="20"/>
                <w:szCs w:val="20"/>
                <w:color w:val="auto"/>
              </w:rPr>
            </w:pPr>
            <w:r>
              <w:rPr>
                <w:rFonts w:ascii="Arial" w:cs="Arial" w:eastAsia="Arial" w:hAnsi="Arial"/>
                <w:sz w:val="15"/>
                <w:szCs w:val="15"/>
                <w:color w:val="auto"/>
              </w:rPr>
              <w:t>40,107</w:t>
            </w:r>
          </w:p>
        </w:tc>
        <w:tc>
          <w:tcPr>
            <w:tcW w:w="240" w:type="dxa"/>
            <w:vAlign w:val="bottom"/>
          </w:tcPr>
          <w:p>
            <w:pPr>
              <w:spacing w:after="0"/>
              <w:rPr>
                <w:sz w:val="18"/>
                <w:szCs w:val="18"/>
                <w:color w:val="auto"/>
              </w:rPr>
            </w:pPr>
          </w:p>
        </w:tc>
        <w:tc>
          <w:tcPr>
            <w:tcW w:w="980" w:type="dxa"/>
            <w:vAlign w:val="bottom"/>
          </w:tcPr>
          <w:p>
            <w:pPr>
              <w:jc w:val="right"/>
              <w:ind w:right="166"/>
              <w:spacing w:after="0"/>
              <w:rPr>
                <w:sz w:val="20"/>
                <w:szCs w:val="20"/>
                <w:color w:val="auto"/>
              </w:rPr>
            </w:pPr>
            <w:r>
              <w:rPr>
                <w:rFonts w:ascii="Arial" w:cs="Arial" w:eastAsia="Arial" w:hAnsi="Arial"/>
                <w:sz w:val="15"/>
                <w:szCs w:val="15"/>
                <w:color w:val="auto"/>
              </w:rPr>
              <w:t>21,708</w:t>
            </w:r>
          </w:p>
        </w:tc>
        <w:tc>
          <w:tcPr>
            <w:tcW w:w="220" w:type="dxa"/>
            <w:vAlign w:val="bottom"/>
          </w:tcPr>
          <w:p>
            <w:pPr>
              <w:spacing w:after="0"/>
              <w:rPr>
                <w:sz w:val="18"/>
                <w:szCs w:val="18"/>
                <w:color w:val="auto"/>
              </w:rPr>
            </w:pP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202,039</w:t>
            </w:r>
          </w:p>
        </w:tc>
      </w:tr>
      <w:tr>
        <w:trPr>
          <w:trHeight w:val="31"/>
        </w:trPr>
        <w:tc>
          <w:tcPr>
            <w:tcW w:w="2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9"/>
        </w:trPr>
        <w:tc>
          <w:tcPr>
            <w:tcW w:w="2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License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17,832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21,418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7,755</w:t>
            </w: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rPr>
              <w:t>8,686</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rPr>
              <w:t>5,005</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21,446</w:t>
            </w:r>
          </w:p>
        </w:tc>
      </w:tr>
      <w:tr>
        <w:trPr>
          <w:trHeight w:val="211"/>
        </w:trPr>
        <w:tc>
          <w:tcPr>
            <w:tcW w:w="2400" w:type="dxa"/>
            <w:vAlign w:val="bottom"/>
          </w:tcPr>
          <w:p>
            <w:pPr>
              <w:ind w:left="20"/>
              <w:spacing w:after="0"/>
              <w:rPr>
                <w:sz w:val="20"/>
                <w:szCs w:val="20"/>
                <w:color w:val="auto"/>
              </w:rPr>
            </w:pPr>
            <w:r>
              <w:rPr>
                <w:rFonts w:ascii="Arial" w:cs="Arial" w:eastAsia="Arial" w:hAnsi="Arial"/>
                <w:sz w:val="15"/>
                <w:szCs w:val="15"/>
                <w:color w:val="auto"/>
              </w:rPr>
              <w:t>Total</w:t>
            </w:r>
          </w:p>
        </w:tc>
        <w:tc>
          <w:tcPr>
            <w:tcW w:w="2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120,020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74,058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49,659</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243,737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180,808</w:t>
            </w:r>
          </w:p>
        </w:tc>
        <w:tc>
          <w:tcPr>
            <w:tcW w:w="36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rPr>
              <w:t>83,158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tcBorders>
          </w:tcPr>
          <w:p>
            <w:pPr>
              <w:jc w:val="right"/>
              <w:ind w:right="166"/>
              <w:spacing w:after="0"/>
              <w:rPr>
                <w:sz w:val="20"/>
                <w:szCs w:val="20"/>
                <w:color w:val="auto"/>
              </w:rPr>
            </w:pPr>
            <w:r>
              <w:rPr>
                <w:rFonts w:ascii="Arial" w:cs="Arial" w:eastAsia="Arial" w:hAnsi="Arial"/>
                <w:sz w:val="15"/>
                <w:szCs w:val="15"/>
                <w:color w:val="auto"/>
              </w:rPr>
              <w:t>32,136</w:t>
            </w:r>
          </w:p>
        </w:tc>
        <w:tc>
          <w:tcPr>
            <w:tcW w:w="2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296,102</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Trade Accounts Receivable and Contract balances</w:t>
      </w:r>
    </w:p>
    <w:p>
      <w:pPr>
        <w:spacing w:after="0" w:line="203"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Trade accounts receivable, net in its consolidated statements of financial position at their net estimated realizable value. The Company maintains an allowance for doubtful accounts to provide for the estimated amount of receivables that may not be collected. The allowance is based upon an assessment of customer creditworthiness, historical payment experience, the age of outstanding receivables and other applicable factors.</w:t>
      </w:r>
    </w:p>
    <w:p>
      <w:pPr>
        <w:spacing w:after="0" w:line="184"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A contract asset is a right to consideration that is conditional upon factors other than the passage of time. For example, the Company would record a contract asset if it records revenue on a professional services engagement but are not entitled to bill until the Company achieves specified milestones. Contract asset balance at September 30, 2018 is $3.6 million.</w:t>
      </w:r>
    </w:p>
    <w:p>
      <w:pPr>
        <w:spacing w:after="0" w:line="177"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Amounts collected in advance of services being provided are accounted for as contract liabilities, which are presented as deferred revenue on the accompanying balance sheet and are realized with the associated revenue recognized under the contract. Nearly all of the Company's contract liabilities balance is related to services revenue, primarily subscription services contracts.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940" w:type="dxa"/>
            <w:vAlign w:val="bottom"/>
          </w:tcPr>
          <w:p>
            <w:pPr>
              <w:ind w:left="300"/>
              <w:spacing w:after="0"/>
              <w:rPr>
                <w:sz w:val="20"/>
                <w:szCs w:val="20"/>
                <w:color w:val="auto"/>
              </w:rPr>
            </w:pPr>
            <w:r>
              <w:rPr>
                <w:rFonts w:ascii="Arial" w:cs="Arial" w:eastAsia="Arial" w:hAnsi="Arial"/>
                <w:sz w:val="17"/>
                <w:szCs w:val="17"/>
                <w:color w:val="auto"/>
                <w:w w:val="97"/>
              </w:rPr>
              <w:t>The Company’s contract assets and liabilities are reported in a net position on a customer basis at the end of each reporting period.</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99"/>
        </w:trPr>
        <w:tc>
          <w:tcPr>
            <w:tcW w:w="9940" w:type="dxa"/>
            <w:vAlign w:val="bottom"/>
          </w:tcPr>
          <w:p>
            <w:pPr>
              <w:ind w:left="300"/>
              <w:spacing w:after="0"/>
              <w:rPr>
                <w:sz w:val="20"/>
                <w:szCs w:val="20"/>
                <w:color w:val="auto"/>
              </w:rPr>
            </w:pPr>
            <w:r>
              <w:rPr>
                <w:rFonts w:ascii="Arial" w:cs="Arial" w:eastAsia="Arial" w:hAnsi="Arial"/>
                <w:sz w:val="17"/>
                <w:szCs w:val="17"/>
                <w:color w:val="auto"/>
              </w:rPr>
              <w:t>Significant changes in the contract liabilities balance (current and noncurrent) during the period are as follows (in thousands):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2"/>
        </w:trPr>
        <w:tc>
          <w:tcPr>
            <w:tcW w:w="9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337"/>
              <w:spacing w:after="0"/>
              <w:rPr>
                <w:sz w:val="20"/>
                <w:szCs w:val="20"/>
                <w:color w:val="auto"/>
              </w:rPr>
            </w:pPr>
            <w:r>
              <w:rPr>
                <w:rFonts w:ascii="Arial" w:cs="Arial" w:eastAsia="Arial" w:hAnsi="Arial"/>
                <w:sz w:val="17"/>
                <w:szCs w:val="17"/>
                <w:b w:val="1"/>
                <w:bCs w:val="1"/>
                <w:color w:val="auto"/>
              </w:rPr>
              <w:t>Contract</w:t>
            </w:r>
          </w:p>
        </w:tc>
      </w:tr>
      <w:tr>
        <w:trPr>
          <w:trHeight w:val="216"/>
        </w:trPr>
        <w:tc>
          <w:tcPr>
            <w:tcW w:w="9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257"/>
              <w:spacing w:after="0"/>
              <w:rPr>
                <w:sz w:val="20"/>
                <w:szCs w:val="20"/>
                <w:color w:val="auto"/>
              </w:rPr>
            </w:pPr>
            <w:r>
              <w:rPr>
                <w:rFonts w:ascii="Arial" w:cs="Arial" w:eastAsia="Arial" w:hAnsi="Arial"/>
                <w:sz w:val="17"/>
                <w:szCs w:val="17"/>
                <w:b w:val="1"/>
                <w:bCs w:val="1"/>
                <w:color w:val="auto"/>
              </w:rPr>
              <w:t>Liabilities*</w:t>
            </w:r>
          </w:p>
        </w:tc>
      </w:tr>
      <w:tr>
        <w:trPr>
          <w:trHeight w:val="25"/>
        </w:trPr>
        <w:tc>
          <w:tcPr>
            <w:tcW w:w="9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9940" w:type="dxa"/>
            <w:vAlign w:val="bottom"/>
          </w:tcPr>
          <w:p>
            <w:pPr>
              <w:ind w:left="20"/>
              <w:spacing w:after="0"/>
              <w:rPr>
                <w:sz w:val="20"/>
                <w:szCs w:val="20"/>
                <w:color w:val="auto"/>
              </w:rPr>
            </w:pPr>
            <w:r>
              <w:rPr>
                <w:rFonts w:ascii="Arial" w:cs="Arial" w:eastAsia="Arial" w:hAnsi="Arial"/>
                <w:sz w:val="17"/>
                <w:szCs w:val="17"/>
                <w:color w:val="auto"/>
              </w:rPr>
              <w:t>Balance - January 1, 2018</w:t>
            </w: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115,009</w:t>
            </w:r>
          </w:p>
        </w:tc>
      </w:tr>
      <w:tr>
        <w:trPr>
          <w:trHeight w:val="25"/>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9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Revenue recognized in the period</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(99,405)</w:t>
            </w:r>
          </w:p>
        </w:tc>
      </w:tr>
      <w:tr>
        <w:trPr>
          <w:trHeight w:val="224"/>
        </w:trPr>
        <w:tc>
          <w:tcPr>
            <w:tcW w:w="9940" w:type="dxa"/>
            <w:vAlign w:val="bottom"/>
          </w:tcPr>
          <w:p>
            <w:pPr>
              <w:ind w:left="140"/>
              <w:spacing w:after="0"/>
              <w:rPr>
                <w:sz w:val="20"/>
                <w:szCs w:val="20"/>
                <w:color w:val="auto"/>
              </w:rPr>
            </w:pPr>
            <w:r>
              <w:rPr>
                <w:rFonts w:ascii="Arial" w:cs="Arial" w:eastAsia="Arial" w:hAnsi="Arial"/>
                <w:sz w:val="17"/>
                <w:szCs w:val="17"/>
                <w:color w:val="auto"/>
              </w:rPr>
              <w:t>Amounts billed but not recognized as revenue</w:t>
            </w:r>
          </w:p>
        </w:tc>
        <w:tc>
          <w:tcPr>
            <w:tcW w:w="24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68,257</w:t>
            </w:r>
          </w:p>
        </w:tc>
      </w:tr>
      <w:tr>
        <w:trPr>
          <w:trHeight w:val="25"/>
        </w:trPr>
        <w:tc>
          <w:tcPr>
            <w:tcW w:w="9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 September 30, 2018</w:t>
            </w: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83,861</w:t>
            </w:r>
          </w:p>
        </w:tc>
      </w:tr>
      <w:tr>
        <w:trPr>
          <w:trHeight w:val="187"/>
        </w:trPr>
        <w:tc>
          <w:tcPr>
            <w:tcW w:w="9940" w:type="dxa"/>
            <w:vAlign w:val="bottom"/>
          </w:tcPr>
          <w:p>
            <w:pPr>
              <w:spacing w:after="0" w:line="187" w:lineRule="exact"/>
              <w:rPr>
                <w:sz w:val="20"/>
                <w:szCs w:val="20"/>
                <w:color w:val="auto"/>
              </w:rPr>
            </w:pPr>
            <w:r>
              <w:rPr>
                <w:rFonts w:ascii="Arial" w:cs="Arial" w:eastAsia="Arial" w:hAnsi="Arial"/>
                <w:sz w:val="17"/>
                <w:szCs w:val="17"/>
                <w:color w:val="auto"/>
              </w:rPr>
              <w:t>________________________________</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2"/>
        </w:trPr>
        <w:tc>
          <w:tcPr>
            <w:tcW w:w="9940" w:type="dxa"/>
            <w:vAlign w:val="bottom"/>
          </w:tcPr>
          <w:p>
            <w:pPr>
              <w:spacing w:after="0"/>
              <w:rPr>
                <w:sz w:val="20"/>
                <w:szCs w:val="20"/>
                <w:color w:val="auto"/>
              </w:rPr>
            </w:pPr>
            <w:r>
              <w:rPr>
                <w:rFonts w:ascii="Arial" w:cs="Arial" w:eastAsia="Arial" w:hAnsi="Arial"/>
                <w:sz w:val="17"/>
                <w:szCs w:val="17"/>
                <w:color w:val="auto"/>
              </w:rPr>
              <w:t>*   Comprised of Deferred Revenue</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bl>
    <w:p>
      <w:pPr>
        <w:spacing w:after="0" w:line="187" w:lineRule="exact"/>
        <w:rPr>
          <w:sz w:val="20"/>
          <w:szCs w:val="20"/>
          <w:color w:val="auto"/>
        </w:rPr>
      </w:pPr>
    </w:p>
    <w:p>
      <w:pPr>
        <w:ind w:right="780" w:firstLine="299"/>
        <w:spacing w:after="0" w:line="265" w:lineRule="auto"/>
        <w:rPr>
          <w:sz w:val="20"/>
          <w:szCs w:val="20"/>
          <w:color w:val="auto"/>
        </w:rPr>
      </w:pPr>
      <w:r>
        <w:rPr>
          <w:rFonts w:ascii="Arial" w:cs="Arial" w:eastAsia="Arial" w:hAnsi="Arial"/>
          <w:sz w:val="17"/>
          <w:szCs w:val="17"/>
          <w:color w:val="auto"/>
        </w:rPr>
        <w:t>Revenues recognized during the nine months ended September 30, 2018 for performance obligations satisfied or partially satisfied in previous periods were immaterial.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27"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Contract acquisition costs</w:t>
      </w:r>
    </w:p>
    <w:p>
      <w:pPr>
        <w:spacing w:after="0" w:line="203"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In connection with the adoption of Topic 606 and the related cost accounting guidance under Accounting Standards Codification (“ASC”) 340, the Company is required to capitalize certain contract acquisition costs consisting primarily of commissions and bonuses paid when contracts are signed. The Company adopted Topic 606 on January 1, 2018 and capitalized $0.7 million in contract acquisition costs related to contracts that were not completed. For contracts that have a duration of less than one year, the Company follows a Topic 606 practical expedient and expenses these costs over the estimated customer life, because it does not pay commissions upon renewals that are commensurate with the initial contract. In the nine months ended September 30, 2018, the amount of amortization was immaterial and there was no impairment loss in relation to costs capitalized.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Contract Fulfillment Costs</w:t>
      </w:r>
    </w:p>
    <w:p>
      <w:pPr>
        <w:spacing w:after="0" w:line="203"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Under ASC 340-40, the Company evaluates whether or not it should capitalize the costs of fulfilling a contract. Such costs would be capitalized when they are not within the scope of other standards and: (1) are directly related to a contract; (2) generate or enhance resources that will be used to satisfy performance obligations; and (3) are expected to be recovered. No such costs were capitalized as of September 30, 2018.</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Transaction price allocated to the remaining performance obligations</w:t>
      </w:r>
    </w:p>
    <w:p>
      <w:pPr>
        <w:spacing w:after="0" w:line="203" w:lineRule="exact"/>
        <w:rPr>
          <w:sz w:val="20"/>
          <w:szCs w:val="20"/>
          <w:color w:val="auto"/>
        </w:rPr>
      </w:pPr>
    </w:p>
    <w:p>
      <w:pPr>
        <w:jc w:val="both"/>
        <w:ind w:firstLine="299"/>
        <w:spacing w:after="0" w:line="296" w:lineRule="auto"/>
        <w:rPr>
          <w:sz w:val="20"/>
          <w:szCs w:val="20"/>
          <w:color w:val="auto"/>
        </w:rPr>
      </w:pPr>
      <w:r>
        <w:rPr>
          <w:rFonts w:ascii="Arial" w:cs="Arial" w:eastAsia="Arial" w:hAnsi="Arial"/>
          <w:sz w:val="16"/>
          <w:szCs w:val="16"/>
          <w:color w:val="auto"/>
        </w:rPr>
        <w:t>Topic 606 requires that the Company disclose the aggregate amount of transaction price that is allocated to performance obligations that have not yet been satisfied as of September 30, 2018. The Company has elected not to disclose transaction price allocated to remaining performance obligations for:</w:t>
      </w:r>
    </w:p>
    <w:p>
      <w:pPr>
        <w:spacing w:after="0" w:line="144" w:lineRule="exact"/>
        <w:rPr>
          <w:sz w:val="20"/>
          <w:szCs w:val="20"/>
          <w:color w:val="auto"/>
        </w:rPr>
      </w:pPr>
    </w:p>
    <w:p>
      <w:pPr>
        <w:ind w:left="600" w:hanging="301"/>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Contracts with an original duration of one year or less, including contracts that can be terminated for convenience without a substantive penalty;</w:t>
      </w:r>
    </w:p>
    <w:p>
      <w:pPr>
        <w:spacing w:after="0" w:line="16" w:lineRule="exact"/>
        <w:rPr>
          <w:rFonts w:ascii="Arial" w:cs="Arial" w:eastAsia="Arial" w:hAnsi="Arial"/>
          <w:sz w:val="17"/>
          <w:szCs w:val="17"/>
          <w:color w:val="auto"/>
        </w:rPr>
      </w:pPr>
    </w:p>
    <w:p>
      <w:pPr>
        <w:ind w:left="600" w:hanging="301"/>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Contracts for which the Company recognizes revenues based on the right to invoice for services performed;</w:t>
      </w:r>
    </w:p>
    <w:p>
      <w:pPr>
        <w:spacing w:after="0" w:line="3" w:lineRule="exact"/>
        <w:rPr>
          <w:rFonts w:ascii="Arial" w:cs="Arial" w:eastAsia="Arial" w:hAnsi="Arial"/>
          <w:sz w:val="17"/>
          <w:szCs w:val="17"/>
          <w:color w:val="auto"/>
        </w:rPr>
      </w:pPr>
    </w:p>
    <w:p>
      <w:pPr>
        <w:jc w:val="both"/>
        <w:ind w:left="600" w:right="220" w:hanging="301"/>
        <w:spacing w:after="0" w:line="296" w:lineRule="auto"/>
        <w:tabs>
          <w:tab w:leader="none" w:pos="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we are dependent upon data from a third party or where fees are highly variable.</w:t>
      </w:r>
    </w:p>
    <w:p>
      <w:pPr>
        <w:spacing w:after="0" w:line="147" w:lineRule="exact"/>
        <w:rPr>
          <w:sz w:val="20"/>
          <w:szCs w:val="20"/>
          <w:color w:val="auto"/>
        </w:rPr>
      </w:pPr>
    </w:p>
    <w:p>
      <w:pPr>
        <w:ind w:firstLine="299"/>
        <w:spacing w:after="0" w:line="260" w:lineRule="auto"/>
        <w:rPr>
          <w:sz w:val="20"/>
          <w:szCs w:val="20"/>
          <w:color w:val="auto"/>
        </w:rPr>
      </w:pPr>
      <w:r>
        <w:rPr>
          <w:rFonts w:ascii="Arial" w:cs="Arial" w:eastAsia="Arial" w:hAnsi="Arial"/>
          <w:sz w:val="17"/>
          <w:szCs w:val="17"/>
          <w:color w:val="auto"/>
        </w:rPr>
        <w:t>Many of the Company’s performance obligations meet one or more of these exemptions. Specifically, the Company has excluded the following from our remaining performance obligations, all of which will be resolved in the period in which amounts are known:</w:t>
      </w:r>
    </w:p>
    <w:p>
      <w:pPr>
        <w:ind w:left="1260" w:hanging="363"/>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consideration for future transactions, above any contractual minimums</w:t>
      </w:r>
    </w:p>
    <w:p>
      <w:pPr>
        <w:spacing w:after="0" w:line="41" w:lineRule="exact"/>
        <w:rPr>
          <w:rFonts w:ascii="Arial" w:cs="Arial" w:eastAsia="Arial" w:hAnsi="Arial"/>
          <w:sz w:val="17"/>
          <w:szCs w:val="17"/>
          <w:color w:val="auto"/>
        </w:rPr>
      </w:pPr>
    </w:p>
    <w:p>
      <w:pPr>
        <w:ind w:left="1260" w:hanging="363"/>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consideration for success-based transactions contingent on third party data</w:t>
      </w:r>
    </w:p>
    <w:p>
      <w:pPr>
        <w:spacing w:after="0" w:line="41" w:lineRule="exact"/>
        <w:rPr>
          <w:rFonts w:ascii="Arial" w:cs="Arial" w:eastAsia="Arial" w:hAnsi="Arial"/>
          <w:sz w:val="17"/>
          <w:szCs w:val="17"/>
          <w:color w:val="auto"/>
        </w:rPr>
      </w:pPr>
    </w:p>
    <w:p>
      <w:pPr>
        <w:ind w:left="1260" w:hanging="363"/>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credits for failure to meet future service level requirements</w:t>
      </w:r>
    </w:p>
    <w:p>
      <w:pPr>
        <w:spacing w:after="0" w:line="216" w:lineRule="exact"/>
        <w:rPr>
          <w:sz w:val="20"/>
          <w:szCs w:val="20"/>
          <w:color w:val="auto"/>
        </w:rPr>
      </w:pPr>
    </w:p>
    <w:p>
      <w:pPr>
        <w:jc w:val="both"/>
        <w:ind w:firstLine="299"/>
        <w:spacing w:after="0" w:line="296" w:lineRule="auto"/>
        <w:rPr>
          <w:sz w:val="20"/>
          <w:szCs w:val="20"/>
          <w:color w:val="auto"/>
        </w:rPr>
      </w:pPr>
      <w:r>
        <w:rPr>
          <w:rFonts w:ascii="Arial" w:cs="Arial" w:eastAsia="Arial" w:hAnsi="Arial"/>
          <w:sz w:val="16"/>
          <w:szCs w:val="16"/>
          <w:color w:val="auto"/>
        </w:rPr>
        <w:t>As of September 30, 2018, the aggregate amount of transaction price allocated to remaining performance obligations, other than those meeting the exclusion criteria above, was $401.9 million, of which approximately 87.4% is expected to be recognized as revenues within 2 years, and the remainder thereafter.</w:t>
      </w:r>
    </w:p>
    <w:p>
      <w:pPr>
        <w:spacing w:after="0" w:line="144"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27"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ind w:right="560" w:firstLine="299"/>
        <w:spacing w:after="0" w:line="265" w:lineRule="auto"/>
        <w:rPr>
          <w:sz w:val="20"/>
          <w:szCs w:val="20"/>
          <w:color w:val="auto"/>
        </w:rPr>
      </w:pPr>
      <w:r>
        <w:rPr>
          <w:rFonts w:ascii="Arial" w:cs="Arial" w:eastAsia="Arial" w:hAnsi="Arial"/>
          <w:sz w:val="17"/>
          <w:szCs w:val="17"/>
          <w:color w:val="auto"/>
        </w:rPr>
        <w:t>In accordance with Topic 606, the disclosure of the impact of adoption to the Company’s Condensed Consolidated Balance Sheet and Condensed Consolidated Statement of Operations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0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2"/>
              </w:rPr>
              <w:t>September 30, 2018</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restart"/>
          </w:tcPr>
          <w:p>
            <w:pPr>
              <w:jc w:val="right"/>
              <w:ind w:right="294"/>
              <w:spacing w:after="0"/>
              <w:rPr>
                <w:sz w:val="20"/>
                <w:szCs w:val="20"/>
                <w:color w:val="auto"/>
              </w:rPr>
            </w:pPr>
            <w:r>
              <w:rPr>
                <w:rFonts w:ascii="Arial" w:cs="Arial" w:eastAsia="Arial" w:hAnsi="Arial"/>
                <w:sz w:val="13"/>
                <w:szCs w:val="13"/>
                <w:b w:val="1"/>
                <w:bCs w:val="1"/>
                <w:color w:val="auto"/>
              </w:rPr>
              <w:t>As Reported</w:t>
            </w:r>
          </w:p>
        </w:tc>
        <w:tc>
          <w:tcPr>
            <w:tcW w:w="160" w:type="dxa"/>
            <w:vAlign w:val="bottom"/>
          </w:tcPr>
          <w:p>
            <w:pPr>
              <w:spacing w:after="0"/>
              <w:rPr>
                <w:sz w:val="12"/>
                <w:szCs w:val="12"/>
                <w:color w:val="auto"/>
              </w:rPr>
            </w:pPr>
          </w:p>
        </w:tc>
        <w:tc>
          <w:tcPr>
            <w:tcW w:w="1320" w:type="dxa"/>
            <w:vAlign w:val="bottom"/>
          </w:tcPr>
          <w:p>
            <w:pPr>
              <w:jc w:val="center"/>
              <w:ind w:right="34"/>
              <w:spacing w:after="0" w:line="139" w:lineRule="exact"/>
              <w:rPr>
                <w:sz w:val="20"/>
                <w:szCs w:val="20"/>
                <w:color w:val="auto"/>
              </w:rPr>
            </w:pPr>
            <w:r>
              <w:rPr>
                <w:rFonts w:ascii="Arial" w:cs="Arial" w:eastAsia="Arial" w:hAnsi="Arial"/>
                <w:sz w:val="13"/>
                <w:szCs w:val="13"/>
                <w:b w:val="1"/>
                <w:bCs w:val="1"/>
                <w:color w:val="auto"/>
                <w:w w:val="92"/>
              </w:rPr>
              <w:t>Impacts of the New</w:t>
            </w:r>
          </w:p>
        </w:tc>
        <w:tc>
          <w:tcPr>
            <w:tcW w:w="1480" w:type="dxa"/>
            <w:vAlign w:val="bottom"/>
            <w:gridSpan w:val="2"/>
          </w:tcPr>
          <w:p>
            <w:pPr>
              <w:ind w:left="40"/>
              <w:spacing w:after="0" w:line="139" w:lineRule="exact"/>
              <w:rPr>
                <w:sz w:val="20"/>
                <w:szCs w:val="20"/>
                <w:color w:val="auto"/>
              </w:rPr>
            </w:pPr>
            <w:r>
              <w:rPr>
                <w:rFonts w:ascii="Arial" w:cs="Arial" w:eastAsia="Arial" w:hAnsi="Arial"/>
                <w:sz w:val="13"/>
                <w:szCs w:val="13"/>
                <w:b w:val="1"/>
                <w:bCs w:val="1"/>
                <w:color w:val="auto"/>
                <w:w w:val="92"/>
              </w:rPr>
              <w:t>Adjusted amounts under</w:t>
            </w:r>
          </w:p>
        </w:tc>
        <w:tc>
          <w:tcPr>
            <w:tcW w:w="0" w:type="dxa"/>
            <w:vAlign w:val="bottom"/>
          </w:tcPr>
          <w:p>
            <w:pPr>
              <w:spacing w:after="0"/>
              <w:rPr>
                <w:sz w:val="1"/>
                <w:szCs w:val="1"/>
                <w:color w:val="auto"/>
              </w:rPr>
            </w:pPr>
          </w:p>
        </w:tc>
      </w:tr>
      <w:tr>
        <w:trPr>
          <w:trHeight w:val="175"/>
        </w:trPr>
        <w:tc>
          <w:tcPr>
            <w:tcW w:w="70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1"/>
              </w:rPr>
              <w:t>Revenue Standard</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rPr>
              <w:t>prior GAAP</w:t>
            </w:r>
          </w:p>
        </w:tc>
        <w:tc>
          <w:tcPr>
            <w:tcW w:w="0" w:type="dxa"/>
            <w:vAlign w:val="bottom"/>
          </w:tcPr>
          <w:p>
            <w:pPr>
              <w:spacing w:after="0"/>
              <w:rPr>
                <w:sz w:val="1"/>
                <w:szCs w:val="1"/>
                <w:color w:val="auto"/>
              </w:rPr>
            </w:pPr>
          </w:p>
        </w:tc>
      </w:tr>
      <w:tr>
        <w:trPr>
          <w:trHeight w:val="244"/>
        </w:trPr>
        <w:tc>
          <w:tcPr>
            <w:tcW w:w="700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assets:</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7000" w:type="dxa"/>
            <w:vAlign w:val="bottom"/>
          </w:tcPr>
          <w:p>
            <w:pPr>
              <w:ind w:left="240"/>
              <w:spacing w:after="0"/>
              <w:rPr>
                <w:sz w:val="20"/>
                <w:szCs w:val="20"/>
                <w:color w:val="auto"/>
              </w:rPr>
            </w:pPr>
            <w:r>
              <w:rPr>
                <w:rFonts w:ascii="Arial" w:cs="Arial" w:eastAsia="Arial" w:hAnsi="Arial"/>
                <w:sz w:val="13"/>
                <w:szCs w:val="13"/>
                <w:color w:val="auto"/>
              </w:rPr>
              <w:t>Cash and cash equivalents</w:t>
            </w: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222,438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ind w:left="4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222,438</w:t>
            </w: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Restricted cash**</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4,377</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4,377</w:t>
            </w:r>
          </w:p>
        </w:tc>
        <w:tc>
          <w:tcPr>
            <w:tcW w:w="0" w:type="dxa"/>
            <w:vAlign w:val="bottom"/>
          </w:tcPr>
          <w:p>
            <w:pPr>
              <w:spacing w:after="0"/>
              <w:rPr>
                <w:sz w:val="1"/>
                <w:szCs w:val="1"/>
                <w:color w:val="auto"/>
              </w:rPr>
            </w:pPr>
          </w:p>
        </w:tc>
      </w:tr>
      <w:tr>
        <w:trPr>
          <w:trHeight w:val="244"/>
        </w:trPr>
        <w:tc>
          <w:tcPr>
            <w:tcW w:w="7000" w:type="dxa"/>
            <w:vAlign w:val="bottom"/>
          </w:tcPr>
          <w:p>
            <w:pPr>
              <w:ind w:left="240"/>
              <w:spacing w:after="0"/>
              <w:rPr>
                <w:sz w:val="20"/>
                <w:szCs w:val="20"/>
                <w:color w:val="auto"/>
              </w:rPr>
            </w:pPr>
            <w:r>
              <w:rPr>
                <w:rFonts w:ascii="Arial" w:cs="Arial" w:eastAsia="Arial" w:hAnsi="Arial"/>
                <w:sz w:val="13"/>
                <w:szCs w:val="13"/>
                <w:color w:val="auto"/>
              </w:rPr>
              <w:t>Marketable securities, current</w:t>
            </w: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6,989</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6,989</w:t>
            </w: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Accounts receivable, net</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52,617</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19,718</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32,899</w:t>
            </w:r>
          </w:p>
        </w:tc>
        <w:tc>
          <w:tcPr>
            <w:tcW w:w="0" w:type="dxa"/>
            <w:vAlign w:val="bottom"/>
          </w:tcPr>
          <w:p>
            <w:pPr>
              <w:spacing w:after="0"/>
              <w:rPr>
                <w:sz w:val="1"/>
                <w:szCs w:val="1"/>
                <w:color w:val="auto"/>
              </w:rPr>
            </w:pPr>
          </w:p>
        </w:tc>
      </w:tr>
      <w:tr>
        <w:trPr>
          <w:trHeight w:val="244"/>
        </w:trPr>
        <w:tc>
          <w:tcPr>
            <w:tcW w:w="7000" w:type="dxa"/>
            <w:vAlign w:val="bottom"/>
          </w:tcPr>
          <w:p>
            <w:pPr>
              <w:ind w:left="240"/>
              <w:spacing w:after="0"/>
              <w:rPr>
                <w:sz w:val="20"/>
                <w:szCs w:val="20"/>
                <w:color w:val="auto"/>
              </w:rPr>
            </w:pPr>
            <w:r>
              <w:rPr>
                <w:rFonts w:ascii="Arial" w:cs="Arial" w:eastAsia="Arial" w:hAnsi="Arial"/>
                <w:sz w:val="13"/>
                <w:szCs w:val="13"/>
                <w:color w:val="auto"/>
              </w:rPr>
              <w:t>Prepaid expenses</w:t>
            </w: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46,922</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46,922</w:t>
            </w:r>
          </w:p>
        </w:tc>
        <w:tc>
          <w:tcPr>
            <w:tcW w:w="0" w:type="dxa"/>
            <w:vAlign w:val="bottom"/>
          </w:tcPr>
          <w:p>
            <w:pPr>
              <w:spacing w:after="0"/>
              <w:rPr>
                <w:sz w:val="1"/>
                <w:szCs w:val="1"/>
                <w:color w:val="auto"/>
              </w:rPr>
            </w:pPr>
          </w:p>
        </w:tc>
      </w:tr>
      <w:tr>
        <w:trPr>
          <w:trHeight w:val="249"/>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 xml:space="preserve">Other current assets </w:t>
            </w:r>
            <w:r>
              <w:rPr>
                <w:rFonts w:ascii="Arial" w:cs="Arial" w:eastAsia="Arial" w:hAnsi="Arial"/>
                <w:sz w:val="8"/>
                <w:szCs w:val="8"/>
                <w:color w:val="auto"/>
              </w:rPr>
              <w:t>(2)</w:t>
            </w: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14,115</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(415)</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14,530</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3"/>
                <w:szCs w:val="13"/>
                <w:color w:val="auto"/>
              </w:rPr>
              <w:t>Total current assets</w:t>
            </w:r>
          </w:p>
        </w:tc>
        <w:tc>
          <w:tcPr>
            <w:tcW w:w="24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347,458</w:t>
            </w:r>
          </w:p>
        </w:tc>
        <w:tc>
          <w:tcPr>
            <w:tcW w:w="16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19,303</w:t>
            </w:r>
          </w:p>
        </w:tc>
        <w:tc>
          <w:tcPr>
            <w:tcW w:w="26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328,155</w:t>
            </w: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Marketable securities, non-current</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8,716</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8,716</w:t>
            </w:r>
          </w:p>
        </w:tc>
        <w:tc>
          <w:tcPr>
            <w:tcW w:w="0" w:type="dxa"/>
            <w:vAlign w:val="bottom"/>
          </w:tcPr>
          <w:p>
            <w:pPr>
              <w:spacing w:after="0"/>
              <w:rPr>
                <w:sz w:val="1"/>
                <w:szCs w:val="1"/>
                <w:color w:val="auto"/>
              </w:rPr>
            </w:pPr>
          </w:p>
        </w:tc>
      </w:tr>
      <w:tr>
        <w:trPr>
          <w:trHeight w:val="244"/>
        </w:trPr>
        <w:tc>
          <w:tcPr>
            <w:tcW w:w="7000" w:type="dxa"/>
            <w:vAlign w:val="bottom"/>
          </w:tcPr>
          <w:p>
            <w:pPr>
              <w:ind w:left="240"/>
              <w:spacing w:after="0"/>
              <w:rPr>
                <w:sz w:val="20"/>
                <w:szCs w:val="20"/>
                <w:color w:val="auto"/>
              </w:rPr>
            </w:pPr>
            <w:r>
              <w:rPr>
                <w:rFonts w:ascii="Arial" w:cs="Arial" w:eastAsia="Arial" w:hAnsi="Arial"/>
                <w:sz w:val="13"/>
                <w:szCs w:val="13"/>
                <w:color w:val="auto"/>
              </w:rPr>
              <w:t>Property and equipment, net</w:t>
            </w: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80,519</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80,519</w:t>
            </w: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Goodwill</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234,480</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234,480</w:t>
            </w:r>
          </w:p>
        </w:tc>
        <w:tc>
          <w:tcPr>
            <w:tcW w:w="0" w:type="dxa"/>
            <w:vAlign w:val="bottom"/>
          </w:tcPr>
          <w:p>
            <w:pPr>
              <w:spacing w:after="0"/>
              <w:rPr>
                <w:sz w:val="1"/>
                <w:szCs w:val="1"/>
                <w:color w:val="auto"/>
              </w:rPr>
            </w:pPr>
          </w:p>
        </w:tc>
      </w:tr>
      <w:tr>
        <w:trPr>
          <w:trHeight w:val="244"/>
        </w:trPr>
        <w:tc>
          <w:tcPr>
            <w:tcW w:w="7000" w:type="dxa"/>
            <w:vAlign w:val="bottom"/>
          </w:tcPr>
          <w:p>
            <w:pPr>
              <w:ind w:left="240"/>
              <w:spacing w:after="0"/>
              <w:rPr>
                <w:sz w:val="20"/>
                <w:szCs w:val="20"/>
                <w:color w:val="auto"/>
              </w:rPr>
            </w:pPr>
            <w:r>
              <w:rPr>
                <w:rFonts w:ascii="Arial" w:cs="Arial" w:eastAsia="Arial" w:hAnsi="Arial"/>
                <w:sz w:val="13"/>
                <w:szCs w:val="13"/>
                <w:color w:val="auto"/>
              </w:rPr>
              <w:t>Intangible assets, net</w:t>
            </w: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117,448</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117,448</w:t>
            </w: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 xml:space="preserve">Other assets </w:t>
            </w:r>
            <w:r>
              <w:rPr>
                <w:rFonts w:ascii="Arial" w:cs="Arial" w:eastAsia="Arial" w:hAnsi="Arial"/>
                <w:sz w:val="8"/>
                <w:szCs w:val="8"/>
                <w:color w:val="auto"/>
              </w:rPr>
              <w:t>(2)</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8,940</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369</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8,571</w:t>
            </w:r>
          </w:p>
        </w:tc>
        <w:tc>
          <w:tcPr>
            <w:tcW w:w="0" w:type="dxa"/>
            <w:vAlign w:val="bottom"/>
          </w:tcPr>
          <w:p>
            <w:pPr>
              <w:spacing w:after="0"/>
              <w:rPr>
                <w:sz w:val="1"/>
                <w:szCs w:val="1"/>
                <w:color w:val="auto"/>
              </w:rPr>
            </w:pPr>
          </w:p>
        </w:tc>
      </w:tr>
      <w:tr>
        <w:trPr>
          <w:trHeight w:val="244"/>
        </w:trPr>
        <w:tc>
          <w:tcPr>
            <w:tcW w:w="7000" w:type="dxa"/>
            <w:vAlign w:val="bottom"/>
          </w:tcPr>
          <w:p>
            <w:pPr>
              <w:ind w:left="240"/>
              <w:spacing w:after="0"/>
              <w:rPr>
                <w:sz w:val="20"/>
                <w:szCs w:val="20"/>
                <w:color w:val="auto"/>
              </w:rPr>
            </w:pPr>
            <w:r>
              <w:rPr>
                <w:rFonts w:ascii="Arial" w:cs="Arial" w:eastAsia="Arial" w:hAnsi="Arial"/>
                <w:sz w:val="13"/>
                <w:szCs w:val="13"/>
                <w:color w:val="auto"/>
              </w:rPr>
              <w:t>Note receivable from related party**</w:t>
            </w: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66,089</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66,089</w:t>
            </w:r>
          </w:p>
        </w:tc>
        <w:tc>
          <w:tcPr>
            <w:tcW w:w="0" w:type="dxa"/>
            <w:vAlign w:val="bottom"/>
          </w:tcPr>
          <w:p>
            <w:pPr>
              <w:spacing w:after="0"/>
              <w:rPr>
                <w:sz w:val="1"/>
                <w:szCs w:val="1"/>
                <w:color w:val="auto"/>
              </w:rPr>
            </w:pPr>
          </w:p>
        </w:tc>
      </w:tr>
      <w:tr>
        <w:trPr>
          <w:trHeight w:val="249"/>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Equity method investment</w:t>
            </w: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30,694</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30,694</w:t>
            </w:r>
          </w:p>
        </w:tc>
        <w:tc>
          <w:tcPr>
            <w:tcW w:w="0" w:type="dxa"/>
            <w:vAlign w:val="bottom"/>
          </w:tcPr>
          <w:p>
            <w:pPr>
              <w:spacing w:after="0"/>
              <w:rPr>
                <w:sz w:val="1"/>
                <w:szCs w:val="1"/>
                <w:color w:val="auto"/>
              </w:rPr>
            </w:pPr>
          </w:p>
        </w:tc>
      </w:tr>
      <w:tr>
        <w:trPr>
          <w:trHeight w:val="262"/>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assets</w:t>
            </w:r>
          </w:p>
        </w:tc>
        <w:tc>
          <w:tcPr>
            <w:tcW w:w="2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894,344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19,672</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874,672</w:t>
            </w:r>
          </w:p>
        </w:tc>
        <w:tc>
          <w:tcPr>
            <w:tcW w:w="0" w:type="dxa"/>
            <w:vAlign w:val="bottom"/>
          </w:tcPr>
          <w:p>
            <w:pPr>
              <w:spacing w:after="0"/>
              <w:rPr>
                <w:sz w:val="1"/>
                <w:szCs w:val="1"/>
                <w:color w:val="auto"/>
              </w:rPr>
            </w:pPr>
          </w:p>
        </w:tc>
      </w:tr>
      <w:tr>
        <w:trPr>
          <w:trHeight w:val="102"/>
        </w:trPr>
        <w:tc>
          <w:tcPr>
            <w:tcW w:w="70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7000" w:type="dxa"/>
            <w:vAlign w:val="bottom"/>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700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14,300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ind w:left="4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14,300</w:t>
            </w: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Accrued expenses</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53,794</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(14,756)</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68,550</w:t>
            </w:r>
          </w:p>
        </w:tc>
        <w:tc>
          <w:tcPr>
            <w:tcW w:w="0" w:type="dxa"/>
            <w:vAlign w:val="bottom"/>
          </w:tcPr>
          <w:p>
            <w:pPr>
              <w:spacing w:after="0"/>
              <w:rPr>
                <w:sz w:val="1"/>
                <w:szCs w:val="1"/>
                <w:color w:val="auto"/>
              </w:rPr>
            </w:pPr>
          </w:p>
        </w:tc>
      </w:tr>
      <w:tr>
        <w:trPr>
          <w:trHeight w:val="244"/>
        </w:trPr>
        <w:tc>
          <w:tcPr>
            <w:tcW w:w="7000" w:type="dxa"/>
            <w:vAlign w:val="bottom"/>
          </w:tcPr>
          <w:p>
            <w:pPr>
              <w:ind w:left="240"/>
              <w:spacing w:after="0"/>
              <w:rPr>
                <w:sz w:val="20"/>
                <w:szCs w:val="20"/>
                <w:color w:val="auto"/>
              </w:rPr>
            </w:pPr>
            <w:r>
              <w:rPr>
                <w:rFonts w:ascii="Arial" w:cs="Arial" w:eastAsia="Arial" w:hAnsi="Arial"/>
                <w:sz w:val="13"/>
                <w:szCs w:val="13"/>
                <w:color w:val="auto"/>
              </w:rPr>
              <w:t xml:space="preserve">Deferred revenues, current </w:t>
            </w:r>
            <w:r>
              <w:rPr>
                <w:rFonts w:ascii="Arial" w:cs="Arial" w:eastAsia="Arial" w:hAnsi="Arial"/>
                <w:sz w:val="8"/>
                <w:szCs w:val="8"/>
                <w:color w:val="auto"/>
              </w:rPr>
              <w:t>(3)</w:t>
            </w: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54,046</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2,281</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51,765</w:t>
            </w:r>
          </w:p>
        </w:tc>
        <w:tc>
          <w:tcPr>
            <w:tcW w:w="0" w:type="dxa"/>
            <w:vAlign w:val="bottom"/>
          </w:tcPr>
          <w:p>
            <w:pPr>
              <w:spacing w:after="0"/>
              <w:rPr>
                <w:sz w:val="1"/>
                <w:szCs w:val="1"/>
                <w:color w:val="auto"/>
              </w:rPr>
            </w:pPr>
          </w:p>
        </w:tc>
      </w:tr>
      <w:tr>
        <w:trPr>
          <w:trHeight w:val="249"/>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Short-term debt</w:t>
            </w: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228,764</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228,764</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3"/>
                <w:szCs w:val="13"/>
                <w:color w:val="auto"/>
              </w:rPr>
              <w:t>Total current liabilities</w:t>
            </w:r>
          </w:p>
        </w:tc>
        <w:tc>
          <w:tcPr>
            <w:tcW w:w="24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350,904</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(12,475)</w:t>
            </w:r>
          </w:p>
        </w:tc>
        <w:tc>
          <w:tcPr>
            <w:tcW w:w="26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363,379</w:t>
            </w: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Lease financing obligation</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10,006</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10,006</w:t>
            </w:r>
          </w:p>
        </w:tc>
        <w:tc>
          <w:tcPr>
            <w:tcW w:w="0" w:type="dxa"/>
            <w:vAlign w:val="bottom"/>
          </w:tcPr>
          <w:p>
            <w:pPr>
              <w:spacing w:after="0"/>
              <w:rPr>
                <w:sz w:val="1"/>
                <w:szCs w:val="1"/>
                <w:color w:val="auto"/>
              </w:rPr>
            </w:pPr>
          </w:p>
        </w:tc>
      </w:tr>
      <w:tr>
        <w:trPr>
          <w:trHeight w:val="244"/>
        </w:trPr>
        <w:tc>
          <w:tcPr>
            <w:tcW w:w="7000" w:type="dxa"/>
            <w:vAlign w:val="bottom"/>
          </w:tcPr>
          <w:p>
            <w:pPr>
              <w:ind w:left="240"/>
              <w:spacing w:after="0"/>
              <w:rPr>
                <w:sz w:val="20"/>
                <w:szCs w:val="20"/>
                <w:color w:val="auto"/>
              </w:rPr>
            </w:pPr>
            <w:r>
              <w:rPr>
                <w:rFonts w:ascii="Arial" w:cs="Arial" w:eastAsia="Arial" w:hAnsi="Arial"/>
                <w:sz w:val="13"/>
                <w:szCs w:val="13"/>
                <w:color w:val="auto"/>
              </w:rPr>
              <w:t>Deferred tax liabilities</w:t>
            </w: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12,109</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12,109</w:t>
            </w: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 xml:space="preserve">Deferred revenues, non-current </w:t>
            </w:r>
            <w:r>
              <w:rPr>
                <w:rFonts w:ascii="Arial" w:cs="Arial" w:eastAsia="Arial" w:hAnsi="Arial"/>
                <w:sz w:val="8"/>
                <w:szCs w:val="8"/>
                <w:color w:val="auto"/>
              </w:rPr>
              <w:t>(3)</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29,815</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11,200</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18,615</w:t>
            </w:r>
          </w:p>
        </w:tc>
        <w:tc>
          <w:tcPr>
            <w:tcW w:w="0" w:type="dxa"/>
            <w:vAlign w:val="bottom"/>
          </w:tcPr>
          <w:p>
            <w:pPr>
              <w:spacing w:after="0"/>
              <w:rPr>
                <w:sz w:val="1"/>
                <w:szCs w:val="1"/>
                <w:color w:val="auto"/>
              </w:rPr>
            </w:pPr>
          </w:p>
        </w:tc>
      </w:tr>
      <w:tr>
        <w:trPr>
          <w:trHeight w:val="244"/>
        </w:trPr>
        <w:tc>
          <w:tcPr>
            <w:tcW w:w="7000" w:type="dxa"/>
            <w:vAlign w:val="bottom"/>
          </w:tcPr>
          <w:p>
            <w:pPr>
              <w:ind w:left="240"/>
              <w:spacing w:after="0"/>
              <w:rPr>
                <w:sz w:val="20"/>
                <w:szCs w:val="20"/>
                <w:color w:val="auto"/>
              </w:rPr>
            </w:pPr>
            <w:r>
              <w:rPr>
                <w:rFonts w:ascii="Arial" w:cs="Arial" w:eastAsia="Arial" w:hAnsi="Arial"/>
                <w:sz w:val="13"/>
                <w:szCs w:val="13"/>
                <w:color w:val="auto"/>
              </w:rPr>
              <w:t>Other liabilities</w:t>
            </w: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3"/>
                <w:szCs w:val="13"/>
                <w:color w:val="auto"/>
              </w:rPr>
              <w:t>11,329</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11,329</w:t>
            </w: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Redeemable noncontrolling interest</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12,500</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12,500</w:t>
            </w:r>
          </w:p>
        </w:tc>
        <w:tc>
          <w:tcPr>
            <w:tcW w:w="0" w:type="dxa"/>
            <w:vAlign w:val="bottom"/>
          </w:tcPr>
          <w:p>
            <w:pPr>
              <w:spacing w:after="0"/>
              <w:rPr>
                <w:sz w:val="1"/>
                <w:szCs w:val="1"/>
                <w:color w:val="auto"/>
              </w:rPr>
            </w:pPr>
          </w:p>
        </w:tc>
      </w:tr>
      <w:tr>
        <w:trPr>
          <w:trHeight w:val="244"/>
        </w:trPr>
        <w:tc>
          <w:tcPr>
            <w:tcW w:w="7000" w:type="dxa"/>
            <w:vAlign w:val="bottom"/>
          </w:tcPr>
          <w:p>
            <w:pPr>
              <w:ind w:left="20"/>
              <w:spacing w:after="0"/>
              <w:rPr>
                <w:sz w:val="20"/>
                <w:szCs w:val="20"/>
                <w:color w:val="auto"/>
              </w:rPr>
            </w:pPr>
            <w:r>
              <w:rPr>
                <w:rFonts w:ascii="Arial" w:cs="Arial" w:eastAsia="Arial" w:hAnsi="Arial"/>
                <w:sz w:val="13"/>
                <w:szCs w:val="13"/>
                <w:color w:val="auto"/>
              </w:rPr>
              <w:t>Commitments and contingencies (Note 12)</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w w:val="98"/>
              </w:rPr>
              <w:t>Series A Convertible Participating Perpetual Preferred Stock, $0.0001 par value; 10,000 shares authorized; 195 shares</w:t>
            </w: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issued and outstanding at September 30, 2018</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176,160</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176,160</w:t>
            </w:r>
          </w:p>
        </w:tc>
        <w:tc>
          <w:tcPr>
            <w:tcW w:w="0" w:type="dxa"/>
            <w:vAlign w:val="bottom"/>
          </w:tcPr>
          <w:p>
            <w:pPr>
              <w:spacing w:after="0"/>
              <w:rPr>
                <w:sz w:val="1"/>
                <w:szCs w:val="1"/>
                <w:color w:val="auto"/>
              </w:rPr>
            </w:pPr>
          </w:p>
        </w:tc>
      </w:tr>
      <w:tr>
        <w:trPr>
          <w:trHeight w:val="244"/>
        </w:trPr>
        <w:tc>
          <w:tcPr>
            <w:tcW w:w="7000" w:type="dxa"/>
            <w:vAlign w:val="bottom"/>
          </w:tcPr>
          <w:p>
            <w:pPr>
              <w:ind w:left="20"/>
              <w:spacing w:after="0"/>
              <w:rPr>
                <w:sz w:val="20"/>
                <w:szCs w:val="20"/>
                <w:color w:val="auto"/>
              </w:rPr>
            </w:pPr>
            <w:r>
              <w:rPr>
                <w:rFonts w:ascii="Arial" w:cs="Arial" w:eastAsia="Arial" w:hAnsi="Arial"/>
                <w:sz w:val="13"/>
                <w:szCs w:val="13"/>
                <w:color w:val="auto"/>
              </w:rPr>
              <w:t>Stockholders’ equity:</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w w:val="99"/>
              </w:rPr>
              <w:t>Common stock, $0.0001 par value; 100,000 shares authorized, 49,817 and 52,024 shares issued; 42,655 and 46,965</w:t>
            </w: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outstanding at September 30, 2018 and December 31, 2017, respectively</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44"/>
        </w:trPr>
        <w:tc>
          <w:tcPr>
            <w:tcW w:w="7000" w:type="dxa"/>
            <w:vAlign w:val="bottom"/>
          </w:tcPr>
          <w:p>
            <w:pPr>
              <w:ind w:left="240"/>
              <w:spacing w:after="0"/>
              <w:rPr>
                <w:sz w:val="20"/>
                <w:szCs w:val="20"/>
                <w:color w:val="auto"/>
              </w:rPr>
            </w:pPr>
            <w:r>
              <w:rPr>
                <w:rFonts w:ascii="Arial" w:cs="Arial" w:eastAsia="Arial" w:hAnsi="Arial"/>
                <w:sz w:val="13"/>
                <w:szCs w:val="13"/>
                <w:color w:val="auto"/>
              </w:rPr>
              <w:t>Treasury stock, at cost (7,162 and 5,059 shares at September 30, 2018 and December 31, 2017, respectively)</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(82,087)</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(82,087)</w:t>
            </w:r>
          </w:p>
        </w:tc>
        <w:tc>
          <w:tcPr>
            <w:tcW w:w="0" w:type="dxa"/>
            <w:vAlign w:val="bottom"/>
          </w:tcPr>
          <w:p>
            <w:pPr>
              <w:spacing w:after="0"/>
              <w:rPr>
                <w:sz w:val="1"/>
                <w:szCs w:val="1"/>
                <w:color w:val="auto"/>
              </w:rPr>
            </w:pPr>
          </w:p>
        </w:tc>
      </w:tr>
      <w:tr>
        <w:trPr>
          <w:trHeight w:val="254"/>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Additional paid-in capital</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561,144</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561,144</w:t>
            </w:r>
          </w:p>
        </w:tc>
        <w:tc>
          <w:tcPr>
            <w:tcW w:w="0" w:type="dxa"/>
            <w:vAlign w:val="bottom"/>
          </w:tcPr>
          <w:p>
            <w:pPr>
              <w:spacing w:after="0"/>
              <w:rPr>
                <w:sz w:val="1"/>
                <w:szCs w:val="1"/>
                <w:color w:val="auto"/>
              </w:rPr>
            </w:pPr>
          </w:p>
        </w:tc>
      </w:tr>
      <w:tr>
        <w:trPr>
          <w:trHeight w:val="244"/>
        </w:trPr>
        <w:tc>
          <w:tcPr>
            <w:tcW w:w="7000" w:type="dxa"/>
            <w:vAlign w:val="bottom"/>
          </w:tcPr>
          <w:p>
            <w:pPr>
              <w:ind w:left="240"/>
              <w:spacing w:after="0"/>
              <w:rPr>
                <w:sz w:val="20"/>
                <w:szCs w:val="20"/>
                <w:color w:val="auto"/>
              </w:rPr>
            </w:pPr>
            <w:r>
              <w:rPr>
                <w:rFonts w:ascii="Arial" w:cs="Arial" w:eastAsia="Arial" w:hAnsi="Arial"/>
                <w:sz w:val="13"/>
                <w:szCs w:val="13"/>
                <w:color w:val="auto"/>
              </w:rPr>
              <w:t xml:space="preserve">Accumulated other comprehensive loss </w:t>
            </w:r>
            <w:r>
              <w:rPr>
                <w:rFonts w:ascii="Arial" w:cs="Arial" w:eastAsia="Arial" w:hAnsi="Arial"/>
                <w:sz w:val="8"/>
                <w:szCs w:val="8"/>
                <w:color w:val="auto"/>
              </w:rPr>
              <w:t>(4)</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(30,557)</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76</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(30,633)</w:t>
            </w:r>
          </w:p>
        </w:tc>
        <w:tc>
          <w:tcPr>
            <w:tcW w:w="0" w:type="dxa"/>
            <w:vAlign w:val="bottom"/>
          </w:tcPr>
          <w:p>
            <w:pPr>
              <w:spacing w:after="0"/>
              <w:rPr>
                <w:sz w:val="1"/>
                <w:szCs w:val="1"/>
                <w:color w:val="auto"/>
              </w:rPr>
            </w:pPr>
          </w:p>
        </w:tc>
      </w:tr>
      <w:tr>
        <w:trPr>
          <w:trHeight w:val="249"/>
        </w:trPr>
        <w:tc>
          <w:tcPr>
            <w:tcW w:w="7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Accumulated deficit</w:t>
            </w: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(156,984)</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20,871</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(177,855)</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stockholders’ equity</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291,521</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20,947</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270,574</w:t>
            </w:r>
          </w:p>
        </w:tc>
        <w:tc>
          <w:tcPr>
            <w:tcW w:w="0" w:type="dxa"/>
            <w:vAlign w:val="bottom"/>
          </w:tcPr>
          <w:p>
            <w:pPr>
              <w:spacing w:after="0"/>
              <w:rPr>
                <w:sz w:val="1"/>
                <w:szCs w:val="1"/>
                <w:color w:val="auto"/>
              </w:rPr>
            </w:pPr>
          </w:p>
        </w:tc>
      </w:tr>
      <w:tr>
        <w:trPr>
          <w:trHeight w:val="222"/>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894,344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19,672</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874,672</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00" w:hanging="300"/>
        <w:spacing w:after="0"/>
        <w:tabs>
          <w:tab w:leader="none" w:pos="300" w:val="left"/>
        </w:tabs>
        <w:numPr>
          <w:ilvl w:val="0"/>
          <w:numId w:val="8"/>
        </w:numPr>
        <w:rPr>
          <w:rFonts w:ascii="Arial" w:cs="Arial" w:eastAsia="Arial" w:hAnsi="Arial"/>
          <w:sz w:val="15"/>
          <w:szCs w:val="15"/>
          <w:color w:val="auto"/>
        </w:rPr>
      </w:pPr>
      <w:r>
        <w:rPr>
          <w:rFonts w:ascii="Arial" w:cs="Arial" w:eastAsia="Arial" w:hAnsi="Arial"/>
          <w:sz w:val="15"/>
          <w:szCs w:val="15"/>
          <w:color w:val="auto"/>
        </w:rPr>
        <w:t xml:space="preserve">See </w:t>
      </w:r>
      <w:r>
        <w:rPr>
          <w:rFonts w:ascii="Arial" w:cs="Arial" w:eastAsia="Arial" w:hAnsi="Arial"/>
          <w:sz w:val="15"/>
          <w:szCs w:val="15"/>
          <w:i w:val="1"/>
          <w:iCs w:val="1"/>
          <w:color w:val="auto"/>
        </w:rPr>
        <w:t>Note 5 -Investments in Affiliates and Related Transactions</w:t>
      </w:r>
      <w:r>
        <w:rPr>
          <w:rFonts w:ascii="Arial" w:cs="Arial" w:eastAsia="Arial" w:hAnsi="Arial"/>
          <w:sz w:val="15"/>
          <w:szCs w:val="15"/>
          <w:color w:val="auto"/>
        </w:rPr>
        <w:t xml:space="preserve"> for related party transactions reflected in this account.</w:t>
      </w:r>
    </w:p>
    <w:p>
      <w:pPr>
        <w:spacing w:after="0" w:line="213" w:lineRule="exact"/>
        <w:rPr>
          <w:rFonts w:ascii="Arial" w:cs="Arial" w:eastAsia="Arial" w:hAnsi="Arial"/>
          <w:sz w:val="15"/>
          <w:szCs w:val="15"/>
          <w:color w:val="auto"/>
        </w:rPr>
      </w:pPr>
    </w:p>
    <w:p>
      <w:pPr>
        <w:ind w:left="5640"/>
        <w:spacing w:after="0"/>
        <w:rPr>
          <w:rFonts w:ascii="Arial" w:cs="Arial" w:eastAsia="Arial" w:hAnsi="Arial"/>
          <w:sz w:val="15"/>
          <w:szCs w:val="15"/>
          <w:color w:val="auto"/>
        </w:rPr>
      </w:pPr>
      <w:r>
        <w:rPr>
          <w:rFonts w:ascii="Arial" w:cs="Arial" w:eastAsia="Arial" w:hAnsi="Arial"/>
          <w:sz w:val="17"/>
          <w:szCs w:val="17"/>
          <w:color w:val="auto"/>
        </w:rPr>
        <w:t>17</w:t>
      </w:r>
    </w:p>
    <w:p>
      <w:pPr>
        <w:sectPr>
          <w:pgSz w:w="11900" w:h="16838" w:orient="portrait"/>
          <w:cols w:equalWidth="0" w:num="1">
            <w:col w:w="11420"/>
          </w:cols>
          <w:pgMar w:left="240" w:top="127"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380"/>
        <w:spacing w:after="0"/>
        <w:tabs>
          <w:tab w:leader="none" w:pos="2260" w:val="left"/>
        </w:tabs>
        <w:rPr>
          <w:sz w:val="20"/>
          <w:szCs w:val="20"/>
          <w:color w:val="auto"/>
        </w:rPr>
      </w:pPr>
      <w:r>
        <w:rPr>
          <w:rFonts w:ascii="Arial" w:cs="Arial" w:eastAsia="Arial" w:hAnsi="Arial"/>
          <w:sz w:val="13"/>
          <w:szCs w:val="13"/>
          <w:b w:val="1"/>
          <w:bCs w:val="1"/>
          <w:color w:val="auto"/>
        </w:rPr>
        <w:t>Three Months Ended September 30, 2018</w:t>
      </w:r>
      <w:r>
        <w:rPr>
          <w:sz w:val="20"/>
          <w:szCs w:val="20"/>
          <w:color w:val="auto"/>
        </w:rPr>
        <w:tab/>
      </w:r>
      <w:r>
        <w:rPr>
          <w:rFonts w:ascii="Arial" w:cs="Arial" w:eastAsia="Arial" w:hAnsi="Arial"/>
          <w:sz w:val="12"/>
          <w:szCs w:val="12"/>
          <w:b w:val="1"/>
          <w:bCs w:val="1"/>
          <w:color w:val="auto"/>
        </w:rPr>
        <w:t>Nine Months Ended September 30, 2018</w:t>
      </w:r>
    </w:p>
    <w:p>
      <w:pPr>
        <w:sectPr>
          <w:pgSz w:w="11900" w:h="16838" w:orient="portrait"/>
          <w:cols w:equalWidth="0" w:num="1">
            <w:col w:w="11420"/>
          </w:cols>
          <w:pgMar w:left="240" w:top="127" w:right="239" w:bottom="1440" w:gutter="0" w:footer="0" w:header="0"/>
        </w:sectPr>
      </w:pPr>
    </w:p>
    <w:p>
      <w:pPr>
        <w:spacing w:after="0" w:line="23" w:lineRule="exact"/>
        <w:rPr>
          <w:sz w:val="20"/>
          <w:szCs w:val="20"/>
          <w:color w:val="auto"/>
        </w:rPr>
      </w:pPr>
    </w:p>
    <w:tbl>
      <w:tblPr>
        <w:tblLayout w:type="fixed"/>
        <w:tblInd w:w="5140" w:type="dxa"/>
        <w:tblCellMar>
          <w:top w:w="0" w:type="dxa"/>
          <w:left w:w="0" w:type="dxa"/>
          <w:bottom w:w="0" w:type="dxa"/>
          <w:right w:w="0" w:type="dxa"/>
        </w:tblCellMar>
      </w:tblPr>
      <w:tr>
        <w:trPr>
          <w:trHeight w:val="144"/>
        </w:trPr>
        <w:tc>
          <w:tcPr>
            <w:tcW w:w="10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0"/>
              </w:rPr>
              <w:t>Impacts of the</w:t>
            </w:r>
          </w:p>
        </w:tc>
        <w:tc>
          <w:tcPr>
            <w:tcW w:w="104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3"/>
              </w:rPr>
              <w:t>Adjusted</w:t>
            </w:r>
          </w:p>
        </w:tc>
        <w:tc>
          <w:tcPr>
            <w:tcW w:w="0" w:type="dxa"/>
            <w:vAlign w:val="bottom"/>
          </w:tcPr>
          <w:p>
            <w:pPr>
              <w:spacing w:after="0"/>
              <w:rPr>
                <w:sz w:val="1"/>
                <w:szCs w:val="1"/>
                <w:color w:val="auto"/>
              </w:rPr>
            </w:pPr>
          </w:p>
        </w:tc>
      </w:tr>
      <w:tr>
        <w:trPr>
          <w:trHeight w:val="137"/>
        </w:trPr>
        <w:tc>
          <w:tcPr>
            <w:tcW w:w="104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As Reported</w:t>
            </w:r>
          </w:p>
        </w:tc>
        <w:tc>
          <w:tcPr>
            <w:tcW w:w="10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New Revenue</w:t>
            </w:r>
          </w:p>
        </w:tc>
        <w:tc>
          <w:tcPr>
            <w:tcW w:w="10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1"/>
              </w:rPr>
              <w:t>amounts under</w:t>
            </w:r>
          </w:p>
        </w:tc>
        <w:tc>
          <w:tcPr>
            <w:tcW w:w="0" w:type="dxa"/>
            <w:vAlign w:val="bottom"/>
          </w:tcPr>
          <w:p>
            <w:pPr>
              <w:spacing w:after="0"/>
              <w:rPr>
                <w:sz w:val="1"/>
                <w:szCs w:val="1"/>
                <w:color w:val="auto"/>
              </w:rPr>
            </w:pPr>
          </w:p>
        </w:tc>
      </w:tr>
      <w:tr>
        <w:trPr>
          <w:trHeight w:val="177"/>
        </w:trPr>
        <w:tc>
          <w:tcPr>
            <w:tcW w:w="104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Standard</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prior GAAP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0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2"/>
              </w:rPr>
              <w:t>Impacts of the</w:t>
            </w:r>
          </w:p>
        </w:tc>
        <w:tc>
          <w:tcPr>
            <w:tcW w:w="102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3"/>
              </w:rPr>
              <w:t>Adjusted</w:t>
            </w:r>
          </w:p>
        </w:tc>
        <w:tc>
          <w:tcPr>
            <w:tcW w:w="0" w:type="dxa"/>
            <w:vAlign w:val="bottom"/>
          </w:tcPr>
          <w:p>
            <w:pPr>
              <w:spacing w:after="0"/>
              <w:rPr>
                <w:sz w:val="1"/>
                <w:szCs w:val="1"/>
                <w:color w:val="auto"/>
              </w:rPr>
            </w:pPr>
          </w:p>
        </w:tc>
      </w:tr>
      <w:tr>
        <w:trPr>
          <w:trHeight w:val="137"/>
        </w:trPr>
        <w:tc>
          <w:tcPr>
            <w:tcW w:w="100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As Reported</w:t>
            </w:r>
          </w:p>
        </w:tc>
        <w:tc>
          <w:tcPr>
            <w:tcW w:w="10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New Revenue</w:t>
            </w:r>
          </w:p>
        </w:tc>
        <w:tc>
          <w:tcPr>
            <w:tcW w:w="10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1"/>
              </w:rPr>
              <w:t>amounts under</w:t>
            </w:r>
          </w:p>
        </w:tc>
        <w:tc>
          <w:tcPr>
            <w:tcW w:w="0" w:type="dxa"/>
            <w:vAlign w:val="bottom"/>
          </w:tcPr>
          <w:p>
            <w:pPr>
              <w:spacing w:after="0"/>
              <w:rPr>
                <w:sz w:val="1"/>
                <w:szCs w:val="1"/>
                <w:color w:val="auto"/>
              </w:rPr>
            </w:pPr>
          </w:p>
        </w:tc>
      </w:tr>
      <w:tr>
        <w:trPr>
          <w:trHeight w:val="177"/>
        </w:trPr>
        <w:tc>
          <w:tcPr>
            <w:tcW w:w="100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Standard</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prior GAAP</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8260" w:space="100"/>
            <w:col w:w="3060"/>
          </w:cols>
          <w:pgMar w:left="240" w:top="127" w:right="2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Net revenues </w:t>
            </w:r>
            <w:r>
              <w:rPr>
                <w:rFonts w:ascii="Arial" w:cs="Arial" w:eastAsia="Arial" w:hAnsi="Arial"/>
                <w:sz w:val="8"/>
                <w:szCs w:val="8"/>
                <w:color w:val="auto"/>
              </w:rPr>
              <w:t>(3)</w:t>
            </w: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83,286</w:t>
            </w:r>
          </w:p>
        </w:tc>
        <w:tc>
          <w:tcPr>
            <w:tcW w:w="32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11,605</w:t>
            </w: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71,681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243,737</w:t>
            </w:r>
          </w:p>
        </w:tc>
        <w:tc>
          <w:tcPr>
            <w:tcW w:w="32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31,871</w:t>
            </w:r>
          </w:p>
        </w:tc>
        <w:tc>
          <w:tcPr>
            <w:tcW w:w="2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211,866</w:t>
            </w:r>
          </w:p>
        </w:tc>
        <w:tc>
          <w:tcPr>
            <w:tcW w:w="0" w:type="dxa"/>
            <w:vAlign w:val="bottom"/>
          </w:tcPr>
          <w:p>
            <w:pPr>
              <w:spacing w:after="0"/>
              <w:rPr>
                <w:sz w:val="1"/>
                <w:szCs w:val="1"/>
                <w:color w:val="auto"/>
              </w:rPr>
            </w:pPr>
          </w:p>
        </w:tc>
      </w:tr>
      <w:tr>
        <w:trPr>
          <w:trHeight w:val="244"/>
        </w:trPr>
        <w:tc>
          <w:tcPr>
            <w:tcW w:w="5140" w:type="dxa"/>
            <w:vAlign w:val="bottom"/>
          </w:tcPr>
          <w:p>
            <w:pPr>
              <w:ind w:left="20"/>
              <w:spacing w:after="0"/>
              <w:rPr>
                <w:sz w:val="20"/>
                <w:szCs w:val="20"/>
                <w:color w:val="auto"/>
              </w:rPr>
            </w:pPr>
            <w:r>
              <w:rPr>
                <w:rFonts w:ascii="Arial" w:cs="Arial" w:eastAsia="Arial" w:hAnsi="Arial"/>
                <w:sz w:val="13"/>
                <w:szCs w:val="13"/>
                <w:color w:val="auto"/>
              </w:rPr>
              <w:t>Costs and expenses:</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1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 xml:space="preserve">Cost of revenues* </w:t>
            </w:r>
            <w:r>
              <w:rPr>
                <w:rFonts w:ascii="Arial" w:cs="Arial" w:eastAsia="Arial" w:hAnsi="Arial"/>
                <w:sz w:val="8"/>
                <w:szCs w:val="8"/>
                <w:color w:val="auto"/>
              </w:rPr>
              <w:t>(5)</w:t>
            </w: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43,714</w:t>
            </w: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249</w:t>
            </w: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43,465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127,788</w:t>
            </w: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613</w:t>
            </w: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127,175</w:t>
            </w:r>
          </w:p>
        </w:tc>
        <w:tc>
          <w:tcPr>
            <w:tcW w:w="0" w:type="dxa"/>
            <w:vAlign w:val="bottom"/>
          </w:tcPr>
          <w:p>
            <w:pPr>
              <w:spacing w:after="0"/>
              <w:rPr>
                <w:sz w:val="1"/>
                <w:szCs w:val="1"/>
                <w:color w:val="auto"/>
              </w:rPr>
            </w:pPr>
          </w:p>
        </w:tc>
      </w:tr>
      <w:tr>
        <w:trPr>
          <w:trHeight w:val="244"/>
        </w:trPr>
        <w:tc>
          <w:tcPr>
            <w:tcW w:w="5140" w:type="dxa"/>
            <w:vAlign w:val="bottom"/>
          </w:tcPr>
          <w:p>
            <w:pPr>
              <w:ind w:left="240"/>
              <w:spacing w:after="0"/>
              <w:rPr>
                <w:sz w:val="20"/>
                <w:szCs w:val="20"/>
                <w:color w:val="auto"/>
              </w:rPr>
            </w:pPr>
            <w:r>
              <w:rPr>
                <w:rFonts w:ascii="Arial" w:cs="Arial" w:eastAsia="Arial" w:hAnsi="Arial"/>
                <w:sz w:val="13"/>
                <w:szCs w:val="13"/>
                <w:color w:val="auto"/>
              </w:rPr>
              <w:t>Research and development</w:t>
            </w:r>
          </w:p>
        </w:tc>
        <w:tc>
          <w:tcPr>
            <w:tcW w:w="300" w:type="dxa"/>
            <w:vAlign w:val="bottom"/>
          </w:tcPr>
          <w:p>
            <w:pPr>
              <w:spacing w:after="0"/>
              <w:rPr>
                <w:sz w:val="21"/>
                <w:szCs w:val="21"/>
                <w:color w:val="auto"/>
              </w:rPr>
            </w:pPr>
          </w:p>
        </w:tc>
        <w:tc>
          <w:tcPr>
            <w:tcW w:w="760" w:type="dxa"/>
            <w:vAlign w:val="bottom"/>
          </w:tcPr>
          <w:p>
            <w:pPr>
              <w:jc w:val="right"/>
              <w:ind w:right="54"/>
              <w:spacing w:after="0"/>
              <w:rPr>
                <w:sz w:val="20"/>
                <w:szCs w:val="20"/>
                <w:color w:val="auto"/>
              </w:rPr>
            </w:pPr>
            <w:r>
              <w:rPr>
                <w:rFonts w:ascii="Arial" w:cs="Arial" w:eastAsia="Arial" w:hAnsi="Arial"/>
                <w:sz w:val="13"/>
                <w:szCs w:val="13"/>
                <w:color w:val="auto"/>
              </w:rPr>
              <w:t>18,684</w:t>
            </w:r>
          </w:p>
        </w:tc>
        <w:tc>
          <w:tcPr>
            <w:tcW w:w="3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1"/>
                <w:szCs w:val="21"/>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18,684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3"/>
                <w:szCs w:val="13"/>
                <w:color w:val="auto"/>
              </w:rPr>
              <w:t>59,789</w:t>
            </w:r>
          </w:p>
        </w:tc>
        <w:tc>
          <w:tcPr>
            <w:tcW w:w="3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3"/>
                <w:szCs w:val="13"/>
                <w:color w:val="auto"/>
              </w:rPr>
              <w:t>59,789</w:t>
            </w:r>
          </w:p>
        </w:tc>
        <w:tc>
          <w:tcPr>
            <w:tcW w:w="0" w:type="dxa"/>
            <w:vAlign w:val="bottom"/>
          </w:tcPr>
          <w:p>
            <w:pPr>
              <w:spacing w:after="0"/>
              <w:rPr>
                <w:sz w:val="1"/>
                <w:szCs w:val="1"/>
                <w:color w:val="auto"/>
              </w:rPr>
            </w:pPr>
          </w:p>
        </w:tc>
      </w:tr>
      <w:tr>
        <w:trPr>
          <w:trHeight w:val="254"/>
        </w:trPr>
        <w:tc>
          <w:tcPr>
            <w:tcW w:w="51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 xml:space="preserve">Selling, general and administrative </w:t>
            </w:r>
            <w:r>
              <w:rPr>
                <w:rFonts w:ascii="Arial" w:cs="Arial" w:eastAsia="Arial" w:hAnsi="Arial"/>
                <w:sz w:val="8"/>
                <w:szCs w:val="8"/>
                <w:color w:val="auto"/>
              </w:rPr>
              <w:t>(2)</w:t>
            </w: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27,320</w:t>
            </w: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51</w:t>
            </w: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27,269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99,368</w:t>
            </w: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152</w:t>
            </w: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99,216</w:t>
            </w:r>
          </w:p>
        </w:tc>
        <w:tc>
          <w:tcPr>
            <w:tcW w:w="0" w:type="dxa"/>
            <w:vAlign w:val="bottom"/>
          </w:tcPr>
          <w:p>
            <w:pPr>
              <w:spacing w:after="0"/>
              <w:rPr>
                <w:sz w:val="1"/>
                <w:szCs w:val="1"/>
                <w:color w:val="auto"/>
              </w:rPr>
            </w:pPr>
          </w:p>
        </w:tc>
      </w:tr>
      <w:tr>
        <w:trPr>
          <w:trHeight w:val="244"/>
        </w:trPr>
        <w:tc>
          <w:tcPr>
            <w:tcW w:w="5140" w:type="dxa"/>
            <w:vAlign w:val="bottom"/>
          </w:tcPr>
          <w:p>
            <w:pPr>
              <w:ind w:left="240"/>
              <w:spacing w:after="0"/>
              <w:rPr>
                <w:sz w:val="20"/>
                <w:szCs w:val="20"/>
                <w:color w:val="auto"/>
              </w:rPr>
            </w:pPr>
            <w:r>
              <w:rPr>
                <w:rFonts w:ascii="Arial" w:cs="Arial" w:eastAsia="Arial" w:hAnsi="Arial"/>
                <w:sz w:val="13"/>
                <w:szCs w:val="13"/>
                <w:color w:val="auto"/>
              </w:rPr>
              <w:t>Restructuring charges</w:t>
            </w:r>
          </w:p>
        </w:tc>
        <w:tc>
          <w:tcPr>
            <w:tcW w:w="300" w:type="dxa"/>
            <w:vAlign w:val="bottom"/>
          </w:tcPr>
          <w:p>
            <w:pPr>
              <w:spacing w:after="0"/>
              <w:rPr>
                <w:sz w:val="21"/>
                <w:szCs w:val="21"/>
                <w:color w:val="auto"/>
              </w:rPr>
            </w:pPr>
          </w:p>
        </w:tc>
        <w:tc>
          <w:tcPr>
            <w:tcW w:w="760" w:type="dxa"/>
            <w:vAlign w:val="bottom"/>
          </w:tcPr>
          <w:p>
            <w:pPr>
              <w:jc w:val="right"/>
              <w:ind w:right="54"/>
              <w:spacing w:after="0"/>
              <w:rPr>
                <w:sz w:val="20"/>
                <w:szCs w:val="20"/>
                <w:color w:val="auto"/>
              </w:rPr>
            </w:pPr>
            <w:r>
              <w:rPr>
                <w:rFonts w:ascii="Arial" w:cs="Arial" w:eastAsia="Arial" w:hAnsi="Arial"/>
                <w:sz w:val="13"/>
                <w:szCs w:val="13"/>
                <w:color w:val="auto"/>
              </w:rPr>
              <w:t>4,539</w:t>
            </w:r>
          </w:p>
        </w:tc>
        <w:tc>
          <w:tcPr>
            <w:tcW w:w="3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1"/>
                <w:szCs w:val="21"/>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4,539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3"/>
                <w:szCs w:val="13"/>
                <w:color w:val="auto"/>
              </w:rPr>
              <w:t>8,425</w:t>
            </w:r>
          </w:p>
        </w:tc>
        <w:tc>
          <w:tcPr>
            <w:tcW w:w="3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3"/>
                <w:szCs w:val="13"/>
                <w:color w:val="auto"/>
              </w:rPr>
              <w:t>8,425</w:t>
            </w:r>
          </w:p>
        </w:tc>
        <w:tc>
          <w:tcPr>
            <w:tcW w:w="0" w:type="dxa"/>
            <w:vAlign w:val="bottom"/>
          </w:tcPr>
          <w:p>
            <w:pPr>
              <w:spacing w:after="0"/>
              <w:rPr>
                <w:sz w:val="1"/>
                <w:szCs w:val="1"/>
                <w:color w:val="auto"/>
              </w:rPr>
            </w:pPr>
          </w:p>
        </w:tc>
      </w:tr>
      <w:tr>
        <w:trPr>
          <w:trHeight w:val="249"/>
        </w:trPr>
        <w:tc>
          <w:tcPr>
            <w:tcW w:w="51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3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23,658</w:t>
            </w: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23,658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70,330</w:t>
            </w: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70,330</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costs and expenses</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117,915</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300</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117,615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365,700</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765</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364,935</w:t>
            </w:r>
          </w:p>
        </w:tc>
        <w:tc>
          <w:tcPr>
            <w:tcW w:w="0" w:type="dxa"/>
            <w:vAlign w:val="bottom"/>
          </w:tcPr>
          <w:p>
            <w:pPr>
              <w:spacing w:after="0"/>
              <w:rPr>
                <w:sz w:val="1"/>
                <w:szCs w:val="1"/>
                <w:color w:val="auto"/>
              </w:rPr>
            </w:pPr>
          </w:p>
        </w:tc>
      </w:tr>
      <w:tr>
        <w:trPr>
          <w:trHeight w:val="234"/>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from continuing operations</w:t>
            </w: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(34,629)</w:t>
            </w: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11,305</w:t>
            </w: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(45,934)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(121,963)</w:t>
            </w: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31,106</w:t>
            </w: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(153,069)</w:t>
            </w:r>
          </w:p>
        </w:tc>
        <w:tc>
          <w:tcPr>
            <w:tcW w:w="0" w:type="dxa"/>
            <w:vAlign w:val="bottom"/>
          </w:tcPr>
          <w:p>
            <w:pPr>
              <w:spacing w:after="0"/>
              <w:rPr>
                <w:sz w:val="1"/>
                <w:szCs w:val="1"/>
                <w:color w:val="auto"/>
              </w:rPr>
            </w:pPr>
          </w:p>
        </w:tc>
      </w:tr>
      <w:tr>
        <w:trPr>
          <w:trHeight w:val="244"/>
        </w:trPr>
        <w:tc>
          <w:tcPr>
            <w:tcW w:w="5140" w:type="dxa"/>
            <w:vAlign w:val="bottom"/>
          </w:tcPr>
          <w:p>
            <w:pPr>
              <w:ind w:left="240"/>
              <w:spacing w:after="0"/>
              <w:rPr>
                <w:sz w:val="20"/>
                <w:szCs w:val="20"/>
                <w:color w:val="auto"/>
              </w:rPr>
            </w:pPr>
            <w:r>
              <w:rPr>
                <w:rFonts w:ascii="Arial" w:cs="Arial" w:eastAsia="Arial" w:hAnsi="Arial"/>
                <w:sz w:val="13"/>
                <w:szCs w:val="13"/>
                <w:color w:val="auto"/>
              </w:rPr>
              <w:t>Interest income</w:t>
            </w:r>
          </w:p>
        </w:tc>
        <w:tc>
          <w:tcPr>
            <w:tcW w:w="300" w:type="dxa"/>
            <w:vAlign w:val="bottom"/>
          </w:tcPr>
          <w:p>
            <w:pPr>
              <w:spacing w:after="0"/>
              <w:rPr>
                <w:sz w:val="21"/>
                <w:szCs w:val="21"/>
                <w:color w:val="auto"/>
              </w:rPr>
            </w:pPr>
          </w:p>
        </w:tc>
        <w:tc>
          <w:tcPr>
            <w:tcW w:w="760" w:type="dxa"/>
            <w:vAlign w:val="bottom"/>
          </w:tcPr>
          <w:p>
            <w:pPr>
              <w:jc w:val="right"/>
              <w:ind w:right="54"/>
              <w:spacing w:after="0"/>
              <w:rPr>
                <w:sz w:val="20"/>
                <w:szCs w:val="20"/>
                <w:color w:val="auto"/>
              </w:rPr>
            </w:pPr>
            <w:r>
              <w:rPr>
                <w:rFonts w:ascii="Arial" w:cs="Arial" w:eastAsia="Arial" w:hAnsi="Arial"/>
                <w:sz w:val="13"/>
                <w:szCs w:val="13"/>
                <w:color w:val="auto"/>
              </w:rPr>
              <w:t>203</w:t>
            </w:r>
          </w:p>
        </w:tc>
        <w:tc>
          <w:tcPr>
            <w:tcW w:w="3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1"/>
                <w:szCs w:val="21"/>
                <w:color w:val="auto"/>
              </w:rPr>
            </w:pP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3"/>
                <w:szCs w:val="13"/>
                <w:color w:val="auto"/>
              </w:rPr>
              <w:t>7,518</w:t>
            </w:r>
          </w:p>
        </w:tc>
        <w:tc>
          <w:tcPr>
            <w:tcW w:w="3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3"/>
                <w:szCs w:val="13"/>
                <w:color w:val="auto"/>
              </w:rPr>
              <w:t>7,518</w:t>
            </w:r>
          </w:p>
        </w:tc>
        <w:tc>
          <w:tcPr>
            <w:tcW w:w="0" w:type="dxa"/>
            <w:vAlign w:val="bottom"/>
          </w:tcPr>
          <w:p>
            <w:pPr>
              <w:spacing w:after="0"/>
              <w:rPr>
                <w:sz w:val="1"/>
                <w:szCs w:val="1"/>
                <w:color w:val="auto"/>
              </w:rPr>
            </w:pPr>
          </w:p>
        </w:tc>
      </w:tr>
      <w:tr>
        <w:trPr>
          <w:trHeight w:val="254"/>
        </w:trPr>
        <w:tc>
          <w:tcPr>
            <w:tcW w:w="51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(1,370)</w:t>
            </w: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(1,337)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(3,935)</w:t>
            </w: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(3,830)</w:t>
            </w:r>
          </w:p>
        </w:tc>
        <w:tc>
          <w:tcPr>
            <w:tcW w:w="0" w:type="dxa"/>
            <w:vAlign w:val="bottom"/>
          </w:tcPr>
          <w:p>
            <w:pPr>
              <w:spacing w:after="0"/>
              <w:rPr>
                <w:sz w:val="1"/>
                <w:szCs w:val="1"/>
                <w:color w:val="auto"/>
              </w:rPr>
            </w:pPr>
          </w:p>
        </w:tc>
      </w:tr>
      <w:tr>
        <w:trPr>
          <w:trHeight w:val="244"/>
        </w:trPr>
        <w:tc>
          <w:tcPr>
            <w:tcW w:w="5140" w:type="dxa"/>
            <w:vAlign w:val="bottom"/>
          </w:tcPr>
          <w:p>
            <w:pPr>
              <w:ind w:left="240"/>
              <w:spacing w:after="0"/>
              <w:rPr>
                <w:sz w:val="20"/>
                <w:szCs w:val="20"/>
                <w:color w:val="auto"/>
              </w:rPr>
            </w:pPr>
            <w:r>
              <w:rPr>
                <w:rFonts w:ascii="Arial" w:cs="Arial" w:eastAsia="Arial" w:hAnsi="Arial"/>
                <w:sz w:val="13"/>
                <w:szCs w:val="13"/>
                <w:color w:val="auto"/>
              </w:rPr>
              <w:t>Other expense, net</w:t>
            </w:r>
          </w:p>
        </w:tc>
        <w:tc>
          <w:tcPr>
            <w:tcW w:w="30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3"/>
                <w:szCs w:val="13"/>
                <w:color w:val="auto"/>
              </w:rPr>
              <w:t>(13,439)</w:t>
            </w:r>
          </w:p>
        </w:tc>
        <w:tc>
          <w:tcPr>
            <w:tcW w:w="3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(13,439)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(9,180)</w:t>
            </w:r>
          </w:p>
        </w:tc>
        <w:tc>
          <w:tcPr>
            <w:tcW w:w="3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(9,180)</w:t>
            </w:r>
          </w:p>
        </w:tc>
        <w:tc>
          <w:tcPr>
            <w:tcW w:w="0" w:type="dxa"/>
            <w:vAlign w:val="bottom"/>
          </w:tcPr>
          <w:p>
            <w:pPr>
              <w:spacing w:after="0"/>
              <w:rPr>
                <w:sz w:val="1"/>
                <w:szCs w:val="1"/>
                <w:color w:val="auto"/>
              </w:rPr>
            </w:pPr>
          </w:p>
        </w:tc>
      </w:tr>
      <w:tr>
        <w:trPr>
          <w:trHeight w:val="249"/>
        </w:trPr>
        <w:tc>
          <w:tcPr>
            <w:tcW w:w="51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Equity method investment income</w:t>
            </w:r>
          </w:p>
        </w:tc>
        <w:tc>
          <w:tcPr>
            <w:tcW w:w="3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283</w:t>
            </w: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283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71</w:t>
            </w: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3"/>
                <w:szCs w:val="13"/>
                <w:color w:val="auto"/>
              </w:rPr>
              <w:t>Loss from continuing operations, before taxes</w:t>
            </w:r>
          </w:p>
        </w:tc>
        <w:tc>
          <w:tcPr>
            <w:tcW w:w="300" w:type="dxa"/>
            <w:vAlign w:val="bottom"/>
          </w:tcPr>
          <w:p>
            <w:pPr>
              <w:spacing w:after="0"/>
              <w:rPr>
                <w:sz w:val="19"/>
                <w:szCs w:val="19"/>
                <w:color w:val="auto"/>
              </w:rPr>
            </w:pPr>
          </w:p>
        </w:tc>
        <w:tc>
          <w:tcPr>
            <w:tcW w:w="760" w:type="dxa"/>
            <w:vAlign w:val="bottom"/>
          </w:tcPr>
          <w:p>
            <w:pPr>
              <w:jc w:val="right"/>
              <w:ind w:right="14"/>
              <w:spacing w:after="0"/>
              <w:rPr>
                <w:sz w:val="20"/>
                <w:szCs w:val="20"/>
                <w:color w:val="auto"/>
              </w:rPr>
            </w:pPr>
            <w:r>
              <w:rPr>
                <w:rFonts w:ascii="Arial" w:cs="Arial" w:eastAsia="Arial" w:hAnsi="Arial"/>
                <w:sz w:val="13"/>
                <w:szCs w:val="13"/>
                <w:color w:val="auto"/>
              </w:rPr>
              <w:t>(48,952)</w:t>
            </w:r>
          </w:p>
        </w:tc>
        <w:tc>
          <w:tcPr>
            <w:tcW w:w="32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11,272</w:t>
            </w:r>
          </w:p>
        </w:tc>
        <w:tc>
          <w:tcPr>
            <w:tcW w:w="3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(60,224)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(127,489)</w:t>
            </w:r>
          </w:p>
        </w:tc>
        <w:tc>
          <w:tcPr>
            <w:tcW w:w="32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31,001</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(158,490)</w:t>
            </w:r>
          </w:p>
        </w:tc>
        <w:tc>
          <w:tcPr>
            <w:tcW w:w="0" w:type="dxa"/>
            <w:vAlign w:val="bottom"/>
          </w:tcPr>
          <w:p>
            <w:pPr>
              <w:spacing w:after="0"/>
              <w:rPr>
                <w:sz w:val="1"/>
                <w:szCs w:val="1"/>
                <w:color w:val="auto"/>
              </w:rPr>
            </w:pPr>
          </w:p>
        </w:tc>
      </w:tr>
      <w:tr>
        <w:trPr>
          <w:trHeight w:val="249"/>
        </w:trPr>
        <w:tc>
          <w:tcPr>
            <w:tcW w:w="51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Benefit for income taxes</w:t>
            </w:r>
          </w:p>
        </w:tc>
        <w:tc>
          <w:tcPr>
            <w:tcW w:w="3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2,308</w:t>
            </w: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2,308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1,604</w:t>
            </w: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1,604</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 from continuing operations</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(46,644)</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11,272</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(57,916)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(125,885)</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31,001</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(156,886)</w:t>
            </w:r>
          </w:p>
        </w:tc>
        <w:tc>
          <w:tcPr>
            <w:tcW w:w="0" w:type="dxa"/>
            <w:vAlign w:val="bottom"/>
          </w:tcPr>
          <w:p>
            <w:pPr>
              <w:spacing w:after="0"/>
              <w:rPr>
                <w:sz w:val="1"/>
                <w:szCs w:val="1"/>
                <w:color w:val="auto"/>
              </w:rPr>
            </w:pPr>
          </w:p>
        </w:tc>
      </w:tr>
      <w:tr>
        <w:trPr>
          <w:trHeight w:val="234"/>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(46,644)</w:t>
            </w: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11,272</w:t>
            </w: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(57,916)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(125,885)</w:t>
            </w: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31,001</w:t>
            </w: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(156,886)</w:t>
            </w:r>
          </w:p>
        </w:tc>
        <w:tc>
          <w:tcPr>
            <w:tcW w:w="0" w:type="dxa"/>
            <w:vAlign w:val="bottom"/>
          </w:tcPr>
          <w:p>
            <w:pPr>
              <w:spacing w:after="0"/>
              <w:rPr>
                <w:sz w:val="1"/>
                <w:szCs w:val="1"/>
                <w:color w:val="auto"/>
              </w:rPr>
            </w:pPr>
          </w:p>
        </w:tc>
      </w:tr>
      <w:tr>
        <w:trPr>
          <w:trHeight w:val="244"/>
        </w:trPr>
        <w:tc>
          <w:tcPr>
            <w:tcW w:w="5140" w:type="dxa"/>
            <w:vAlign w:val="bottom"/>
          </w:tcPr>
          <w:p>
            <w:pPr>
              <w:ind w:left="240"/>
              <w:spacing w:after="0"/>
              <w:rPr>
                <w:sz w:val="20"/>
                <w:szCs w:val="20"/>
                <w:color w:val="auto"/>
              </w:rPr>
            </w:pPr>
            <w:r>
              <w:rPr>
                <w:rFonts w:ascii="Arial" w:cs="Arial" w:eastAsia="Arial" w:hAnsi="Arial"/>
                <w:sz w:val="13"/>
                <w:szCs w:val="13"/>
                <w:color w:val="auto"/>
              </w:rPr>
              <w:t>Net (income) loss attributable to redeemable noncontrolling interests</w:t>
            </w:r>
          </w:p>
        </w:tc>
        <w:tc>
          <w:tcPr>
            <w:tcW w:w="30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3"/>
                <w:szCs w:val="13"/>
                <w:color w:val="auto"/>
              </w:rPr>
              <w:t>(422)</w:t>
            </w:r>
          </w:p>
        </w:tc>
        <w:tc>
          <w:tcPr>
            <w:tcW w:w="3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(422)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3"/>
                <w:szCs w:val="13"/>
                <w:color w:val="auto"/>
              </w:rPr>
              <w:t>2,122</w:t>
            </w:r>
          </w:p>
        </w:tc>
        <w:tc>
          <w:tcPr>
            <w:tcW w:w="3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3"/>
                <w:szCs w:val="13"/>
                <w:color w:val="auto"/>
              </w:rPr>
              <w:t>2,122</w:t>
            </w:r>
          </w:p>
        </w:tc>
        <w:tc>
          <w:tcPr>
            <w:tcW w:w="0" w:type="dxa"/>
            <w:vAlign w:val="bottom"/>
          </w:tcPr>
          <w:p>
            <w:pPr>
              <w:spacing w:after="0"/>
              <w:rPr>
                <w:sz w:val="1"/>
                <w:szCs w:val="1"/>
                <w:color w:val="auto"/>
              </w:rPr>
            </w:pPr>
          </w:p>
        </w:tc>
      </w:tr>
      <w:tr>
        <w:trPr>
          <w:trHeight w:val="249"/>
        </w:trPr>
        <w:tc>
          <w:tcPr>
            <w:tcW w:w="51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Preferred stock dividend</w:t>
            </w:r>
          </w:p>
        </w:tc>
        <w:tc>
          <w:tcPr>
            <w:tcW w:w="3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(7,463)</w:t>
            </w: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(7,463)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(18,076)</w:t>
            </w: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(18,076)</w:t>
            </w:r>
          </w:p>
        </w:tc>
        <w:tc>
          <w:tcPr>
            <w:tcW w:w="0" w:type="dxa"/>
            <w:vAlign w:val="bottom"/>
          </w:tcPr>
          <w:p>
            <w:pPr>
              <w:spacing w:after="0"/>
              <w:rPr>
                <w:sz w:val="1"/>
                <w:szCs w:val="1"/>
                <w:color w:val="auto"/>
              </w:rPr>
            </w:pPr>
          </w:p>
        </w:tc>
      </w:tr>
      <w:tr>
        <w:trPr>
          <w:trHeight w:val="262"/>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 attributable to Synchronoss</w:t>
            </w:r>
          </w:p>
        </w:tc>
        <w:tc>
          <w:tcPr>
            <w:tcW w:w="30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(54,529)</w:t>
            </w:r>
          </w:p>
        </w:tc>
        <w:tc>
          <w:tcPr>
            <w:tcW w:w="32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11,272</w:t>
            </w:r>
          </w:p>
        </w:tc>
        <w:tc>
          <w:tcPr>
            <w:tcW w:w="30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(65,801)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(141,839)</w:t>
            </w:r>
          </w:p>
        </w:tc>
        <w:tc>
          <w:tcPr>
            <w:tcW w:w="32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31,001</w:t>
            </w:r>
          </w:p>
        </w:tc>
        <w:tc>
          <w:tcPr>
            <w:tcW w:w="26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(172,840)</w:t>
            </w:r>
          </w:p>
        </w:tc>
        <w:tc>
          <w:tcPr>
            <w:tcW w:w="0" w:type="dxa"/>
            <w:vAlign w:val="bottom"/>
          </w:tcPr>
          <w:p>
            <w:pPr>
              <w:spacing w:after="0"/>
              <w:rPr>
                <w:sz w:val="1"/>
                <w:szCs w:val="1"/>
                <w:color w:val="auto"/>
              </w:rPr>
            </w:pPr>
          </w:p>
        </w:tc>
      </w:tr>
      <w:tr>
        <w:trPr>
          <w:trHeight w:val="277"/>
        </w:trPr>
        <w:tc>
          <w:tcPr>
            <w:tcW w:w="5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Basic:</w:t>
            </w: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Continuing operations</w:t>
            </w:r>
          </w:p>
        </w:tc>
        <w:tc>
          <w:tcPr>
            <w:tcW w:w="3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(1.38)</w:t>
            </w:r>
          </w:p>
        </w:tc>
        <w:tc>
          <w:tcPr>
            <w:tcW w:w="3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0.28</w:t>
            </w:r>
          </w:p>
        </w:tc>
        <w:tc>
          <w:tcPr>
            <w:tcW w:w="3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(1.66)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3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0.77</w:t>
            </w: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Diluted:</w:t>
            </w: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Continuing operations</w:t>
            </w:r>
          </w:p>
        </w:tc>
        <w:tc>
          <w:tcPr>
            <w:tcW w:w="3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(1.38)</w:t>
            </w:r>
          </w:p>
        </w:tc>
        <w:tc>
          <w:tcPr>
            <w:tcW w:w="3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0.28</w:t>
            </w:r>
          </w:p>
        </w:tc>
        <w:tc>
          <w:tcPr>
            <w:tcW w:w="3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(1.66)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3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0.77</w:t>
            </w: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Weighted-average common shares outstanding:</w:t>
            </w: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Basic</w:t>
            </w:r>
          </w:p>
        </w:tc>
        <w:tc>
          <w:tcPr>
            <w:tcW w:w="3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39,612</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39,612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40,405</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40,405</w:t>
            </w:r>
          </w:p>
        </w:tc>
        <w:tc>
          <w:tcPr>
            <w:tcW w:w="0" w:type="dxa"/>
            <w:vAlign w:val="bottom"/>
          </w:tcPr>
          <w:p>
            <w:pPr>
              <w:spacing w:after="0"/>
              <w:rPr>
                <w:sz w:val="1"/>
                <w:szCs w:val="1"/>
                <w:color w:val="auto"/>
              </w:rPr>
            </w:pPr>
          </w:p>
        </w:tc>
      </w:tr>
      <w:tr>
        <w:trPr>
          <w:trHeight w:val="222"/>
        </w:trPr>
        <w:tc>
          <w:tcPr>
            <w:tcW w:w="5140" w:type="dxa"/>
            <w:vAlign w:val="bottom"/>
          </w:tcPr>
          <w:p>
            <w:pPr>
              <w:ind w:left="240"/>
              <w:spacing w:after="0"/>
              <w:rPr>
                <w:sz w:val="20"/>
                <w:szCs w:val="20"/>
                <w:color w:val="auto"/>
              </w:rPr>
            </w:pPr>
            <w:r>
              <w:rPr>
                <w:rFonts w:ascii="Arial" w:cs="Arial" w:eastAsia="Arial" w:hAnsi="Arial"/>
                <w:sz w:val="13"/>
                <w:szCs w:val="13"/>
                <w:color w:val="auto"/>
              </w:rPr>
              <w:t>Diluted</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39,612</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39,612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40,405</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40,405</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00" w:hanging="300"/>
        <w:spacing w:after="0"/>
        <w:tabs>
          <w:tab w:leader="none" w:pos="300" w:val="left"/>
        </w:tabs>
        <w:numPr>
          <w:ilvl w:val="0"/>
          <w:numId w:val="9"/>
        </w:numPr>
        <w:rPr>
          <w:rFonts w:ascii="Arial" w:cs="Arial" w:eastAsia="Arial" w:hAnsi="Arial"/>
          <w:sz w:val="15"/>
          <w:szCs w:val="15"/>
          <w:color w:val="auto"/>
        </w:rPr>
      </w:pPr>
      <w:r>
        <w:rPr>
          <w:rFonts w:ascii="Arial" w:cs="Arial" w:eastAsia="Arial" w:hAnsi="Arial"/>
          <w:sz w:val="15"/>
          <w:szCs w:val="15"/>
          <w:color w:val="auto"/>
        </w:rPr>
        <w:t>Cost of revenues excludes depreciation and amortization which are shown separately.</w:t>
      </w:r>
    </w:p>
    <w:p>
      <w:pPr>
        <w:ind w:left="300" w:hanging="300"/>
        <w:spacing w:after="0" w:line="188" w:lineRule="auto"/>
        <w:tabs>
          <w:tab w:leader="none" w:pos="30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Reflects the impact of changes to the contract term as defined by the new revenue recognition standard.</w:t>
      </w:r>
    </w:p>
    <w:p>
      <w:pPr>
        <w:ind w:left="300" w:hanging="300"/>
        <w:spacing w:after="0" w:line="182" w:lineRule="auto"/>
        <w:tabs>
          <w:tab w:leader="none" w:pos="30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Reflects capitalization of costs to obtain a contract.</w:t>
      </w:r>
    </w:p>
    <w:p>
      <w:pPr>
        <w:ind w:left="300" w:hanging="300"/>
        <w:spacing w:after="0" w:line="208" w:lineRule="auto"/>
        <w:tabs>
          <w:tab w:leader="none" w:pos="30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Reflects the impact of changes in the delayed pattern of recognition on the Company’s professional services, timing of revenue recognition and allocation of purchase price on software license contracts and legally enforceable rights and obligations prior to when persuasive evidence of an arrangement exists.</w:t>
      </w:r>
    </w:p>
    <w:p>
      <w:pPr>
        <w:ind w:left="300" w:hanging="300"/>
        <w:spacing w:after="0" w:line="182" w:lineRule="auto"/>
        <w:tabs>
          <w:tab w:leader="none" w:pos="30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Reflects the impact of foreign currency translation related to the above impacts.</w:t>
      </w:r>
    </w:p>
    <w:p>
      <w:pPr>
        <w:ind w:left="300" w:hanging="300"/>
        <w:spacing w:after="0" w:line="184" w:lineRule="auto"/>
        <w:tabs>
          <w:tab w:leader="none" w:pos="30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Reflects the impact of amortization of third party costs over the term of the contract.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Topic 606 Retained earnings reconciliation: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Cumulative catch up Topic 606 adjustment as of January 1, 2018</w:t>
            </w:r>
          </w:p>
        </w:tc>
        <w:tc>
          <w:tcPr>
            <w:tcW w:w="5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(10,130)</w:t>
            </w:r>
          </w:p>
        </w:tc>
        <w:tc>
          <w:tcPr>
            <w:tcW w:w="0" w:type="dxa"/>
            <w:vAlign w:val="bottom"/>
          </w:tcPr>
          <w:p>
            <w:pPr>
              <w:spacing w:after="0"/>
              <w:rPr>
                <w:sz w:val="1"/>
                <w:szCs w:val="1"/>
                <w:color w:val="auto"/>
              </w:rPr>
            </w:pPr>
          </w:p>
        </w:tc>
      </w:tr>
      <w:tr>
        <w:trPr>
          <w:trHeight w:val="206"/>
        </w:trPr>
        <w:tc>
          <w:tcPr>
            <w:tcW w:w="4760" w:type="dxa"/>
            <w:vAlign w:val="bottom"/>
          </w:tcPr>
          <w:p>
            <w:pPr>
              <w:ind w:left="140"/>
              <w:spacing w:after="0"/>
              <w:rPr>
                <w:sz w:val="20"/>
                <w:szCs w:val="20"/>
                <w:color w:val="auto"/>
              </w:rPr>
            </w:pPr>
            <w:r>
              <w:rPr>
                <w:rFonts w:ascii="Arial" w:cs="Arial" w:eastAsia="Arial" w:hAnsi="Arial"/>
                <w:sz w:val="15"/>
                <w:szCs w:val="15"/>
                <w:color w:val="auto"/>
              </w:rPr>
              <w:t>Net loss from continued operations</w:t>
            </w:r>
          </w:p>
        </w:tc>
        <w:tc>
          <w:tcPr>
            <w:tcW w:w="5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31,001</w:t>
            </w:r>
          </w:p>
        </w:tc>
        <w:tc>
          <w:tcPr>
            <w:tcW w:w="0" w:type="dxa"/>
            <w:vAlign w:val="bottom"/>
          </w:tcPr>
          <w:p>
            <w:pPr>
              <w:spacing w:after="0"/>
              <w:rPr>
                <w:sz w:val="1"/>
                <w:szCs w:val="1"/>
                <w:color w:val="auto"/>
              </w:rPr>
            </w:pPr>
          </w:p>
        </w:tc>
      </w:tr>
      <w:tr>
        <w:trPr>
          <w:trHeight w:val="31"/>
        </w:trPr>
        <w:tc>
          <w:tcPr>
            <w:tcW w:w="476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Retained Earnings at September 30, 2018</w:t>
            </w:r>
          </w:p>
        </w:tc>
        <w:tc>
          <w:tcPr>
            <w:tcW w:w="58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20,871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bottom w:val="single" w:sz="8" w:color="CCEEFF"/>
            </w:tcBorders>
            <w:vMerge w:val="restart"/>
          </w:tcPr>
          <w:p>
            <w:pPr>
              <w:jc w:val="right"/>
              <w:ind w:right="4302"/>
              <w:spacing w:after="0"/>
              <w:rPr>
                <w:sz w:val="20"/>
                <w:szCs w:val="20"/>
                <w:color w:val="auto"/>
              </w:rPr>
            </w:pPr>
            <w:r>
              <w:rPr>
                <w:rFonts w:ascii="Arial" w:cs="Arial" w:eastAsia="Arial" w:hAnsi="Arial"/>
                <w:sz w:val="17"/>
                <w:szCs w:val="17"/>
                <w:color w:val="auto"/>
              </w:rPr>
              <w:t>18</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476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type w:val="continuous"/>
        </w:sectPr>
      </w:pPr>
    </w:p>
    <w:bookmarkStart w:id="18" w:name="page19"/>
    <w:bookmarkEnd w:id="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9180"/>
        <w:spacing w:after="0" w:line="643" w:lineRule="auto"/>
        <w:tabs>
          <w:tab w:leader="none" w:pos="166"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 and Divestitures Acquisition-Related Costs</w:t>
      </w:r>
    </w:p>
    <w:p>
      <w:pPr>
        <w:spacing w:after="0" w:line="1"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Total acquisition-related costs recognized during the nine months ended September 30, 2018 and 2017 including transaction costs such as legal, accounting, valuation and other professional services, were $1.9 million and $13.4 million, respectively, and are included in selling, general and administrative expense in the Condensed Consolidated Statements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honeybee</w:t>
      </w:r>
    </w:p>
    <w:p>
      <w:pPr>
        <w:spacing w:after="0" w:line="207" w:lineRule="exact"/>
        <w:rPr>
          <w:sz w:val="20"/>
          <w:szCs w:val="20"/>
          <w:color w:val="auto"/>
        </w:rPr>
      </w:pPr>
    </w:p>
    <w:p>
      <w:pPr>
        <w:jc w:val="both"/>
        <w:ind w:firstLine="299"/>
        <w:spacing w:after="0" w:line="291" w:lineRule="auto"/>
        <w:rPr>
          <w:sz w:val="20"/>
          <w:szCs w:val="20"/>
          <w:color w:val="auto"/>
        </w:rPr>
      </w:pPr>
      <w:r>
        <w:rPr>
          <w:rFonts w:ascii="Arial" w:cs="Arial" w:eastAsia="Arial" w:hAnsi="Arial"/>
          <w:sz w:val="15"/>
          <w:szCs w:val="15"/>
          <w:color w:val="auto"/>
        </w:rPr>
        <w:t>In May 2018, the Company completed the acquisition of the honeybee software business (“honeybee”), a provider of digital solutions targeted at optimizing the customer experience from Dixons Carphone plc which offers a digital transformation platform that makes it easier for companies to design and launch omni-channel customer journeys. Consideration paid by the Company consisted of approximately $9.7 million in cash at the time of closing and deferred consideration of $8.7 million to be paid over the next three years. As of September 30, 2018, the preliminary opening balance sheet reflected intangible assets and net working capital in the amount of $8.0 million and $10.4 million respectively. The Company is currently evaluating the impact of any changes in net working capital balances.</w:t>
      </w:r>
    </w:p>
    <w:p>
      <w:pPr>
        <w:spacing w:after="0" w:line="151"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Customers of the honeybee platform, such as mobile operators and other communication service providers, can rapidly create and adapt digital sales processes for contact centers, retail stores, and online channels. This helps reduce complexity for the end-user as well as internal employees, while delivering a single customer experience at all touch-points and improved business outcomes such as reduced cost and increased revenue. The acquisition did not have a material impact on the Company’s Condensed Consolidated Statements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Divestitures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2018 Transactions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SNCR, LLC</w:t>
      </w:r>
    </w:p>
    <w:p>
      <w:pPr>
        <w:spacing w:after="0" w:line="203" w:lineRule="exact"/>
        <w:rPr>
          <w:sz w:val="20"/>
          <w:szCs w:val="20"/>
          <w:color w:val="auto"/>
        </w:rPr>
      </w:pPr>
    </w:p>
    <w:p>
      <w:pPr>
        <w:jc w:val="both"/>
        <w:ind w:firstLine="299"/>
        <w:spacing w:after="0" w:line="278" w:lineRule="auto"/>
        <w:rPr>
          <w:sz w:val="20"/>
          <w:szCs w:val="20"/>
          <w:color w:val="auto"/>
        </w:rPr>
      </w:pPr>
      <w:r>
        <w:rPr>
          <w:rFonts w:ascii="Arial" w:cs="Arial" w:eastAsia="Arial" w:hAnsi="Arial"/>
          <w:sz w:val="16"/>
          <w:szCs w:val="16"/>
          <w:color w:val="auto"/>
        </w:rPr>
        <w:t>On November 16, 2015, the Company formed a venture with Goldman Sachs (“Goldman”), referred to as SNCR, LLC in order to develop and deploy the Synchronoss Secure Mobility Suite, which would include integration of Synchronoss Workspace platform with Goldman's internally developed mobile security intellectual property to help provide a safe, secure mobile device environment that also effectively supports bring your own device (“BYOD”).</w:t>
      </w:r>
    </w:p>
    <w:p>
      <w:pPr>
        <w:spacing w:after="0" w:line="158" w:lineRule="exact"/>
        <w:rPr>
          <w:sz w:val="20"/>
          <w:szCs w:val="20"/>
          <w:color w:val="auto"/>
        </w:rPr>
      </w:pPr>
    </w:p>
    <w:p>
      <w:pPr>
        <w:jc w:val="both"/>
        <w:ind w:firstLine="299"/>
        <w:spacing w:after="0" w:line="295" w:lineRule="auto"/>
        <w:rPr>
          <w:sz w:val="20"/>
          <w:szCs w:val="20"/>
          <w:color w:val="auto"/>
        </w:rPr>
      </w:pPr>
      <w:r>
        <w:rPr>
          <w:rFonts w:ascii="Arial" w:cs="Arial" w:eastAsia="Arial" w:hAnsi="Arial"/>
          <w:sz w:val="15"/>
          <w:szCs w:val="15"/>
          <w:color w:val="auto"/>
        </w:rPr>
        <w:t>During the fourth quarter of 2017, the Company entered into a termination agreement with Goldman to terminate the venture, and provide a perpetual, irrevocable license of the venture’s intellectual property for use in Goldman’s back-office. As part of the agreement, the Company was relieved of any future obligations to support Goldman’s use of the software. The venture formally ended in the first quarter of 2018 resulting in the elimination of the Company’s associated noncontrolling interest balance and an increase to additional paid in capital balance of $12.8 million on the Company’s Condensed Consolidated Balance Sheets.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2017 Transactions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Intralinks</w:t>
      </w:r>
    </w:p>
    <w:p>
      <w:pPr>
        <w:spacing w:after="0" w:line="203" w:lineRule="exact"/>
        <w:rPr>
          <w:sz w:val="20"/>
          <w:szCs w:val="20"/>
          <w:color w:val="auto"/>
        </w:rPr>
      </w:pPr>
    </w:p>
    <w:p>
      <w:pPr>
        <w:jc w:val="both"/>
        <w:ind w:firstLine="299"/>
        <w:spacing w:after="0" w:line="288" w:lineRule="auto"/>
        <w:rPr>
          <w:sz w:val="20"/>
          <w:szCs w:val="20"/>
          <w:color w:val="auto"/>
        </w:rPr>
      </w:pPr>
      <w:r>
        <w:rPr>
          <w:rFonts w:ascii="Arial" w:cs="Arial" w:eastAsia="Arial" w:hAnsi="Arial"/>
          <w:sz w:val="15"/>
          <w:szCs w:val="15"/>
          <w:color w:val="auto"/>
        </w:rPr>
        <w:t>On January 19, 2017, the Company purchased all outstanding shares of Intralinks Holdings, Inc. (“Intralinks”) for approximately $815.0 million, net of cash acquired. In connection with the acquisition, the Company entered into a $900.0 million senior secured term loan (the “2017 Term Facility”). Intralinks is a global technology provider of SaaS solutions for secure enterprise content collaboration within and among organizations. Intralinks’ cloud-based solutions enable organizations to securely manage, control, track, search, exchange and collaborate on sensitive information inside and outside the firewall. The total purchase price consideration consisted of the repayment of existing Intralinks indebtedness, and non-cash consideration for services rendered on unvested Intralinks equity awards that were converted into the Company equity awards on the acquisition date. The acquisition was primarily funded from the proceeds of the $900.0 million credit agreement.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27"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jc w:val="both"/>
        <w:ind w:firstLine="299"/>
        <w:spacing w:after="0" w:line="263" w:lineRule="auto"/>
        <w:rPr>
          <w:sz w:val="20"/>
          <w:szCs w:val="20"/>
          <w:color w:val="auto"/>
        </w:rPr>
      </w:pPr>
      <w:r>
        <w:rPr>
          <w:rFonts w:ascii="Arial" w:cs="Arial" w:eastAsia="Arial" w:hAnsi="Arial"/>
          <w:sz w:val="16"/>
          <w:szCs w:val="16"/>
          <w:color w:val="auto"/>
        </w:rPr>
        <w:t>On June 23, 2017, the Company received a non-binding indication of interest from Siris to acquire the Company. In light of the indication of interest, the Board of Directors decided to explore a broad range of strategic alternatives that would have the potential to unlock shareholder value. In October 2017, the Company concluded its review of strategic alternatives and determined that the best approach for the Company to achieve the goal of maximizing shareholder value was to focus on its core TMT business, divest non-core assets and improve its balance sheet strength, cash position and potential profitability. Under the terms of certain definitive agreements, investment funds affiliated with Siris acquired all of the stock of the Company’s wholly-owned subsidiary, Intralinks, for consideration of cash and an investment in convertible preferred equity of the Company. On October 17, 2017, the Company announced its entry into definitive agreements for the sale of Intralinks, and the right to sell a newly created series of preferred stock of Synchronoss to affiliates of Siris. Subject to the terms and conditions set forth in a share purchase agreement, dated as of October 17, 2017 (the “Share Purchase Agreement”), among Synchronoss, Intralinks and Impala Private Holdings II, LLC, an affiliate of Siris (“Impala”), Impala agreed to acquire from the Company, the issued and outstanding shares of common stock of Intralinks for approximately $977.3 million in cash plus a potential contingent payment of up to $25.0 million, subject to an adjustment for cash, debt and working capital (the “Intralinks Transaction”). The total amount of funds used to complete the Intralinks Transaction and related transactions and pay related fees and expenses was approximately $1.0 billion, which was funded through a combination of equity and debt financing obtained by Impala.</w:t>
      </w:r>
    </w:p>
    <w:p>
      <w:pPr>
        <w:spacing w:after="0" w:line="173" w:lineRule="exact"/>
        <w:rPr>
          <w:sz w:val="20"/>
          <w:szCs w:val="20"/>
          <w:color w:val="auto"/>
        </w:rPr>
      </w:pPr>
    </w:p>
    <w:p>
      <w:pPr>
        <w:jc w:val="both"/>
        <w:ind w:firstLine="299"/>
        <w:spacing w:after="0" w:line="266" w:lineRule="auto"/>
        <w:rPr>
          <w:sz w:val="20"/>
          <w:szCs w:val="20"/>
          <w:color w:val="auto"/>
        </w:rPr>
      </w:pPr>
      <w:r>
        <w:rPr>
          <w:rFonts w:ascii="Arial" w:cs="Arial" w:eastAsia="Arial" w:hAnsi="Arial"/>
          <w:sz w:val="16"/>
          <w:szCs w:val="16"/>
          <w:color w:val="auto"/>
        </w:rPr>
        <w:t>Subsequently, on November 14, 2017, the Company sold Intralinks to Impala, for approximately $991.0 million in cash, subject to post-closing adjustments for changes in cash, debt and working capital. As a result of the sale, the Company prepaid the remaining balance on the 2017 Term Facility. If, in the future, Impala receives net cash proceeds in excess of $440.0 million from any sale of equity or assets of Intralinks, or a dividend or distribution in respect of the shares of Intralinks, then Impala is required to pay the Company up to an additional $25.0 million in cash or publicly traded securities. Immediately following the consummation of the Intralinks Transaction, the Company paid to Impala $5.0 million as partial reimbursement of the out-of-pocket fees and expenses incurred by Impala, Siris and their respective affiliates in connection with the execution of the Share Purchase Agreement and the Intralinks Transaction. Amounts reimbursed were recorded as a reduction in the gain on sale. The operations of Intralinks were presented as discontinued operations in 2017.</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SpeechCycle</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On February 1, 2017, the Company completed a divestiture of its SpeechCycle business, to an unrelated third party, for consideration of $13.5 million.</w:t>
      </w:r>
    </w:p>
    <w:p>
      <w:pPr>
        <w:spacing w:after="0" w:line="215" w:lineRule="exact"/>
        <w:rPr>
          <w:sz w:val="20"/>
          <w:szCs w:val="20"/>
          <w:color w:val="auto"/>
        </w:rPr>
      </w:pPr>
    </w:p>
    <w:p>
      <w:pPr>
        <w:jc w:val="both"/>
        <w:ind w:firstLine="299"/>
        <w:spacing w:after="0" w:line="370" w:lineRule="auto"/>
        <w:rPr>
          <w:sz w:val="20"/>
          <w:szCs w:val="20"/>
          <w:color w:val="auto"/>
        </w:rPr>
      </w:pPr>
      <w:r>
        <w:rPr>
          <w:rFonts w:ascii="Arial" w:cs="Arial" w:eastAsia="Arial" w:hAnsi="Arial"/>
          <w:sz w:val="13"/>
          <w:szCs w:val="13"/>
          <w:color w:val="auto"/>
        </w:rPr>
        <w:t>As part of the divestiture, the Company entered into a one-year transition services agreement with the acquirer to support various indirect activities such as customer software support, technical support services and maintenance and support services. These services were terminated during the first quarter of 2018. The Company recorded a pre-tax gain of $4.9 million as a result of the divestiture which is included in other income (expense), net in the Condensed Consolidated Statement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Measurements of Assets and Liabilities</w:t>
      </w:r>
    </w:p>
    <w:p>
      <w:pPr>
        <w:spacing w:after="0" w:line="207"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spacing w:after="0" w:line="177" w:lineRule="exact"/>
        <w:rPr>
          <w:sz w:val="20"/>
          <w:szCs w:val="20"/>
          <w:color w:val="auto"/>
        </w:rPr>
      </w:pPr>
    </w:p>
    <w:p>
      <w:pPr>
        <w:ind w:left="300" w:hanging="300"/>
        <w:spacing w:after="0"/>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Level 1 - Observable inputs - quoted prices in active markets for identical assets and liabilities;</w:t>
      </w:r>
    </w:p>
    <w:p>
      <w:pPr>
        <w:spacing w:after="0" w:line="16" w:lineRule="exact"/>
        <w:rPr>
          <w:rFonts w:ascii="Arial" w:cs="Arial" w:eastAsia="Arial" w:hAnsi="Arial"/>
          <w:sz w:val="17"/>
          <w:szCs w:val="17"/>
          <w:color w:val="auto"/>
        </w:rPr>
      </w:pPr>
    </w:p>
    <w:p>
      <w:pPr>
        <w:jc w:val="both"/>
        <w:ind w:left="300" w:hanging="300"/>
        <w:spacing w:after="0" w:line="244" w:lineRule="auto"/>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spacing w:after="0" w:line="2" w:lineRule="exact"/>
        <w:rPr>
          <w:rFonts w:ascii="Arial" w:cs="Arial" w:eastAsia="Arial" w:hAnsi="Arial"/>
          <w:sz w:val="17"/>
          <w:szCs w:val="17"/>
          <w:color w:val="auto"/>
        </w:rPr>
      </w:pPr>
    </w:p>
    <w:p>
      <w:pPr>
        <w:ind w:left="300" w:hanging="300"/>
        <w:spacing w:after="0" w:line="249" w:lineRule="auto"/>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Level 3 - Unobservable inputs - includes amounts derived from valuation models where one or more significant inputs are unobservable and require the Company to develop relevant assumptions.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27"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is a summary of assets, liabilities and redeemable noncontrolling interests and their related classifications under the fair value hierarchy: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8"/>
          </w:tcPr>
          <w:p>
            <w:pPr>
              <w:ind w:left="440"/>
              <w:spacing w:after="0"/>
              <w:rPr>
                <w:sz w:val="20"/>
                <w:szCs w:val="20"/>
                <w:color w:val="auto"/>
              </w:rPr>
            </w:pPr>
            <w:r>
              <w:rPr>
                <w:rFonts w:ascii="Arial" w:cs="Arial" w:eastAsia="Arial" w:hAnsi="Arial"/>
                <w:sz w:val="15"/>
                <w:szCs w:val="15"/>
                <w:b w:val="1"/>
                <w:bCs w:val="1"/>
                <w:color w:val="auto"/>
              </w:rPr>
              <w:t>September 30, 2018</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ind w:left="160"/>
              <w:spacing w:after="0"/>
              <w:rPr>
                <w:sz w:val="20"/>
                <w:szCs w:val="20"/>
                <w:color w:val="auto"/>
              </w:rPr>
            </w:pPr>
            <w:r>
              <w:rPr>
                <w:rFonts w:ascii="Arial" w:cs="Arial" w:eastAsia="Arial" w:hAnsi="Arial"/>
                <w:sz w:val="15"/>
                <w:szCs w:val="15"/>
                <w:b w:val="1"/>
                <w:bCs w:val="1"/>
                <w:color w:val="auto"/>
              </w:rPr>
              <w:t>Total</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ind w:left="100"/>
              <w:spacing w:after="0"/>
              <w:rPr>
                <w:sz w:val="20"/>
                <w:szCs w:val="20"/>
                <w:color w:val="auto"/>
              </w:rPr>
            </w:pPr>
            <w:r>
              <w:rPr>
                <w:rFonts w:ascii="Arial" w:cs="Arial" w:eastAsia="Arial" w:hAnsi="Arial"/>
                <w:sz w:val="15"/>
                <w:szCs w:val="15"/>
                <w:b w:val="1"/>
                <w:bCs w:val="1"/>
                <w:color w:val="auto"/>
              </w:rPr>
              <w:t>(Level 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ind w:left="100"/>
              <w:spacing w:after="0"/>
              <w:rPr>
                <w:sz w:val="20"/>
                <w:szCs w:val="20"/>
                <w:color w:val="auto"/>
              </w:rPr>
            </w:pPr>
            <w:r>
              <w:rPr>
                <w:rFonts w:ascii="Arial" w:cs="Arial" w:eastAsia="Arial" w:hAnsi="Arial"/>
                <w:sz w:val="15"/>
                <w:szCs w:val="15"/>
                <w:b w:val="1"/>
                <w:bCs w:val="1"/>
                <w:color w:val="auto"/>
              </w:rPr>
              <w:t>(Level 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58"/>
              <w:spacing w:after="0"/>
              <w:rPr>
                <w:sz w:val="20"/>
                <w:szCs w:val="20"/>
                <w:color w:val="auto"/>
              </w:rPr>
            </w:pPr>
            <w:r>
              <w:rPr>
                <w:rFonts w:ascii="Arial" w:cs="Arial" w:eastAsia="Arial" w:hAnsi="Arial"/>
                <w:sz w:val="15"/>
                <w:szCs w:val="15"/>
                <w:b w:val="1"/>
                <w:bCs w:val="1"/>
                <w:color w:val="auto"/>
              </w:rPr>
              <w:t>(Level 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0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Assets</w:t>
            </w: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0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040" w:type="dxa"/>
            <w:vAlign w:val="bottom"/>
            <w:shd w:val="clear" w:color="auto" w:fill="CCEEFF"/>
          </w:tcPr>
          <w:p>
            <w:pPr>
              <w:ind w:left="240"/>
              <w:spacing w:after="0" w:line="250" w:lineRule="exact"/>
              <w:rPr>
                <w:sz w:val="20"/>
                <w:szCs w:val="20"/>
                <w:color w:val="auto"/>
              </w:rPr>
            </w:pPr>
            <w:r>
              <w:rPr>
                <w:rFonts w:ascii="Arial" w:cs="Arial" w:eastAsia="Arial" w:hAnsi="Arial"/>
                <w:sz w:val="17"/>
                <w:szCs w:val="17"/>
                <w:color w:val="auto"/>
              </w:rPr>
              <w:t xml:space="preserve">Cash, cash equivalents and restricted cash </w:t>
            </w:r>
            <w:r>
              <w:rPr>
                <w:rFonts w:ascii="Arial" w:cs="Arial" w:eastAsia="Arial" w:hAnsi="Arial"/>
                <w:sz w:val="23"/>
                <w:szCs w:val="23"/>
                <w:color w:val="auto"/>
                <w:vertAlign w:val="superscript"/>
              </w:rPr>
              <w:t>(1)</w:t>
            </w:r>
          </w:p>
        </w:tc>
        <w:tc>
          <w:tcPr>
            <w:tcW w:w="300" w:type="dxa"/>
            <w:vAlign w:val="bottom"/>
            <w:gridSpan w:val="2"/>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226,815</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226,815</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040" w:type="dxa"/>
            <w:vAlign w:val="bottom"/>
          </w:tcPr>
          <w:p>
            <w:pPr>
              <w:ind w:left="240"/>
              <w:spacing w:after="0" w:line="250" w:lineRule="exact"/>
              <w:rPr>
                <w:sz w:val="20"/>
                <w:szCs w:val="20"/>
                <w:color w:val="auto"/>
              </w:rPr>
            </w:pPr>
            <w:r>
              <w:rPr>
                <w:rFonts w:ascii="Arial" w:cs="Arial" w:eastAsia="Arial" w:hAnsi="Arial"/>
                <w:sz w:val="17"/>
                <w:szCs w:val="17"/>
                <w:color w:val="auto"/>
              </w:rPr>
              <w:t xml:space="preserve">Marketable securities-short term </w:t>
            </w:r>
            <w:r>
              <w:rPr>
                <w:rFonts w:ascii="Arial" w:cs="Arial" w:eastAsia="Arial" w:hAnsi="Arial"/>
                <w:sz w:val="23"/>
                <w:szCs w:val="23"/>
                <w:color w:val="auto"/>
                <w:vertAlign w:val="superscript"/>
              </w:rPr>
              <w:t>(2)</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6,989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7"/>
                <w:szCs w:val="17"/>
                <w:color w:val="auto"/>
              </w:rPr>
              <w:t>6,989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040" w:type="dxa"/>
            <w:vAlign w:val="bottom"/>
            <w:shd w:val="clear" w:color="auto" w:fill="CCEEFF"/>
          </w:tcPr>
          <w:p>
            <w:pPr>
              <w:ind w:left="240"/>
              <w:spacing w:after="0" w:line="250" w:lineRule="exact"/>
              <w:rPr>
                <w:sz w:val="20"/>
                <w:szCs w:val="20"/>
                <w:color w:val="auto"/>
              </w:rPr>
            </w:pPr>
            <w:r>
              <w:rPr>
                <w:rFonts w:ascii="Arial" w:cs="Arial" w:eastAsia="Arial" w:hAnsi="Arial"/>
                <w:sz w:val="17"/>
                <w:szCs w:val="17"/>
                <w:color w:val="auto"/>
              </w:rPr>
              <w:t xml:space="preserve">Marketable securities-long term </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8,716</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8,716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Total assets</w:t>
            </w:r>
          </w:p>
        </w:tc>
        <w:tc>
          <w:tcPr>
            <w:tcW w:w="300" w:type="dxa"/>
            <w:vAlign w:val="bottom"/>
            <w:tcBorders>
              <w:top w:val="single" w:sz="8" w:color="auto"/>
              <w:bottom w:val="single" w:sz="8" w:color="auto"/>
            </w:tcBorders>
            <w:gridSpan w:val="2"/>
          </w:tcPr>
          <w:p>
            <w:pPr>
              <w:jc w:val="right"/>
              <w:ind w:right="117"/>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242,520</w:t>
            </w: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gridSpan w:val="2"/>
          </w:tcPr>
          <w:p>
            <w:pPr>
              <w:jc w:val="right"/>
              <w:ind w:right="57"/>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7"/>
                <w:szCs w:val="17"/>
                <w:color w:val="auto"/>
              </w:rPr>
              <w:t>226,815</w:t>
            </w: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gridSpan w:val="2"/>
          </w:tcPr>
          <w:p>
            <w:pPr>
              <w:jc w:val="right"/>
              <w:ind w:right="57"/>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rPr>
              <w:t>15,705</w:t>
            </w: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gridSpan w:val="2"/>
          </w:tcPr>
          <w:p>
            <w:pPr>
              <w:jc w:val="right"/>
              <w:ind w:right="57"/>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Temporary equity</w:t>
            </w: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040" w:type="dxa"/>
            <w:vAlign w:val="bottom"/>
            <w:tcBorders>
              <w:bottom w:val="single" w:sz="8" w:color="CCEEFF"/>
            </w:tcBorders>
          </w:tcPr>
          <w:p>
            <w:pPr>
              <w:ind w:left="240"/>
              <w:spacing w:after="0" w:line="250" w:lineRule="exact"/>
              <w:rPr>
                <w:sz w:val="20"/>
                <w:szCs w:val="20"/>
                <w:color w:val="auto"/>
              </w:rPr>
            </w:pPr>
            <w:r>
              <w:rPr>
                <w:rFonts w:ascii="Arial" w:cs="Arial" w:eastAsia="Arial" w:hAnsi="Arial"/>
                <w:sz w:val="17"/>
                <w:szCs w:val="17"/>
                <w:color w:val="auto"/>
              </w:rPr>
              <w:t xml:space="preserve">Redeemable noncontrolling interests </w:t>
            </w:r>
            <w:r>
              <w:rPr>
                <w:rFonts w:ascii="Arial" w:cs="Arial" w:eastAsia="Arial" w:hAnsi="Arial"/>
                <w:sz w:val="23"/>
                <w:szCs w:val="23"/>
                <w:color w:val="auto"/>
                <w:vertAlign w:val="superscript"/>
              </w:rPr>
              <w:t>(3)</w:t>
            </w:r>
          </w:p>
        </w:tc>
        <w:tc>
          <w:tcPr>
            <w:tcW w:w="30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12,500</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gridSpan w:val="2"/>
          </w:tcPr>
          <w:p>
            <w:pPr>
              <w:spacing w:after="0"/>
              <w:rPr>
                <w:sz w:val="21"/>
                <w:szCs w:val="21"/>
                <w:color w:val="auto"/>
              </w:rPr>
            </w:pPr>
          </w:p>
        </w:tc>
        <w:tc>
          <w:tcPr>
            <w:tcW w:w="24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gridSpan w:val="2"/>
          </w:tcPr>
          <w:p>
            <w:pPr>
              <w:spacing w:after="0"/>
              <w:rPr>
                <w:sz w:val="21"/>
                <w:szCs w:val="21"/>
                <w:color w:val="auto"/>
              </w:rPr>
            </w:pPr>
          </w:p>
        </w:tc>
        <w:tc>
          <w:tcPr>
            <w:tcW w:w="24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12,500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temporary equity</w:t>
            </w:r>
          </w:p>
        </w:tc>
        <w:tc>
          <w:tcPr>
            <w:tcW w:w="300" w:type="dxa"/>
            <w:vAlign w:val="bottom"/>
            <w:tcBorders>
              <w:bottom w:val="single" w:sz="8" w:color="auto"/>
            </w:tcBorders>
            <w:gridSpan w:val="2"/>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12,500</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12,500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8"/>
          </w:tcPr>
          <w:p>
            <w:pPr>
              <w:ind w:left="500"/>
              <w:spacing w:after="0"/>
              <w:rPr>
                <w:sz w:val="20"/>
                <w:szCs w:val="20"/>
                <w:color w:val="auto"/>
              </w:rPr>
            </w:pPr>
            <w:r>
              <w:rPr>
                <w:rFonts w:ascii="Arial" w:cs="Arial" w:eastAsia="Arial" w:hAnsi="Arial"/>
                <w:sz w:val="15"/>
                <w:szCs w:val="15"/>
                <w:b w:val="1"/>
                <w:bCs w:val="1"/>
                <w:color w:val="auto"/>
              </w:rPr>
              <w:t>December 31, 2017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ind w:left="200"/>
              <w:spacing w:after="0"/>
              <w:rPr>
                <w:sz w:val="20"/>
                <w:szCs w:val="20"/>
                <w:color w:val="auto"/>
              </w:rPr>
            </w:pPr>
            <w:r>
              <w:rPr>
                <w:rFonts w:ascii="Arial" w:cs="Arial" w:eastAsia="Arial" w:hAnsi="Arial"/>
                <w:sz w:val="15"/>
                <w:szCs w:val="15"/>
                <w:b w:val="1"/>
                <w:bCs w:val="1"/>
                <w:color w:val="auto"/>
              </w:rPr>
              <w:t>Total</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ind w:left="140"/>
              <w:spacing w:after="0"/>
              <w:rPr>
                <w:sz w:val="20"/>
                <w:szCs w:val="20"/>
                <w:color w:val="auto"/>
              </w:rPr>
            </w:pPr>
            <w:r>
              <w:rPr>
                <w:rFonts w:ascii="Arial" w:cs="Arial" w:eastAsia="Arial" w:hAnsi="Arial"/>
                <w:sz w:val="15"/>
                <w:szCs w:val="15"/>
                <w:b w:val="1"/>
                <w:bCs w:val="1"/>
                <w:color w:val="auto"/>
              </w:rPr>
              <w:t>(Level 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ind w:left="140"/>
              <w:spacing w:after="0"/>
              <w:rPr>
                <w:sz w:val="20"/>
                <w:szCs w:val="20"/>
                <w:color w:val="auto"/>
              </w:rPr>
            </w:pPr>
            <w:r>
              <w:rPr>
                <w:rFonts w:ascii="Arial" w:cs="Arial" w:eastAsia="Arial" w:hAnsi="Arial"/>
                <w:sz w:val="15"/>
                <w:szCs w:val="15"/>
                <w:b w:val="1"/>
                <w:bCs w:val="1"/>
                <w:color w:val="auto"/>
              </w:rPr>
              <w:t>(Level 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18"/>
              <w:spacing w:after="0"/>
              <w:rPr>
                <w:sz w:val="20"/>
                <w:szCs w:val="20"/>
                <w:color w:val="auto"/>
              </w:rPr>
            </w:pPr>
            <w:r>
              <w:rPr>
                <w:rFonts w:ascii="Arial" w:cs="Arial" w:eastAsia="Arial" w:hAnsi="Arial"/>
                <w:sz w:val="15"/>
                <w:szCs w:val="15"/>
                <w:b w:val="1"/>
                <w:bCs w:val="1"/>
                <w:color w:val="auto"/>
              </w:rPr>
              <w:t>(Level 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0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Assets</w:t>
            </w: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0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040" w:type="dxa"/>
            <w:vAlign w:val="bottom"/>
            <w:shd w:val="clear" w:color="auto" w:fill="CCEEFF"/>
          </w:tcPr>
          <w:p>
            <w:pPr>
              <w:ind w:left="240"/>
              <w:spacing w:after="0" w:line="250" w:lineRule="exact"/>
              <w:rPr>
                <w:sz w:val="20"/>
                <w:szCs w:val="20"/>
                <w:color w:val="auto"/>
              </w:rPr>
            </w:pPr>
            <w:r>
              <w:rPr>
                <w:rFonts w:ascii="Arial" w:cs="Arial" w:eastAsia="Arial" w:hAnsi="Arial"/>
                <w:sz w:val="17"/>
                <w:szCs w:val="17"/>
                <w:color w:val="auto"/>
              </w:rPr>
              <w:t xml:space="preserve">Cash, cash equivalents and restricted cash </w:t>
            </w:r>
            <w:r>
              <w:rPr>
                <w:rFonts w:ascii="Arial" w:cs="Arial" w:eastAsia="Arial" w:hAnsi="Arial"/>
                <w:sz w:val="23"/>
                <w:szCs w:val="23"/>
                <w:color w:val="auto"/>
                <w:vertAlign w:val="superscript"/>
              </w:rPr>
              <w:t>(1)</w:t>
            </w:r>
          </w:p>
        </w:tc>
        <w:tc>
          <w:tcPr>
            <w:tcW w:w="300" w:type="dxa"/>
            <w:vAlign w:val="bottom"/>
            <w:gridSpan w:val="2"/>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246,125</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246,125</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040" w:type="dxa"/>
            <w:vAlign w:val="bottom"/>
            <w:tcBorders>
              <w:bottom w:val="single" w:sz="8" w:color="CCEEFF"/>
            </w:tcBorders>
          </w:tcPr>
          <w:p>
            <w:pPr>
              <w:ind w:left="240"/>
              <w:spacing w:after="0" w:line="250" w:lineRule="exact"/>
              <w:rPr>
                <w:sz w:val="20"/>
                <w:szCs w:val="20"/>
                <w:color w:val="auto"/>
              </w:rPr>
            </w:pPr>
            <w:r>
              <w:rPr>
                <w:rFonts w:ascii="Arial" w:cs="Arial" w:eastAsia="Arial" w:hAnsi="Arial"/>
                <w:sz w:val="17"/>
                <w:szCs w:val="17"/>
                <w:color w:val="auto"/>
              </w:rPr>
              <w:t xml:space="preserve">Marketable securities-short term </w:t>
            </w:r>
            <w:r>
              <w:rPr>
                <w:rFonts w:ascii="Arial" w:cs="Arial" w:eastAsia="Arial" w:hAnsi="Arial"/>
                <w:sz w:val="23"/>
                <w:szCs w:val="23"/>
                <w:color w:val="auto"/>
                <w:vertAlign w:val="superscript"/>
              </w:rPr>
              <w:t>(2)</w:t>
            </w: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3,111</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3,111</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assets</w:t>
            </w:r>
          </w:p>
        </w:tc>
        <w:tc>
          <w:tcPr>
            <w:tcW w:w="300" w:type="dxa"/>
            <w:vAlign w:val="bottom"/>
            <w:gridSpan w:val="2"/>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249,236</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246,125</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Liabilities</w:t>
            </w: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040" w:type="dxa"/>
            <w:vAlign w:val="bottom"/>
            <w:shd w:val="clear" w:color="auto" w:fill="CCEEFF"/>
          </w:tcPr>
          <w:p>
            <w:pPr>
              <w:ind w:left="240"/>
              <w:spacing w:after="0" w:line="250" w:lineRule="exact"/>
              <w:rPr>
                <w:sz w:val="20"/>
                <w:szCs w:val="20"/>
                <w:color w:val="auto"/>
              </w:rPr>
            </w:pPr>
            <w:r>
              <w:rPr>
                <w:rFonts w:ascii="Arial" w:cs="Arial" w:eastAsia="Arial" w:hAnsi="Arial"/>
                <w:sz w:val="17"/>
                <w:szCs w:val="17"/>
                <w:color w:val="auto"/>
              </w:rPr>
              <w:t xml:space="preserve">Contingent interest derivative </w:t>
            </w:r>
            <w:r>
              <w:rPr>
                <w:rFonts w:ascii="Arial" w:cs="Arial" w:eastAsia="Arial" w:hAnsi="Arial"/>
                <w:sz w:val="23"/>
                <w:szCs w:val="23"/>
                <w:color w:val="auto"/>
                <w:vertAlign w:val="superscript"/>
              </w:rPr>
              <w:t>(4)</w:t>
            </w:r>
          </w:p>
        </w:tc>
        <w:tc>
          <w:tcPr>
            <w:tcW w:w="300" w:type="dxa"/>
            <w:vAlign w:val="bottom"/>
            <w:gridSpan w:val="2"/>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040" w:type="dxa"/>
            <w:vAlign w:val="bottom"/>
            <w:tcBorders>
              <w:bottom w:val="single" w:sz="8" w:color="CCEEFF"/>
            </w:tcBorders>
          </w:tcPr>
          <w:p>
            <w:pPr>
              <w:ind w:left="240"/>
              <w:spacing w:after="0" w:line="250" w:lineRule="exact"/>
              <w:rPr>
                <w:sz w:val="20"/>
                <w:szCs w:val="20"/>
                <w:color w:val="auto"/>
              </w:rPr>
            </w:pPr>
            <w:r>
              <w:rPr>
                <w:rFonts w:ascii="Arial" w:cs="Arial" w:eastAsia="Arial" w:hAnsi="Arial"/>
                <w:sz w:val="17"/>
                <w:szCs w:val="17"/>
                <w:color w:val="auto"/>
              </w:rPr>
              <w:t xml:space="preserve">Mandatorily redeemable financial instrument </w:t>
            </w:r>
            <w:r>
              <w:rPr>
                <w:rFonts w:ascii="Arial" w:cs="Arial" w:eastAsia="Arial" w:hAnsi="Arial"/>
                <w:sz w:val="23"/>
                <w:szCs w:val="23"/>
                <w:color w:val="auto"/>
                <w:vertAlign w:val="superscript"/>
              </w:rPr>
              <w:t>(5)</w:t>
            </w: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37,959</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37,959</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liabilities</w:t>
            </w:r>
          </w:p>
        </w:tc>
        <w:tc>
          <w:tcPr>
            <w:tcW w:w="300" w:type="dxa"/>
            <w:vAlign w:val="bottom"/>
            <w:gridSpan w:val="2"/>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38,152</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38,152</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Temporary Equity</w:t>
            </w: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040" w:type="dxa"/>
            <w:vAlign w:val="bottom"/>
            <w:shd w:val="clear" w:color="auto" w:fill="CCEEFF"/>
          </w:tcPr>
          <w:p>
            <w:pPr>
              <w:ind w:left="240"/>
              <w:spacing w:after="0" w:line="250" w:lineRule="exact"/>
              <w:rPr>
                <w:sz w:val="20"/>
                <w:szCs w:val="20"/>
                <w:color w:val="auto"/>
              </w:rPr>
            </w:pPr>
            <w:r>
              <w:rPr>
                <w:rFonts w:ascii="Arial" w:cs="Arial" w:eastAsia="Arial" w:hAnsi="Arial"/>
                <w:sz w:val="17"/>
                <w:szCs w:val="17"/>
                <w:color w:val="auto"/>
              </w:rPr>
              <w:t xml:space="preserve">Redeemable noncontrolling interests </w:t>
            </w:r>
            <w:r>
              <w:rPr>
                <w:rFonts w:ascii="Arial" w:cs="Arial" w:eastAsia="Arial" w:hAnsi="Arial"/>
                <w:sz w:val="23"/>
                <w:szCs w:val="23"/>
                <w:color w:val="auto"/>
                <w:vertAlign w:val="superscript"/>
              </w:rPr>
              <w:t>(3)</w:t>
            </w:r>
          </w:p>
        </w:tc>
        <w:tc>
          <w:tcPr>
            <w:tcW w:w="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25,280</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25,280</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40" w:type="dxa"/>
            <w:vAlign w:val="bottom"/>
          </w:tcPr>
          <w:p>
            <w:pPr>
              <w:ind w:left="20"/>
              <w:spacing w:after="0"/>
              <w:rPr>
                <w:sz w:val="20"/>
                <w:szCs w:val="20"/>
                <w:color w:val="auto"/>
              </w:rPr>
            </w:pPr>
            <w:r>
              <w:rPr>
                <w:rFonts w:ascii="Arial" w:cs="Arial" w:eastAsia="Arial" w:hAnsi="Arial"/>
                <w:sz w:val="15"/>
                <w:szCs w:val="15"/>
                <w:b w:val="1"/>
                <w:bCs w:val="1"/>
                <w:color w:val="auto"/>
              </w:rPr>
              <w:t>Total temporary equity</w:t>
            </w:r>
          </w:p>
        </w:tc>
        <w:tc>
          <w:tcPr>
            <w:tcW w:w="300" w:type="dxa"/>
            <w:vAlign w:val="bottom"/>
            <w:gridSpan w:val="2"/>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25,280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25,280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00" w:hanging="300"/>
        <w:spacing w:after="0" w:line="184" w:lineRule="auto"/>
        <w:tabs>
          <w:tab w:leader="none" w:pos="30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Cash equivalents primarily included money market funds.</w:t>
      </w:r>
    </w:p>
    <w:p>
      <w:pPr>
        <w:spacing w:after="0" w:line="2" w:lineRule="exact"/>
        <w:rPr>
          <w:rFonts w:ascii="Arial" w:cs="Arial" w:eastAsia="Arial" w:hAnsi="Arial"/>
          <w:sz w:val="23"/>
          <w:szCs w:val="23"/>
          <w:color w:val="auto"/>
          <w:vertAlign w:val="superscript"/>
        </w:rPr>
      </w:pPr>
    </w:p>
    <w:p>
      <w:pPr>
        <w:ind w:left="300" w:hanging="300"/>
        <w:spacing w:after="0" w:line="187" w:lineRule="auto"/>
        <w:tabs>
          <w:tab w:leader="none" w:pos="30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Marketable securities are comprised of municipal bonds and certificates of deposit.</w:t>
      </w:r>
    </w:p>
    <w:p>
      <w:pPr>
        <w:spacing w:after="0" w:line="2" w:lineRule="exact"/>
        <w:rPr>
          <w:rFonts w:ascii="Arial" w:cs="Arial" w:eastAsia="Arial" w:hAnsi="Arial"/>
          <w:sz w:val="22"/>
          <w:szCs w:val="22"/>
          <w:color w:val="auto"/>
          <w:vertAlign w:val="superscript"/>
        </w:rPr>
      </w:pPr>
    </w:p>
    <w:p>
      <w:pPr>
        <w:ind w:left="300" w:hanging="300"/>
        <w:spacing w:after="0" w:line="187" w:lineRule="auto"/>
        <w:tabs>
          <w:tab w:leader="none" w:pos="30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Put arrangements held by the noncontrolling interests in certain of the Company’s joint ventures.</w:t>
      </w:r>
    </w:p>
    <w:p>
      <w:pPr>
        <w:spacing w:after="0" w:line="2" w:lineRule="exact"/>
        <w:rPr>
          <w:rFonts w:ascii="Arial" w:cs="Arial" w:eastAsia="Arial" w:hAnsi="Arial"/>
          <w:sz w:val="22"/>
          <w:szCs w:val="22"/>
          <w:color w:val="auto"/>
          <w:vertAlign w:val="superscript"/>
        </w:rPr>
      </w:pPr>
    </w:p>
    <w:p>
      <w:pPr>
        <w:ind w:left="300" w:hanging="300"/>
        <w:spacing w:after="0" w:line="187" w:lineRule="auto"/>
        <w:tabs>
          <w:tab w:leader="none" w:pos="30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 xml:space="preserve">Contingent interest derivative related to convertible debt is included in accrued expenses, for further details see </w:t>
      </w:r>
      <w:r>
        <w:rPr>
          <w:rFonts w:ascii="Arial" w:cs="Arial" w:eastAsia="Arial" w:hAnsi="Arial"/>
          <w:sz w:val="16"/>
          <w:szCs w:val="16"/>
          <w:i w:val="1"/>
          <w:iCs w:val="1"/>
          <w:color w:val="auto"/>
        </w:rPr>
        <w:t>Note 6 - Debt</w:t>
      </w:r>
      <w:r>
        <w:rPr>
          <w:rFonts w:ascii="Arial" w:cs="Arial" w:eastAsia="Arial" w:hAnsi="Arial"/>
          <w:sz w:val="16"/>
          <w:szCs w:val="16"/>
          <w:color w:val="auto"/>
        </w:rPr>
        <w:t>.</w:t>
      </w:r>
    </w:p>
    <w:p>
      <w:pPr>
        <w:spacing w:after="0" w:line="2" w:lineRule="exact"/>
        <w:rPr>
          <w:rFonts w:ascii="Arial" w:cs="Arial" w:eastAsia="Arial" w:hAnsi="Arial"/>
          <w:sz w:val="22"/>
          <w:szCs w:val="22"/>
          <w:color w:val="auto"/>
          <w:vertAlign w:val="superscript"/>
        </w:rPr>
      </w:pPr>
    </w:p>
    <w:p>
      <w:pPr>
        <w:jc w:val="both"/>
        <w:ind w:left="300" w:hanging="300"/>
        <w:spacing w:after="0" w:line="218" w:lineRule="auto"/>
        <w:tabs>
          <w:tab w:leader="none" w:pos="30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Mandatorily redeemable financial instruments are comprised of the Company’s contractual obligation to deliver a set number of preferred shares at a time in less than twelve months and the option for the Company to receive a set number of common shares. In 2018, this was exchanged as partial consideration in connection with issuance of the Company’s Series A Convertible Participating Perpetual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Available-for-Sale Securities</w:t>
      </w:r>
    </w:p>
    <w:p>
      <w:pPr>
        <w:spacing w:after="0" w:line="153" w:lineRule="exact"/>
        <w:rPr>
          <w:sz w:val="20"/>
          <w:szCs w:val="20"/>
          <w:color w:val="auto"/>
        </w:rPr>
      </w:pPr>
    </w:p>
    <w:p>
      <w:pPr>
        <w:jc w:val="both"/>
        <w:ind w:firstLine="224"/>
        <w:spacing w:after="0" w:line="251" w:lineRule="auto"/>
        <w:rPr>
          <w:sz w:val="20"/>
          <w:szCs w:val="20"/>
          <w:color w:val="auto"/>
        </w:rPr>
      </w:pPr>
      <w:r>
        <w:rPr>
          <w:rFonts w:ascii="Arial" w:cs="Arial" w:eastAsia="Arial" w:hAnsi="Arial"/>
          <w:sz w:val="17"/>
          <w:szCs w:val="17"/>
          <w:color w:val="auto"/>
        </w:rPr>
        <w:t>The Company utilizes the market approach to measure fair value for its financial assets. The market approach uses prices and other relevant information generated by market transactions involving identical or comparable assets. The Company’s marketable securities investments classified as Level 2 primarily utilize broker quotes in a non-active market for valuation of these securities. No transfers of assets between Level 1, Level 2 and Level 3 of the fair value measurement hierarchy occurred during the nine months ended September 30, 2018.</w:t>
      </w:r>
    </w:p>
    <w:p>
      <w:pPr>
        <w:spacing w:after="0" w:line="179"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Unrealized gains and losses are reported as a component of accumulated other comprehensive income in stockholders’ equity. There were no sales of marketable securities during the nine months ended September 30, 2018 and 2017. The cost of securities sold is based on the specific identification method. The Company evaluates investments with unrealized losses to determine if the losses are other than temporary. The Company has determined that the gross unrealized losses at September 30, 2018 and 2017 are temporary. In making this determination, the Company considered the financial condition, credit ratings and near-term prospects of the issuers, the underlying collateral of the investments, and the magnitude of the losses as compared to the cost and the length</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27"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of time the investments have been in an unrealized loss position. Additionally, while the Company classifies the securities as available for sale, the Company does not currently intend to sell such investments and it is more likely than not to recover the carrying value prior to being required to sell such investments.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At September 30, 2018 and December 31, 2017, the estimated fair value of investments classified as available-for-sale,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ind w:left="480"/>
              <w:spacing w:after="0"/>
              <w:rPr>
                <w:sz w:val="20"/>
                <w:szCs w:val="20"/>
                <w:color w:val="auto"/>
              </w:rPr>
            </w:pPr>
            <w:r>
              <w:rPr>
                <w:rFonts w:ascii="Arial" w:cs="Arial" w:eastAsia="Arial" w:hAnsi="Arial"/>
                <w:sz w:val="15"/>
                <w:szCs w:val="15"/>
                <w:b w:val="1"/>
                <w:bCs w:val="1"/>
                <w:color w:val="auto"/>
              </w:rPr>
              <w:t>September 30, 2018</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Gross</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Gross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Amortized</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Unrealized</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Unrealized</w:t>
            </w:r>
          </w:p>
        </w:tc>
        <w:tc>
          <w:tcPr>
            <w:tcW w:w="280" w:type="dxa"/>
            <w:vAlign w:val="bottom"/>
          </w:tcPr>
          <w:p>
            <w:pPr>
              <w:spacing w:after="0"/>
              <w:rPr>
                <w:sz w:val="16"/>
                <w:szCs w:val="16"/>
                <w:color w:val="auto"/>
              </w:rPr>
            </w:pPr>
          </w:p>
        </w:tc>
        <w:tc>
          <w:tcPr>
            <w:tcW w:w="960" w:type="dxa"/>
            <w:vAlign w:val="bottom"/>
          </w:tcPr>
          <w:p>
            <w:pPr>
              <w:jc w:val="right"/>
              <w:ind w:right="400"/>
              <w:spacing w:after="0"/>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193"/>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9"/>
              </w:rPr>
              <w:t>Cost</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Gains</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1"/>
              </w:rPr>
              <w:t>Losses</w:t>
            </w:r>
          </w:p>
        </w:tc>
        <w:tc>
          <w:tcPr>
            <w:tcW w:w="280" w:type="dxa"/>
            <w:vAlign w:val="bottom"/>
          </w:tcPr>
          <w:p>
            <w:pPr>
              <w:spacing w:after="0"/>
              <w:rPr>
                <w:sz w:val="16"/>
                <w:szCs w:val="16"/>
                <w:color w:val="auto"/>
              </w:rPr>
            </w:pPr>
          </w:p>
        </w:tc>
        <w:tc>
          <w:tcPr>
            <w:tcW w:w="960" w:type="dxa"/>
            <w:vAlign w:val="bottom"/>
          </w:tcPr>
          <w:p>
            <w:pPr>
              <w:jc w:val="right"/>
              <w:ind w:right="360"/>
              <w:spacing w:after="0"/>
              <w:rPr>
                <w:sz w:val="20"/>
                <w:szCs w:val="20"/>
                <w:color w:val="auto"/>
              </w:rPr>
            </w:pPr>
            <w:r>
              <w:rPr>
                <w:rFonts w:ascii="Arial" w:cs="Arial" w:eastAsia="Arial" w:hAnsi="Arial"/>
                <w:sz w:val="15"/>
                <w:szCs w:val="15"/>
                <w:b w:val="1"/>
                <w:bCs w:val="1"/>
                <w:color w:val="auto"/>
              </w:rPr>
              <w:t>Value</w:t>
            </w:r>
          </w:p>
        </w:tc>
        <w:tc>
          <w:tcPr>
            <w:tcW w:w="0" w:type="dxa"/>
            <w:vAlign w:val="bottom"/>
          </w:tcPr>
          <w:p>
            <w:pPr>
              <w:spacing w:after="0"/>
              <w:rPr>
                <w:sz w:val="1"/>
                <w:szCs w:val="1"/>
                <w:color w:val="auto"/>
              </w:rPr>
            </w:pPr>
          </w:p>
        </w:tc>
      </w:tr>
      <w:tr>
        <w:trPr>
          <w:trHeight w:val="31"/>
        </w:trPr>
        <w:tc>
          <w:tcPr>
            <w:tcW w:w="6060" w:type="dxa"/>
            <w:vAlign w:val="bottom"/>
            <w:vMerge w:val="restart"/>
          </w:tcPr>
          <w:p>
            <w:pPr>
              <w:ind w:left="20"/>
              <w:spacing w:after="0"/>
              <w:rPr>
                <w:sz w:val="20"/>
                <w:szCs w:val="20"/>
                <w:color w:val="auto"/>
              </w:rPr>
            </w:pPr>
            <w:r>
              <w:rPr>
                <w:rFonts w:ascii="Arial" w:cs="Arial" w:eastAsia="Arial" w:hAnsi="Arial"/>
                <w:sz w:val="17"/>
                <w:szCs w:val="17"/>
                <w:color w:val="auto"/>
              </w:rPr>
              <w:t>Marketable securities:</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0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6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Certificates of deposit</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7"/>
                <w:szCs w:val="17"/>
                <w:color w:val="auto"/>
              </w:rPr>
              <w:t>3,776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3,761</w:t>
            </w:r>
          </w:p>
        </w:tc>
        <w:tc>
          <w:tcPr>
            <w:tcW w:w="0" w:type="dxa"/>
            <w:vAlign w:val="bottom"/>
          </w:tcPr>
          <w:p>
            <w:pPr>
              <w:spacing w:after="0"/>
              <w:rPr>
                <w:sz w:val="1"/>
                <w:szCs w:val="1"/>
                <w:color w:val="auto"/>
              </w:rPr>
            </w:pPr>
          </w:p>
        </w:tc>
      </w:tr>
      <w:tr>
        <w:trPr>
          <w:trHeight w:val="224"/>
        </w:trPr>
        <w:tc>
          <w:tcPr>
            <w:tcW w:w="6060" w:type="dxa"/>
            <w:vAlign w:val="bottom"/>
          </w:tcPr>
          <w:p>
            <w:pPr>
              <w:ind w:left="240"/>
              <w:spacing w:after="0"/>
              <w:rPr>
                <w:sz w:val="20"/>
                <w:szCs w:val="20"/>
                <w:color w:val="auto"/>
              </w:rPr>
            </w:pPr>
            <w:r>
              <w:rPr>
                <w:rFonts w:ascii="Arial" w:cs="Arial" w:eastAsia="Arial" w:hAnsi="Arial"/>
                <w:sz w:val="17"/>
                <w:szCs w:val="17"/>
                <w:color w:val="auto"/>
              </w:rPr>
              <w:t>Corporate bonds</w:t>
            </w:r>
          </w:p>
        </w:tc>
        <w:tc>
          <w:tcPr>
            <w:tcW w:w="22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402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25"/>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Municipal bonds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7"/>
                <w:szCs w:val="17"/>
                <w:color w:val="auto"/>
              </w:rPr>
              <w:t>11,598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11,545</w:t>
            </w:r>
          </w:p>
        </w:tc>
        <w:tc>
          <w:tcPr>
            <w:tcW w:w="0" w:type="dxa"/>
            <w:vAlign w:val="bottom"/>
          </w:tcPr>
          <w:p>
            <w:pPr>
              <w:spacing w:after="0"/>
              <w:rPr>
                <w:sz w:val="1"/>
                <w:szCs w:val="1"/>
                <w:color w:val="auto"/>
              </w:rPr>
            </w:pPr>
          </w:p>
        </w:tc>
      </w:tr>
      <w:tr>
        <w:trPr>
          <w:trHeight w:val="217"/>
        </w:trPr>
        <w:tc>
          <w:tcPr>
            <w:tcW w:w="6060" w:type="dxa"/>
            <w:vAlign w:val="bottom"/>
          </w:tcPr>
          <w:p>
            <w:pPr>
              <w:ind w:left="20"/>
              <w:spacing w:after="0"/>
              <w:rPr>
                <w:sz w:val="20"/>
                <w:szCs w:val="20"/>
                <w:color w:val="auto"/>
              </w:rPr>
            </w:pPr>
            <w:r>
              <w:rPr>
                <w:rFonts w:ascii="Arial" w:cs="Arial" w:eastAsia="Arial" w:hAnsi="Arial"/>
                <w:sz w:val="17"/>
                <w:szCs w:val="17"/>
                <w:color w:val="auto"/>
              </w:rPr>
              <w:t>Total marketable securities</w:t>
            </w:r>
          </w:p>
        </w:tc>
        <w:tc>
          <w:tcPr>
            <w:tcW w:w="2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60"/>
              <w:spacing w:after="0"/>
              <w:rPr>
                <w:sz w:val="20"/>
                <w:szCs w:val="20"/>
                <w:color w:val="auto"/>
              </w:rPr>
            </w:pPr>
            <w:r>
              <w:rPr>
                <w:rFonts w:ascii="Arial" w:cs="Arial" w:eastAsia="Arial" w:hAnsi="Arial"/>
                <w:sz w:val="17"/>
                <w:szCs w:val="17"/>
                <w:color w:val="auto"/>
              </w:rPr>
              <w:t>15,776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41"/>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15,705</w:t>
            </w:r>
          </w:p>
        </w:tc>
        <w:tc>
          <w:tcPr>
            <w:tcW w:w="0" w:type="dxa"/>
            <w:vAlign w:val="bottom"/>
          </w:tcPr>
          <w:p>
            <w:pPr>
              <w:spacing w:after="0"/>
              <w:rPr>
                <w:sz w:val="1"/>
                <w:szCs w:val="1"/>
                <w:color w:val="auto"/>
              </w:rPr>
            </w:pPr>
          </w:p>
        </w:tc>
      </w:tr>
      <w:tr>
        <w:trPr>
          <w:trHeight w:val="25"/>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As of September 30, 2018, there were no accumulated unrealized losses related to investments that have been in a continuous unrealized loss position for 12 months or longer. The aggregate related fair value of investment with unrealized losses was less than $14.8 million.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ind w:left="500"/>
              <w:spacing w:after="0"/>
              <w:rPr>
                <w:sz w:val="20"/>
                <w:szCs w:val="20"/>
                <w:color w:val="auto"/>
              </w:rPr>
            </w:pPr>
            <w:r>
              <w:rPr>
                <w:rFonts w:ascii="Arial" w:cs="Arial" w:eastAsia="Arial" w:hAnsi="Arial"/>
                <w:sz w:val="15"/>
                <w:szCs w:val="15"/>
                <w:b w:val="1"/>
                <w:bCs w:val="1"/>
                <w:color w:val="auto"/>
              </w:rPr>
              <w:t>December 31, 2017</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0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Gross</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Gross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Amortized</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Unrealized</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Unrealized</w:t>
            </w:r>
          </w:p>
        </w:tc>
        <w:tc>
          <w:tcPr>
            <w:tcW w:w="280" w:type="dxa"/>
            <w:vAlign w:val="bottom"/>
          </w:tcPr>
          <w:p>
            <w:pPr>
              <w:spacing w:after="0"/>
              <w:rPr>
                <w:sz w:val="16"/>
                <w:szCs w:val="16"/>
                <w:color w:val="auto"/>
              </w:rPr>
            </w:pPr>
          </w:p>
        </w:tc>
        <w:tc>
          <w:tcPr>
            <w:tcW w:w="960" w:type="dxa"/>
            <w:vAlign w:val="bottom"/>
          </w:tcPr>
          <w:p>
            <w:pPr>
              <w:jc w:val="right"/>
              <w:ind w:right="400"/>
              <w:spacing w:after="0"/>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193"/>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9"/>
              </w:rPr>
              <w:t>Cost</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Gains</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1"/>
              </w:rPr>
              <w:t>Losses</w:t>
            </w:r>
          </w:p>
        </w:tc>
        <w:tc>
          <w:tcPr>
            <w:tcW w:w="280" w:type="dxa"/>
            <w:vAlign w:val="bottom"/>
          </w:tcPr>
          <w:p>
            <w:pPr>
              <w:spacing w:after="0"/>
              <w:rPr>
                <w:sz w:val="16"/>
                <w:szCs w:val="16"/>
                <w:color w:val="auto"/>
              </w:rPr>
            </w:pPr>
          </w:p>
        </w:tc>
        <w:tc>
          <w:tcPr>
            <w:tcW w:w="960" w:type="dxa"/>
            <w:vAlign w:val="bottom"/>
          </w:tcPr>
          <w:p>
            <w:pPr>
              <w:jc w:val="right"/>
              <w:ind w:right="360"/>
              <w:spacing w:after="0"/>
              <w:rPr>
                <w:sz w:val="20"/>
                <w:szCs w:val="20"/>
                <w:color w:val="auto"/>
              </w:rPr>
            </w:pPr>
            <w:r>
              <w:rPr>
                <w:rFonts w:ascii="Arial" w:cs="Arial" w:eastAsia="Arial" w:hAnsi="Arial"/>
                <w:sz w:val="15"/>
                <w:szCs w:val="15"/>
                <w:b w:val="1"/>
                <w:bCs w:val="1"/>
                <w:color w:val="auto"/>
              </w:rPr>
              <w:t>Value</w:t>
            </w:r>
          </w:p>
        </w:tc>
        <w:tc>
          <w:tcPr>
            <w:tcW w:w="0" w:type="dxa"/>
            <w:vAlign w:val="bottom"/>
          </w:tcPr>
          <w:p>
            <w:pPr>
              <w:spacing w:after="0"/>
              <w:rPr>
                <w:sz w:val="1"/>
                <w:szCs w:val="1"/>
                <w:color w:val="auto"/>
              </w:rPr>
            </w:pPr>
          </w:p>
        </w:tc>
      </w:tr>
      <w:tr>
        <w:trPr>
          <w:trHeight w:val="31"/>
        </w:trPr>
        <w:tc>
          <w:tcPr>
            <w:tcW w:w="6060" w:type="dxa"/>
            <w:vAlign w:val="bottom"/>
            <w:vMerge w:val="restart"/>
          </w:tcPr>
          <w:p>
            <w:pPr>
              <w:ind w:left="20"/>
              <w:spacing w:after="0"/>
              <w:rPr>
                <w:sz w:val="20"/>
                <w:szCs w:val="20"/>
                <w:color w:val="auto"/>
              </w:rPr>
            </w:pPr>
            <w:r>
              <w:rPr>
                <w:rFonts w:ascii="Arial" w:cs="Arial" w:eastAsia="Arial" w:hAnsi="Arial"/>
                <w:sz w:val="17"/>
                <w:szCs w:val="17"/>
                <w:color w:val="auto"/>
              </w:rPr>
              <w:t>Marketable securities:</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0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6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Certificates of deposit</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7"/>
                <w:szCs w:val="17"/>
                <w:color w:val="auto"/>
              </w:rPr>
              <w:t>250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24"/>
        </w:trPr>
        <w:tc>
          <w:tcPr>
            <w:tcW w:w="6060" w:type="dxa"/>
            <w:vAlign w:val="bottom"/>
          </w:tcPr>
          <w:p>
            <w:pPr>
              <w:ind w:left="240"/>
              <w:spacing w:after="0"/>
              <w:rPr>
                <w:sz w:val="20"/>
                <w:szCs w:val="20"/>
                <w:color w:val="auto"/>
              </w:rPr>
            </w:pPr>
            <w:r>
              <w:rPr>
                <w:rFonts w:ascii="Arial" w:cs="Arial" w:eastAsia="Arial" w:hAnsi="Arial"/>
                <w:sz w:val="17"/>
                <w:szCs w:val="17"/>
                <w:color w:val="auto"/>
              </w:rPr>
              <w:t>Municipal bonds</w:t>
            </w:r>
          </w:p>
        </w:tc>
        <w:tc>
          <w:tcPr>
            <w:tcW w:w="22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2,867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7"/>
                <w:szCs w:val="17"/>
                <w:color w:val="auto"/>
              </w:rPr>
              <w:t>2,861</w:t>
            </w:r>
          </w:p>
        </w:tc>
        <w:tc>
          <w:tcPr>
            <w:tcW w:w="0" w:type="dxa"/>
            <w:vAlign w:val="bottom"/>
          </w:tcPr>
          <w:p>
            <w:pPr>
              <w:spacing w:after="0"/>
              <w:rPr>
                <w:sz w:val="1"/>
                <w:szCs w:val="1"/>
                <w:color w:val="auto"/>
              </w:rPr>
            </w:pPr>
          </w:p>
        </w:tc>
      </w:tr>
      <w:tr>
        <w:trPr>
          <w:trHeight w:val="25"/>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marketable securities</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7"/>
                <w:szCs w:val="17"/>
                <w:color w:val="auto"/>
              </w:rPr>
              <w:t>3,117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3,111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December 31, 2017, the aggregate related fair value of investment with unrealized losses was approximately $2.9 million.</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contractual maturities of marketable debt securities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4"/>
          </w:tcPr>
          <w:p>
            <w:pPr>
              <w:jc w:val="right"/>
              <w:ind w:right="579"/>
              <w:spacing w:after="0"/>
              <w:rPr>
                <w:sz w:val="20"/>
                <w:szCs w:val="20"/>
                <w:color w:val="auto"/>
              </w:rPr>
            </w:pPr>
            <w:r>
              <w:rPr>
                <w:rFonts w:ascii="Arial" w:cs="Arial" w:eastAsia="Arial" w:hAnsi="Arial"/>
                <w:sz w:val="15"/>
                <w:szCs w:val="15"/>
                <w:b w:val="1"/>
                <w:bCs w:val="1"/>
                <w:color w:val="auto"/>
              </w:rPr>
              <w:t>September 30, 2018</w:t>
            </w:r>
          </w:p>
        </w:tc>
      </w:tr>
      <w:tr>
        <w:trPr>
          <w:trHeight w:val="31"/>
        </w:trPr>
        <w:tc>
          <w:tcPr>
            <w:tcW w:w="8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2"/>
        </w:trPr>
        <w:tc>
          <w:tcPr>
            <w:tcW w:w="8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Amortized</w:t>
            </w:r>
          </w:p>
        </w:tc>
        <w:tc>
          <w:tcPr>
            <w:tcW w:w="28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Arial" w:cs="Arial" w:eastAsia="Arial" w:hAnsi="Arial"/>
                <w:sz w:val="15"/>
                <w:szCs w:val="15"/>
                <w:b w:val="1"/>
                <w:bCs w:val="1"/>
                <w:color w:val="auto"/>
              </w:rPr>
              <w:t>Fair</w:t>
            </w:r>
          </w:p>
        </w:tc>
      </w:tr>
      <w:tr>
        <w:trPr>
          <w:trHeight w:val="193"/>
        </w:trPr>
        <w:tc>
          <w:tcPr>
            <w:tcW w:w="8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3"/>
              </w:rPr>
              <w:t>Cost</w:t>
            </w:r>
          </w:p>
        </w:tc>
        <w:tc>
          <w:tcPr>
            <w:tcW w:w="280" w:type="dxa"/>
            <w:vAlign w:val="bottom"/>
          </w:tcPr>
          <w:p>
            <w:pPr>
              <w:spacing w:after="0"/>
              <w:rPr>
                <w:sz w:val="16"/>
                <w:szCs w:val="16"/>
                <w:color w:val="auto"/>
              </w:rPr>
            </w:pPr>
          </w:p>
        </w:tc>
        <w:tc>
          <w:tcPr>
            <w:tcW w:w="960" w:type="dxa"/>
            <w:vAlign w:val="bottom"/>
          </w:tcPr>
          <w:p>
            <w:pPr>
              <w:jc w:val="right"/>
              <w:ind w:right="359"/>
              <w:spacing w:after="0"/>
              <w:rPr>
                <w:sz w:val="20"/>
                <w:szCs w:val="20"/>
                <w:color w:val="auto"/>
              </w:rPr>
            </w:pPr>
            <w:r>
              <w:rPr>
                <w:rFonts w:ascii="Arial" w:cs="Arial" w:eastAsia="Arial" w:hAnsi="Arial"/>
                <w:sz w:val="15"/>
                <w:szCs w:val="15"/>
                <w:b w:val="1"/>
                <w:bCs w:val="1"/>
                <w:color w:val="auto"/>
              </w:rPr>
              <w:t>Value</w:t>
            </w:r>
          </w:p>
        </w:tc>
      </w:tr>
      <w:tr>
        <w:trPr>
          <w:trHeight w:val="31"/>
        </w:trPr>
        <w:tc>
          <w:tcPr>
            <w:tcW w:w="8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2"/>
        </w:trPr>
        <w:tc>
          <w:tcPr>
            <w:tcW w:w="8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Due within one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7,006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6,989</w:t>
            </w:r>
          </w:p>
        </w:tc>
      </w:tr>
      <w:tr>
        <w:trPr>
          <w:trHeight w:val="224"/>
        </w:trPr>
        <w:tc>
          <w:tcPr>
            <w:tcW w:w="8820" w:type="dxa"/>
            <w:vAlign w:val="bottom"/>
          </w:tcPr>
          <w:p>
            <w:pPr>
              <w:ind w:left="240"/>
              <w:spacing w:after="0"/>
              <w:rPr>
                <w:sz w:val="20"/>
                <w:szCs w:val="20"/>
                <w:color w:val="auto"/>
              </w:rPr>
            </w:pPr>
            <w:r>
              <w:rPr>
                <w:rFonts w:ascii="Arial" w:cs="Arial" w:eastAsia="Arial" w:hAnsi="Arial"/>
                <w:sz w:val="17"/>
                <w:szCs w:val="17"/>
                <w:color w:val="auto"/>
              </w:rPr>
              <w:t>Due after 1 year through 5 years</w:t>
            </w:r>
          </w:p>
        </w:tc>
        <w:tc>
          <w:tcPr>
            <w:tcW w:w="180" w:type="dxa"/>
            <w:vAlign w:val="bottom"/>
          </w:tcPr>
          <w:p>
            <w:pPr>
              <w:spacing w:after="0"/>
              <w:rPr>
                <w:sz w:val="19"/>
                <w:szCs w:val="19"/>
                <w:color w:val="auto"/>
              </w:rPr>
            </w:pPr>
          </w:p>
        </w:tc>
        <w:tc>
          <w:tcPr>
            <w:tcW w:w="1060" w:type="dxa"/>
            <w:vAlign w:val="bottom"/>
          </w:tcPr>
          <w:p>
            <w:pPr>
              <w:jc w:val="right"/>
              <w:ind w:right="20"/>
              <w:spacing w:after="0"/>
              <w:rPr>
                <w:sz w:val="20"/>
                <w:szCs w:val="20"/>
                <w:color w:val="auto"/>
              </w:rPr>
            </w:pPr>
            <w:r>
              <w:rPr>
                <w:rFonts w:ascii="Arial" w:cs="Arial" w:eastAsia="Arial" w:hAnsi="Arial"/>
                <w:sz w:val="17"/>
                <w:szCs w:val="17"/>
                <w:color w:val="auto"/>
              </w:rPr>
              <w:t>8,718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7"/>
                <w:szCs w:val="17"/>
                <w:color w:val="auto"/>
              </w:rPr>
              <w:t>8,664</w:t>
            </w:r>
          </w:p>
        </w:tc>
      </w:tr>
      <w:tr>
        <w:trPr>
          <w:trHeight w:val="25"/>
        </w:trPr>
        <w:tc>
          <w:tcPr>
            <w:tcW w:w="8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8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Due after 5 years through 10 years</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52</w:t>
            </w:r>
          </w:p>
        </w:tc>
      </w:tr>
      <w:tr>
        <w:trPr>
          <w:trHeight w:val="224"/>
        </w:trPr>
        <w:tc>
          <w:tcPr>
            <w:tcW w:w="8820" w:type="dxa"/>
            <w:vAlign w:val="bottom"/>
          </w:tcPr>
          <w:p>
            <w:pPr>
              <w:ind w:left="240"/>
              <w:spacing w:after="0"/>
              <w:rPr>
                <w:sz w:val="20"/>
                <w:szCs w:val="20"/>
                <w:color w:val="auto"/>
              </w:rPr>
            </w:pPr>
            <w:r>
              <w:rPr>
                <w:rFonts w:ascii="Arial" w:cs="Arial" w:eastAsia="Arial" w:hAnsi="Arial"/>
                <w:sz w:val="17"/>
                <w:szCs w:val="17"/>
                <w:color w:val="auto"/>
              </w:rPr>
              <w:t>Due after 10 years</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5"/>
        </w:trPr>
        <w:tc>
          <w:tcPr>
            <w:tcW w:w="8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7"/>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available-for-sale debt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15,776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15,705</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Redeemable Noncontrolling Interests</w:t>
      </w:r>
    </w:p>
    <w:p>
      <w:pPr>
        <w:spacing w:after="0" w:line="203" w:lineRule="exact"/>
        <w:rPr>
          <w:sz w:val="20"/>
          <w:szCs w:val="20"/>
          <w:color w:val="auto"/>
        </w:rPr>
      </w:pPr>
    </w:p>
    <w:p>
      <w:pPr>
        <w:jc w:val="both"/>
        <w:ind w:firstLine="299"/>
        <w:spacing w:after="0" w:line="278" w:lineRule="auto"/>
        <w:rPr>
          <w:sz w:val="20"/>
          <w:szCs w:val="20"/>
          <w:color w:val="auto"/>
        </w:rPr>
      </w:pPr>
      <w:r>
        <w:rPr>
          <w:rFonts w:ascii="Arial" w:cs="Arial" w:eastAsia="Arial" w:hAnsi="Arial"/>
          <w:sz w:val="16"/>
          <w:szCs w:val="16"/>
          <w:color w:val="auto"/>
        </w:rPr>
        <w:t>The redeemable noncontrolling interests recorded at fair value are put arrangements held by the noncontrolling interests in certain of the Company’s joint ventures. The Company recognizes changes in the redemption value immediately as they occur and adjusts the carrying value of the noncontrolling interest to the greater of the estimated redemption value, which approximates fair value, at the end of each reporting period or the initial carrying amount.</w:t>
      </w:r>
    </w:p>
    <w:p>
      <w:pPr>
        <w:spacing w:after="0" w:line="158"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The fair value of the redeemable noncontrolling interests was estimated by applying an income approach using a discounted cash flow analysis. This fair value measurement is based on significant inputs that are not observable in the market and thus represents a Level 3 measurement. Significant changes in the underlying assumptions used to value the redeemable noncontrolling interests could significantly increase or decrease the fair value estimates recorded in the Condensed Consolidated Balance Sheets.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27"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changes in fair value of the Company’s Level 3 redeemable noncontrolling interests during the nine months ended September 30, 2018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0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2017</w:t>
            </w: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25,280</w:t>
            </w:r>
          </w:p>
        </w:tc>
      </w:tr>
      <w:tr>
        <w:trPr>
          <w:trHeight w:val="224"/>
        </w:trPr>
        <w:tc>
          <w:tcPr>
            <w:tcW w:w="10180" w:type="dxa"/>
            <w:vAlign w:val="bottom"/>
          </w:tcPr>
          <w:p>
            <w:pPr>
              <w:ind w:left="240"/>
              <w:spacing w:after="0"/>
              <w:rPr>
                <w:sz w:val="20"/>
                <w:szCs w:val="20"/>
                <w:color w:val="auto"/>
              </w:rPr>
            </w:pPr>
            <w:r>
              <w:rPr>
                <w:rFonts w:ascii="Arial" w:cs="Arial" w:eastAsia="Arial" w:hAnsi="Arial"/>
                <w:sz w:val="17"/>
                <w:szCs w:val="17"/>
                <w:color w:val="auto"/>
              </w:rPr>
              <w:t>Fair value adjustment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(10,658)</w:t>
            </w:r>
          </w:p>
        </w:tc>
      </w:tr>
      <w:tr>
        <w:trPr>
          <w:trHeight w:val="25"/>
        </w:trPr>
        <w:tc>
          <w:tcPr>
            <w:tcW w:w="10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9"/>
        </w:trPr>
        <w:tc>
          <w:tcPr>
            <w:tcW w:w="10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Net loss attributable to redeemable noncontrolling interests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(2,122)</w:t>
            </w:r>
          </w:p>
        </w:tc>
      </w:tr>
      <w:tr>
        <w:trPr>
          <w:trHeight w:val="236"/>
        </w:trPr>
        <w:tc>
          <w:tcPr>
            <w:tcW w:w="10180" w:type="dxa"/>
            <w:vAlign w:val="bottom"/>
          </w:tcPr>
          <w:p>
            <w:pPr>
              <w:ind w:left="20"/>
              <w:spacing w:after="0"/>
              <w:rPr>
                <w:sz w:val="20"/>
                <w:szCs w:val="20"/>
                <w:color w:val="auto"/>
              </w:rPr>
            </w:pPr>
            <w:r>
              <w:rPr>
                <w:rFonts w:ascii="Arial" w:cs="Arial" w:eastAsia="Arial" w:hAnsi="Arial"/>
                <w:sz w:val="17"/>
                <w:szCs w:val="17"/>
                <w:color w:val="auto"/>
              </w:rPr>
              <w:t>Balance at September 30, 2018</w:t>
            </w:r>
          </w:p>
        </w:tc>
        <w:tc>
          <w:tcPr>
            <w:tcW w:w="36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12,500</w:t>
            </w:r>
          </w:p>
        </w:tc>
      </w:tr>
      <w:tr>
        <w:trPr>
          <w:trHeight w:val="20"/>
        </w:trPr>
        <w:tc>
          <w:tcPr>
            <w:tcW w:w="10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PIK Note</w:t>
      </w:r>
    </w:p>
    <w:p>
      <w:pPr>
        <w:spacing w:after="0" w:line="203" w:lineRule="exact"/>
        <w:rPr>
          <w:sz w:val="20"/>
          <w:szCs w:val="20"/>
          <w:color w:val="auto"/>
        </w:rPr>
      </w:pPr>
    </w:p>
    <w:p>
      <w:pPr>
        <w:jc w:val="both"/>
        <w:ind w:firstLine="299"/>
        <w:spacing w:after="0" w:line="291" w:lineRule="auto"/>
        <w:rPr>
          <w:sz w:val="20"/>
          <w:szCs w:val="20"/>
          <w:color w:val="auto"/>
        </w:rPr>
      </w:pPr>
      <w:r>
        <w:rPr>
          <w:rFonts w:ascii="Arial" w:cs="Arial" w:eastAsia="Arial" w:hAnsi="Arial"/>
          <w:sz w:val="15"/>
          <w:szCs w:val="15"/>
          <w:color w:val="auto"/>
        </w:rPr>
        <w:t xml:space="preserve">The fair value of the PIK note was estimated by applying an income approach using a discounted cash flow analysis to derive the fair value of the STIH’s interest in STIN, the collateral supporting the PIK Note. Additionally, the Company considered synthetic credit ratings of comparable notes in the market. This fair value measurement is based on significant inputs that are not observable in the market and thus represents a Level 3 measurement. Significant changes in the underlying assumptions used to value the PIK note, for impairment, such as discount rate, credit rating, and growth rates could significantly increase or decrease the fair value estimates recorded in the Condensed Consolidated Balance Sheets. For further details see </w:t>
      </w:r>
      <w:r>
        <w:rPr>
          <w:rFonts w:ascii="Arial" w:cs="Arial" w:eastAsia="Arial" w:hAnsi="Arial"/>
          <w:sz w:val="15"/>
          <w:szCs w:val="15"/>
          <w:i w:val="1"/>
          <w:iCs w:val="1"/>
          <w:color w:val="auto"/>
        </w:rPr>
        <w:t>Note 5 - Investments in Affiliates and Related Transactions</w:t>
      </w:r>
      <w:r>
        <w:rPr>
          <w:rFonts w:ascii="Arial" w:cs="Arial" w:eastAsia="Arial" w:hAnsi="Arial"/>
          <w:sz w:val="15"/>
          <w:szCs w:val="15"/>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Investments in Affiliates and Related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Sequential Technology International, LLC</w:t>
      </w:r>
    </w:p>
    <w:p>
      <w:pPr>
        <w:spacing w:after="0" w:line="203"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The Company includes investments, which are accounted for using the equity method, under the caption equity method investment on the Company’s Condensed Consolidated Balance Sheets. As of September 30, 2018, the Company’s investments in equity interests was comprised of $30.7 million related to a 30% equity interest in Sequential Technology International, LLC (“STIN”).</w:t>
      </w:r>
    </w:p>
    <w:p>
      <w:pPr>
        <w:spacing w:after="0" w:line="177"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Sequential Technology International Holdings LLC (“STIH”), which holds a 70% equity interest in STIN, also holds a senior note issued by a Third Party (“Third-Party Note” or “Seller Note”). The Third-Party Note is secured against STIH’s equity interest in STIN and is senior to the Company’s equity interest in STIN. Under the arrangement, cash dividends due to the Company from STIN, other than required cash distributions made for tax purposes, are deferred until the Third-Party Note is paid in full. As of September 30, 2018, all the amounts under the Third-Party Note are paid in full. Under the terms of a paid-in-kind purchase money note (the “PIK Note”) issued to the Company by STIH, deferred distributions are added to the amounts outstanding under the PIK Note.</w:t>
      </w:r>
    </w:p>
    <w:p>
      <w:pPr>
        <w:spacing w:after="0" w:line="165"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In connection with the divestiture of the exception handling business of the Company, Synchronoss entered into a three-year Cloud Telephony and Support services agreement to grant STIN access to certain Synchronoss software and private branch exchange systems to facilitate exception handling operations required to support STIN customers.</w:t>
      </w:r>
    </w:p>
    <w:p>
      <w:pPr>
        <w:spacing w:after="0" w:line="177"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For the three months ended September 30, 2018 and 2017, the Company recognized $6.4 million and $8.3 million, respectively, in revenue related to Cloud Telephony and Support services, and $0.9 million and $1.0 million, respectively, in revenue related to all other services. For the nine months ended September 30, 2018 and 2017, the Company recognized $12.8 million and $12.5 million, respectively in revenue related to Cloud Telephony and Support services, and $8.2 million and $1.9 million, respectively, in revenue related to all other services.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27"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STIN - Selected financial data</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displays certain key financial data pertaining to the operations of STIN for the three and nine months ended September 30, 2018: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ind w:left="40"/>
              <w:spacing w:after="0"/>
              <w:rPr>
                <w:sz w:val="20"/>
                <w:szCs w:val="20"/>
                <w:color w:val="auto"/>
              </w:rPr>
            </w:pPr>
            <w:r>
              <w:rPr>
                <w:rFonts w:ascii="Arial" w:cs="Arial" w:eastAsia="Arial" w:hAnsi="Arial"/>
                <w:sz w:val="15"/>
                <w:szCs w:val="15"/>
                <w:b w:val="1"/>
                <w:bCs w:val="1"/>
                <w:color w:val="auto"/>
              </w:rPr>
              <w:t>Three Months Ended</w:t>
            </w:r>
          </w:p>
        </w:tc>
        <w:tc>
          <w:tcPr>
            <w:tcW w:w="160" w:type="dxa"/>
            <w:vAlign w:val="bottom"/>
          </w:tcPr>
          <w:p>
            <w:pPr>
              <w:spacing w:after="0"/>
              <w:rPr>
                <w:sz w:val="16"/>
                <w:szCs w:val="16"/>
                <w:color w:val="auto"/>
              </w:rPr>
            </w:pPr>
          </w:p>
        </w:tc>
        <w:tc>
          <w:tcPr>
            <w:tcW w:w="1540" w:type="dxa"/>
            <w:vAlign w:val="bottom"/>
          </w:tcPr>
          <w:p>
            <w:pPr>
              <w:jc w:val="right"/>
              <w:ind w:right="119"/>
              <w:spacing w:after="0"/>
              <w:rPr>
                <w:sz w:val="20"/>
                <w:szCs w:val="20"/>
                <w:color w:val="auto"/>
              </w:rPr>
            </w:pPr>
            <w:r>
              <w:rPr>
                <w:rFonts w:ascii="Arial" w:cs="Arial" w:eastAsia="Arial" w:hAnsi="Arial"/>
                <w:sz w:val="15"/>
                <w:szCs w:val="15"/>
                <w:b w:val="1"/>
                <w:bCs w:val="1"/>
                <w:color w:val="auto"/>
                <w:w w:val="94"/>
              </w:rPr>
              <w:t>Nine Months Ended</w:t>
            </w:r>
          </w:p>
        </w:tc>
      </w:tr>
      <w:tr>
        <w:trPr>
          <w:trHeight w:val="31"/>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2"/>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33,119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94,758</w:t>
            </w:r>
          </w:p>
        </w:tc>
      </w:tr>
      <w:tr>
        <w:trPr>
          <w:trHeight w:val="224"/>
        </w:trPr>
        <w:tc>
          <w:tcPr>
            <w:tcW w:w="7900" w:type="dxa"/>
            <w:vAlign w:val="bottom"/>
          </w:tcPr>
          <w:p>
            <w:pPr>
              <w:ind w:left="140"/>
              <w:spacing w:after="0"/>
              <w:rPr>
                <w:sz w:val="20"/>
                <w:szCs w:val="20"/>
                <w:color w:val="auto"/>
              </w:rPr>
            </w:pPr>
            <w:r>
              <w:rPr>
                <w:rFonts w:ascii="Arial" w:cs="Arial" w:eastAsia="Arial" w:hAnsi="Arial"/>
                <w:sz w:val="17"/>
                <w:szCs w:val="17"/>
                <w:color w:val="auto"/>
              </w:rPr>
              <w:t>Expenses</w:t>
            </w:r>
          </w:p>
        </w:tc>
        <w:tc>
          <w:tcPr>
            <w:tcW w:w="14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7"/>
                <w:szCs w:val="17"/>
                <w:color w:val="auto"/>
              </w:rPr>
              <w:t>32,177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7"/>
                <w:szCs w:val="17"/>
                <w:color w:val="auto"/>
              </w:rPr>
              <w:t>94,523</w:t>
            </w:r>
          </w:p>
        </w:tc>
      </w:tr>
      <w:tr>
        <w:trPr>
          <w:trHeight w:val="25"/>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6"/>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942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235</w:t>
            </w: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PIK Note</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is a summary of the PIK Note related balances: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220"/>
              <w:spacing w:after="0"/>
              <w:rPr>
                <w:sz w:val="20"/>
                <w:szCs w:val="20"/>
                <w:color w:val="auto"/>
              </w:rPr>
            </w:pPr>
            <w:r>
              <w:rPr>
                <w:rFonts w:ascii="Arial" w:cs="Arial" w:eastAsia="Arial" w:hAnsi="Arial"/>
                <w:sz w:val="15"/>
                <w:szCs w:val="15"/>
                <w:b w:val="1"/>
                <w:bCs w:val="1"/>
                <w:color w:val="auto"/>
              </w:rPr>
              <w:t>Unamortized</w:t>
            </w:r>
          </w:p>
        </w:tc>
        <w:tc>
          <w:tcPr>
            <w:tcW w:w="1020" w:type="dxa"/>
            <w:vAlign w:val="bottom"/>
            <w:gridSpan w:val="2"/>
          </w:tcPr>
          <w:p>
            <w:pPr>
              <w:jc w:val="right"/>
              <w:spacing w:after="0"/>
              <w:rPr>
                <w:sz w:val="20"/>
                <w:szCs w:val="20"/>
                <w:color w:val="auto"/>
              </w:rPr>
            </w:pPr>
            <w:r>
              <w:rPr>
                <w:rFonts w:ascii="Arial" w:cs="Arial" w:eastAsia="Arial" w:hAnsi="Arial"/>
                <w:sz w:val="15"/>
                <w:szCs w:val="15"/>
                <w:b w:val="1"/>
                <w:bCs w:val="1"/>
                <w:color w:val="auto"/>
                <w:w w:val="95"/>
              </w:rPr>
              <w:t>Loan Accrued</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3"/>
        </w:trPr>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59"/>
              <w:spacing w:after="0"/>
              <w:rPr>
                <w:sz w:val="20"/>
                <w:szCs w:val="20"/>
                <w:color w:val="auto"/>
              </w:rPr>
            </w:pPr>
            <w:r>
              <w:rPr>
                <w:rFonts w:ascii="Arial" w:cs="Arial" w:eastAsia="Arial" w:hAnsi="Arial"/>
                <w:sz w:val="15"/>
                <w:szCs w:val="15"/>
                <w:b w:val="1"/>
                <w:bCs w:val="1"/>
                <w:color w:val="auto"/>
                <w:w w:val="99"/>
              </w:rPr>
              <w:t>Seller Note</w:t>
            </w:r>
          </w:p>
        </w:tc>
        <w:tc>
          <w:tcPr>
            <w:tcW w:w="240" w:type="dxa"/>
            <w:vAlign w:val="bottom"/>
          </w:tcPr>
          <w:p>
            <w:pPr>
              <w:spacing w:after="0"/>
              <w:rPr>
                <w:sz w:val="16"/>
                <w:szCs w:val="16"/>
                <w:color w:val="auto"/>
              </w:rPr>
            </w:pPr>
          </w:p>
        </w:tc>
        <w:tc>
          <w:tcPr>
            <w:tcW w:w="1080" w:type="dxa"/>
            <w:vAlign w:val="bottom"/>
          </w:tcPr>
          <w:p>
            <w:pPr>
              <w:jc w:val="right"/>
              <w:ind w:right="159"/>
              <w:spacing w:after="0"/>
              <w:rPr>
                <w:sz w:val="20"/>
                <w:szCs w:val="20"/>
                <w:color w:val="auto"/>
              </w:rPr>
            </w:pPr>
            <w:r>
              <w:rPr>
                <w:rFonts w:ascii="Arial" w:cs="Arial" w:eastAsia="Arial" w:hAnsi="Arial"/>
                <w:sz w:val="15"/>
                <w:szCs w:val="15"/>
                <w:b w:val="1"/>
                <w:bCs w:val="1"/>
                <w:color w:val="auto"/>
              </w:rPr>
              <w:t>Impairment</w:t>
            </w:r>
          </w:p>
        </w:tc>
        <w:tc>
          <w:tcPr>
            <w:tcW w:w="220" w:type="dxa"/>
            <w:vAlign w:val="bottom"/>
          </w:tcPr>
          <w:p>
            <w:pPr>
              <w:spacing w:after="0"/>
              <w:rPr>
                <w:sz w:val="16"/>
                <w:szCs w:val="16"/>
                <w:color w:val="auto"/>
              </w:rPr>
            </w:pPr>
          </w:p>
        </w:tc>
        <w:tc>
          <w:tcPr>
            <w:tcW w:w="1240" w:type="dxa"/>
            <w:vAlign w:val="bottom"/>
          </w:tcPr>
          <w:p>
            <w:pPr>
              <w:jc w:val="right"/>
              <w:ind w:right="340"/>
              <w:spacing w:after="0"/>
              <w:rPr>
                <w:sz w:val="20"/>
                <w:szCs w:val="20"/>
                <w:color w:val="auto"/>
              </w:rPr>
            </w:pPr>
            <w:r>
              <w:rPr>
                <w:rFonts w:ascii="Arial" w:cs="Arial" w:eastAsia="Arial" w:hAnsi="Arial"/>
                <w:sz w:val="15"/>
                <w:szCs w:val="15"/>
                <w:b w:val="1"/>
                <w:bCs w:val="1"/>
                <w:color w:val="auto"/>
              </w:rPr>
              <w:t>Discount</w:t>
            </w:r>
          </w:p>
        </w:tc>
        <w:tc>
          <w:tcPr>
            <w:tcW w:w="20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Arial" w:cs="Arial" w:eastAsia="Arial" w:hAnsi="Arial"/>
                <w:sz w:val="15"/>
                <w:szCs w:val="15"/>
                <w:b w:val="1"/>
                <w:bCs w:val="1"/>
                <w:color w:val="auto"/>
              </w:rPr>
              <w:t>Interest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w w:val="90"/>
              </w:rPr>
              <w:t>Distribution Note</w:t>
            </w:r>
          </w:p>
        </w:tc>
        <w:tc>
          <w:tcPr>
            <w:tcW w:w="1480" w:type="dxa"/>
            <w:vAlign w:val="bottom"/>
            <w:gridSpan w:val="2"/>
          </w:tcPr>
          <w:p>
            <w:pPr>
              <w:jc w:val="right"/>
              <w:spacing w:after="0"/>
              <w:rPr>
                <w:sz w:val="20"/>
                <w:szCs w:val="20"/>
                <w:color w:val="auto"/>
              </w:rPr>
            </w:pPr>
            <w:r>
              <w:rPr>
                <w:rFonts w:ascii="Arial" w:cs="Arial" w:eastAsia="Arial" w:hAnsi="Arial"/>
                <w:sz w:val="15"/>
                <w:szCs w:val="15"/>
                <w:b w:val="1"/>
                <w:bCs w:val="1"/>
                <w:color w:val="auto"/>
                <w:w w:val="98"/>
              </w:rPr>
              <w:t>Distribution interest</w:t>
            </w:r>
          </w:p>
        </w:tc>
        <w:tc>
          <w:tcPr>
            <w:tcW w:w="300" w:type="dxa"/>
            <w:vAlign w:val="bottom"/>
          </w:tcPr>
          <w:p>
            <w:pPr>
              <w:spacing w:after="0"/>
              <w:rPr>
                <w:sz w:val="16"/>
                <w:szCs w:val="16"/>
                <w:color w:val="auto"/>
              </w:rPr>
            </w:pPr>
          </w:p>
        </w:tc>
        <w:tc>
          <w:tcPr>
            <w:tcW w:w="860" w:type="dxa"/>
            <w:vAlign w:val="bottom"/>
          </w:tcPr>
          <w:p>
            <w:pPr>
              <w:jc w:val="right"/>
              <w:ind w:right="319"/>
              <w:spacing w:after="0"/>
              <w:rPr>
                <w:sz w:val="20"/>
                <w:szCs w:val="20"/>
                <w:color w:val="auto"/>
              </w:rPr>
            </w:pPr>
            <w:r>
              <w:rPr>
                <w:rFonts w:ascii="Arial" w:cs="Arial" w:eastAsia="Arial" w:hAnsi="Arial"/>
                <w:sz w:val="15"/>
                <w:szCs w:val="15"/>
                <w:b w:val="1"/>
                <w:bCs w:val="1"/>
                <w:color w:val="auto"/>
              </w:rPr>
              <w:t>Total</w:t>
            </w:r>
          </w:p>
        </w:tc>
      </w:tr>
      <w:tr>
        <w:trPr>
          <w:trHeight w:val="31"/>
        </w:trPr>
        <w:tc>
          <w:tcPr>
            <w:tcW w:w="2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(14,562)</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11,096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6,187</w:t>
            </w:r>
          </w:p>
        </w:tc>
        <w:tc>
          <w:tcPr>
            <w:tcW w:w="660" w:type="dxa"/>
            <w:vAlign w:val="bottom"/>
            <w:tcBorders>
              <w:bottom w:val="single" w:sz="8" w:color="CCEEFF"/>
            </w:tcBorders>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73,984</w:t>
            </w:r>
          </w:p>
        </w:tc>
      </w:tr>
      <w:tr>
        <w:trPr>
          <w:trHeight w:val="224"/>
        </w:trPr>
        <w:tc>
          <w:tcPr>
            <w:tcW w:w="2400" w:type="dxa"/>
            <w:vAlign w:val="bottom"/>
          </w:tcPr>
          <w:p>
            <w:pPr>
              <w:ind w:left="140"/>
              <w:spacing w:after="0"/>
              <w:rPr>
                <w:sz w:val="20"/>
                <w:szCs w:val="20"/>
                <w:color w:val="auto"/>
              </w:rPr>
            </w:pPr>
            <w:r>
              <w:rPr>
                <w:rFonts w:ascii="Arial" w:cs="Arial" w:eastAsia="Arial" w:hAnsi="Arial"/>
                <w:sz w:val="17"/>
                <w:szCs w:val="17"/>
                <w:color w:val="auto"/>
              </w:rPr>
              <w:t>Activity</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(18,225)</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438</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6,103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3,293</w:t>
            </w:r>
          </w:p>
        </w:tc>
        <w:tc>
          <w:tcPr>
            <w:tcW w:w="6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496</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(7,895)</w:t>
            </w:r>
          </w:p>
        </w:tc>
      </w:tr>
      <w:tr>
        <w:trPr>
          <w:trHeight w:val="25"/>
        </w:trPr>
        <w:tc>
          <w:tcPr>
            <w:tcW w:w="2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September 30,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83,000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(32,787)</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17,199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9,480</w:t>
            </w:r>
          </w:p>
        </w:tc>
        <w:tc>
          <w:tcPr>
            <w:tcW w:w="6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922</w:t>
            </w:r>
          </w:p>
        </w:tc>
        <w:tc>
          <w:tcPr>
            <w:tcW w:w="3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66,089</w:t>
            </w:r>
          </w:p>
        </w:tc>
      </w:tr>
      <w:tr>
        <w:trPr>
          <w:trHeight w:val="20"/>
        </w:trPr>
        <w:tc>
          <w:tcPr>
            <w:tcW w:w="2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During the nine months ended September 30, 2018, STIN distributed approximately $3.3 million to the Company, which was recognized as reduction in the Company’s equity investment in STIN and a corresponding adjustment to increase the PIK Note. Amounts were used by STIH to facilitate accelerated payment on the Third-Party Note held by STIH.</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Amendment to PIK Note</w:t>
      </w:r>
    </w:p>
    <w:p>
      <w:pPr>
        <w:spacing w:after="0" w:line="203" w:lineRule="exact"/>
        <w:rPr>
          <w:sz w:val="20"/>
          <w:szCs w:val="20"/>
          <w:color w:val="auto"/>
        </w:rPr>
      </w:pPr>
    </w:p>
    <w:p>
      <w:pPr>
        <w:jc w:val="both"/>
        <w:ind w:firstLine="299"/>
        <w:spacing w:after="0" w:line="278" w:lineRule="auto"/>
        <w:rPr>
          <w:sz w:val="20"/>
          <w:szCs w:val="20"/>
          <w:color w:val="auto"/>
        </w:rPr>
      </w:pPr>
      <w:r>
        <w:rPr>
          <w:rFonts w:ascii="Arial" w:cs="Arial" w:eastAsia="Arial" w:hAnsi="Arial"/>
          <w:sz w:val="16"/>
          <w:szCs w:val="16"/>
          <w:color w:val="auto"/>
        </w:rPr>
        <w:t>During the three months ended September 30, 2018, the Company entered into an amendment with STIH to modify the terms, of the PIK Note (“PIK Amendment”). The PIK Amendment modified the terms of the arrangement, lowering the interest rate from LIBOR plus 1100 basis points to a rate equal to the sum of LIBOR plus 300 basis points per annum. Additionally, the PIK Amendment provided relief on required payments, to allow STIH to continue its operations.</w:t>
      </w:r>
    </w:p>
    <w:p>
      <w:pPr>
        <w:spacing w:after="0" w:line="158" w:lineRule="exact"/>
        <w:rPr>
          <w:sz w:val="20"/>
          <w:szCs w:val="20"/>
          <w:color w:val="auto"/>
        </w:rPr>
      </w:pPr>
    </w:p>
    <w:p>
      <w:pPr>
        <w:jc w:val="both"/>
        <w:ind w:firstLine="299"/>
        <w:spacing w:after="0" w:line="332" w:lineRule="auto"/>
        <w:rPr>
          <w:sz w:val="20"/>
          <w:szCs w:val="20"/>
          <w:color w:val="auto"/>
        </w:rPr>
      </w:pPr>
      <w:r>
        <w:rPr>
          <w:rFonts w:ascii="Arial" w:cs="Arial" w:eastAsia="Arial" w:hAnsi="Arial"/>
          <w:sz w:val="15"/>
          <w:szCs w:val="15"/>
          <w:color w:val="auto"/>
        </w:rPr>
        <w:t>Concurrent with the modification described above, STIH and the Company agreed to modify the liquidation preferences set forth in the PIK Note, which would allow for cash distributions, senior to the PIK Note, as amended by the PIK Amendment, in the amount of $24.0 million, which would be distributed evenly in the event of sale.</w:t>
      </w:r>
    </w:p>
    <w:p>
      <w:pPr>
        <w:spacing w:after="0" w:line="121"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The Company determined that the above modifications qualified as a troubled debt restructuring, due primarily to the following factors (i) STIN continues to experience declines in its business, deteriorating the overall EBITDA available to provide adequate payment for debt, (ii) the terms of the debt modification, and in combination with the preference payments agreed to in the operating agreement provided a return-of-capital claim senior to the debt, and waived the Company’s right to include such future distribution as a qualified distribution subject to PIK under the distribution note and (iii) the terms of the arrangement were significantly below market for which no consideration was granted to the Company.</w:t>
      </w:r>
    </w:p>
    <w:p>
      <w:pPr>
        <w:spacing w:after="0" w:line="182"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The troubled debt restructuring resulted in an impairment on the PIK Note, as amended by the PIK Amendment, in the amount of $18.2 million, as reflected in the table above. Subsequent to modification and based on the concessions made under the troubled debt restructuring, the Company determined that collectability beyond the impaired carrying value is no longer probable and will account the PIK Note, as amended by the PIK Amendment, on a modified cost recovery basis, recognizing into income, only those amounts collected above the impaired carrying value of $66.1 million.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27"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STIN affiliate balances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STIN affiliate balances and their classification in the Condensed Consolidated Balance Sheet as of September 30, 2018,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 2018</w:t>
            </w:r>
          </w:p>
        </w:tc>
        <w:tc>
          <w:tcPr>
            <w:tcW w:w="240" w:type="dxa"/>
            <w:vAlign w:val="bottom"/>
          </w:tcPr>
          <w:p>
            <w:pPr>
              <w:spacing w:after="0"/>
              <w:rPr>
                <w:sz w:val="16"/>
                <w:szCs w:val="16"/>
                <w:color w:val="auto"/>
              </w:rPr>
            </w:pPr>
          </w:p>
        </w:tc>
        <w:tc>
          <w:tcPr>
            <w:tcW w:w="1680" w:type="dxa"/>
            <w:vAlign w:val="bottom"/>
          </w:tcPr>
          <w:p>
            <w:pPr>
              <w:jc w:val="right"/>
              <w:ind w:right="278"/>
              <w:spacing w:after="0"/>
              <w:rPr>
                <w:sz w:val="20"/>
                <w:szCs w:val="20"/>
                <w:color w:val="auto"/>
              </w:rPr>
            </w:pPr>
            <w:r>
              <w:rPr>
                <w:rFonts w:ascii="Arial" w:cs="Arial" w:eastAsia="Arial" w:hAnsi="Arial"/>
                <w:sz w:val="15"/>
                <w:szCs w:val="15"/>
                <w:b w:val="1"/>
                <w:bCs w:val="1"/>
                <w:color w:val="auto"/>
                <w:w w:val="96"/>
              </w:rPr>
              <w:t>December 31, 2017</w:t>
            </w:r>
          </w:p>
        </w:tc>
        <w:tc>
          <w:tcPr>
            <w:tcW w:w="0" w:type="dxa"/>
            <w:vAlign w:val="bottom"/>
          </w:tcPr>
          <w:p>
            <w:pPr>
              <w:spacing w:after="0"/>
              <w:rPr>
                <w:sz w:val="1"/>
                <w:szCs w:val="1"/>
                <w:color w:val="auto"/>
              </w:rPr>
            </w:pPr>
          </w:p>
        </w:tc>
      </w:tr>
      <w:tr>
        <w:trPr>
          <w:trHeight w:val="31"/>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7440" w:type="dxa"/>
            <w:vAlign w:val="bottom"/>
            <w:shd w:val="clear" w:color="auto" w:fill="CCEEFF"/>
          </w:tcPr>
          <w:p>
            <w:pPr>
              <w:ind w:left="140"/>
              <w:spacing w:after="0" w:line="242" w:lineRule="exact"/>
              <w:rPr>
                <w:sz w:val="20"/>
                <w:szCs w:val="20"/>
                <w:color w:val="auto"/>
              </w:rPr>
            </w:pPr>
            <w:r>
              <w:rPr>
                <w:rFonts w:ascii="Arial" w:cs="Arial" w:eastAsia="Arial" w:hAnsi="Arial"/>
                <w:sz w:val="17"/>
                <w:szCs w:val="17"/>
                <w:color w:val="auto"/>
              </w:rPr>
              <w:t xml:space="preserve">Restricted cash </w:t>
            </w:r>
            <w:r>
              <w:rPr>
                <w:rFonts w:ascii="Arial" w:cs="Arial" w:eastAsia="Arial" w:hAnsi="Arial"/>
                <w:sz w:val="23"/>
                <w:szCs w:val="23"/>
                <w:color w:val="auto"/>
                <w:vertAlign w:val="superscript"/>
              </w:rPr>
              <w:t>(A)</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49"/>
        </w:trPr>
        <w:tc>
          <w:tcPr>
            <w:tcW w:w="7440" w:type="dxa"/>
            <w:vAlign w:val="bottom"/>
            <w:tcBorders>
              <w:bottom w:val="single" w:sz="8" w:color="CCEEFF"/>
            </w:tcBorders>
          </w:tcPr>
          <w:p>
            <w:pPr>
              <w:ind w:left="140"/>
              <w:spacing w:after="0" w:line="250" w:lineRule="exact"/>
              <w:rPr>
                <w:sz w:val="20"/>
                <w:szCs w:val="20"/>
                <w:color w:val="auto"/>
              </w:rPr>
            </w:pPr>
            <w:r>
              <w:rPr>
                <w:rFonts w:ascii="Arial" w:cs="Arial" w:eastAsia="Arial" w:hAnsi="Arial"/>
                <w:sz w:val="17"/>
                <w:szCs w:val="17"/>
                <w:color w:val="auto"/>
              </w:rPr>
              <w:t xml:space="preserve">Accounts receivable </w:t>
            </w:r>
            <w:r>
              <w:rPr>
                <w:rFonts w:ascii="Arial" w:cs="Arial" w:eastAsia="Arial" w:hAnsi="Arial"/>
                <w:sz w:val="23"/>
                <w:szCs w:val="23"/>
                <w:color w:val="auto"/>
                <w:vertAlign w:val="superscript"/>
              </w:rPr>
              <w:t>(B)</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22,274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18,033</w:t>
            </w: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22,274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18,151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ind w:left="140"/>
              <w:spacing w:after="0" w:line="250" w:lineRule="exact"/>
              <w:rPr>
                <w:sz w:val="20"/>
                <w:szCs w:val="20"/>
                <w:color w:val="auto"/>
              </w:rPr>
            </w:pPr>
            <w:r>
              <w:rPr>
                <w:rFonts w:ascii="Arial" w:cs="Arial" w:eastAsia="Arial" w:hAnsi="Arial"/>
                <w:sz w:val="17"/>
                <w:szCs w:val="17"/>
                <w:color w:val="auto"/>
              </w:rPr>
              <w:t xml:space="preserve">Accrued expenses </w:t>
            </w:r>
            <w:r>
              <w:rPr>
                <w:rFonts w:ascii="Arial" w:cs="Arial" w:eastAsia="Arial" w:hAnsi="Arial"/>
                <w:sz w:val="23"/>
                <w:szCs w:val="23"/>
                <w:color w:val="auto"/>
                <w:vertAlign w:val="superscript"/>
              </w:rPr>
              <w:t>(A)</w:t>
            </w: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34"/>
        </w:trPr>
        <w:tc>
          <w:tcPr>
            <w:tcW w:w="744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ind w:right="18"/>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00" w:hanging="300"/>
        <w:spacing w:after="0" w:line="233" w:lineRule="auto"/>
        <w:tabs>
          <w:tab w:leader="none" w:pos="30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The Company collected zero and $0.1 million from STIN customers, on behalf of STIN, which remained outstanding as of September 30, 2018 and December 31, 2017, respectively. This amount has been classified in short-term restricted cash and in accrued expenses on the Condensed Consolidated Balance Sheets.</w:t>
      </w:r>
    </w:p>
    <w:p>
      <w:pPr>
        <w:ind w:left="300" w:hanging="300"/>
        <w:spacing w:after="0" w:line="208" w:lineRule="auto"/>
        <w:tabs>
          <w:tab w:leader="none" w:pos="300"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color w:val="auto"/>
        </w:rPr>
        <w:t>These amounts principally included revenues generated from the Cloud and Telephony Support Services agreement and pass-through of vendor expenses incurred during the transition and assignment of vendor contracts.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Debt</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Total debt consists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 2018</w:t>
            </w:r>
          </w:p>
        </w:tc>
        <w:tc>
          <w:tcPr>
            <w:tcW w:w="240" w:type="dxa"/>
            <w:vAlign w:val="bottom"/>
          </w:tcPr>
          <w:p>
            <w:pPr>
              <w:spacing w:after="0"/>
              <w:rPr>
                <w:sz w:val="16"/>
                <w:szCs w:val="16"/>
                <w:color w:val="auto"/>
              </w:rPr>
            </w:pPr>
          </w:p>
        </w:tc>
        <w:tc>
          <w:tcPr>
            <w:tcW w:w="1680" w:type="dxa"/>
            <w:vAlign w:val="bottom"/>
          </w:tcPr>
          <w:p>
            <w:pPr>
              <w:jc w:val="right"/>
              <w:ind w:right="278"/>
              <w:spacing w:after="0"/>
              <w:rPr>
                <w:sz w:val="20"/>
                <w:szCs w:val="20"/>
                <w:color w:val="auto"/>
              </w:rPr>
            </w:pPr>
            <w:r>
              <w:rPr>
                <w:rFonts w:ascii="Arial" w:cs="Arial" w:eastAsia="Arial" w:hAnsi="Arial"/>
                <w:sz w:val="15"/>
                <w:szCs w:val="15"/>
                <w:b w:val="1"/>
                <w:bCs w:val="1"/>
                <w:color w:val="auto"/>
                <w:w w:val="96"/>
              </w:rPr>
              <w:t>December 31, 2017</w:t>
            </w:r>
          </w:p>
        </w:tc>
        <w:tc>
          <w:tcPr>
            <w:tcW w:w="0" w:type="dxa"/>
            <w:vAlign w:val="bottom"/>
          </w:tcPr>
          <w:p>
            <w:pPr>
              <w:spacing w:after="0"/>
              <w:rPr>
                <w:sz w:val="1"/>
                <w:szCs w:val="1"/>
                <w:color w:val="auto"/>
              </w:rPr>
            </w:pPr>
          </w:p>
        </w:tc>
      </w:tr>
      <w:tr>
        <w:trPr>
          <w:trHeight w:val="31"/>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Convertible Senior Notes</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230,000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230,000</w:t>
            </w:r>
          </w:p>
        </w:tc>
        <w:tc>
          <w:tcPr>
            <w:tcW w:w="0" w:type="dxa"/>
            <w:vAlign w:val="bottom"/>
          </w:tcPr>
          <w:p>
            <w:pPr>
              <w:spacing w:after="0"/>
              <w:rPr>
                <w:sz w:val="1"/>
                <w:szCs w:val="1"/>
                <w:color w:val="auto"/>
              </w:rPr>
            </w:pPr>
          </w:p>
        </w:tc>
      </w:tr>
      <w:tr>
        <w:trPr>
          <w:trHeight w:val="249"/>
        </w:trPr>
        <w:tc>
          <w:tcPr>
            <w:tcW w:w="7440" w:type="dxa"/>
            <w:vAlign w:val="bottom"/>
            <w:tcBorders>
              <w:bottom w:val="single" w:sz="8" w:color="CCEEFF"/>
            </w:tcBorders>
          </w:tcPr>
          <w:p>
            <w:pPr>
              <w:ind w:left="20"/>
              <w:spacing w:after="0" w:line="250" w:lineRule="exact"/>
              <w:rPr>
                <w:sz w:val="20"/>
                <w:szCs w:val="20"/>
                <w:color w:val="auto"/>
              </w:rPr>
            </w:pPr>
            <w:r>
              <w:rPr>
                <w:rFonts w:ascii="Arial" w:cs="Arial" w:eastAsia="Arial" w:hAnsi="Arial"/>
                <w:sz w:val="17"/>
                <w:szCs w:val="17"/>
                <w:color w:val="auto"/>
              </w:rPr>
              <w:t xml:space="preserve">Unamortized debt issuance cost </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(2,296)</w:t>
            </w: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debt, carrying value</w:t>
            </w: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228,764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227,704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40" w:type="dxa"/>
            <w:vAlign w:val="bottom"/>
          </w:tcPr>
          <w:p>
            <w:pPr>
              <w:ind w:left="240"/>
              <w:spacing w:after="0"/>
              <w:rPr>
                <w:sz w:val="20"/>
                <w:szCs w:val="20"/>
                <w:color w:val="auto"/>
              </w:rPr>
            </w:pPr>
            <w:r>
              <w:rPr>
                <w:rFonts w:ascii="Arial" w:cs="Arial" w:eastAsia="Arial" w:hAnsi="Arial"/>
                <w:sz w:val="17"/>
                <w:szCs w:val="17"/>
                <w:color w:val="auto"/>
              </w:rPr>
              <w:t>Total short-term debt, carrying value</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ind w:right="18"/>
              <w:spacing w:after="0"/>
              <w:rPr>
                <w:sz w:val="20"/>
                <w:szCs w:val="20"/>
                <w:color w:val="auto"/>
              </w:rPr>
            </w:pPr>
            <w:r>
              <w:rPr>
                <w:rFonts w:ascii="Arial" w:cs="Arial" w:eastAsia="Arial" w:hAnsi="Arial"/>
                <w:sz w:val="17"/>
                <w:szCs w:val="17"/>
                <w:color w:val="auto"/>
              </w:rPr>
              <w:t>228,764</w:t>
            </w:r>
          </w:p>
        </w:tc>
        <w:tc>
          <w:tcPr>
            <w:tcW w:w="120" w:type="dxa"/>
            <w:vAlign w:val="bottom"/>
          </w:tcPr>
          <w:p>
            <w:pPr>
              <w:spacing w:after="0"/>
              <w:rPr>
                <w:sz w:val="18"/>
                <w:szCs w:val="18"/>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4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long-term debt, carrying value</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227,704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00" w:hanging="300"/>
        <w:spacing w:after="0" w:line="184" w:lineRule="auto"/>
        <w:tabs>
          <w:tab w:leader="none" w:pos="300" w:val="left"/>
        </w:tabs>
        <w:numPr>
          <w:ilvl w:val="0"/>
          <w:numId w:val="15"/>
        </w:numPr>
        <w:rPr>
          <w:rFonts w:ascii="Arial" w:cs="Arial" w:eastAsia="Arial" w:hAnsi="Arial"/>
          <w:sz w:val="23"/>
          <w:szCs w:val="23"/>
          <w:color w:val="auto"/>
          <w:vertAlign w:val="superscript"/>
        </w:rPr>
      </w:pPr>
      <w:r>
        <w:rPr>
          <w:rFonts w:ascii="Arial" w:cs="Arial" w:eastAsia="Arial" w:hAnsi="Arial"/>
          <w:sz w:val="17"/>
          <w:szCs w:val="17"/>
          <w:color w:val="auto"/>
        </w:rPr>
        <w:t>Unamortized debt issuance cost is related to Convertible Senior Notes.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Senior Notes</w:t>
      </w:r>
    </w:p>
    <w:p>
      <w:pPr>
        <w:spacing w:after="0" w:line="203"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On August 12, 2014, the Company issued $230.0 million aggregate principal amount of its 0.75% Convertible Senior Notes due in 2019 (the “2019 Notes”). The 2019 Notes mature on August 15, 2019, and bear interest at a rate of 0.75% per annum payable semi-annually in arrears on February 15 and August 15 of each year. The Company accounted for the $230.0 million face value of the debt as a liability and capitalized approximately $7.1 million of financing fees, related to the issuance which are presented net of the face value of the 2019 Notes on the Condensed Consolidated Balance Sheets.</w:t>
      </w:r>
    </w:p>
    <w:p>
      <w:pPr>
        <w:spacing w:after="0" w:line="163"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The 2019 Notes are senior, unsecured obligations of the Company, and are convertible into shares of its common stock based on a conversion rate of 18.8072 shares per $1,000 principal amount of 2019 Notes which is equivalent to an initial conversion price of approximately $53.17 per share. The Company will satisfy any conversion of the 2019 Notes with shares of the Company’s common stock. The 2019 Notes are convertible at the note holders’ option prior to their maturity and if specified corporate transactions occur. The issue price of the 2019 Notes was equal to their face amount.</w:t>
      </w:r>
    </w:p>
    <w:p>
      <w:pPr>
        <w:spacing w:after="0" w:line="179"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Holders of the 2019 Notes who convert their notes in connection with a qualifying fundamental change, as defined in the related indenture, may be entitled to a make-whole premium in the form of an increase in the conversion rate. Additionally, following the occurrence of a fundamental change, holders may require that the Company repurchase some or all of the 2019 Notes for cash at a repurchase price equal to 100% of the principal amount of the notes being repurchased, plus accrued and unpaid interest, if any. As of September 30, 2018, none of these conditions existed with respect to the 2019 Notes.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27"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 xml:space="preserve">Included in the definition of a fundamental change is whether the Company’s common stock ceases to be listed or quoted on Nasdaq. In May 2018, trading of the Company’s common stock was suspended on Nasdaq, however, it was not delisted. On September 26, 2018, the Company received notice, that the Nasdaq Listing Qualifications Staff (the “Staff”) approved the listing of its common stock on Nasdaq. The result of this approval caused the suspension of trading in Company’s common stock on The Nasdaq Stock Market to be lifted. For further details see </w:t>
      </w:r>
      <w:r>
        <w:rPr>
          <w:rFonts w:ascii="Arial" w:cs="Arial" w:eastAsia="Arial" w:hAnsi="Arial"/>
          <w:sz w:val="16"/>
          <w:szCs w:val="16"/>
          <w:i w:val="1"/>
          <w:iCs w:val="1"/>
          <w:color w:val="auto"/>
        </w:rPr>
        <w:t>Note 14 - Subsequent Events Review</w:t>
      </w:r>
      <w:r>
        <w:rPr>
          <w:rFonts w:ascii="Arial" w:cs="Arial" w:eastAsia="Arial" w:hAnsi="Arial"/>
          <w:sz w:val="16"/>
          <w:szCs w:val="16"/>
          <w:color w:val="auto"/>
        </w:rPr>
        <w:t>.</w:t>
      </w:r>
    </w:p>
    <w:p>
      <w:pPr>
        <w:spacing w:after="0" w:line="163"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The 2019 Notes are the Company’s direct senior unsecured obligations and rank equal in right of payment to all of the Company’s existing and future unsecured and unsubordinated indebtedness.</w:t>
      </w:r>
    </w:p>
    <w:p>
      <w:pPr>
        <w:spacing w:after="0" w:line="167"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During the three and nine months ended September 30, 2018, interest expense for the Company’s 2019 Notes related to the contractual interest coupon was $0.4 million and $1.3 million, respectively.</w:t>
      </w:r>
    </w:p>
    <w:p>
      <w:pPr>
        <w:spacing w:after="0" w:line="167"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At September 30, 2018, the carrying amount of the liability was $228.8 million and the outstanding principal of the 2019 Notes was $230.0 million, with an effective interest rate of approximately 1.37%. The fair value of the 2019 Notes was $222.9 million at September 30, 2018. The fair value of the liability of the 2019 Notes was determined using a discounted cash flow model based on current market interest rates available to the Company. These inputs are corroborated by observable market data for similar liabilities and therefore classified within Level 2 of the fair-value hierarchy.</w:t>
      </w:r>
    </w:p>
    <w:p>
      <w:pPr>
        <w:spacing w:after="0" w:line="179" w:lineRule="exact"/>
        <w:rPr>
          <w:sz w:val="20"/>
          <w:szCs w:val="20"/>
          <w:color w:val="auto"/>
        </w:rPr>
      </w:pPr>
    </w:p>
    <w:p>
      <w:pPr>
        <w:jc w:val="both"/>
        <w:ind w:firstLine="299"/>
        <w:spacing w:after="0" w:line="267" w:lineRule="auto"/>
        <w:rPr>
          <w:sz w:val="20"/>
          <w:szCs w:val="20"/>
          <w:color w:val="auto"/>
        </w:rPr>
      </w:pPr>
      <w:r>
        <w:rPr>
          <w:rFonts w:ascii="Arial" w:cs="Arial" w:eastAsia="Arial" w:hAnsi="Arial"/>
          <w:sz w:val="16"/>
          <w:szCs w:val="16"/>
          <w:color w:val="auto"/>
        </w:rPr>
        <w:t>The Company is required to meet all SEC filing requirements and deadlines to be compliant with the 2019 Notes. In the event that the Company does not meet the filing requirements, the Company will be in default under the 2019 Notes unless it elects to pay the noteholders additional interest of 0.25% up to 180 days from the date of the notice of default and 0.50% thereafter up to 360 days. The Company may agree to pay additional interest to the holders by notifying holders and the trustee within 90 days from the notice of default. If the Company decides to pay the additional interest but has not remedied its failure to meet all SEC filing requirements within 360 days from the notice of default, it will be in default. If the Company fails to elect to pay the additional interest, it will be in default if it does not remedy its failure to meet all SEC filing requirements within the 90 days from the notice of default.</w:t>
      </w:r>
    </w:p>
    <w:p>
      <w:pPr>
        <w:spacing w:after="0" w:line="168"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6"/>
          <w:szCs w:val="16"/>
          <w:color w:val="auto"/>
        </w:rPr>
        <w:t>The Company received a notice of default from holders of more than 25% of the outstanding principal amount of the 2019 Notes on October 13, 2017. In accordance with the terms of the 2019 Notes, the Company elected to begin paying additional interest starting January 11, 2018 (the 90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following the Company’s receipt of the notice of default). As a result of the Company regaining compliance with its SEC filing requirements, the Company was no longer required to pay the additional interest as of July 9, 2018. The Company was required to record a derivative related to this contingent interest as a liability and expense in its financial statements due to the late filings of the Company’s quarterly reports on Form 10-Q in 2017. At September 30, 2018, the recorded contingent interest derivative liability within accrued expenses was zero as a result of Company regaining compliance with its SEC filing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2019 Notes Notice</w:t>
      </w:r>
    </w:p>
    <w:p>
      <w:pPr>
        <w:spacing w:after="0" w:line="203" w:lineRule="exact"/>
        <w:rPr>
          <w:sz w:val="20"/>
          <w:szCs w:val="20"/>
          <w:color w:val="auto"/>
        </w:rPr>
      </w:pPr>
    </w:p>
    <w:p>
      <w:pPr>
        <w:jc w:val="both"/>
        <w:ind w:firstLine="299"/>
        <w:spacing w:after="0" w:line="266" w:lineRule="auto"/>
        <w:rPr>
          <w:sz w:val="20"/>
          <w:szCs w:val="20"/>
          <w:color w:val="auto"/>
        </w:rPr>
      </w:pPr>
      <w:r>
        <w:rPr>
          <w:rFonts w:ascii="Arial" w:cs="Arial" w:eastAsia="Arial" w:hAnsi="Arial"/>
          <w:sz w:val="16"/>
          <w:szCs w:val="16"/>
          <w:color w:val="auto"/>
        </w:rPr>
        <w:t xml:space="preserve">On June 13, 2018, The Bank of New York Mellon, in its capacity as trustee (the “Trustee”) under the indenture dated as of August 12, 2014 (the “Indenture”) governing for the 2019 Notes, filed a verified complaint with the Court of Chancery of the State of Delaware, captioned The Bank of New York Mellon, as Indenture Trustee v. Synchronoss Technologies, Inc. (the “BNY Action”). The BNY Action complaint alleges that a “Fundamental Change” has occurred under the Indenture as a result of the Company’s Common Stock ceasing to be listed or quoted on Nasdaq and that an event of default under the Indenture has occurred as a result of the Company’s failure to provide a notice of such Fundamental Change which, if true, following notice from holders of more than 25% of the outstanding principal under the Notes would trigger the acceleration of the principal and interest outstanding under the 2019 Notes, which otherwise mature on August 15, 2019. On November 2018, the parties filed a stipulation of dismissal of the BNY Action. For further details, see </w:t>
      </w:r>
      <w:r>
        <w:rPr>
          <w:rFonts w:ascii="Arial" w:cs="Arial" w:eastAsia="Arial" w:hAnsi="Arial"/>
          <w:sz w:val="16"/>
          <w:szCs w:val="16"/>
          <w:i w:val="1"/>
          <w:iCs w:val="1"/>
          <w:color w:val="auto"/>
        </w:rPr>
        <w:t>Note 14 - Subsequent Events Review</w:t>
      </w:r>
      <w:r>
        <w:rPr>
          <w:rFonts w:ascii="Arial" w:cs="Arial" w:eastAsia="Arial" w:hAnsi="Arial"/>
          <w:sz w:val="16"/>
          <w:szCs w:val="16"/>
          <w:color w:val="auto"/>
        </w:rPr>
        <w:t>.</w:t>
      </w:r>
    </w:p>
    <w:p>
      <w:pPr>
        <w:spacing w:after="0" w:line="168"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 xml:space="preserve">On November 2, 2018, the Company retired $116.0 million of 2019 Notes as a part of settlement agreement entered into on November 1, 2018, among the Company, Indaba Capital Fund, L.P. (“Indaba”) and Westwood Management Corp. (“Westwood”) related to the BNY Action. For further details see </w:t>
      </w:r>
      <w:r>
        <w:rPr>
          <w:rFonts w:ascii="Arial" w:cs="Arial" w:eastAsia="Arial" w:hAnsi="Arial"/>
          <w:sz w:val="17"/>
          <w:szCs w:val="17"/>
          <w:i w:val="1"/>
          <w:iCs w:val="1"/>
          <w:color w:val="auto"/>
        </w:rPr>
        <w:t>Note 12 - Commitments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Contingencies</w:t>
      </w:r>
      <w:r>
        <w:rPr>
          <w:rFonts w:ascii="Arial" w:cs="Arial" w:eastAsia="Arial" w:hAnsi="Arial"/>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127"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the Company’s interest expense: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420" w:type="dxa"/>
            <w:vAlign w:val="bottom"/>
            <w:gridSpan w:val="6"/>
          </w:tcPr>
          <w:p>
            <w:pPr>
              <w:ind w:left="520"/>
              <w:spacing w:after="0"/>
              <w:rPr>
                <w:sz w:val="20"/>
                <w:szCs w:val="20"/>
                <w:color w:val="auto"/>
              </w:rPr>
            </w:pPr>
            <w:r>
              <w:rPr>
                <w:rFonts w:ascii="Arial" w:cs="Arial" w:eastAsia="Arial" w:hAnsi="Arial"/>
                <w:sz w:val="15"/>
                <w:szCs w:val="15"/>
                <w:b w:val="1"/>
                <w:bCs w:val="1"/>
                <w:color w:val="auto"/>
              </w:rPr>
              <w:t>Three Months Ended September 30,</w:t>
            </w:r>
          </w:p>
        </w:tc>
        <w:tc>
          <w:tcPr>
            <w:tcW w:w="340" w:type="dxa"/>
            <w:vAlign w:val="bottom"/>
          </w:tcPr>
          <w:p>
            <w:pPr>
              <w:spacing w:after="0"/>
              <w:rPr>
                <w:sz w:val="16"/>
                <w:szCs w:val="16"/>
                <w:color w:val="auto"/>
              </w:rPr>
            </w:pPr>
          </w:p>
        </w:tc>
        <w:tc>
          <w:tcPr>
            <w:tcW w:w="2960" w:type="dxa"/>
            <w:vAlign w:val="bottom"/>
            <w:gridSpan w:val="4"/>
          </w:tcPr>
          <w:p>
            <w:pPr>
              <w:jc w:val="right"/>
              <w:ind w:right="437"/>
              <w:spacing w:after="0"/>
              <w:rPr>
                <w:sz w:val="20"/>
                <w:szCs w:val="20"/>
                <w:color w:val="auto"/>
              </w:rPr>
            </w:pPr>
            <w:r>
              <w:rPr>
                <w:rFonts w:ascii="Arial" w:cs="Arial" w:eastAsia="Arial" w:hAnsi="Arial"/>
                <w:sz w:val="15"/>
                <w:szCs w:val="15"/>
                <w:b w:val="1"/>
                <w:bCs w:val="1"/>
                <w:color w:val="auto"/>
                <w:w w:val="98"/>
              </w:rPr>
              <w:t>Nine Months Ended September 30,</w:t>
            </w:r>
          </w:p>
        </w:tc>
      </w:tr>
      <w:tr>
        <w:trPr>
          <w:trHeight w:val="31"/>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1"/>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5"/>
                <w:szCs w:val="15"/>
                <w:b w:val="1"/>
                <w:bCs w:val="1"/>
                <w:color w:val="auto"/>
              </w:rPr>
              <w:t>2018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77"/>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558"/>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57"/>
              <w:spacing w:after="0"/>
              <w:rPr>
                <w:sz w:val="20"/>
                <w:szCs w:val="20"/>
                <w:color w:val="auto"/>
              </w:rPr>
            </w:pPr>
            <w:r>
              <w:rPr>
                <w:rFonts w:ascii="Arial" w:cs="Arial" w:eastAsia="Arial" w:hAnsi="Arial"/>
                <w:sz w:val="15"/>
                <w:szCs w:val="15"/>
                <w:b w:val="1"/>
                <w:bCs w:val="1"/>
                <w:color w:val="auto"/>
              </w:rPr>
              <w:t>2017</w:t>
            </w:r>
          </w:p>
        </w:tc>
      </w:tr>
      <w:tr>
        <w:trPr>
          <w:trHeight w:val="31"/>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gridSpan w:val="3"/>
            <w:shd w:val="clear" w:color="auto" w:fill="CCEEFF"/>
          </w:tcPr>
          <w:p>
            <w:pPr>
              <w:spacing w:after="0" w:line="187" w:lineRule="exact"/>
              <w:rPr>
                <w:sz w:val="20"/>
                <w:szCs w:val="20"/>
                <w:color w:val="auto"/>
              </w:rPr>
            </w:pPr>
            <w:r>
              <w:rPr>
                <w:rFonts w:ascii="Arial" w:cs="Arial" w:eastAsia="Arial" w:hAnsi="Arial"/>
                <w:sz w:val="17"/>
                <w:szCs w:val="17"/>
                <w:color w:val="auto"/>
                <w:w w:val="90"/>
              </w:rPr>
              <w:t>Amended Credit Facility</w:t>
            </w:r>
          </w:p>
        </w:tc>
        <w:tc>
          <w:tcPr>
            <w:tcW w:w="3020" w:type="dxa"/>
            <w:vAlign w:val="bottom"/>
            <w:tcBorders>
              <w:bottom w:val="single" w:sz="8" w:color="CCEEFF"/>
            </w:tcBorders>
            <w:gridSpan w:val="2"/>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4680" w:type="dxa"/>
            <w:vAlign w:val="bottom"/>
            <w:gridSpan w:val="5"/>
          </w:tcPr>
          <w:p>
            <w:pPr>
              <w:ind w:left="220"/>
              <w:spacing w:after="0"/>
              <w:rPr>
                <w:sz w:val="20"/>
                <w:szCs w:val="20"/>
                <w:color w:val="auto"/>
              </w:rPr>
            </w:pPr>
            <w:r>
              <w:rPr>
                <w:rFonts w:ascii="Arial" w:cs="Arial" w:eastAsia="Arial" w:hAnsi="Arial"/>
                <w:sz w:val="17"/>
                <w:szCs w:val="17"/>
                <w:color w:val="auto"/>
              </w:rPr>
              <w:t>Amortization of debt issuance costs</w:t>
            </w:r>
          </w:p>
        </w:tc>
        <w:tc>
          <w:tcPr>
            <w:tcW w:w="1040" w:type="dxa"/>
            <w:vAlign w:val="bottom"/>
          </w:tcPr>
          <w:p>
            <w:pPr>
              <w:jc w:val="right"/>
              <w:ind w:right="861"/>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748</w:t>
            </w:r>
          </w:p>
        </w:tc>
      </w:tr>
      <w:tr>
        <w:trPr>
          <w:trHeight w:val="25"/>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68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7"/>
                <w:szCs w:val="17"/>
                <w:color w:val="auto"/>
              </w:rPr>
              <w:t>Commitment fee</w:t>
            </w:r>
          </w:p>
        </w:tc>
        <w:tc>
          <w:tcPr>
            <w:tcW w:w="10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25</w:t>
            </w:r>
          </w:p>
        </w:tc>
      </w:tr>
      <w:tr>
        <w:trPr>
          <w:trHeight w:val="224"/>
        </w:trPr>
        <w:tc>
          <w:tcPr>
            <w:tcW w:w="20" w:type="dxa"/>
            <w:vAlign w:val="bottom"/>
          </w:tcPr>
          <w:p>
            <w:pPr>
              <w:spacing w:after="0"/>
              <w:rPr>
                <w:sz w:val="19"/>
                <w:szCs w:val="19"/>
                <w:color w:val="auto"/>
              </w:rPr>
            </w:pPr>
          </w:p>
        </w:tc>
        <w:tc>
          <w:tcPr>
            <w:tcW w:w="4680" w:type="dxa"/>
            <w:vAlign w:val="bottom"/>
            <w:gridSpan w:val="5"/>
          </w:tcPr>
          <w:p>
            <w:pPr>
              <w:ind w:left="220"/>
              <w:spacing w:after="0"/>
              <w:rPr>
                <w:sz w:val="20"/>
                <w:szCs w:val="20"/>
                <w:color w:val="auto"/>
              </w:rPr>
            </w:pPr>
            <w:r>
              <w:rPr>
                <w:rFonts w:ascii="Arial" w:cs="Arial" w:eastAsia="Arial" w:hAnsi="Arial"/>
                <w:sz w:val="17"/>
                <w:szCs w:val="17"/>
                <w:color w:val="auto"/>
              </w:rPr>
              <w:t>Interest on borrowings</w:t>
            </w:r>
          </w:p>
        </w:tc>
        <w:tc>
          <w:tcPr>
            <w:tcW w:w="104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24</w:t>
            </w:r>
          </w:p>
        </w:tc>
      </w:tr>
      <w:tr>
        <w:trPr>
          <w:trHeight w:val="25"/>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spacing w:after="0" w:line="187" w:lineRule="exact"/>
              <w:rPr>
                <w:sz w:val="20"/>
                <w:szCs w:val="20"/>
                <w:color w:val="auto"/>
              </w:rPr>
            </w:pPr>
            <w:r>
              <w:rPr>
                <w:rFonts w:ascii="Arial" w:cs="Arial" w:eastAsia="Arial" w:hAnsi="Arial"/>
                <w:sz w:val="17"/>
                <w:szCs w:val="17"/>
                <w:color w:val="auto"/>
                <w:w w:val="90"/>
              </w:rPr>
              <w:t>2017 Term Facility</w:t>
            </w:r>
          </w:p>
        </w:tc>
        <w:tc>
          <w:tcPr>
            <w:tcW w:w="3400" w:type="dxa"/>
            <w:vAlign w:val="bottom"/>
            <w:tcBorders>
              <w:bottom w:val="single" w:sz="8" w:color="CCEEFF"/>
            </w:tcBorders>
            <w:gridSpan w:val="3"/>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4680" w:type="dxa"/>
            <w:vAlign w:val="bottom"/>
            <w:gridSpan w:val="5"/>
          </w:tcPr>
          <w:p>
            <w:pPr>
              <w:ind w:left="220"/>
              <w:spacing w:after="0"/>
              <w:rPr>
                <w:sz w:val="20"/>
                <w:szCs w:val="20"/>
                <w:color w:val="auto"/>
              </w:rPr>
            </w:pPr>
            <w:r>
              <w:rPr>
                <w:rFonts w:ascii="Arial" w:cs="Arial" w:eastAsia="Arial" w:hAnsi="Arial"/>
                <w:sz w:val="17"/>
                <w:szCs w:val="17"/>
                <w:color w:val="auto"/>
              </w:rPr>
              <w:t>Amortization of debt issuance costs</w:t>
            </w:r>
          </w:p>
        </w:tc>
        <w:tc>
          <w:tcPr>
            <w:tcW w:w="104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20" w:type="dxa"/>
            <w:vAlign w:val="bottom"/>
          </w:tcPr>
          <w:p>
            <w:pPr>
              <w:jc w:val="right"/>
              <w:ind w:right="37"/>
              <w:spacing w:after="0"/>
              <w:rPr>
                <w:sz w:val="20"/>
                <w:szCs w:val="20"/>
                <w:color w:val="auto"/>
              </w:rPr>
            </w:pPr>
            <w:r>
              <w:rPr>
                <w:rFonts w:ascii="Arial" w:cs="Arial" w:eastAsia="Arial" w:hAnsi="Arial"/>
                <w:sz w:val="17"/>
                <w:szCs w:val="17"/>
                <w:color w:val="auto"/>
              </w:rPr>
              <w:t>1,021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2,376</w:t>
            </w:r>
          </w:p>
        </w:tc>
      </w:tr>
      <w:tr>
        <w:trPr>
          <w:trHeight w:val="25"/>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68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7"/>
                <w:szCs w:val="17"/>
                <w:color w:val="auto"/>
              </w:rPr>
              <w:t>Interest on borrowings</w:t>
            </w:r>
          </w:p>
        </w:tc>
        <w:tc>
          <w:tcPr>
            <w:tcW w:w="10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12,411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29,047</w:t>
            </w:r>
          </w:p>
        </w:tc>
      </w:tr>
      <w:tr>
        <w:trPr>
          <w:trHeight w:val="224"/>
        </w:trPr>
        <w:tc>
          <w:tcPr>
            <w:tcW w:w="20" w:type="dxa"/>
            <w:vAlign w:val="bottom"/>
          </w:tcPr>
          <w:p>
            <w:pPr>
              <w:spacing w:after="0"/>
              <w:rPr>
                <w:sz w:val="19"/>
                <w:szCs w:val="19"/>
                <w:color w:val="auto"/>
              </w:rPr>
            </w:pPr>
          </w:p>
        </w:tc>
        <w:tc>
          <w:tcPr>
            <w:tcW w:w="4680" w:type="dxa"/>
            <w:vAlign w:val="bottom"/>
            <w:gridSpan w:val="5"/>
          </w:tcPr>
          <w:p>
            <w:pPr>
              <w:ind w:left="220"/>
              <w:spacing w:after="0"/>
              <w:rPr>
                <w:sz w:val="20"/>
                <w:szCs w:val="20"/>
                <w:color w:val="auto"/>
              </w:rPr>
            </w:pPr>
            <w:r>
              <w:rPr>
                <w:rFonts w:ascii="Arial" w:cs="Arial" w:eastAsia="Arial" w:hAnsi="Arial"/>
                <w:sz w:val="17"/>
                <w:szCs w:val="17"/>
                <w:color w:val="auto"/>
              </w:rPr>
              <w:t>Contingent Interest Derivative</w:t>
            </w:r>
          </w:p>
        </w:tc>
        <w:tc>
          <w:tcPr>
            <w:tcW w:w="104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20" w:type="dxa"/>
            <w:vAlign w:val="bottom"/>
          </w:tcPr>
          <w:p>
            <w:pPr>
              <w:jc w:val="right"/>
              <w:ind w:right="37"/>
              <w:spacing w:after="0"/>
              <w:rPr>
                <w:sz w:val="20"/>
                <w:szCs w:val="20"/>
                <w:color w:val="auto"/>
              </w:rPr>
            </w:pPr>
            <w:r>
              <w:rPr>
                <w:rFonts w:ascii="Arial" w:cs="Arial" w:eastAsia="Arial" w:hAnsi="Arial"/>
                <w:sz w:val="17"/>
                <w:szCs w:val="17"/>
                <w:color w:val="auto"/>
              </w:rPr>
              <w:t>2,489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2,489</w:t>
            </w:r>
          </w:p>
        </w:tc>
      </w:tr>
      <w:tr>
        <w:trPr>
          <w:trHeight w:val="25"/>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68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7"/>
                <w:szCs w:val="17"/>
                <w:color w:val="auto"/>
              </w:rPr>
              <w:t>Amendment fees paid to third parties</w:t>
            </w:r>
          </w:p>
        </w:tc>
        <w:tc>
          <w:tcPr>
            <w:tcW w:w="10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5,716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5,716</w:t>
            </w:r>
          </w:p>
        </w:tc>
      </w:tr>
      <w:tr>
        <w:trPr>
          <w:trHeight w:val="187"/>
        </w:trPr>
        <w:tc>
          <w:tcPr>
            <w:tcW w:w="4700" w:type="dxa"/>
            <w:vAlign w:val="bottom"/>
            <w:gridSpan w:val="6"/>
          </w:tcPr>
          <w:p>
            <w:pPr>
              <w:ind w:left="20"/>
              <w:spacing w:after="0" w:line="187" w:lineRule="exact"/>
              <w:rPr>
                <w:sz w:val="20"/>
                <w:szCs w:val="20"/>
                <w:color w:val="auto"/>
              </w:rPr>
            </w:pPr>
            <w:r>
              <w:rPr>
                <w:rFonts w:ascii="Arial" w:cs="Arial" w:eastAsia="Arial" w:hAnsi="Arial"/>
                <w:sz w:val="17"/>
                <w:szCs w:val="17"/>
                <w:color w:val="auto"/>
              </w:rPr>
              <w:t>Revolving Facility</w:t>
            </w: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68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7"/>
                <w:szCs w:val="17"/>
                <w:color w:val="auto"/>
              </w:rPr>
              <w:t>Amortization of debt issuance costs</w:t>
            </w:r>
          </w:p>
        </w:tc>
        <w:tc>
          <w:tcPr>
            <w:tcW w:w="10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204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542</w:t>
            </w:r>
          </w:p>
        </w:tc>
      </w:tr>
      <w:tr>
        <w:trPr>
          <w:trHeight w:val="224"/>
        </w:trPr>
        <w:tc>
          <w:tcPr>
            <w:tcW w:w="20" w:type="dxa"/>
            <w:vAlign w:val="bottom"/>
          </w:tcPr>
          <w:p>
            <w:pPr>
              <w:spacing w:after="0"/>
              <w:rPr>
                <w:sz w:val="19"/>
                <w:szCs w:val="19"/>
                <w:color w:val="auto"/>
              </w:rPr>
            </w:pPr>
          </w:p>
        </w:tc>
        <w:tc>
          <w:tcPr>
            <w:tcW w:w="4680" w:type="dxa"/>
            <w:vAlign w:val="bottom"/>
            <w:gridSpan w:val="5"/>
          </w:tcPr>
          <w:p>
            <w:pPr>
              <w:ind w:left="220"/>
              <w:spacing w:after="0"/>
              <w:rPr>
                <w:sz w:val="20"/>
                <w:szCs w:val="20"/>
                <w:color w:val="auto"/>
              </w:rPr>
            </w:pPr>
            <w:r>
              <w:rPr>
                <w:rFonts w:ascii="Arial" w:cs="Arial" w:eastAsia="Arial" w:hAnsi="Arial"/>
                <w:sz w:val="17"/>
                <w:szCs w:val="17"/>
                <w:color w:val="auto"/>
              </w:rPr>
              <w:t>Commitment fee</w:t>
            </w:r>
          </w:p>
        </w:tc>
        <w:tc>
          <w:tcPr>
            <w:tcW w:w="104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20" w:type="dxa"/>
            <w:vAlign w:val="bottom"/>
          </w:tcPr>
          <w:p>
            <w:pPr>
              <w:jc w:val="right"/>
              <w:ind w:right="37"/>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448</w:t>
            </w:r>
          </w:p>
        </w:tc>
      </w:tr>
      <w:tr>
        <w:trPr>
          <w:trHeight w:val="25"/>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68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7"/>
                <w:szCs w:val="17"/>
                <w:color w:val="auto"/>
              </w:rPr>
              <w:t>Amendment fees paid to third parties</w:t>
            </w:r>
          </w:p>
        </w:tc>
        <w:tc>
          <w:tcPr>
            <w:tcW w:w="10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1,662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1,662</w:t>
            </w:r>
          </w:p>
        </w:tc>
      </w:tr>
      <w:tr>
        <w:trPr>
          <w:trHeight w:val="187"/>
        </w:trPr>
        <w:tc>
          <w:tcPr>
            <w:tcW w:w="4700" w:type="dxa"/>
            <w:vAlign w:val="bottom"/>
            <w:gridSpan w:val="6"/>
          </w:tcPr>
          <w:p>
            <w:pPr>
              <w:ind w:left="20"/>
              <w:spacing w:after="0" w:line="187" w:lineRule="exact"/>
              <w:rPr>
                <w:sz w:val="20"/>
                <w:szCs w:val="20"/>
                <w:color w:val="auto"/>
              </w:rPr>
            </w:pPr>
            <w:r>
              <w:rPr>
                <w:rFonts w:ascii="Arial" w:cs="Arial" w:eastAsia="Arial" w:hAnsi="Arial"/>
                <w:sz w:val="17"/>
                <w:szCs w:val="17"/>
                <w:color w:val="auto"/>
              </w:rPr>
              <w:t>Convertible Senior Notes</w:t>
            </w: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68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7"/>
                <w:szCs w:val="17"/>
                <w:color w:val="auto"/>
              </w:rPr>
              <w:t>Amortization of debt issuance costs</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354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354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1,060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1,060</w:t>
            </w:r>
          </w:p>
        </w:tc>
      </w:tr>
      <w:tr>
        <w:trPr>
          <w:trHeight w:val="224"/>
        </w:trPr>
        <w:tc>
          <w:tcPr>
            <w:tcW w:w="20" w:type="dxa"/>
            <w:vAlign w:val="bottom"/>
          </w:tcPr>
          <w:p>
            <w:pPr>
              <w:spacing w:after="0"/>
              <w:rPr>
                <w:sz w:val="19"/>
                <w:szCs w:val="19"/>
                <w:color w:val="auto"/>
              </w:rPr>
            </w:pPr>
          </w:p>
        </w:tc>
        <w:tc>
          <w:tcPr>
            <w:tcW w:w="4680" w:type="dxa"/>
            <w:vAlign w:val="bottom"/>
            <w:gridSpan w:val="5"/>
          </w:tcPr>
          <w:p>
            <w:pPr>
              <w:ind w:left="220"/>
              <w:spacing w:after="0"/>
              <w:rPr>
                <w:sz w:val="20"/>
                <w:szCs w:val="20"/>
                <w:color w:val="auto"/>
              </w:rPr>
            </w:pPr>
            <w:r>
              <w:rPr>
                <w:rFonts w:ascii="Arial" w:cs="Arial" w:eastAsia="Arial" w:hAnsi="Arial"/>
                <w:sz w:val="17"/>
                <w:szCs w:val="17"/>
                <w:color w:val="auto"/>
              </w:rPr>
              <w:t>Interest on borrowings</w:t>
            </w:r>
          </w:p>
        </w:tc>
        <w:tc>
          <w:tcPr>
            <w:tcW w:w="1040" w:type="dxa"/>
            <w:vAlign w:val="bottom"/>
          </w:tcPr>
          <w:p>
            <w:pPr>
              <w:spacing w:after="0"/>
              <w:rPr>
                <w:sz w:val="19"/>
                <w:szCs w:val="19"/>
                <w:color w:val="auto"/>
              </w:rPr>
            </w:pPr>
          </w:p>
        </w:tc>
        <w:tc>
          <w:tcPr>
            <w:tcW w:w="560" w:type="dxa"/>
            <w:vAlign w:val="bottom"/>
          </w:tcPr>
          <w:p>
            <w:pPr>
              <w:jc w:val="right"/>
              <w:ind w:right="17"/>
              <w:spacing w:after="0"/>
              <w:rPr>
                <w:sz w:val="20"/>
                <w:szCs w:val="20"/>
                <w:color w:val="auto"/>
              </w:rPr>
            </w:pPr>
            <w:r>
              <w:rPr>
                <w:rFonts w:ascii="Arial" w:cs="Arial" w:eastAsia="Arial" w:hAnsi="Arial"/>
                <w:sz w:val="17"/>
                <w:szCs w:val="17"/>
                <w:color w:val="auto"/>
              </w:rPr>
              <w:t>430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37"/>
              <w:spacing w:after="0"/>
              <w:rPr>
                <w:sz w:val="20"/>
                <w:szCs w:val="20"/>
                <w:color w:val="auto"/>
              </w:rPr>
            </w:pPr>
            <w:r>
              <w:rPr>
                <w:rFonts w:ascii="Arial" w:cs="Arial" w:eastAsia="Arial" w:hAnsi="Arial"/>
                <w:sz w:val="17"/>
                <w:szCs w:val="17"/>
                <w:color w:val="auto"/>
              </w:rPr>
              <w:t>431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1,292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1,294</w:t>
            </w:r>
          </w:p>
        </w:tc>
      </w:tr>
      <w:tr>
        <w:trPr>
          <w:trHeight w:val="25"/>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68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7"/>
                <w:szCs w:val="17"/>
                <w:color w:val="auto"/>
              </w:rPr>
              <w:t>Additional interest on default</w:t>
            </w:r>
          </w:p>
        </w:tc>
        <w:tc>
          <w:tcPr>
            <w:tcW w:w="10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192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288</w:t>
            </w:r>
          </w:p>
        </w:tc>
      </w:tr>
      <w:tr>
        <w:trPr>
          <w:trHeight w:val="224"/>
        </w:trPr>
        <w:tc>
          <w:tcPr>
            <w:tcW w:w="4700" w:type="dxa"/>
            <w:vAlign w:val="bottom"/>
            <w:gridSpan w:val="6"/>
          </w:tcPr>
          <w:p>
            <w:pPr>
              <w:ind w:left="20"/>
              <w:spacing w:after="0"/>
              <w:rPr>
                <w:sz w:val="20"/>
                <w:szCs w:val="20"/>
                <w:color w:val="auto"/>
              </w:rPr>
            </w:pPr>
            <w:r>
              <w:rPr>
                <w:rFonts w:ascii="Arial" w:cs="Arial" w:eastAsia="Arial" w:hAnsi="Arial"/>
                <w:sz w:val="17"/>
                <w:szCs w:val="17"/>
                <w:color w:val="auto"/>
              </w:rPr>
              <w:t>Capital leases</w:t>
            </w:r>
          </w:p>
        </w:tc>
        <w:tc>
          <w:tcPr>
            <w:tcW w:w="1040" w:type="dxa"/>
            <w:vAlign w:val="bottom"/>
          </w:tcPr>
          <w:p>
            <w:pPr>
              <w:spacing w:after="0"/>
              <w:rPr>
                <w:sz w:val="19"/>
                <w:szCs w:val="19"/>
                <w:color w:val="auto"/>
              </w:rPr>
            </w:pPr>
          </w:p>
        </w:tc>
        <w:tc>
          <w:tcPr>
            <w:tcW w:w="560" w:type="dxa"/>
            <w:vAlign w:val="bottom"/>
          </w:tcPr>
          <w:p>
            <w:pPr>
              <w:jc w:val="right"/>
              <w:ind w:right="17"/>
              <w:spacing w:after="0"/>
              <w:rPr>
                <w:sz w:val="20"/>
                <w:szCs w:val="20"/>
                <w:color w:val="auto"/>
              </w:rPr>
            </w:pPr>
            <w:r>
              <w:rPr>
                <w:rFonts w:ascii="Arial" w:cs="Arial" w:eastAsia="Arial" w:hAnsi="Arial"/>
                <w:sz w:val="17"/>
                <w:szCs w:val="17"/>
                <w:color w:val="auto"/>
              </w:rPr>
              <w:t>241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37"/>
              <w:spacing w:after="0"/>
              <w:rPr>
                <w:sz w:val="20"/>
                <w:szCs w:val="20"/>
                <w:color w:val="auto"/>
              </w:rPr>
            </w:pPr>
            <w:r>
              <w:rPr>
                <w:rFonts w:ascii="Arial" w:cs="Arial" w:eastAsia="Arial" w:hAnsi="Arial"/>
                <w:sz w:val="17"/>
                <w:szCs w:val="17"/>
                <w:color w:val="auto"/>
              </w:rPr>
              <w:t>243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724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729</w:t>
            </w:r>
          </w:p>
        </w:tc>
      </w:tr>
      <w:tr>
        <w:trPr>
          <w:trHeight w:val="25"/>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9"/>
        </w:trPr>
        <w:tc>
          <w:tcPr>
            <w:tcW w:w="47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1,568</w:t>
            </w:r>
          </w:p>
        </w:tc>
      </w:tr>
      <w:tr>
        <w:trPr>
          <w:trHeight w:val="236"/>
        </w:trPr>
        <w:tc>
          <w:tcPr>
            <w:tcW w:w="4700" w:type="dxa"/>
            <w:vAlign w:val="bottom"/>
            <w:gridSpan w:val="6"/>
          </w:tcPr>
          <w:p>
            <w:pPr>
              <w:ind w:left="20"/>
              <w:spacing w:after="0"/>
              <w:rPr>
                <w:sz w:val="20"/>
                <w:szCs w:val="20"/>
                <w:color w:val="auto"/>
              </w:rPr>
            </w:pPr>
            <w:r>
              <w:rPr>
                <w:rFonts w:ascii="Arial" w:cs="Arial" w:eastAsia="Arial" w:hAnsi="Arial"/>
                <w:sz w:val="17"/>
                <w:szCs w:val="17"/>
                <w:color w:val="auto"/>
              </w:rPr>
              <w:t>Total</w:t>
            </w:r>
          </w:p>
        </w:tc>
        <w:tc>
          <w:tcPr>
            <w:tcW w:w="1040" w:type="dxa"/>
            <w:vAlign w:val="bottom"/>
            <w:tcBorders>
              <w:top w:val="single" w:sz="8" w:color="auto"/>
              <w:bottom w:val="single" w:sz="8" w:color="auto"/>
            </w:tcBorders>
          </w:tcPr>
          <w:p>
            <w:pPr>
              <w:jc w:val="right"/>
              <w:ind w:right="861"/>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1,370</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25,555</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rPr>
              <w:t>3,935</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48,016</w:t>
            </w: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Accumulated Other Comprehensive Income/ (Loss)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changes in accumulated other comprehensive (loss) during the nine months ended September 30, 2018,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2"/>
              </w:rPr>
              <w:t>Unrealized</w:t>
            </w: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7"/>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8"/>
              </w:rPr>
              <w:t>(Loss)</w:t>
            </w: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7"/>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0"/>
              </w:rPr>
              <w:t>Income on</w:t>
            </w:r>
          </w:p>
        </w:tc>
        <w:tc>
          <w:tcPr>
            <w:tcW w:w="14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Unrealized Holding</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7"/>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8"/>
              </w:rPr>
              <w:t>Intra-Entity</w:t>
            </w:r>
          </w:p>
        </w:tc>
        <w:tc>
          <w:tcPr>
            <w:tcW w:w="14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Gains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7"/>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0"/>
              </w:rPr>
              <w:t>Foreign</w:t>
            </w:r>
          </w:p>
        </w:tc>
        <w:tc>
          <w:tcPr>
            <w:tcW w:w="14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5"/>
              </w:rPr>
              <w:t>(Losses) on</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7"/>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5"/>
                <w:szCs w:val="15"/>
                <w:b w:val="1"/>
                <w:bCs w:val="1"/>
                <w:color w:val="auto"/>
              </w:rPr>
              <w:t>Foreign Currency</w:t>
            </w:r>
          </w:p>
        </w:tc>
        <w:tc>
          <w:tcPr>
            <w:tcW w:w="24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4"/>
              </w:rPr>
              <w:t>Currency</w:t>
            </w:r>
          </w:p>
        </w:tc>
        <w:tc>
          <w:tcPr>
            <w:tcW w:w="14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Available-for-Sale</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3"/>
        </w:trPr>
        <w:tc>
          <w:tcPr>
            <w:tcW w:w="4680" w:type="dxa"/>
            <w:vAlign w:val="bottom"/>
          </w:tcPr>
          <w:p>
            <w:pPr>
              <w:spacing w:after="0"/>
              <w:rPr>
                <w:sz w:val="16"/>
                <w:szCs w:val="16"/>
                <w:color w:val="auto"/>
              </w:rPr>
            </w:pPr>
          </w:p>
        </w:tc>
        <w:tc>
          <w:tcPr>
            <w:tcW w:w="1740" w:type="dxa"/>
            <w:vAlign w:val="bottom"/>
            <w:gridSpan w:val="3"/>
          </w:tcPr>
          <w:p>
            <w:pPr>
              <w:ind w:left="60"/>
              <w:spacing w:after="0"/>
              <w:rPr>
                <w:sz w:val="20"/>
                <w:szCs w:val="20"/>
                <w:color w:val="auto"/>
              </w:rPr>
            </w:pPr>
            <w:r>
              <w:rPr>
                <w:rFonts w:ascii="Arial" w:cs="Arial" w:eastAsia="Arial" w:hAnsi="Arial"/>
                <w:sz w:val="15"/>
                <w:szCs w:val="15"/>
                <w:b w:val="1"/>
                <w:bCs w:val="1"/>
                <w:color w:val="auto"/>
                <w:w w:val="99"/>
              </w:rPr>
              <w:t>Translation Adjustment</w:t>
            </w:r>
          </w:p>
        </w:tc>
        <w:tc>
          <w:tcPr>
            <w:tcW w:w="24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7"/>
              </w:rPr>
              <w:t>Transactions</w:t>
            </w:r>
          </w:p>
        </w:tc>
        <w:tc>
          <w:tcPr>
            <w:tcW w:w="14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6"/>
              </w:rPr>
              <w:t>Securities</w:t>
            </w:r>
          </w:p>
        </w:tc>
        <w:tc>
          <w:tcPr>
            <w:tcW w:w="360" w:type="dxa"/>
            <w:vAlign w:val="bottom"/>
          </w:tcPr>
          <w:p>
            <w:pPr>
              <w:spacing w:after="0"/>
              <w:rPr>
                <w:sz w:val="16"/>
                <w:szCs w:val="16"/>
                <w:color w:val="auto"/>
              </w:rPr>
            </w:pPr>
          </w:p>
        </w:tc>
        <w:tc>
          <w:tcPr>
            <w:tcW w:w="1220" w:type="dxa"/>
            <w:vAlign w:val="bottom"/>
          </w:tcPr>
          <w:p>
            <w:pPr>
              <w:jc w:val="right"/>
              <w:ind w:right="538"/>
              <w:spacing w:after="0"/>
              <w:rPr>
                <w:sz w:val="20"/>
                <w:szCs w:val="20"/>
                <w:color w:val="auto"/>
              </w:rPr>
            </w:pPr>
            <w:r>
              <w:rPr>
                <w:rFonts w:ascii="Arial" w:cs="Arial" w:eastAsia="Arial" w:hAnsi="Arial"/>
                <w:sz w:val="15"/>
                <w:szCs w:val="15"/>
                <w:b w:val="1"/>
                <w:bCs w:val="1"/>
                <w:color w:val="auto"/>
              </w:rPr>
              <w:t>Total</w:t>
            </w:r>
          </w:p>
        </w:tc>
      </w:tr>
      <w:tr>
        <w:trPr>
          <w:trHeight w:val="31"/>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Balance at December 31, 2017</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(20,284)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(3,085)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(23,373)</w:t>
            </w:r>
          </w:p>
        </w:tc>
      </w:tr>
      <w:tr>
        <w:trPr>
          <w:trHeight w:val="224"/>
        </w:trPr>
        <w:tc>
          <w:tcPr>
            <w:tcW w:w="4680" w:type="dxa"/>
            <w:vAlign w:val="bottom"/>
          </w:tcPr>
          <w:p>
            <w:pPr>
              <w:ind w:left="240"/>
              <w:spacing w:after="0"/>
              <w:rPr>
                <w:sz w:val="20"/>
                <w:szCs w:val="20"/>
                <w:color w:val="auto"/>
              </w:rPr>
            </w:pPr>
            <w:r>
              <w:rPr>
                <w:rFonts w:ascii="Arial" w:cs="Arial" w:eastAsia="Arial" w:hAnsi="Arial"/>
                <w:sz w:val="17"/>
                <w:szCs w:val="17"/>
                <w:color w:val="auto"/>
              </w:rPr>
              <w:t>Other comprehensive income</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(6,529)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(7,464)</w:t>
            </w:r>
          </w:p>
        </w:tc>
      </w:tr>
      <w:tr>
        <w:trPr>
          <w:trHeight w:val="25"/>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9"/>
        </w:trPr>
        <w:tc>
          <w:tcPr>
            <w:tcW w:w="4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Tax effect</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280</w:t>
            </w:r>
          </w:p>
        </w:tc>
      </w:tr>
      <w:tr>
        <w:trPr>
          <w:trHeight w:val="217"/>
        </w:trPr>
        <w:tc>
          <w:tcPr>
            <w:tcW w:w="4680" w:type="dxa"/>
            <w:vAlign w:val="bottom"/>
          </w:tcPr>
          <w:p>
            <w:pPr>
              <w:ind w:left="140"/>
              <w:spacing w:after="0"/>
              <w:rPr>
                <w:sz w:val="20"/>
                <w:szCs w:val="20"/>
                <w:color w:val="auto"/>
              </w:rPr>
            </w:pPr>
            <w:r>
              <w:rPr>
                <w:rFonts w:ascii="Arial" w:cs="Arial" w:eastAsia="Arial" w:hAnsi="Arial"/>
                <w:sz w:val="17"/>
                <w:szCs w:val="17"/>
                <w:color w:val="auto"/>
              </w:rPr>
              <w:t>Total comprehensive income</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(6,529)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(7,184)</w:t>
            </w:r>
          </w:p>
        </w:tc>
      </w:tr>
      <w:tr>
        <w:trPr>
          <w:trHeight w:val="25"/>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Balance at September 30, 2018</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(26,813)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(30,557)</w:t>
            </w: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Stockholders’ Equity</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There were no significant changes to Company’s authorized capital stock and preferred stock during the three and nine months ended September 30, 2018.</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03"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Each holder of common stock is entitled to vote on all matters and is entitled to one vote for each share held. Dividends on common stock will be paid when, and if, declared by the Company’s Board of Directors. No dividends have ever been declared or paid by the Company.</w:t>
      </w:r>
    </w:p>
    <w:p>
      <w:pPr>
        <w:sectPr>
          <w:pgSz w:w="11900" w:h="16838" w:orient="portrait"/>
          <w:cols w:equalWidth="0" w:num="1">
            <w:col w:w="11420"/>
          </w:cols>
          <w:pgMar w:left="240" w:top="127" w:right="2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420"/>
          </w:cols>
          <w:pgMar w:left="240" w:top="127" w:right="239" w:bottom="1440" w:gutter="0" w:footer="0" w:header="0"/>
          <w:type w:val="continuous"/>
        </w:sectPr>
      </w:pPr>
    </w:p>
    <w:bookmarkStart w:id="27" w:name="page28"/>
    <w:bookmarkEnd w:id="2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203"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There were no shares of preferred stock outstanding as of December 31, 2017. The Board of Directors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177" w:lineRule="exact"/>
        <w:rPr>
          <w:sz w:val="20"/>
          <w:szCs w:val="20"/>
          <w:color w:val="auto"/>
        </w:rPr>
      </w:pPr>
    </w:p>
    <w:p>
      <w:pPr>
        <w:jc w:val="both"/>
        <w:ind w:firstLine="299"/>
        <w:spacing w:after="0" w:line="295" w:lineRule="auto"/>
        <w:rPr>
          <w:sz w:val="20"/>
          <w:szCs w:val="20"/>
          <w:color w:val="auto"/>
        </w:rPr>
      </w:pPr>
      <w:r>
        <w:rPr>
          <w:rFonts w:ascii="Arial" w:cs="Arial" w:eastAsia="Arial" w:hAnsi="Arial"/>
          <w:sz w:val="15"/>
          <w:szCs w:val="15"/>
          <w:color w:val="auto"/>
        </w:rPr>
        <w:t>In accordance with the terms of the Share Purchase Agreement dated as of October 17, 2017 (the “PIPE Purchase Agreement”), with Silver Private Holdings I, LLC, an affiliate of Siris (“Silver”), on February 15, 2018, the Company issued to Silver 185,000 shares of its newly issued Series A Convertible Participating Perpetual Preferred Stock (the “Series A Preferred Stock”), par value $0.0001 per share, with an initial liquidation preference of $1,000 per share, in exchange for $97.7 million in cash and the transfer from Silver to the Company of the 5,994,667 shares of the Company’s common stock held by Silver (the “Preferred Transaction”).</w:t>
      </w:r>
    </w:p>
    <w:p>
      <w:pPr>
        <w:spacing w:after="0" w:line="149"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As of September 30, 2018, there were 195,181 shares of Series A Preferred Stock outstanding, including the initial issuance of 185,000 shares of Series A Preferred Stock and the issuance of 10,181 shares as preferred dividends.</w:t>
      </w:r>
    </w:p>
    <w:p>
      <w:pPr>
        <w:spacing w:after="0" w:line="167" w:lineRule="exact"/>
        <w:rPr>
          <w:sz w:val="20"/>
          <w:szCs w:val="20"/>
          <w:color w:val="auto"/>
        </w:rPr>
      </w:pPr>
    </w:p>
    <w:p>
      <w:pPr>
        <w:jc w:val="both"/>
        <w:ind w:firstLine="299"/>
        <w:spacing w:after="0" w:line="266" w:lineRule="auto"/>
        <w:rPr>
          <w:sz w:val="20"/>
          <w:szCs w:val="20"/>
          <w:color w:val="auto"/>
        </w:rPr>
      </w:pPr>
      <w:r>
        <w:rPr>
          <w:rFonts w:ascii="Arial" w:cs="Arial" w:eastAsia="Arial" w:hAnsi="Arial"/>
          <w:sz w:val="16"/>
          <w:szCs w:val="16"/>
          <w:color w:val="auto"/>
        </w:rPr>
        <w:t>In accordance with the terms of the PIPE Purchase Agreement with Silver on February 15, 2018, the Company exercised its option to complete the Preferred Transaction. In connection with the issuance of the Series A Preferred Stock, the Company (i) filed the certificate of designations to its certificate of incorporation to establish the rights, preferences, privileges, qualifications, restrictions and limitations of the Series A Preferred Stock (the “Series A Certificate”) and (ii) entered into the Investor Rights Agreement setting forth certain registration, governance and preemptive rights of Silver with respect to Synchronoss. Pursuant to the PIPE Purchase Agreement, at the closing, the Company paid to Siris $5.0 million as a reimbursement of Silver’s reasonable costs and expenses incurred in connection with the Preferred Transaction. In connection with execution of the Preferred Transaction, Silver delivered 5,994,667 shares of Synchronoss common stock, which have been recorded as Treasury shares as of September 30, 2018.</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Certificate of Designation of the Series A Preferred Stock</w:t>
      </w:r>
    </w:p>
    <w:p>
      <w:pPr>
        <w:spacing w:after="0" w:line="203" w:lineRule="exact"/>
        <w:rPr>
          <w:sz w:val="20"/>
          <w:szCs w:val="20"/>
          <w:color w:val="auto"/>
        </w:rPr>
      </w:pPr>
    </w:p>
    <w:p>
      <w:pPr>
        <w:jc w:val="both"/>
        <w:ind w:firstLine="299"/>
        <w:spacing w:after="0" w:line="286" w:lineRule="auto"/>
        <w:rPr>
          <w:sz w:val="20"/>
          <w:szCs w:val="20"/>
          <w:color w:val="auto"/>
        </w:rPr>
      </w:pPr>
      <w:r>
        <w:rPr>
          <w:rFonts w:ascii="Arial" w:cs="Arial" w:eastAsia="Arial" w:hAnsi="Arial"/>
          <w:sz w:val="15"/>
          <w:szCs w:val="15"/>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on each share of Series A Preferred Stock on a quarterly basis, an amount equal to the dividend rate of 14.5% divided by four and multiplied by the then-applicable Liquidation Preference (as defined in the Series A Certificate) per share of Series A Preferred Stock (collectively, the “Preferred Dividends”). The Preferred Dividends are due on January 1, April 1, July 1 and October 1 of each year (each, a “Series A Dividend Payment Date”). The Company may choose to pay the Preferred Dividends in cash or in additional shares of Series A Preferred Stock. In the event the Company does not declare and pay a dividend in-kind or in cash on any Series A Dividend Payment Date, the unpaid amount of the Preferred Dividend will be added to the Liquidation Preference. In addition, the Series A Preferred Stock participates in dividends declared and paid on shares of the Company’s common stock.</w:t>
      </w:r>
    </w:p>
    <w:p>
      <w:pPr>
        <w:spacing w:after="0" w:line="156"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 Conversion Rate is subject to equitable proportionate adjustment in the event of stock splits, recapitalizations and other events set forth in the Series A Certificate.</w:t>
      </w:r>
    </w:p>
    <w:p>
      <w:pPr>
        <w:spacing w:after="0" w:line="182" w:lineRule="exact"/>
        <w:rPr>
          <w:sz w:val="20"/>
          <w:szCs w:val="20"/>
          <w:color w:val="auto"/>
        </w:rPr>
      </w:pPr>
    </w:p>
    <w:p>
      <w:pPr>
        <w:jc w:val="both"/>
        <w:ind w:firstLine="299"/>
        <w:spacing w:after="0" w:line="286" w:lineRule="auto"/>
        <w:rPr>
          <w:sz w:val="20"/>
          <w:szCs w:val="20"/>
          <w:color w:val="auto"/>
        </w:rPr>
      </w:pPr>
      <w:r>
        <w:rPr>
          <w:rFonts w:ascii="Arial" w:cs="Arial" w:eastAsia="Arial" w:hAnsi="Arial"/>
          <w:sz w:val="15"/>
          <w:szCs w:val="15"/>
          <w:color w:val="auto"/>
        </w:rPr>
        <w:t>On and after the fifth anniversary of February 15, 2018, holders of shares of Series A Preferred Stock have the right to cause the Company to redeem each share of Series A Preferred Stock for cash in an amount equal to the sum of the current liquidation preference and any accrued dividends. Each share of Series A Preferred Stock is also redeemable at the option of the holder upon the occurrence of a “Fundamental Change” (as that term is defined in the Series A Certificate) at a specified premium (“Liquidation Value”). In addition, the Company is also permitted to redeem all outstanding shares of the Series A Preferred Stock at any time (i) within the first 30 months of the date of issuance for the sum of the then-applicable Liquidation Preference, accrued but unpaid dividends and a make whole amount (known as “Redemption Value”) and (ii) following the 30-month anniversary of the date of issuance for the sum of the then-applicable Liquidation Preference and the accrued but unpaid dividends. As of September 30, 2018, the Liquidation Value and Redemption Value of the Preferred Shares was $323.5 million and $251.9 million respectively.</w:t>
      </w:r>
    </w:p>
    <w:p>
      <w:pPr>
        <w:spacing w:after="0" w:line="156"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The holders of a majority of the Series A Preferred Stock, voting separately as a class, are entitled at each of the Company’s annual meetings of stockholders or at any special meeting called for the purpose of electing directors (or by written consent signed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127"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by the holders of a majority of the then-outstanding shares of Series A Preferred Stock in lieu of such a meeting): (i) to nominate and elect two members of the Company’s Board of Directors for so long as the Preferred Percentage (as defined in the Series A Certificate) is equal to or greater than 10%; and (ii) to nominate and elect one member of the Company’s Board of Directors for so long as the Preferred Percentage is equal to or greater than 5% but less than 10%.</w:t>
      </w:r>
    </w:p>
    <w:p>
      <w:pPr>
        <w:spacing w:after="0" w:line="158" w:lineRule="exact"/>
        <w:rPr>
          <w:sz w:val="20"/>
          <w:szCs w:val="20"/>
          <w:color w:val="auto"/>
        </w:rPr>
      </w:pPr>
    </w:p>
    <w:p>
      <w:pPr>
        <w:jc w:val="both"/>
        <w:ind w:firstLine="299"/>
        <w:spacing w:after="0" w:line="263" w:lineRule="auto"/>
        <w:rPr>
          <w:sz w:val="20"/>
          <w:szCs w:val="20"/>
          <w:color w:val="auto"/>
        </w:rPr>
      </w:pPr>
      <w:r>
        <w:rPr>
          <w:rFonts w:ascii="Arial" w:cs="Arial" w:eastAsia="Arial" w:hAnsi="Arial"/>
          <w:sz w:val="16"/>
          <w:szCs w:val="16"/>
          <w:color w:val="auto"/>
        </w:rPr>
        <w:t>For so long as the holders of shares of Series A Preferred Stock have the right to nominate at least one director, the Company is required to obtain the prior approval of Silver prior to taking certain actions, including: (i) certain dividends, repayments and redemptions; (ii) any amendment to the Company’s certificate of incorporation that adversely effects the rights, preferences, privileges or voting powers of the Series A Preferred Stock; (iii) issuances of stock ranking senior or equivalent to shares of Series A Preferred Stock (including additional shares of Series A Preferred Stock) in the priority of payment of dividends or in the distribution of assets upon any liquidation, dissolution or winding up of the Company; (iv) changes in the size of the Company’s Board of Directors; (v) any amendment, alteration, modification or repeal of the charter of the Company’s Nominating and Corporate Governance Committee of the Board of Directors and related documents; and (vi) any change in the Company’s principal business or the entry into any line of business outside of the Company’s existing lines of businesses. In addition, in the event that the Company is in EBITDA Non-Compliance (as defined in the Series A Certificate) or the undertaking of certain actions would result in the Company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175"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6"/>
          <w:szCs w:val="16"/>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 provided for in the Series A Certificate or by the General Corporation Law of the State of Delaware, the holders of shares of the Series A Preferred Stock are entitled to vote with the holders of shares of common stock (and any other class or series that may similarly be entitled to vote on an as-converted basis with the holders of common stock) on all matters submitted to a vote or to the consent of the stockholders of the Company (including the election of directors) as one class.</w:t>
      </w:r>
    </w:p>
    <w:p>
      <w:pPr>
        <w:spacing w:after="0" w:line="169" w:lineRule="exact"/>
        <w:rPr>
          <w:sz w:val="20"/>
          <w:szCs w:val="20"/>
          <w:color w:val="auto"/>
        </w:rPr>
      </w:pPr>
    </w:p>
    <w:p>
      <w:pPr>
        <w:jc w:val="both"/>
        <w:ind w:firstLine="299"/>
        <w:spacing w:after="0" w:line="282" w:lineRule="auto"/>
        <w:rPr>
          <w:sz w:val="20"/>
          <w:szCs w:val="20"/>
          <w:color w:val="auto"/>
        </w:rPr>
      </w:pPr>
      <w:r>
        <w:rPr>
          <w:rFonts w:ascii="Arial" w:cs="Arial" w:eastAsia="Arial" w:hAnsi="Arial"/>
          <w:sz w:val="15"/>
          <w:szCs w:val="15"/>
          <w:color w:val="auto"/>
        </w:rPr>
        <w:t>Under the Series A Certificate, if Silver and certain of its affiliates have elected to effect a conversion of some or all of their shares of Series A Preferred Stock and if the sum, without duplication, of (i) the aggregate number of shares of the Company’s common stock issued to such holders upon such conversion and any shares of the Company’s common stock previously issued to such holders upon conversion of Series A Preferred Stock and then held by such holders, plus (ii) the number of shares of the Company’s common stock underlying shares of Series A Preferred Stock that would be held at such time by such holders (after giving effect to such conversion), would exceed the 19.9% of the issued and outstanding shares of the Company’s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 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the Company’s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the Company’s common stock under the applicable listing standards.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Form of Investor Rights Agreement</w:t>
      </w:r>
    </w:p>
    <w:p>
      <w:pPr>
        <w:spacing w:after="0" w:line="203" w:lineRule="exact"/>
        <w:rPr>
          <w:sz w:val="20"/>
          <w:szCs w:val="20"/>
          <w:color w:val="auto"/>
        </w:rPr>
      </w:pPr>
    </w:p>
    <w:p>
      <w:pPr>
        <w:jc w:val="both"/>
        <w:ind w:firstLine="299"/>
        <w:spacing w:after="0" w:line="295" w:lineRule="auto"/>
        <w:rPr>
          <w:sz w:val="20"/>
          <w:szCs w:val="20"/>
          <w:color w:val="auto"/>
        </w:rPr>
      </w:pPr>
      <w:r>
        <w:rPr>
          <w:rFonts w:ascii="Arial" w:cs="Arial" w:eastAsia="Arial" w:hAnsi="Arial"/>
          <w:sz w:val="15"/>
          <w:szCs w:val="15"/>
          <w:color w:val="auto"/>
        </w:rPr>
        <w:t>Concurrently with the closing of the Preferred Transaction, Synchronoss and Silver entered into an Investor Rights Agreement. Under the terms of the Investor Rights Agreement, Silver and Synchronoss have agreed that, effective as of the 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127"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and elected by the holders of shares of Series A Preferred Stock; (ii) four directors who meet the independence criteria set forth 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 shall be the current chairman of the Board of Directors of Synchronoss as of the date of execution of the Investors Rights Agreement. Following the closing of the Preferred Transaction, so long as the holders of Series A Preferred Stock have the right to nominate at least one director to the Board of Directors of Synchronoss pursuant to the Series A Certificate, Silver will have the right to designate two members of the Nominating and Corporate Governance Committee of the Board of Directors.</w:t>
      </w:r>
    </w:p>
    <w:p>
      <w:pPr>
        <w:spacing w:after="0" w:line="154"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167" w:lineRule="exact"/>
        <w:rPr>
          <w:sz w:val="20"/>
          <w:szCs w:val="20"/>
          <w:color w:val="auto"/>
        </w:rPr>
      </w:pPr>
    </w:p>
    <w:p>
      <w:pPr>
        <w:jc w:val="both"/>
        <w:ind w:firstLine="299"/>
        <w:spacing w:after="0" w:line="285" w:lineRule="auto"/>
        <w:rPr>
          <w:sz w:val="20"/>
          <w:szCs w:val="20"/>
          <w:color w:val="auto"/>
        </w:rPr>
      </w:pPr>
      <w:r>
        <w:rPr>
          <w:rFonts w:ascii="Arial" w:cs="Arial" w:eastAsia="Arial" w:hAnsi="Arial"/>
          <w:sz w:val="15"/>
          <w:szCs w:val="15"/>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 affiliates will directly or indirectly purchase or acquire any debt or equity securities of Synchronoss (including equity-linked derivative securities) if such purchase or acquisition would result in Silver’s Standstill Percentage (as defined in the Investor 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 distributions thereon. Silver will also have preemptive rights with respect to issuances of securities of Synchronoss to maintain its ownership percentage.</w:t>
      </w:r>
    </w:p>
    <w:p>
      <w:pPr>
        <w:spacing w:after="0" w:line="156" w:lineRule="exact"/>
        <w:rPr>
          <w:sz w:val="20"/>
          <w:szCs w:val="20"/>
          <w:color w:val="auto"/>
        </w:rPr>
      </w:pPr>
    </w:p>
    <w:p>
      <w:pPr>
        <w:jc w:val="both"/>
        <w:ind w:firstLine="224"/>
        <w:spacing w:after="0" w:line="304" w:lineRule="auto"/>
        <w:rPr>
          <w:sz w:val="20"/>
          <w:szCs w:val="20"/>
          <w:color w:val="auto"/>
        </w:rPr>
      </w:pPr>
      <w:r>
        <w:rPr>
          <w:rFonts w:ascii="Arial" w:cs="Arial" w:eastAsia="Arial" w:hAnsi="Arial"/>
          <w:sz w:val="15"/>
          <w:szCs w:val="15"/>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Rights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There were no significant changes to Company’s registration rights during the three and nine months ended September 30, 2018.</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Plans</w:t>
      </w:r>
    </w:p>
    <w:p>
      <w:pPr>
        <w:spacing w:after="0" w:line="203"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There were no significant changes to Company’s Stock Plans during the three and nine months ended September 30, 2018. As of September 30, 2018, there were zero shares available for the grant or award under the Company’s 2015 Plan and 0.6 million shares available for the grant or award under the Company’s new hire equity incentive plan.</w:t>
      </w:r>
    </w:p>
    <w:p>
      <w:pPr>
        <w:spacing w:after="0" w:line="177"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During the nine-months ended September 30, 2018, the Company granted awards to purchase an aggregate of 0.6 million shares under the Company’s 2015 Plan, none of which awards are vested as of September 30, 2018. If there is an insufficient number of shares available under the 2015 Plan for issuance upon vesting and subsequent exercise of such awards, the Company intends to settle such awards for cash. These awards as well the Company’s performance awards granted to executives under the 2018 grant have been accounted for as liability awards, due to the Company’s intent and the ability to settle such awards in cash upon vesting and has reflected such awards in accrued expenses. As of September 30, 2018, the liability for such awards is approximately $0.7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127"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summarizes stock-based compensation expense related to all of the Company’s stock awards included by operating expense categories,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80" w:type="dxa"/>
            <w:vAlign w:val="bottom"/>
          </w:tcPr>
          <w:p>
            <w:pPr>
              <w:spacing w:after="0"/>
              <w:rPr>
                <w:sz w:val="16"/>
                <w:szCs w:val="16"/>
                <w:color w:val="auto"/>
              </w:rPr>
            </w:pPr>
          </w:p>
        </w:tc>
        <w:tc>
          <w:tcPr>
            <w:tcW w:w="2840" w:type="dxa"/>
            <w:vAlign w:val="bottom"/>
            <w:gridSpan w:val="4"/>
          </w:tcPr>
          <w:p>
            <w:pPr>
              <w:jc w:val="right"/>
              <w:spacing w:after="0"/>
              <w:rPr>
                <w:sz w:val="20"/>
                <w:szCs w:val="20"/>
                <w:color w:val="auto"/>
              </w:rPr>
            </w:pPr>
            <w:r>
              <w:rPr>
                <w:rFonts w:ascii="Arial" w:cs="Arial" w:eastAsia="Arial" w:hAnsi="Arial"/>
                <w:sz w:val="15"/>
                <w:szCs w:val="15"/>
                <w:b w:val="1"/>
                <w:bCs w:val="1"/>
                <w:color w:val="auto"/>
              </w:rPr>
              <w:t>Three Months Ended September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60" w:type="dxa"/>
            <w:vAlign w:val="bottom"/>
            <w:gridSpan w:val="4"/>
          </w:tcPr>
          <w:p>
            <w:pPr>
              <w:jc w:val="right"/>
              <w:ind w:right="439"/>
              <w:spacing w:after="0"/>
              <w:rPr>
                <w:sz w:val="20"/>
                <w:szCs w:val="20"/>
                <w:color w:val="auto"/>
              </w:rPr>
            </w:pPr>
            <w:r>
              <w:rPr>
                <w:rFonts w:ascii="Arial" w:cs="Arial" w:eastAsia="Arial" w:hAnsi="Arial"/>
                <w:sz w:val="15"/>
                <w:szCs w:val="15"/>
                <w:b w:val="1"/>
                <w:bCs w:val="1"/>
                <w:color w:val="auto"/>
                <w:w w:val="98"/>
              </w:rPr>
              <w:t>Nine Months Ended September 30,</w:t>
            </w:r>
          </w:p>
        </w:tc>
      </w:tr>
      <w:tr>
        <w:trPr>
          <w:trHeight w:val="31"/>
        </w:trPr>
        <w:tc>
          <w:tcPr>
            <w:tcW w:w="46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1"/>
        </w:trPr>
        <w:tc>
          <w:tcPr>
            <w:tcW w:w="4680" w:type="dxa"/>
            <w:vAlign w:val="bottom"/>
          </w:tcPr>
          <w:p>
            <w:pPr>
              <w:spacing w:after="0"/>
              <w:rPr>
                <w:sz w:val="18"/>
                <w:szCs w:val="18"/>
                <w:color w:val="auto"/>
              </w:rPr>
            </w:pPr>
          </w:p>
        </w:tc>
        <w:tc>
          <w:tcPr>
            <w:tcW w:w="1060" w:type="dxa"/>
            <w:vAlign w:val="bottom"/>
          </w:tcPr>
          <w:p>
            <w:pPr>
              <w:jc w:val="right"/>
              <w:ind w:right="21"/>
              <w:spacing w:after="0"/>
              <w:rPr>
                <w:sz w:val="20"/>
                <w:szCs w:val="20"/>
                <w:color w:val="auto"/>
              </w:rPr>
            </w:pPr>
            <w:r>
              <w:rPr>
                <w:rFonts w:ascii="Arial" w:cs="Arial" w:eastAsia="Arial" w:hAnsi="Arial"/>
                <w:sz w:val="15"/>
                <w:szCs w:val="15"/>
                <w:b w:val="1"/>
                <w:bCs w:val="1"/>
                <w:color w:val="auto"/>
              </w:rPr>
              <w:t>2018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80"/>
              <w:spacing w:after="0"/>
              <w:rPr>
                <w:sz w:val="20"/>
                <w:szCs w:val="20"/>
                <w:color w:val="auto"/>
              </w:rPr>
            </w:pPr>
            <w:r>
              <w:rPr>
                <w:rFonts w:ascii="Arial" w:cs="Arial" w:eastAsia="Arial" w:hAnsi="Arial"/>
                <w:sz w:val="15"/>
                <w:szCs w:val="15"/>
                <w:b w:val="1"/>
                <w:bCs w:val="1"/>
                <w:color w:val="auto"/>
              </w:rPr>
              <w:t>2017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560"/>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59"/>
              <w:spacing w:after="0"/>
              <w:rPr>
                <w:sz w:val="20"/>
                <w:szCs w:val="20"/>
                <w:color w:val="auto"/>
              </w:rPr>
            </w:pPr>
            <w:r>
              <w:rPr>
                <w:rFonts w:ascii="Arial" w:cs="Arial" w:eastAsia="Arial" w:hAnsi="Arial"/>
                <w:sz w:val="15"/>
                <w:szCs w:val="15"/>
                <w:b w:val="1"/>
                <w:bCs w:val="1"/>
                <w:color w:val="auto"/>
              </w:rPr>
              <w:t>2017</w:t>
            </w:r>
          </w:p>
        </w:tc>
      </w:tr>
      <w:tr>
        <w:trPr>
          <w:trHeight w:val="31"/>
        </w:trPr>
        <w:tc>
          <w:tcPr>
            <w:tcW w:w="4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2"/>
        </w:trPr>
        <w:tc>
          <w:tcPr>
            <w:tcW w:w="4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Cost of revenues</w:t>
            </w:r>
          </w:p>
        </w:tc>
        <w:tc>
          <w:tcPr>
            <w:tcW w:w="106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1,035</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920"/>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1,118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3,447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3,326</w:t>
            </w:r>
          </w:p>
        </w:tc>
      </w:tr>
      <w:tr>
        <w:trPr>
          <w:trHeight w:val="224"/>
        </w:trPr>
        <w:tc>
          <w:tcPr>
            <w:tcW w:w="4680" w:type="dxa"/>
            <w:vAlign w:val="bottom"/>
          </w:tcPr>
          <w:p>
            <w:pPr>
              <w:ind w:left="140"/>
              <w:spacing w:after="0"/>
              <w:rPr>
                <w:sz w:val="20"/>
                <w:szCs w:val="20"/>
                <w:color w:val="auto"/>
              </w:rPr>
            </w:pPr>
            <w:r>
              <w:rPr>
                <w:rFonts w:ascii="Arial" w:cs="Arial" w:eastAsia="Arial" w:hAnsi="Arial"/>
                <w:sz w:val="17"/>
                <w:szCs w:val="17"/>
                <w:color w:val="auto"/>
              </w:rPr>
              <w:t>Research and development</w:t>
            </w:r>
          </w:p>
        </w:tc>
        <w:tc>
          <w:tcPr>
            <w:tcW w:w="1060" w:type="dxa"/>
            <w:vAlign w:val="bottom"/>
          </w:tcPr>
          <w:p>
            <w:pPr>
              <w:spacing w:after="0"/>
              <w:rPr>
                <w:sz w:val="19"/>
                <w:szCs w:val="19"/>
                <w:color w:val="auto"/>
              </w:rPr>
            </w:pPr>
          </w:p>
        </w:tc>
        <w:tc>
          <w:tcPr>
            <w:tcW w:w="560" w:type="dxa"/>
            <w:vAlign w:val="bottom"/>
          </w:tcPr>
          <w:p>
            <w:pPr>
              <w:jc w:val="right"/>
              <w:ind w:right="17"/>
              <w:spacing w:after="0"/>
              <w:rPr>
                <w:sz w:val="20"/>
                <w:szCs w:val="20"/>
                <w:color w:val="auto"/>
              </w:rPr>
            </w:pPr>
            <w:r>
              <w:rPr>
                <w:rFonts w:ascii="Arial" w:cs="Arial" w:eastAsia="Arial" w:hAnsi="Arial"/>
                <w:sz w:val="17"/>
                <w:szCs w:val="17"/>
                <w:color w:val="auto"/>
              </w:rPr>
              <w:t>1,340</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jc w:val="right"/>
              <w:ind w:right="37"/>
              <w:spacing w:after="0"/>
              <w:rPr>
                <w:sz w:val="20"/>
                <w:szCs w:val="20"/>
                <w:color w:val="auto"/>
              </w:rPr>
            </w:pPr>
            <w:r>
              <w:rPr>
                <w:rFonts w:ascii="Arial" w:cs="Arial" w:eastAsia="Arial" w:hAnsi="Arial"/>
                <w:sz w:val="17"/>
                <w:szCs w:val="17"/>
                <w:color w:val="auto"/>
                <w:w w:val="84"/>
              </w:rPr>
              <w:t>1,201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7"/>
                <w:szCs w:val="17"/>
                <w:color w:val="auto"/>
              </w:rPr>
              <w:t>4,682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4,181</w:t>
            </w:r>
          </w:p>
        </w:tc>
      </w:tr>
      <w:tr>
        <w:trPr>
          <w:trHeight w:val="25"/>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9"/>
        </w:trPr>
        <w:tc>
          <w:tcPr>
            <w:tcW w:w="4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4,841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13,911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6,920</w:t>
            </w:r>
          </w:p>
        </w:tc>
      </w:tr>
      <w:tr>
        <w:trPr>
          <w:trHeight w:val="236"/>
        </w:trPr>
        <w:tc>
          <w:tcPr>
            <w:tcW w:w="4680" w:type="dxa"/>
            <w:vAlign w:val="bottom"/>
          </w:tcPr>
          <w:p>
            <w:pPr>
              <w:ind w:left="20"/>
              <w:spacing w:after="0"/>
              <w:rPr>
                <w:sz w:val="20"/>
                <w:szCs w:val="20"/>
                <w:color w:val="auto"/>
              </w:rPr>
            </w:pPr>
            <w:r>
              <w:rPr>
                <w:rFonts w:ascii="Arial" w:cs="Arial" w:eastAsia="Arial" w:hAnsi="Arial"/>
                <w:sz w:val="17"/>
                <w:szCs w:val="17"/>
                <w:color w:val="auto"/>
              </w:rPr>
              <w:t>Total stock-based compensation expense</w:t>
            </w:r>
          </w:p>
        </w:tc>
        <w:tc>
          <w:tcPr>
            <w:tcW w:w="1060" w:type="dxa"/>
            <w:vAlign w:val="bottom"/>
            <w:tcBorders>
              <w:top w:val="single" w:sz="8" w:color="auto"/>
              <w:bottom w:val="single" w:sz="8" w:color="auto"/>
            </w:tcBorders>
          </w:tcPr>
          <w:p>
            <w:pPr>
              <w:jc w:val="right"/>
              <w:ind w:right="861"/>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7,216</w:t>
            </w:r>
          </w:p>
        </w:tc>
        <w:tc>
          <w:tcPr>
            <w:tcW w:w="1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920"/>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3,678</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7"/>
                <w:szCs w:val="17"/>
                <w:color w:val="auto"/>
              </w:rPr>
              <w:t>22,040</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14,427</w:t>
            </w:r>
          </w:p>
        </w:tc>
      </w:tr>
      <w:tr>
        <w:trPr>
          <w:trHeight w:val="20"/>
        </w:trPr>
        <w:tc>
          <w:tcPr>
            <w:tcW w:w="4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summarizes stock-based compensation expense related to all of the Company’s stock awards included by award types,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80" w:type="dxa"/>
            <w:vAlign w:val="bottom"/>
          </w:tcPr>
          <w:p>
            <w:pPr>
              <w:spacing w:after="0"/>
              <w:rPr>
                <w:sz w:val="16"/>
                <w:szCs w:val="16"/>
                <w:color w:val="auto"/>
              </w:rPr>
            </w:pPr>
          </w:p>
        </w:tc>
        <w:tc>
          <w:tcPr>
            <w:tcW w:w="2840" w:type="dxa"/>
            <w:vAlign w:val="bottom"/>
            <w:gridSpan w:val="4"/>
          </w:tcPr>
          <w:p>
            <w:pPr>
              <w:jc w:val="right"/>
              <w:spacing w:after="0"/>
              <w:rPr>
                <w:sz w:val="20"/>
                <w:szCs w:val="20"/>
                <w:color w:val="auto"/>
              </w:rPr>
            </w:pPr>
            <w:r>
              <w:rPr>
                <w:rFonts w:ascii="Arial" w:cs="Arial" w:eastAsia="Arial" w:hAnsi="Arial"/>
                <w:sz w:val="15"/>
                <w:szCs w:val="15"/>
                <w:b w:val="1"/>
                <w:bCs w:val="1"/>
                <w:color w:val="auto"/>
              </w:rPr>
              <w:t>Three Months Ended September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gridSpan w:val="5"/>
          </w:tcPr>
          <w:p>
            <w:pPr>
              <w:jc w:val="right"/>
              <w:ind w:right="438"/>
              <w:spacing w:after="0"/>
              <w:rPr>
                <w:sz w:val="20"/>
                <w:szCs w:val="20"/>
                <w:color w:val="auto"/>
              </w:rPr>
            </w:pPr>
            <w:r>
              <w:rPr>
                <w:rFonts w:ascii="Arial" w:cs="Arial" w:eastAsia="Arial" w:hAnsi="Arial"/>
                <w:sz w:val="15"/>
                <w:szCs w:val="15"/>
                <w:b w:val="1"/>
                <w:bCs w:val="1"/>
                <w:color w:val="auto"/>
              </w:rPr>
              <w:t>Nine Months Ended September 30,</w:t>
            </w:r>
          </w:p>
        </w:tc>
      </w:tr>
      <w:tr>
        <w:trPr>
          <w:trHeight w:val="31"/>
        </w:trPr>
        <w:tc>
          <w:tcPr>
            <w:tcW w:w="46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1"/>
        </w:trPr>
        <w:tc>
          <w:tcPr>
            <w:tcW w:w="468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Arial" w:cs="Arial" w:eastAsia="Arial" w:hAnsi="Arial"/>
                <w:sz w:val="15"/>
                <w:szCs w:val="15"/>
                <w:b w:val="1"/>
                <w:bCs w:val="1"/>
                <w:color w:val="auto"/>
              </w:rPr>
              <w:t>2018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5"/>
                <w:szCs w:val="15"/>
                <w:b w:val="1"/>
                <w:bCs w:val="1"/>
                <w:color w:val="auto"/>
              </w:rPr>
              <w:t>2017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2018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58"/>
              <w:spacing w:after="0"/>
              <w:rPr>
                <w:sz w:val="20"/>
                <w:szCs w:val="20"/>
                <w:color w:val="auto"/>
              </w:rPr>
            </w:pPr>
            <w:r>
              <w:rPr>
                <w:rFonts w:ascii="Arial" w:cs="Arial" w:eastAsia="Arial" w:hAnsi="Arial"/>
                <w:sz w:val="15"/>
                <w:szCs w:val="15"/>
                <w:b w:val="1"/>
                <w:bCs w:val="1"/>
                <w:color w:val="auto"/>
              </w:rPr>
              <w:t>2017</w:t>
            </w:r>
          </w:p>
        </w:tc>
      </w:tr>
      <w:tr>
        <w:trPr>
          <w:trHeight w:val="31"/>
        </w:trPr>
        <w:tc>
          <w:tcPr>
            <w:tcW w:w="4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2"/>
        </w:trPr>
        <w:tc>
          <w:tcPr>
            <w:tcW w:w="4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Stock options</w:t>
            </w:r>
          </w:p>
        </w:tc>
        <w:tc>
          <w:tcPr>
            <w:tcW w:w="1060" w:type="dxa"/>
            <w:vAlign w:val="bottom"/>
            <w:tcBorders>
              <w:bottom w:val="single" w:sz="8" w:color="CCEEFF"/>
            </w:tcBorders>
            <w:shd w:val="clear" w:color="auto" w:fill="CCEEFF"/>
          </w:tcPr>
          <w:p>
            <w:pPr>
              <w:jc w:val="right"/>
              <w:ind w:right="86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1,940</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1,534</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5,680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4,522</w:t>
            </w:r>
          </w:p>
        </w:tc>
      </w:tr>
      <w:tr>
        <w:trPr>
          <w:trHeight w:val="224"/>
        </w:trPr>
        <w:tc>
          <w:tcPr>
            <w:tcW w:w="4680" w:type="dxa"/>
            <w:vAlign w:val="bottom"/>
          </w:tcPr>
          <w:p>
            <w:pPr>
              <w:ind w:left="140"/>
              <w:spacing w:after="0"/>
              <w:rPr>
                <w:sz w:val="20"/>
                <w:szCs w:val="20"/>
                <w:color w:val="auto"/>
              </w:rPr>
            </w:pPr>
            <w:r>
              <w:rPr>
                <w:rFonts w:ascii="Arial" w:cs="Arial" w:eastAsia="Arial" w:hAnsi="Arial"/>
                <w:sz w:val="17"/>
                <w:szCs w:val="17"/>
                <w:color w:val="auto"/>
              </w:rPr>
              <w:t>Restricted stock awards</w:t>
            </w:r>
          </w:p>
        </w:tc>
        <w:tc>
          <w:tcPr>
            <w:tcW w:w="1060" w:type="dxa"/>
            <w:vAlign w:val="bottom"/>
          </w:tcPr>
          <w:p>
            <w:pPr>
              <w:spacing w:after="0"/>
              <w:rPr>
                <w:sz w:val="19"/>
                <w:szCs w:val="19"/>
                <w:color w:val="auto"/>
              </w:rPr>
            </w:pPr>
          </w:p>
        </w:tc>
        <w:tc>
          <w:tcPr>
            <w:tcW w:w="560" w:type="dxa"/>
            <w:vAlign w:val="bottom"/>
          </w:tcPr>
          <w:p>
            <w:pPr>
              <w:jc w:val="right"/>
              <w:ind w:right="17"/>
              <w:spacing w:after="0"/>
              <w:rPr>
                <w:sz w:val="20"/>
                <w:szCs w:val="20"/>
                <w:color w:val="auto"/>
              </w:rPr>
            </w:pPr>
            <w:r>
              <w:rPr>
                <w:rFonts w:ascii="Arial" w:cs="Arial" w:eastAsia="Arial" w:hAnsi="Arial"/>
                <w:sz w:val="17"/>
                <w:szCs w:val="17"/>
                <w:color w:val="auto"/>
              </w:rPr>
              <w:t>5,276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jc w:val="right"/>
              <w:ind w:right="37"/>
              <w:spacing w:after="0"/>
              <w:rPr>
                <w:sz w:val="20"/>
                <w:szCs w:val="20"/>
                <w:color w:val="auto"/>
              </w:rPr>
            </w:pPr>
            <w:r>
              <w:rPr>
                <w:rFonts w:ascii="Arial" w:cs="Arial" w:eastAsia="Arial" w:hAnsi="Arial"/>
                <w:sz w:val="17"/>
                <w:szCs w:val="17"/>
                <w:color w:val="auto"/>
                <w:w w:val="84"/>
              </w:rPr>
              <w:t>2,092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ind w:right="37"/>
              <w:spacing w:after="0"/>
              <w:rPr>
                <w:sz w:val="20"/>
                <w:szCs w:val="20"/>
                <w:color w:val="auto"/>
              </w:rPr>
            </w:pPr>
            <w:r>
              <w:rPr>
                <w:rFonts w:ascii="Arial" w:cs="Arial" w:eastAsia="Arial" w:hAnsi="Arial"/>
                <w:sz w:val="17"/>
                <w:szCs w:val="17"/>
                <w:color w:val="auto"/>
                <w:w w:val="88"/>
              </w:rPr>
              <w:t>16,360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7"/>
                <w:szCs w:val="17"/>
                <w:color w:val="auto"/>
              </w:rPr>
              <w:t>9,523</w:t>
            </w:r>
          </w:p>
        </w:tc>
      </w:tr>
      <w:tr>
        <w:trPr>
          <w:trHeight w:val="25"/>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9"/>
        </w:trPr>
        <w:tc>
          <w:tcPr>
            <w:tcW w:w="4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Employee Stock Purchase Plan</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382</w:t>
            </w:r>
          </w:p>
        </w:tc>
      </w:tr>
      <w:tr>
        <w:trPr>
          <w:trHeight w:val="217"/>
        </w:trPr>
        <w:tc>
          <w:tcPr>
            <w:tcW w:w="4680" w:type="dxa"/>
            <w:vAlign w:val="bottom"/>
          </w:tcPr>
          <w:p>
            <w:pPr>
              <w:ind w:left="20"/>
              <w:spacing w:after="0"/>
              <w:rPr>
                <w:sz w:val="20"/>
                <w:szCs w:val="20"/>
                <w:color w:val="auto"/>
              </w:rPr>
            </w:pPr>
            <w:r>
              <w:rPr>
                <w:rFonts w:ascii="Arial" w:cs="Arial" w:eastAsia="Arial" w:hAnsi="Arial"/>
                <w:sz w:val="17"/>
                <w:szCs w:val="17"/>
                <w:color w:val="auto"/>
              </w:rPr>
              <w:t>Total stock-based compensation before taxes</w:t>
            </w:r>
          </w:p>
        </w:tc>
        <w:tc>
          <w:tcPr>
            <w:tcW w:w="1060" w:type="dxa"/>
            <w:vAlign w:val="bottom"/>
            <w:tcBorders>
              <w:top w:val="single" w:sz="8" w:color="auto"/>
            </w:tcBorders>
          </w:tcPr>
          <w:p>
            <w:pPr>
              <w:jc w:val="right"/>
              <w:ind w:right="860"/>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7,216</w:t>
            </w: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3,678</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ind w:right="800"/>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8"/>
              </w:rPr>
              <w:t>22,040</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14,427</w:t>
            </w:r>
          </w:p>
        </w:tc>
      </w:tr>
      <w:tr>
        <w:trPr>
          <w:trHeight w:val="25"/>
        </w:trPr>
        <w:tc>
          <w:tcPr>
            <w:tcW w:w="4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Tax benefit</w:t>
            </w:r>
          </w:p>
        </w:tc>
        <w:tc>
          <w:tcPr>
            <w:tcW w:w="106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1,402</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973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4,356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2,686</w:t>
            </w:r>
          </w:p>
        </w:tc>
      </w:tr>
      <w:tr>
        <w:trPr>
          <w:trHeight w:val="20"/>
        </w:trPr>
        <w:tc>
          <w:tcPr>
            <w:tcW w:w="4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The total stock-based compensation cost related to unvested equity awards as of September 30, 2018 was approximately $48.1 million. The expense is expected to be recognized over a weighted-average period of approximately 2.42 years.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Replacement Awards</w:t>
      </w:r>
    </w:p>
    <w:p>
      <w:pPr>
        <w:spacing w:after="0" w:line="203" w:lineRule="exact"/>
        <w:rPr>
          <w:sz w:val="20"/>
          <w:szCs w:val="20"/>
          <w:color w:val="auto"/>
        </w:rPr>
      </w:pPr>
    </w:p>
    <w:p>
      <w:pPr>
        <w:jc w:val="both"/>
        <w:ind w:firstLine="299"/>
        <w:spacing w:after="0" w:line="278" w:lineRule="auto"/>
        <w:rPr>
          <w:sz w:val="20"/>
          <w:szCs w:val="20"/>
          <w:color w:val="auto"/>
        </w:rPr>
      </w:pPr>
      <w:r>
        <w:rPr>
          <w:rFonts w:ascii="Arial" w:cs="Arial" w:eastAsia="Arial" w:hAnsi="Arial"/>
          <w:sz w:val="16"/>
          <w:szCs w:val="16"/>
          <w:color w:val="auto"/>
        </w:rPr>
        <w:t>On January 19, 2017, certain equity awards granted under the Intralinks Holdings, Inc. 2010 Equity Incentive Plan and the Intralinks Holdings, Inc. 2007 Stock Option and Grant Plan (together, the “Intralinks Plans”) were assumed by the Company’s 2015 Equity Incentive Plan (the “2015 Plan”). The assumed awards are subject to the vesting and service conditions of the 2015 Plan. Subsequently, these were accelerated as part of the Intralinks Transaction.</w:t>
      </w:r>
    </w:p>
    <w:p>
      <w:pPr>
        <w:spacing w:after="0" w:line="158"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Among the equity awards assumed were restricted stock units subject to market-based performance targets in order for them to vest. Vesting is subject to continued service requirements through the vesting date. The grant date fair value for such unvested restricted stock units was estimated using a Monte Carlo simulation that incorporates option-pricing inputs covering the period from the grant date through the end of the performance period. Stock-based compensation expense for such unvested restricted stock units is recognized on a straight-line basis over the vesting period, regardless of whether the market condition is satisfied. All of these awards were canceled during 2017 pursuant to termination of related employees.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There were no significant changes to Company’s Stock Option Plans during the three and nine months ended September 30, 2018.</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127"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Company uses the Black-Scholes option pricing model for determining the estimated fair value for stock options. The weighted-average assumptions used in the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Black-Scholes option pricing model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20" w:type="dxa"/>
            <w:vAlign w:val="bottom"/>
          </w:tcPr>
          <w:p>
            <w:pPr>
              <w:spacing w:after="0"/>
              <w:rPr>
                <w:sz w:val="16"/>
                <w:szCs w:val="16"/>
                <w:color w:val="auto"/>
              </w:rPr>
            </w:pPr>
          </w:p>
        </w:tc>
        <w:tc>
          <w:tcPr>
            <w:tcW w:w="2880" w:type="dxa"/>
            <w:vAlign w:val="bottom"/>
            <w:gridSpan w:val="4"/>
          </w:tcPr>
          <w:p>
            <w:pPr>
              <w:jc w:val="right"/>
              <w:spacing w:after="0"/>
              <w:rPr>
                <w:sz w:val="20"/>
                <w:szCs w:val="20"/>
                <w:color w:val="auto"/>
              </w:rPr>
            </w:pPr>
            <w:r>
              <w:rPr>
                <w:rFonts w:ascii="Arial" w:cs="Arial" w:eastAsia="Arial" w:hAnsi="Arial"/>
                <w:sz w:val="15"/>
                <w:szCs w:val="15"/>
                <w:b w:val="1"/>
                <w:bCs w:val="1"/>
                <w:color w:val="auto"/>
              </w:rPr>
              <w:t>Three Months Ended September 30,</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4"/>
          </w:tcPr>
          <w:p>
            <w:pPr>
              <w:jc w:val="right"/>
              <w:spacing w:after="0"/>
              <w:rPr>
                <w:sz w:val="20"/>
                <w:szCs w:val="20"/>
                <w:color w:val="auto"/>
              </w:rPr>
            </w:pPr>
            <w:r>
              <w:rPr>
                <w:rFonts w:ascii="Arial" w:cs="Arial" w:eastAsia="Arial" w:hAnsi="Arial"/>
                <w:sz w:val="15"/>
                <w:szCs w:val="15"/>
                <w:b w:val="1"/>
                <w:bCs w:val="1"/>
                <w:color w:val="auto"/>
              </w:rPr>
              <w:t>Nine Months Ended September 30,</w:t>
            </w:r>
          </w:p>
        </w:tc>
        <w:tc>
          <w:tcPr>
            <w:tcW w:w="480" w:type="dxa"/>
            <w:vAlign w:val="bottom"/>
          </w:tcPr>
          <w:p>
            <w:pPr>
              <w:spacing w:after="0"/>
              <w:rPr>
                <w:sz w:val="16"/>
                <w:szCs w:val="16"/>
                <w:color w:val="auto"/>
              </w:rPr>
            </w:pPr>
          </w:p>
        </w:tc>
      </w:tr>
      <w:tr>
        <w:trPr>
          <w:trHeight w:val="31"/>
        </w:trPr>
        <w:tc>
          <w:tcPr>
            <w:tcW w:w="4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11"/>
        </w:trPr>
        <w:tc>
          <w:tcPr>
            <w:tcW w:w="4620" w:type="dxa"/>
            <w:vAlign w:val="bottom"/>
          </w:tcPr>
          <w:p>
            <w:pPr>
              <w:spacing w:after="0"/>
              <w:rPr>
                <w:sz w:val="18"/>
                <w:szCs w:val="18"/>
                <w:color w:val="auto"/>
              </w:rPr>
            </w:pPr>
          </w:p>
        </w:tc>
        <w:tc>
          <w:tcPr>
            <w:tcW w:w="1080" w:type="dxa"/>
            <w:vAlign w:val="bottom"/>
          </w:tcPr>
          <w:p>
            <w:pPr>
              <w:jc w:val="right"/>
              <w:ind w:right="45"/>
              <w:spacing w:after="0"/>
              <w:rPr>
                <w:sz w:val="20"/>
                <w:szCs w:val="20"/>
                <w:color w:val="auto"/>
              </w:rPr>
            </w:pPr>
            <w:r>
              <w:rPr>
                <w:rFonts w:ascii="Arial" w:cs="Arial" w:eastAsia="Arial" w:hAnsi="Arial"/>
                <w:sz w:val="15"/>
                <w:szCs w:val="15"/>
                <w:b w:val="1"/>
                <w:bCs w:val="1"/>
                <w:color w:val="auto"/>
              </w:rPr>
              <w:t>2018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25"/>
              <w:spacing w:after="0"/>
              <w:rPr>
                <w:sz w:val="20"/>
                <w:szCs w:val="20"/>
                <w:color w:val="auto"/>
              </w:rPr>
            </w:pPr>
            <w:r>
              <w:rPr>
                <w:rFonts w:ascii="Arial" w:cs="Arial" w:eastAsia="Arial" w:hAnsi="Arial"/>
                <w:sz w:val="15"/>
                <w:szCs w:val="15"/>
                <w:b w:val="1"/>
                <w:bCs w:val="1"/>
                <w:color w:val="auto"/>
              </w:rPr>
              <w:t>2017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45"/>
              <w:spacing w:after="0"/>
              <w:rPr>
                <w:sz w:val="20"/>
                <w:szCs w:val="20"/>
                <w:color w:val="auto"/>
              </w:rPr>
            </w:pPr>
            <w:r>
              <w:rPr>
                <w:rFonts w:ascii="Arial" w:cs="Arial" w:eastAsia="Arial" w:hAnsi="Arial"/>
                <w:sz w:val="15"/>
                <w:szCs w:val="15"/>
                <w:b w:val="1"/>
                <w:bCs w:val="1"/>
                <w:color w:val="auto"/>
              </w:rPr>
              <w:t>2018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5"/>
              <w:spacing w:after="0"/>
              <w:rPr>
                <w:sz w:val="20"/>
                <w:szCs w:val="20"/>
                <w:color w:val="auto"/>
              </w:rPr>
            </w:pPr>
            <w:r>
              <w:rPr>
                <w:rFonts w:ascii="Arial" w:cs="Arial" w:eastAsia="Arial" w:hAnsi="Arial"/>
                <w:sz w:val="15"/>
                <w:szCs w:val="15"/>
                <w:b w:val="1"/>
                <w:bCs w:val="1"/>
                <w:color w:val="auto"/>
              </w:rPr>
              <w:t>2017</w:t>
            </w:r>
          </w:p>
        </w:tc>
        <w:tc>
          <w:tcPr>
            <w:tcW w:w="480" w:type="dxa"/>
            <w:vAlign w:val="bottom"/>
          </w:tcPr>
          <w:p>
            <w:pPr>
              <w:spacing w:after="0"/>
              <w:rPr>
                <w:sz w:val="18"/>
                <w:szCs w:val="18"/>
                <w:color w:val="auto"/>
              </w:rPr>
            </w:pPr>
          </w:p>
        </w:tc>
      </w:tr>
      <w:tr>
        <w:trPr>
          <w:trHeight w:val="31"/>
        </w:trPr>
        <w:tc>
          <w:tcPr>
            <w:tcW w:w="46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Expected stock price volatility</w:t>
            </w:r>
          </w:p>
        </w:tc>
        <w:tc>
          <w:tcPr>
            <w:tcW w:w="10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66.0%</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0.0%</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65.2%</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49.2%</w:t>
            </w:r>
          </w:p>
        </w:tc>
      </w:tr>
      <w:tr>
        <w:trPr>
          <w:trHeight w:val="218"/>
        </w:trPr>
        <w:tc>
          <w:tcPr>
            <w:tcW w:w="4620" w:type="dxa"/>
            <w:vAlign w:val="bottom"/>
          </w:tcPr>
          <w:p>
            <w:pPr>
              <w:ind w:left="20"/>
              <w:spacing w:after="0"/>
              <w:rPr>
                <w:sz w:val="20"/>
                <w:szCs w:val="20"/>
                <w:color w:val="auto"/>
              </w:rPr>
            </w:pPr>
            <w:r>
              <w:rPr>
                <w:rFonts w:ascii="Arial" w:cs="Arial" w:eastAsia="Arial" w:hAnsi="Arial"/>
                <w:sz w:val="15"/>
                <w:szCs w:val="15"/>
                <w:color w:val="auto"/>
              </w:rPr>
              <w:t>Risk-free interest rate</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0.0%</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31"/>
        </w:trPr>
        <w:tc>
          <w:tcPr>
            <w:tcW w:w="4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2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Expected life of options (in years)</w:t>
            </w:r>
          </w:p>
        </w:tc>
        <w:tc>
          <w:tcPr>
            <w:tcW w:w="10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rPr>
              <w:t>4.29</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0.00</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rPr>
              <w:t>4.11</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4.03</w:t>
            </w:r>
          </w:p>
        </w:tc>
      </w:tr>
      <w:tr>
        <w:trPr>
          <w:trHeight w:val="218"/>
        </w:trPr>
        <w:tc>
          <w:tcPr>
            <w:tcW w:w="4620" w:type="dxa"/>
            <w:vAlign w:val="bottom"/>
          </w:tcPr>
          <w:p>
            <w:pPr>
              <w:ind w:left="20"/>
              <w:spacing w:after="0"/>
              <w:rPr>
                <w:sz w:val="20"/>
                <w:szCs w:val="20"/>
                <w:color w:val="auto"/>
              </w:rPr>
            </w:pPr>
            <w:r>
              <w:rPr>
                <w:rFonts w:ascii="Arial" w:cs="Arial" w:eastAsia="Arial" w:hAnsi="Arial"/>
                <w:sz w:val="15"/>
                <w:szCs w:val="15"/>
                <w:color w:val="auto"/>
              </w:rPr>
              <w:t>Expected dividend yield</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0.0%</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0.0%</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0.0%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0.0%</w:t>
            </w:r>
          </w:p>
        </w:tc>
      </w:tr>
      <w:tr>
        <w:trPr>
          <w:trHeight w:val="31"/>
        </w:trPr>
        <w:tc>
          <w:tcPr>
            <w:tcW w:w="4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8"/>
        </w:trPr>
        <w:tc>
          <w:tcPr>
            <w:tcW w:w="4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Weighted-average fair value (grant date) of the options</w:t>
            </w:r>
          </w:p>
        </w:tc>
        <w:tc>
          <w:tcPr>
            <w:tcW w:w="108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3.33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5"/>
              <w:spacing w:after="0"/>
              <w:rPr>
                <w:sz w:val="20"/>
                <w:szCs w:val="20"/>
                <w:color w:val="auto"/>
              </w:rPr>
            </w:pPr>
            <w:r>
              <w:rPr>
                <w:rFonts w:ascii="Arial" w:cs="Arial" w:eastAsia="Arial" w:hAnsi="Arial"/>
                <w:sz w:val="15"/>
                <w:szCs w:val="15"/>
                <w:color w:val="auto"/>
                <w:w w:val="95"/>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5.04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65"/>
              <w:spacing w:after="0"/>
              <w:rPr>
                <w:sz w:val="20"/>
                <w:szCs w:val="20"/>
                <w:color w:val="auto"/>
              </w:rPr>
            </w:pPr>
            <w:r>
              <w:rPr>
                <w:rFonts w:ascii="Arial" w:cs="Arial" w:eastAsia="Arial" w:hAnsi="Arial"/>
                <w:sz w:val="15"/>
                <w:szCs w:val="15"/>
                <w:color w:val="auto"/>
                <w:w w:val="95"/>
              </w:rPr>
              <w:t>$</w:t>
            </w:r>
          </w:p>
        </w:tc>
        <w:tc>
          <w:tcPr>
            <w:tcW w:w="4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7.79</w:t>
            </w:r>
          </w:p>
        </w:tc>
      </w:tr>
      <w:tr>
        <w:trPr>
          <w:trHeight w:val="31"/>
        </w:trPr>
        <w:tc>
          <w:tcPr>
            <w:tcW w:w="46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18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information about stock options outstanding as of September 30, 2018: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9"/>
              </w:rPr>
              <w:t>Weighted-Average</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7"/>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Remaining</w:t>
            </w:r>
          </w:p>
        </w:tc>
        <w:tc>
          <w:tcPr>
            <w:tcW w:w="280" w:type="dxa"/>
            <w:vAlign w:val="bottom"/>
          </w:tcPr>
          <w:p>
            <w:pPr>
              <w:spacing w:after="0"/>
              <w:rPr>
                <w:sz w:val="16"/>
                <w:szCs w:val="16"/>
                <w:color w:val="auto"/>
              </w:rPr>
            </w:pPr>
          </w:p>
        </w:tc>
        <w:tc>
          <w:tcPr>
            <w:tcW w:w="1300" w:type="dxa"/>
            <w:vAlign w:val="bottom"/>
          </w:tcPr>
          <w:p>
            <w:pPr>
              <w:jc w:val="center"/>
              <w:ind w:right="201"/>
              <w:spacing w:after="0"/>
              <w:rPr>
                <w:sz w:val="20"/>
                <w:szCs w:val="20"/>
                <w:color w:val="auto"/>
              </w:rPr>
            </w:pPr>
            <w:r>
              <w:rPr>
                <w:rFonts w:ascii="Arial" w:cs="Arial" w:eastAsia="Arial" w:hAnsi="Arial"/>
                <w:sz w:val="15"/>
                <w:szCs w:val="15"/>
                <w:b w:val="1"/>
                <w:bCs w:val="1"/>
                <w:color w:val="auto"/>
                <w:w w:val="88"/>
              </w:rPr>
              <w:t>Aggregate</w:t>
            </w:r>
          </w:p>
        </w:tc>
      </w:tr>
      <w:tr>
        <w:trPr>
          <w:trHeight w:val="187"/>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0"/>
              </w:rPr>
              <w:t>Number of</w:t>
            </w:r>
          </w:p>
        </w:tc>
        <w:tc>
          <w:tcPr>
            <w:tcW w:w="16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Weighted-Average</w:t>
            </w:r>
          </w:p>
        </w:tc>
        <w:tc>
          <w:tcPr>
            <w:tcW w:w="17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Contractual</w:t>
            </w:r>
          </w:p>
        </w:tc>
        <w:tc>
          <w:tcPr>
            <w:tcW w:w="280" w:type="dxa"/>
            <w:vAlign w:val="bottom"/>
          </w:tcPr>
          <w:p>
            <w:pPr>
              <w:spacing w:after="0"/>
              <w:rPr>
                <w:sz w:val="16"/>
                <w:szCs w:val="16"/>
                <w:color w:val="auto"/>
              </w:rPr>
            </w:pPr>
          </w:p>
        </w:tc>
        <w:tc>
          <w:tcPr>
            <w:tcW w:w="1300" w:type="dxa"/>
            <w:vAlign w:val="bottom"/>
          </w:tcPr>
          <w:p>
            <w:pPr>
              <w:jc w:val="center"/>
              <w:ind w:right="201"/>
              <w:spacing w:after="0"/>
              <w:rPr>
                <w:sz w:val="20"/>
                <w:szCs w:val="20"/>
                <w:color w:val="auto"/>
              </w:rPr>
            </w:pPr>
            <w:r>
              <w:rPr>
                <w:rFonts w:ascii="Arial" w:cs="Arial" w:eastAsia="Arial" w:hAnsi="Arial"/>
                <w:sz w:val="15"/>
                <w:szCs w:val="15"/>
                <w:b w:val="1"/>
                <w:bCs w:val="1"/>
                <w:color w:val="auto"/>
                <w:w w:val="92"/>
              </w:rPr>
              <w:t>Intrinsic</w:t>
            </w:r>
          </w:p>
        </w:tc>
      </w:tr>
      <w:tr>
        <w:trPr>
          <w:trHeight w:val="193"/>
        </w:trPr>
        <w:tc>
          <w:tcPr>
            <w:tcW w:w="4700" w:type="dxa"/>
            <w:vAlign w:val="bottom"/>
            <w:gridSpan w:val="2"/>
          </w:tcPr>
          <w:p>
            <w:pPr>
              <w:ind w:left="20"/>
              <w:spacing w:after="0"/>
              <w:rPr>
                <w:sz w:val="20"/>
                <w:szCs w:val="20"/>
                <w:color w:val="auto"/>
              </w:rPr>
            </w:pPr>
            <w:r>
              <w:rPr>
                <w:rFonts w:ascii="Arial" w:cs="Arial" w:eastAsia="Arial" w:hAnsi="Arial"/>
                <w:sz w:val="15"/>
                <w:szCs w:val="15"/>
                <w:b w:val="1"/>
                <w:bCs w:val="1"/>
                <w:color w:val="auto"/>
              </w:rPr>
              <w:t>Options</w:t>
            </w:r>
          </w:p>
        </w:tc>
        <w:tc>
          <w:tcPr>
            <w:tcW w:w="17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Options</w:t>
            </w:r>
          </w:p>
        </w:tc>
        <w:tc>
          <w:tcPr>
            <w:tcW w:w="16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7"/>
              </w:rPr>
              <w:t>Exercise Price</w:t>
            </w:r>
          </w:p>
        </w:tc>
        <w:tc>
          <w:tcPr>
            <w:tcW w:w="17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Term (Years)</w:t>
            </w:r>
          </w:p>
        </w:tc>
        <w:tc>
          <w:tcPr>
            <w:tcW w:w="280" w:type="dxa"/>
            <w:vAlign w:val="bottom"/>
          </w:tcPr>
          <w:p>
            <w:pPr>
              <w:spacing w:after="0"/>
              <w:rPr>
                <w:sz w:val="16"/>
                <w:szCs w:val="16"/>
                <w:color w:val="auto"/>
              </w:rPr>
            </w:pPr>
          </w:p>
        </w:tc>
        <w:tc>
          <w:tcPr>
            <w:tcW w:w="1300" w:type="dxa"/>
            <w:vAlign w:val="bottom"/>
          </w:tcPr>
          <w:p>
            <w:pPr>
              <w:jc w:val="center"/>
              <w:ind w:right="181"/>
              <w:spacing w:after="0"/>
              <w:rPr>
                <w:sz w:val="20"/>
                <w:szCs w:val="20"/>
                <w:color w:val="auto"/>
              </w:rPr>
            </w:pPr>
            <w:r>
              <w:rPr>
                <w:rFonts w:ascii="Arial" w:cs="Arial" w:eastAsia="Arial" w:hAnsi="Arial"/>
                <w:sz w:val="15"/>
                <w:szCs w:val="15"/>
                <w:b w:val="1"/>
                <w:bCs w:val="1"/>
                <w:color w:val="auto"/>
                <w:w w:val="89"/>
              </w:rPr>
              <w:t>Value</w:t>
            </w:r>
          </w:p>
        </w:tc>
      </w:tr>
      <w:tr>
        <w:trPr>
          <w:trHeight w:val="31"/>
        </w:trPr>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December 31, 2017</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3,950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21.54</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24"/>
        </w:trPr>
        <w:tc>
          <w:tcPr>
            <w:tcW w:w="4700" w:type="dxa"/>
            <w:vAlign w:val="bottom"/>
            <w:gridSpan w:val="2"/>
          </w:tcPr>
          <w:p>
            <w:pPr>
              <w:ind w:left="140"/>
              <w:spacing w:after="0"/>
              <w:rPr>
                <w:sz w:val="20"/>
                <w:szCs w:val="20"/>
                <w:color w:val="auto"/>
              </w:rPr>
            </w:pPr>
            <w:r>
              <w:rPr>
                <w:rFonts w:ascii="Arial" w:cs="Arial" w:eastAsia="Arial" w:hAnsi="Arial"/>
                <w:sz w:val="17"/>
                <w:szCs w:val="17"/>
                <w:color w:val="auto"/>
              </w:rPr>
              <w:t>Options Granted</w:t>
            </w:r>
          </w:p>
        </w:tc>
        <w:tc>
          <w:tcPr>
            <w:tcW w:w="1600" w:type="dxa"/>
            <w:vAlign w:val="bottom"/>
          </w:tcPr>
          <w:p>
            <w:pPr>
              <w:jc w:val="right"/>
              <w:ind w:right="19"/>
              <w:spacing w:after="0"/>
              <w:rPr>
                <w:sz w:val="20"/>
                <w:szCs w:val="20"/>
                <w:color w:val="auto"/>
              </w:rPr>
            </w:pPr>
            <w:r>
              <w:rPr>
                <w:rFonts w:ascii="Arial" w:cs="Arial" w:eastAsia="Arial" w:hAnsi="Arial"/>
                <w:sz w:val="17"/>
                <w:szCs w:val="17"/>
                <w:color w:val="auto"/>
              </w:rPr>
              <w:t>1,065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7"/>
                <w:szCs w:val="17"/>
                <w:color w:val="auto"/>
              </w:rPr>
              <w:t>9.75</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Options Exercised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83"/>
        </w:trPr>
        <w:tc>
          <w:tcPr>
            <w:tcW w:w="470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Options Cancelled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21.81</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27"/>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September 30, 2018</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4,551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18.75</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56</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7"/>
        </w:trPr>
        <w:tc>
          <w:tcPr>
            <w:tcW w:w="47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Vested at September 30, 2018</w:t>
            </w: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1,449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31.04</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w:t>
            </w:r>
          </w:p>
        </w:tc>
      </w:tr>
      <w:tr>
        <w:trPr>
          <w:trHeight w:val="227"/>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Exercisable at September 30, 2018</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1,449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31.04</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299"/>
        <w:spacing w:after="0" w:line="332" w:lineRule="auto"/>
        <w:rPr>
          <w:sz w:val="20"/>
          <w:szCs w:val="20"/>
          <w:color w:val="auto"/>
        </w:rPr>
      </w:pPr>
      <w:r>
        <w:rPr>
          <w:rFonts w:ascii="Arial" w:cs="Arial" w:eastAsia="Arial" w:hAnsi="Arial"/>
          <w:sz w:val="15"/>
          <w:szCs w:val="15"/>
          <w:color w:val="auto"/>
        </w:rPr>
        <w:t>For the three months ended September 30, 2018 and 2017, the Company recognized nil for both periods, the total intrinsic value for stock options exercised. For the nine months ended September 30, 2018 and 2017, the Company recognized nil and $1.0 million, respectively in the total intrinsic value for stock options exercised.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Awards of Restricted Stock and Performance Stock</w:t>
      </w:r>
    </w:p>
    <w:p>
      <w:pPr>
        <w:spacing w:after="0" w:line="203"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There were no significant changes to Company’s restricted stock award (“Restricted Stock”) and performance stock plan during the three and nine months ended September 30, 2018.</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 summary of the Company’s unvested restricted stock at September 30, 2018, and changes during the nine months ended September 30, 2018, is presented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60"/>
              <w:spacing w:after="0"/>
              <w:rPr>
                <w:sz w:val="20"/>
                <w:szCs w:val="20"/>
                <w:color w:val="auto"/>
              </w:rPr>
            </w:pPr>
            <w:r>
              <w:rPr>
                <w:rFonts w:ascii="Arial" w:cs="Arial" w:eastAsia="Arial" w:hAnsi="Arial"/>
                <w:sz w:val="15"/>
                <w:szCs w:val="15"/>
                <w:b w:val="1"/>
                <w:bCs w:val="1"/>
                <w:color w:val="auto"/>
                <w:w w:val="89"/>
              </w:rPr>
              <w:t>Weighted- Average</w:t>
            </w:r>
          </w:p>
        </w:tc>
      </w:tr>
      <w:tr>
        <w:trPr>
          <w:trHeight w:val="187"/>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359"/>
              <w:spacing w:after="0"/>
              <w:rPr>
                <w:sz w:val="20"/>
                <w:szCs w:val="20"/>
                <w:color w:val="auto"/>
              </w:rPr>
            </w:pPr>
            <w:r>
              <w:rPr>
                <w:rFonts w:ascii="Arial" w:cs="Arial" w:eastAsia="Arial" w:hAnsi="Arial"/>
                <w:sz w:val="15"/>
                <w:szCs w:val="15"/>
                <w:b w:val="1"/>
                <w:bCs w:val="1"/>
                <w:color w:val="auto"/>
              </w:rPr>
              <w:t>Number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60"/>
              <w:spacing w:after="0"/>
              <w:rPr>
                <w:sz w:val="20"/>
                <w:szCs w:val="20"/>
                <w:color w:val="auto"/>
              </w:rPr>
            </w:pPr>
            <w:r>
              <w:rPr>
                <w:rFonts w:ascii="Arial" w:cs="Arial" w:eastAsia="Arial" w:hAnsi="Arial"/>
                <w:sz w:val="15"/>
                <w:szCs w:val="15"/>
                <w:b w:val="1"/>
                <w:bCs w:val="1"/>
                <w:color w:val="auto"/>
                <w:w w:val="96"/>
              </w:rPr>
              <w:t>Grant Date</w:t>
            </w:r>
          </w:p>
        </w:tc>
      </w:tr>
      <w:tr>
        <w:trPr>
          <w:trHeight w:val="193"/>
        </w:trPr>
        <w:tc>
          <w:tcPr>
            <w:tcW w:w="8120" w:type="dxa"/>
            <w:vAlign w:val="bottom"/>
            <w:gridSpan w:val="2"/>
          </w:tcPr>
          <w:p>
            <w:pPr>
              <w:ind w:left="20"/>
              <w:spacing w:after="0"/>
              <w:rPr>
                <w:sz w:val="20"/>
                <w:szCs w:val="20"/>
                <w:color w:val="auto"/>
              </w:rPr>
            </w:pPr>
            <w:r>
              <w:rPr>
                <w:rFonts w:ascii="Arial" w:cs="Arial" w:eastAsia="Arial" w:hAnsi="Arial"/>
                <w:sz w:val="15"/>
                <w:szCs w:val="15"/>
                <w:b w:val="1"/>
                <w:bCs w:val="1"/>
                <w:color w:val="auto"/>
              </w:rPr>
              <w:t>Unvested Restricted Stock</w:t>
            </w:r>
          </w:p>
        </w:tc>
        <w:tc>
          <w:tcPr>
            <w:tcW w:w="1600" w:type="dxa"/>
            <w:vAlign w:val="bottom"/>
          </w:tcPr>
          <w:p>
            <w:pPr>
              <w:jc w:val="right"/>
              <w:ind w:right="479"/>
              <w:spacing w:after="0"/>
              <w:rPr>
                <w:sz w:val="20"/>
                <w:szCs w:val="20"/>
                <w:color w:val="auto"/>
              </w:rPr>
            </w:pPr>
            <w:r>
              <w:rPr>
                <w:rFonts w:ascii="Arial" w:cs="Arial" w:eastAsia="Arial" w:hAnsi="Arial"/>
                <w:sz w:val="15"/>
                <w:szCs w:val="15"/>
                <w:b w:val="1"/>
                <w:bCs w:val="1"/>
                <w:color w:val="auto"/>
              </w:rPr>
              <w:t>Awards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60"/>
              <w:spacing w:after="0"/>
              <w:rPr>
                <w:sz w:val="20"/>
                <w:szCs w:val="20"/>
                <w:color w:val="auto"/>
              </w:rPr>
            </w:pPr>
            <w:r>
              <w:rPr>
                <w:rFonts w:ascii="Arial" w:cs="Arial" w:eastAsia="Arial" w:hAnsi="Arial"/>
                <w:sz w:val="15"/>
                <w:szCs w:val="15"/>
                <w:b w:val="1"/>
                <w:bCs w:val="1"/>
                <w:color w:val="auto"/>
                <w:w w:val="91"/>
              </w:rPr>
              <w:t>Fair Value</w:t>
            </w:r>
          </w:p>
        </w:tc>
      </w:tr>
      <w:tr>
        <w:trPr>
          <w:trHeight w:val="31"/>
        </w:trPr>
        <w:tc>
          <w:tcPr>
            <w:tcW w:w="8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2"/>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Unvested at December 31, 2017</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2,064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22.75</w:t>
            </w:r>
          </w:p>
        </w:tc>
      </w:tr>
      <w:tr>
        <w:trPr>
          <w:trHeight w:val="224"/>
        </w:trPr>
        <w:tc>
          <w:tcPr>
            <w:tcW w:w="8120" w:type="dxa"/>
            <w:vAlign w:val="bottom"/>
            <w:gridSpan w:val="2"/>
          </w:tcPr>
          <w:p>
            <w:pPr>
              <w:ind w:left="140"/>
              <w:spacing w:after="0"/>
              <w:rPr>
                <w:sz w:val="20"/>
                <w:szCs w:val="20"/>
                <w:color w:val="auto"/>
              </w:rPr>
            </w:pPr>
            <w:r>
              <w:rPr>
                <w:rFonts w:ascii="Arial" w:cs="Arial" w:eastAsia="Arial" w:hAnsi="Arial"/>
                <w:sz w:val="17"/>
                <w:szCs w:val="17"/>
                <w:color w:val="auto"/>
              </w:rPr>
              <w:t>Granted</w:t>
            </w:r>
          </w:p>
        </w:tc>
        <w:tc>
          <w:tcPr>
            <w:tcW w:w="1600" w:type="dxa"/>
            <w:vAlign w:val="bottom"/>
          </w:tcPr>
          <w:p>
            <w:pPr>
              <w:jc w:val="right"/>
              <w:ind w:right="39"/>
              <w:spacing w:after="0"/>
              <w:rPr>
                <w:sz w:val="20"/>
                <w:szCs w:val="20"/>
                <w:color w:val="auto"/>
              </w:rPr>
            </w:pPr>
            <w:r>
              <w:rPr>
                <w:rFonts w:ascii="Arial" w:cs="Arial" w:eastAsia="Arial" w:hAnsi="Arial"/>
                <w:sz w:val="17"/>
                <w:szCs w:val="17"/>
                <w:color w:val="auto"/>
              </w:rPr>
              <w:t>1,801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20"/>
              <w:spacing w:after="0"/>
              <w:rPr>
                <w:sz w:val="20"/>
                <w:szCs w:val="20"/>
                <w:color w:val="auto"/>
              </w:rPr>
            </w:pPr>
            <w:r>
              <w:rPr>
                <w:rFonts w:ascii="Arial" w:cs="Arial" w:eastAsia="Arial" w:hAnsi="Arial"/>
                <w:sz w:val="17"/>
                <w:szCs w:val="17"/>
                <w:color w:val="auto"/>
              </w:rPr>
              <w:t>9.15</w:t>
            </w:r>
          </w:p>
        </w:tc>
      </w:tr>
      <w:tr>
        <w:trPr>
          <w:trHeight w:val="25"/>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8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26.75</w:t>
            </w:r>
          </w:p>
        </w:tc>
      </w:tr>
      <w:tr>
        <w:trPr>
          <w:trHeight w:val="224"/>
        </w:trPr>
        <w:tc>
          <w:tcPr>
            <w:tcW w:w="8120" w:type="dxa"/>
            <w:vAlign w:val="bottom"/>
            <w:gridSpan w:val="2"/>
          </w:tcPr>
          <w:p>
            <w:pPr>
              <w:ind w:left="140"/>
              <w:spacing w:after="0"/>
              <w:rPr>
                <w:sz w:val="20"/>
                <w:szCs w:val="20"/>
                <w:color w:val="auto"/>
              </w:rPr>
            </w:pPr>
            <w:r>
              <w:rPr>
                <w:rFonts w:ascii="Arial" w:cs="Arial" w:eastAsia="Arial" w:hAnsi="Arial"/>
                <w:sz w:val="17"/>
                <w:szCs w:val="17"/>
                <w:color w:val="auto"/>
              </w:rPr>
              <w:t>Forfeited</w:t>
            </w:r>
          </w:p>
        </w:tc>
        <w:tc>
          <w:tcPr>
            <w:tcW w:w="1600" w:type="dxa"/>
            <w:vAlign w:val="bottom"/>
          </w:tcPr>
          <w:p>
            <w:pPr>
              <w:jc w:val="right"/>
              <w:spacing w:after="0"/>
              <w:rPr>
                <w:sz w:val="20"/>
                <w:szCs w:val="20"/>
                <w:color w:val="auto"/>
              </w:rPr>
            </w:pPr>
            <w:r>
              <w:rPr>
                <w:rFonts w:ascii="Arial" w:cs="Arial" w:eastAsia="Arial" w:hAnsi="Arial"/>
                <w:sz w:val="17"/>
                <w:szCs w:val="17"/>
                <w:color w:val="auto"/>
              </w:rPr>
              <w:t>(211)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20"/>
              <w:spacing w:after="0"/>
              <w:rPr>
                <w:sz w:val="20"/>
                <w:szCs w:val="20"/>
                <w:color w:val="auto"/>
              </w:rPr>
            </w:pPr>
            <w:r>
              <w:rPr>
                <w:rFonts w:ascii="Arial" w:cs="Arial" w:eastAsia="Arial" w:hAnsi="Arial"/>
                <w:sz w:val="17"/>
                <w:szCs w:val="17"/>
                <w:color w:val="auto"/>
              </w:rPr>
              <w:t>17.52</w:t>
            </w:r>
          </w:p>
        </w:tc>
      </w:tr>
      <w:tr>
        <w:trPr>
          <w:trHeight w:val="25"/>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36"/>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Unvested at September 30, 2018</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2,916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13.74</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299"/>
        <w:spacing w:after="0" w:line="332" w:lineRule="auto"/>
        <w:rPr>
          <w:sz w:val="20"/>
          <w:szCs w:val="20"/>
          <w:color w:val="auto"/>
        </w:rPr>
      </w:pPr>
      <w:r>
        <w:rPr>
          <w:rFonts w:ascii="Arial" w:cs="Arial" w:eastAsia="Arial" w:hAnsi="Arial"/>
          <w:sz w:val="15"/>
          <w:szCs w:val="15"/>
          <w:color w:val="auto"/>
        </w:rPr>
        <w:t>Restricted stock awards are granted subject to other service conditions or service and performance conditions (“Performance-Based Awards”). Restricted stock and performance-based awards are measured at the closing stock price at the date of grant and are recognized straight line over the requisite service period.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127"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03"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There were no repurchases in 2018. In 2018, the Company retired 3.9 million shares of Common Stock that were previously repurchased in prior years. Any related additional paid in capital and par values were removed from the Common Stock numbers.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Restructuring</w:t>
      </w:r>
    </w:p>
    <w:p>
      <w:pPr>
        <w:spacing w:after="0" w:line="207" w:lineRule="exact"/>
        <w:rPr>
          <w:sz w:val="20"/>
          <w:szCs w:val="20"/>
          <w:color w:val="auto"/>
        </w:rPr>
      </w:pPr>
    </w:p>
    <w:p>
      <w:pPr>
        <w:jc w:val="both"/>
        <w:ind w:firstLine="299"/>
        <w:spacing w:after="0" w:line="291" w:lineRule="auto"/>
        <w:rPr>
          <w:sz w:val="20"/>
          <w:szCs w:val="20"/>
          <w:color w:val="auto"/>
        </w:rPr>
      </w:pPr>
      <w:r>
        <w:rPr>
          <w:rFonts w:ascii="Arial" w:cs="Arial" w:eastAsia="Arial" w:hAnsi="Arial"/>
          <w:sz w:val="15"/>
          <w:szCs w:val="15"/>
          <w:color w:val="auto"/>
        </w:rPr>
        <w:t>Throughout 2017, the Company initiated a work-force reduction as part of a corporate restructuring, with reductions occurring across all levels and departments within the Company, primarily to reduce costs subsequent to an acquisition or divestiture. As part of these efforts, the Company continues to identify facilities consolidation and workforce optimization opportunities to better align the Company’s resources with its key strategic priorities. These measures were intended to reduce costs and to align the Company’s resources with its key strategic priorities. The Company authorized additional work force reduction initiatives in July 2018 and in the period ending September 30, 2018. As of September 30, 2018, there were $4.4 million of accrued restructuring charges on the Condensed Consolidated Balance Sheets.</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 summary of the Company’s restructuring accrual at September 30, 2018 and changes during the nine months ended September 30, 2018, are presented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80" w:type="dxa"/>
            <w:vAlign w:val="bottom"/>
          </w:tcPr>
          <w:p>
            <w:pPr>
              <w:spacing w:after="0"/>
              <w:rPr>
                <w:sz w:val="16"/>
                <w:szCs w:val="16"/>
                <w:color w:val="auto"/>
              </w:rPr>
            </w:pPr>
          </w:p>
        </w:tc>
        <w:tc>
          <w:tcPr>
            <w:tcW w:w="1860" w:type="dxa"/>
            <w:vAlign w:val="bottom"/>
            <w:gridSpan w:val="3"/>
          </w:tcPr>
          <w:p>
            <w:pPr>
              <w:ind w:left="80"/>
              <w:spacing w:after="0"/>
              <w:rPr>
                <w:sz w:val="20"/>
                <w:szCs w:val="20"/>
                <w:color w:val="auto"/>
              </w:rPr>
            </w:pPr>
            <w:r>
              <w:rPr>
                <w:rFonts w:ascii="Arial" w:cs="Arial" w:eastAsia="Arial" w:hAnsi="Arial"/>
                <w:sz w:val="15"/>
                <w:szCs w:val="15"/>
                <w:b w:val="1"/>
                <w:bCs w:val="1"/>
                <w:color w:val="auto"/>
                <w:w w:val="99"/>
              </w:rPr>
              <w:t>Balance at December 31,</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right"/>
              <w:ind w:right="80"/>
              <w:spacing w:after="0"/>
              <w:rPr>
                <w:sz w:val="20"/>
                <w:szCs w:val="20"/>
                <w:color w:val="auto"/>
              </w:rPr>
            </w:pPr>
            <w:r>
              <w:rPr>
                <w:rFonts w:ascii="Arial" w:cs="Arial" w:eastAsia="Arial" w:hAnsi="Arial"/>
                <w:sz w:val="15"/>
                <w:szCs w:val="15"/>
                <w:b w:val="1"/>
                <w:bCs w:val="1"/>
                <w:color w:val="auto"/>
                <w:w w:val="89"/>
              </w:rPr>
              <w:t>Balance at September 30,</w:t>
            </w:r>
          </w:p>
        </w:tc>
      </w:tr>
      <w:tr>
        <w:trPr>
          <w:trHeight w:val="224"/>
        </w:trPr>
        <w:tc>
          <w:tcPr>
            <w:tcW w:w="3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639"/>
              <w:spacing w:after="0"/>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5"/>
                <w:szCs w:val="15"/>
                <w:b w:val="1"/>
                <w:bCs w:val="1"/>
                <w:color w:val="auto"/>
              </w:rPr>
              <w:t>Charges</w:t>
            </w:r>
          </w:p>
        </w:tc>
        <w:tc>
          <w:tcPr>
            <w:tcW w:w="24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5"/>
                <w:szCs w:val="15"/>
                <w:b w:val="1"/>
                <w:bCs w:val="1"/>
                <w:color w:val="auto"/>
              </w:rPr>
              <w:t>Payments</w:t>
            </w:r>
          </w:p>
        </w:tc>
        <w:tc>
          <w:tcPr>
            <w:tcW w:w="1580" w:type="dxa"/>
            <w:vAlign w:val="bottom"/>
            <w:gridSpan w:val="3"/>
          </w:tcPr>
          <w:p>
            <w:pPr>
              <w:ind w:left="80"/>
              <w:spacing w:after="0"/>
              <w:rPr>
                <w:sz w:val="20"/>
                <w:szCs w:val="20"/>
                <w:color w:val="auto"/>
              </w:rPr>
            </w:pPr>
            <w:r>
              <w:rPr>
                <w:rFonts w:ascii="Arial" w:cs="Arial" w:eastAsia="Arial" w:hAnsi="Arial"/>
                <w:sz w:val="15"/>
                <w:szCs w:val="15"/>
                <w:b w:val="1"/>
                <w:bCs w:val="1"/>
                <w:color w:val="auto"/>
              </w:rPr>
              <w:t>Other Adjustments</w:t>
            </w:r>
            <w:r>
              <w:rPr>
                <w:rFonts w:ascii="Arial" w:cs="Arial" w:eastAsia="Arial" w:hAnsi="Arial"/>
                <w:sz w:val="19"/>
                <w:szCs w:val="19"/>
                <w:b w:val="1"/>
                <w:bCs w:val="1"/>
                <w:color w:val="auto"/>
                <w:vertAlign w:val="superscript"/>
              </w:rPr>
              <w:t>1</w:t>
            </w:r>
          </w:p>
        </w:tc>
        <w:tc>
          <w:tcPr>
            <w:tcW w:w="120" w:type="dxa"/>
            <w:vAlign w:val="bottom"/>
          </w:tcPr>
          <w:p>
            <w:pPr>
              <w:spacing w:after="0"/>
              <w:rPr>
                <w:sz w:val="19"/>
                <w:szCs w:val="19"/>
                <w:color w:val="auto"/>
              </w:rPr>
            </w:pPr>
          </w:p>
        </w:tc>
        <w:tc>
          <w:tcPr>
            <w:tcW w:w="1800" w:type="dxa"/>
            <w:vAlign w:val="bottom"/>
          </w:tcPr>
          <w:p>
            <w:pPr>
              <w:jc w:val="right"/>
              <w:ind w:right="740"/>
              <w:spacing w:after="0"/>
              <w:rPr>
                <w:sz w:val="20"/>
                <w:szCs w:val="20"/>
                <w:color w:val="auto"/>
              </w:rPr>
            </w:pPr>
            <w:r>
              <w:rPr>
                <w:rFonts w:ascii="Arial" w:cs="Arial" w:eastAsia="Arial" w:hAnsi="Arial"/>
                <w:sz w:val="15"/>
                <w:szCs w:val="15"/>
                <w:b w:val="1"/>
                <w:bCs w:val="1"/>
                <w:color w:val="auto"/>
              </w:rPr>
              <w:t>2018</w:t>
            </w:r>
          </w:p>
        </w:tc>
      </w:tr>
      <w:tr>
        <w:trPr>
          <w:trHeight w:val="222"/>
        </w:trPr>
        <w:tc>
          <w:tcPr>
            <w:tcW w:w="30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Employment termination costs</w:t>
            </w:r>
          </w:p>
        </w:tc>
        <w:tc>
          <w:tcPr>
            <w:tcW w:w="420" w:type="dxa"/>
            <w:vAlign w:val="bottom"/>
            <w:tcBorders>
              <w:top w:val="single" w:sz="8" w:color="auto"/>
              <w:bottom w:val="single" w:sz="8" w:color="CCEEFF"/>
            </w:tcBorders>
            <w:shd w:val="clear" w:color="auto" w:fill="CCEEFF"/>
          </w:tcPr>
          <w:p>
            <w:pPr>
              <w:jc w:val="right"/>
              <w:ind w:right="240"/>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474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8,003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CCEEFF"/>
            </w:tcBorders>
            <w:shd w:val="clear" w:color="auto" w:fill="CCEEFF"/>
          </w:tcPr>
          <w:p>
            <w:pPr>
              <w:jc w:val="right"/>
              <w:ind w:right="360"/>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1,934</w:t>
            </w:r>
          </w:p>
        </w:tc>
      </w:tr>
      <w:tr>
        <w:trPr>
          <w:trHeight w:val="224"/>
        </w:trPr>
        <w:tc>
          <w:tcPr>
            <w:tcW w:w="3080" w:type="dxa"/>
            <w:vAlign w:val="bottom"/>
          </w:tcPr>
          <w:p>
            <w:pPr>
              <w:ind w:left="240"/>
              <w:spacing w:after="0"/>
              <w:rPr>
                <w:sz w:val="20"/>
                <w:szCs w:val="20"/>
                <w:color w:val="auto"/>
              </w:rPr>
            </w:pPr>
            <w:r>
              <w:rPr>
                <w:rFonts w:ascii="Arial" w:cs="Arial" w:eastAsia="Arial" w:hAnsi="Arial"/>
                <w:sz w:val="17"/>
                <w:szCs w:val="17"/>
                <w:color w:val="auto"/>
              </w:rPr>
              <w:t>Facilities consolidation</w:t>
            </w:r>
          </w:p>
        </w:tc>
        <w:tc>
          <w:tcPr>
            <w:tcW w:w="42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422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1,997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ind w:right="40"/>
              <w:spacing w:after="0"/>
              <w:rPr>
                <w:sz w:val="20"/>
                <w:szCs w:val="20"/>
                <w:color w:val="auto"/>
              </w:rPr>
            </w:pPr>
            <w:r>
              <w:rPr>
                <w:rFonts w:ascii="Arial" w:cs="Arial" w:eastAsia="Arial" w:hAnsi="Arial"/>
                <w:sz w:val="17"/>
                <w:szCs w:val="17"/>
                <w:color w:val="auto"/>
              </w:rPr>
              <w:t>2,429</w:t>
            </w:r>
          </w:p>
        </w:tc>
      </w:tr>
      <w:tr>
        <w:trPr>
          <w:trHeight w:val="25"/>
        </w:trPr>
        <w:tc>
          <w:tcPr>
            <w:tcW w:w="3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6"/>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498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8,425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(6,519)</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1,959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4,363</w:t>
            </w:r>
          </w:p>
        </w:tc>
      </w:tr>
      <w:tr>
        <w:trPr>
          <w:trHeight w:val="20"/>
        </w:trPr>
        <w:tc>
          <w:tcPr>
            <w:tcW w:w="3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ind w:left="300" w:hanging="300"/>
        <w:spacing w:after="0" w:line="195" w:lineRule="auto"/>
        <w:tabs>
          <w:tab w:leader="none" w:pos="30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Includes non-cash adjustments.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207" w:lineRule="exact"/>
        <w:rPr>
          <w:sz w:val="20"/>
          <w:szCs w:val="20"/>
          <w:color w:val="auto"/>
        </w:rPr>
      </w:pPr>
    </w:p>
    <w:p>
      <w:pPr>
        <w:jc w:val="both"/>
        <w:ind w:firstLine="299"/>
        <w:spacing w:after="0" w:line="267" w:lineRule="auto"/>
        <w:rPr>
          <w:sz w:val="20"/>
          <w:szCs w:val="20"/>
          <w:color w:val="auto"/>
        </w:rPr>
      </w:pPr>
      <w:r>
        <w:rPr>
          <w:rFonts w:ascii="Arial" w:cs="Arial" w:eastAsia="Arial" w:hAnsi="Arial"/>
          <w:sz w:val="16"/>
          <w:szCs w:val="16"/>
          <w:color w:val="auto"/>
        </w:rPr>
        <w:t>The Company recognized approximately $1.6 million and $18.0 million in related income tax benefits during the nine months ended September 30, 2018 and 2017, respectively. The effective tax rate was approximately 1.3% for the nine months ended September 30, 2018, which was lower than the U.S. federal statutory rate primarily due to the full valuation allowances recorded in the fourth quarter of 2017 and the benefits recorded discretely in the third quarter of 2018 from the expiration of the statute of limitations for uncertain tax positions. The Company considered all available evidence, including historical profitability and projections of future taxable income together with new evidence, both positive and negative, that could affect the view of the future realization of deferred tax assets. As a result of the assessment, no change was recorded by the Company to the valuation allowance during the nine months ended September 30, 2018.</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Earnings per Common Share (“EPS”)</w:t>
      </w:r>
    </w:p>
    <w:p>
      <w:pPr>
        <w:spacing w:after="0" w:line="207" w:lineRule="exact"/>
        <w:rPr>
          <w:sz w:val="20"/>
          <w:szCs w:val="20"/>
          <w:color w:val="auto"/>
        </w:rPr>
      </w:pPr>
    </w:p>
    <w:p>
      <w:pPr>
        <w:jc w:val="both"/>
        <w:ind w:firstLine="299"/>
        <w:spacing w:after="0" w:line="267" w:lineRule="auto"/>
        <w:rPr>
          <w:sz w:val="20"/>
          <w:szCs w:val="20"/>
          <w:color w:val="auto"/>
        </w:rPr>
      </w:pPr>
      <w:r>
        <w:rPr>
          <w:rFonts w:ascii="Arial" w:cs="Arial" w:eastAsia="Arial" w:hAnsi="Arial"/>
          <w:sz w:val="16"/>
          <w:szCs w:val="16"/>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127"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ind w:firstLine="299"/>
        <w:spacing w:after="0" w:line="265" w:lineRule="auto"/>
        <w:rPr>
          <w:sz w:val="20"/>
          <w:szCs w:val="20"/>
          <w:color w:val="auto"/>
        </w:rPr>
      </w:pPr>
      <w:r>
        <w:rPr>
          <w:rFonts w:ascii="Arial" w:cs="Arial" w:eastAsia="Arial" w:hAnsi="Arial"/>
          <w:sz w:val="17"/>
          <w:szCs w:val="17"/>
          <w:color w:val="auto"/>
        </w:rPr>
        <w:t>The following table provides a reconciliation of the numerator and denominator used in computing basic and diluted net income attributable to common stockholders per common share from continued and discontinued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00" w:type="dxa"/>
            <w:vAlign w:val="bottom"/>
          </w:tcPr>
          <w:p>
            <w:pPr>
              <w:spacing w:after="0"/>
              <w:rPr>
                <w:sz w:val="13"/>
                <w:szCs w:val="13"/>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ind w:left="240"/>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242"/>
        </w:trPr>
        <w:tc>
          <w:tcPr>
            <w:tcW w:w="56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5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94"/>
              <w:spacing w:after="0"/>
              <w:rPr>
                <w:sz w:val="20"/>
                <w:szCs w:val="20"/>
                <w:color w:val="auto"/>
              </w:rPr>
            </w:pPr>
            <w:r>
              <w:rPr>
                <w:rFonts w:ascii="Arial" w:cs="Arial" w:eastAsia="Arial" w:hAnsi="Arial"/>
                <w:sz w:val="12"/>
                <w:szCs w:val="12"/>
                <w:b w:val="1"/>
                <w:bCs w:val="1"/>
                <w:color w:val="auto"/>
              </w:rPr>
              <w:t>2017</w:t>
            </w:r>
          </w:p>
        </w:tc>
        <w:tc>
          <w:tcPr>
            <w:tcW w:w="0" w:type="dxa"/>
            <w:vAlign w:val="bottom"/>
          </w:tcPr>
          <w:p>
            <w:pPr>
              <w:spacing w:after="0"/>
              <w:rPr>
                <w:sz w:val="1"/>
                <w:szCs w:val="1"/>
                <w:color w:val="auto"/>
              </w:rPr>
            </w:pPr>
          </w:p>
        </w:tc>
      </w:tr>
      <w:tr>
        <w:trPr>
          <w:trHeight w:val="249"/>
        </w:trPr>
        <w:tc>
          <w:tcPr>
            <w:tcW w:w="5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Numerator - Basic:</w:t>
            </w:r>
          </w:p>
        </w:tc>
        <w:tc>
          <w:tcPr>
            <w:tcW w:w="8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00" w:type="dxa"/>
            <w:vAlign w:val="bottom"/>
          </w:tcPr>
          <w:p>
            <w:pPr>
              <w:ind w:left="140"/>
              <w:spacing w:after="0"/>
              <w:rPr>
                <w:sz w:val="20"/>
                <w:szCs w:val="20"/>
                <w:color w:val="auto"/>
              </w:rPr>
            </w:pPr>
            <w:r>
              <w:rPr>
                <w:rFonts w:ascii="Arial" w:cs="Arial" w:eastAsia="Arial" w:hAnsi="Arial"/>
                <w:sz w:val="13"/>
                <w:szCs w:val="13"/>
                <w:color w:val="auto"/>
              </w:rPr>
              <w:t>Net loss from continuing operations</w:t>
            </w:r>
          </w:p>
        </w:tc>
        <w:tc>
          <w:tcPr>
            <w:tcW w:w="840" w:type="dxa"/>
            <w:vAlign w:val="bottom"/>
          </w:tcPr>
          <w:p>
            <w:pPr>
              <w:jc w:val="right"/>
              <w:ind w:right="675"/>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4"/>
              <w:spacing w:after="0"/>
              <w:rPr>
                <w:sz w:val="20"/>
                <w:szCs w:val="20"/>
                <w:color w:val="auto"/>
              </w:rPr>
            </w:pPr>
            <w:r>
              <w:rPr>
                <w:rFonts w:ascii="Arial" w:cs="Arial" w:eastAsia="Arial" w:hAnsi="Arial"/>
                <w:sz w:val="13"/>
                <w:szCs w:val="13"/>
                <w:color w:val="auto"/>
                <w:w w:val="94"/>
              </w:rPr>
              <w:t>(46,644)</w:t>
            </w:r>
          </w:p>
        </w:tc>
        <w:tc>
          <w:tcPr>
            <w:tcW w:w="120" w:type="dxa"/>
            <w:vAlign w:val="bottom"/>
          </w:tcPr>
          <w:p>
            <w:pPr>
              <w:spacing w:after="0"/>
              <w:rPr>
                <w:sz w:val="21"/>
                <w:szCs w:val="21"/>
                <w:color w:val="auto"/>
              </w:rPr>
            </w:pPr>
          </w:p>
        </w:tc>
        <w:tc>
          <w:tcPr>
            <w:tcW w:w="840" w:type="dxa"/>
            <w:vAlign w:val="bottom"/>
          </w:tcPr>
          <w:p>
            <w:pPr>
              <w:jc w:val="right"/>
              <w:ind w:right="67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0"/>
              </w:rPr>
              <w:t>(45,206)</w:t>
            </w:r>
          </w:p>
        </w:tc>
        <w:tc>
          <w:tcPr>
            <w:tcW w:w="120" w:type="dxa"/>
            <w:vAlign w:val="bottom"/>
          </w:tcPr>
          <w:p>
            <w:pPr>
              <w:spacing w:after="0"/>
              <w:rPr>
                <w:sz w:val="21"/>
                <w:szCs w:val="21"/>
                <w:color w:val="auto"/>
              </w:rPr>
            </w:pPr>
          </w:p>
        </w:tc>
        <w:tc>
          <w:tcPr>
            <w:tcW w:w="32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(125,885)</w:t>
            </w:r>
          </w:p>
        </w:tc>
        <w:tc>
          <w:tcPr>
            <w:tcW w:w="100" w:type="dxa"/>
            <w:vAlign w:val="bottom"/>
          </w:tcPr>
          <w:p>
            <w:pPr>
              <w:spacing w:after="0"/>
              <w:rPr>
                <w:sz w:val="21"/>
                <w:szCs w:val="21"/>
                <w:color w:val="auto"/>
              </w:rPr>
            </w:pPr>
          </w:p>
        </w:tc>
        <w:tc>
          <w:tcPr>
            <w:tcW w:w="34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(113,266)</w:t>
            </w:r>
          </w:p>
        </w:tc>
        <w:tc>
          <w:tcPr>
            <w:tcW w:w="0" w:type="dxa"/>
            <w:vAlign w:val="bottom"/>
          </w:tcPr>
          <w:p>
            <w:pPr>
              <w:spacing w:after="0"/>
              <w:rPr>
                <w:sz w:val="1"/>
                <w:szCs w:val="1"/>
                <w:color w:val="auto"/>
              </w:rPr>
            </w:pPr>
          </w:p>
        </w:tc>
      </w:tr>
      <w:tr>
        <w:trPr>
          <w:trHeight w:val="254"/>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 attributable to redeemable noncontrolling interests</w:t>
            </w:r>
          </w:p>
        </w:tc>
        <w:tc>
          <w:tcPr>
            <w:tcW w:w="84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(422)</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1,276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2,122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6,980</w:t>
            </w:r>
          </w:p>
        </w:tc>
        <w:tc>
          <w:tcPr>
            <w:tcW w:w="0" w:type="dxa"/>
            <w:vAlign w:val="bottom"/>
          </w:tcPr>
          <w:p>
            <w:pPr>
              <w:spacing w:after="0"/>
              <w:rPr>
                <w:sz w:val="1"/>
                <w:szCs w:val="1"/>
                <w:color w:val="auto"/>
              </w:rPr>
            </w:pPr>
          </w:p>
        </w:tc>
      </w:tr>
      <w:tr>
        <w:trPr>
          <w:trHeight w:val="244"/>
        </w:trPr>
        <w:tc>
          <w:tcPr>
            <w:tcW w:w="5600" w:type="dxa"/>
            <w:vAlign w:val="bottom"/>
          </w:tcPr>
          <w:p>
            <w:pPr>
              <w:ind w:left="140"/>
              <w:spacing w:after="0"/>
              <w:rPr>
                <w:sz w:val="20"/>
                <w:szCs w:val="20"/>
                <w:color w:val="auto"/>
              </w:rPr>
            </w:pPr>
            <w:r>
              <w:rPr>
                <w:rFonts w:ascii="Arial" w:cs="Arial" w:eastAsia="Arial" w:hAnsi="Arial"/>
                <w:sz w:val="13"/>
                <w:szCs w:val="13"/>
                <w:color w:val="auto"/>
              </w:rPr>
              <w:t>Preferred stock dividend</w:t>
            </w:r>
          </w:p>
        </w:tc>
        <w:tc>
          <w:tcPr>
            <w:tcW w:w="8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3"/>
                <w:szCs w:val="13"/>
                <w:color w:val="auto"/>
              </w:rPr>
              <w:t>(7,463)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(18,076)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4"/>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 income from continuing operations attributable to Synchronoss</w:t>
            </w:r>
          </w:p>
        </w:tc>
        <w:tc>
          <w:tcPr>
            <w:tcW w:w="84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w w:val="94"/>
              </w:rPr>
              <w:t>(54,529)</w:t>
            </w:r>
          </w:p>
        </w:tc>
        <w:tc>
          <w:tcPr>
            <w:tcW w:w="1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0"/>
              </w:rPr>
              <w:t>(43,930)</w:t>
            </w: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(141,839)</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(106,286)</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from discontinued operations, net of taxes**</w:t>
            </w:r>
          </w:p>
        </w:tc>
        <w:tc>
          <w:tcPr>
            <w:tcW w:w="8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8,842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(14,067)</w:t>
            </w:r>
          </w:p>
        </w:tc>
        <w:tc>
          <w:tcPr>
            <w:tcW w:w="0" w:type="dxa"/>
            <w:vAlign w:val="bottom"/>
          </w:tcPr>
          <w:p>
            <w:pPr>
              <w:spacing w:after="0"/>
              <w:rPr>
                <w:sz w:val="1"/>
                <w:szCs w:val="1"/>
                <w:color w:val="auto"/>
              </w:rPr>
            </w:pPr>
          </w:p>
        </w:tc>
      </w:tr>
      <w:tr>
        <w:trPr>
          <w:trHeight w:val="262"/>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 income attributable to Synchronoss</w:t>
            </w:r>
          </w:p>
        </w:tc>
        <w:tc>
          <w:tcPr>
            <w:tcW w:w="84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w w:val="94"/>
              </w:rPr>
              <w:t>(54,529)</w:t>
            </w:r>
          </w:p>
        </w:tc>
        <w:tc>
          <w:tcPr>
            <w:tcW w:w="12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0"/>
              </w:rPr>
              <w:t>(35,088)</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rPr>
              <w:t>(141,839)</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(120,353)</w:t>
            </w:r>
          </w:p>
        </w:tc>
        <w:tc>
          <w:tcPr>
            <w:tcW w:w="0" w:type="dxa"/>
            <w:vAlign w:val="bottom"/>
          </w:tcPr>
          <w:p>
            <w:pPr>
              <w:spacing w:after="0"/>
              <w:rPr>
                <w:sz w:val="1"/>
                <w:szCs w:val="1"/>
                <w:color w:val="auto"/>
              </w:rPr>
            </w:pPr>
          </w:p>
        </w:tc>
      </w:tr>
      <w:tr>
        <w:trPr>
          <w:trHeight w:val="139"/>
        </w:trPr>
        <w:tc>
          <w:tcPr>
            <w:tcW w:w="5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5600" w:type="dxa"/>
            <w:vAlign w:val="bottom"/>
          </w:tcPr>
          <w:p>
            <w:pPr>
              <w:ind w:left="20"/>
              <w:spacing w:after="0"/>
              <w:rPr>
                <w:sz w:val="20"/>
                <w:szCs w:val="20"/>
                <w:color w:val="auto"/>
              </w:rPr>
            </w:pPr>
            <w:r>
              <w:rPr>
                <w:rFonts w:ascii="Arial" w:cs="Arial" w:eastAsia="Arial" w:hAnsi="Arial"/>
                <w:sz w:val="13"/>
                <w:szCs w:val="13"/>
                <w:b w:val="1"/>
                <w:bCs w:val="1"/>
                <w:color w:val="auto"/>
              </w:rPr>
              <w:t>Numerator - Diluted:</w:t>
            </w: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(loss) income from continuing operations attributable to Synchronoss</w:t>
            </w:r>
          </w:p>
        </w:tc>
        <w:tc>
          <w:tcPr>
            <w:tcW w:w="840" w:type="dxa"/>
            <w:vAlign w:val="bottom"/>
            <w:shd w:val="clear" w:color="auto" w:fill="CCEEFF"/>
          </w:tcPr>
          <w:p>
            <w:pPr>
              <w:jc w:val="right"/>
              <w:ind w:right="675"/>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94"/>
              </w:rPr>
              <w:t>(54,529)</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74"/>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(43,930)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(141,839)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(106,286)</w:t>
            </w:r>
          </w:p>
        </w:tc>
        <w:tc>
          <w:tcPr>
            <w:tcW w:w="0" w:type="dxa"/>
            <w:vAlign w:val="bottom"/>
          </w:tcPr>
          <w:p>
            <w:pPr>
              <w:spacing w:after="0"/>
              <w:rPr>
                <w:sz w:val="1"/>
                <w:szCs w:val="1"/>
                <w:color w:val="auto"/>
              </w:rPr>
            </w:pPr>
          </w:p>
        </w:tc>
      </w:tr>
      <w:tr>
        <w:trPr>
          <w:trHeight w:val="244"/>
        </w:trPr>
        <w:tc>
          <w:tcPr>
            <w:tcW w:w="5600" w:type="dxa"/>
            <w:vAlign w:val="bottom"/>
          </w:tcPr>
          <w:p>
            <w:pPr>
              <w:ind w:left="140"/>
              <w:spacing w:after="0"/>
              <w:rPr>
                <w:sz w:val="20"/>
                <w:szCs w:val="20"/>
                <w:color w:val="auto"/>
              </w:rPr>
            </w:pPr>
            <w:r>
              <w:rPr>
                <w:rFonts w:ascii="Arial" w:cs="Arial" w:eastAsia="Arial" w:hAnsi="Arial"/>
                <w:sz w:val="13"/>
                <w:szCs w:val="13"/>
                <w:color w:val="auto"/>
              </w:rPr>
              <w:t>Income effect for interest on convertible debt, net of tax</w:t>
            </w:r>
          </w:p>
        </w:tc>
        <w:tc>
          <w:tcPr>
            <w:tcW w:w="84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4"/>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 from continuing operations adjusted for the convertible debt</w:t>
            </w:r>
          </w:p>
        </w:tc>
        <w:tc>
          <w:tcPr>
            <w:tcW w:w="84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w w:val="94"/>
              </w:rPr>
              <w:t>(54,529)</w:t>
            </w:r>
          </w:p>
        </w:tc>
        <w:tc>
          <w:tcPr>
            <w:tcW w:w="1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0"/>
              </w:rPr>
              <w:t>(43,930)</w:t>
            </w: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(141,839)</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(106,286)</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from discontinued operations, net of taxes**</w:t>
            </w:r>
          </w:p>
        </w:tc>
        <w:tc>
          <w:tcPr>
            <w:tcW w:w="8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8,842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(14,067)</w:t>
            </w:r>
          </w:p>
        </w:tc>
        <w:tc>
          <w:tcPr>
            <w:tcW w:w="0" w:type="dxa"/>
            <w:vAlign w:val="bottom"/>
          </w:tcPr>
          <w:p>
            <w:pPr>
              <w:spacing w:after="0"/>
              <w:rPr>
                <w:sz w:val="1"/>
                <w:szCs w:val="1"/>
                <w:color w:val="auto"/>
              </w:rPr>
            </w:pPr>
          </w:p>
        </w:tc>
      </w:tr>
      <w:tr>
        <w:trPr>
          <w:trHeight w:val="262"/>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 attributable to Synchronoss</w:t>
            </w:r>
          </w:p>
        </w:tc>
        <w:tc>
          <w:tcPr>
            <w:tcW w:w="84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w w:val="94"/>
              </w:rPr>
              <w:t>(54,529)</w:t>
            </w:r>
          </w:p>
        </w:tc>
        <w:tc>
          <w:tcPr>
            <w:tcW w:w="12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0"/>
              </w:rPr>
              <w:t>(35,088)</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rPr>
              <w:t>(141,839)</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(120,353)</w:t>
            </w:r>
          </w:p>
        </w:tc>
        <w:tc>
          <w:tcPr>
            <w:tcW w:w="0" w:type="dxa"/>
            <w:vAlign w:val="bottom"/>
          </w:tcPr>
          <w:p>
            <w:pPr>
              <w:spacing w:after="0"/>
              <w:rPr>
                <w:sz w:val="1"/>
                <w:szCs w:val="1"/>
                <w:color w:val="auto"/>
              </w:rPr>
            </w:pPr>
          </w:p>
        </w:tc>
      </w:tr>
      <w:tr>
        <w:trPr>
          <w:trHeight w:val="139"/>
        </w:trPr>
        <w:tc>
          <w:tcPr>
            <w:tcW w:w="5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5600" w:type="dxa"/>
            <w:vAlign w:val="bottom"/>
          </w:tcPr>
          <w:p>
            <w:pPr>
              <w:ind w:left="20"/>
              <w:spacing w:after="0"/>
              <w:rPr>
                <w:sz w:val="20"/>
                <w:szCs w:val="20"/>
                <w:color w:val="auto"/>
              </w:rPr>
            </w:pPr>
            <w:r>
              <w:rPr>
                <w:rFonts w:ascii="Arial" w:cs="Arial" w:eastAsia="Arial" w:hAnsi="Arial"/>
                <w:sz w:val="13"/>
                <w:szCs w:val="13"/>
                <w:b w:val="1"/>
                <w:bCs w:val="1"/>
                <w:color w:val="auto"/>
              </w:rPr>
              <w:t>Denominator:</w:t>
            </w: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 average common shares outstanding — basic</w:t>
            </w:r>
          </w:p>
        </w:tc>
        <w:tc>
          <w:tcPr>
            <w:tcW w:w="84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39,612</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44,893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40,405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44,576</w:t>
            </w:r>
          </w:p>
        </w:tc>
        <w:tc>
          <w:tcPr>
            <w:tcW w:w="0" w:type="dxa"/>
            <w:vAlign w:val="bottom"/>
          </w:tcPr>
          <w:p>
            <w:pPr>
              <w:spacing w:after="0"/>
              <w:rPr>
                <w:sz w:val="1"/>
                <w:szCs w:val="1"/>
                <w:color w:val="auto"/>
              </w:rPr>
            </w:pPr>
          </w:p>
        </w:tc>
      </w:tr>
      <w:tr>
        <w:trPr>
          <w:trHeight w:val="244"/>
        </w:trPr>
        <w:tc>
          <w:tcPr>
            <w:tcW w:w="5600" w:type="dxa"/>
            <w:vAlign w:val="bottom"/>
          </w:tcPr>
          <w:p>
            <w:pPr>
              <w:ind w:left="140"/>
              <w:spacing w:after="0"/>
              <w:rPr>
                <w:sz w:val="20"/>
                <w:szCs w:val="20"/>
                <w:color w:val="auto"/>
              </w:rPr>
            </w:pPr>
            <w:r>
              <w:rPr>
                <w:rFonts w:ascii="Arial" w:cs="Arial" w:eastAsia="Arial" w:hAnsi="Arial"/>
                <w:sz w:val="13"/>
                <w:szCs w:val="13"/>
                <w:color w:val="auto"/>
              </w:rPr>
              <w:t>Dilutive effect of:</w:t>
            </w: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6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 xml:space="preserve">Shares from assumed conversion of convertible debt </w:t>
            </w:r>
            <w:r>
              <w:rPr>
                <w:rFonts w:ascii="Arial" w:cs="Arial" w:eastAsia="Arial" w:hAnsi="Arial"/>
                <w:sz w:val="8"/>
                <w:szCs w:val="8"/>
                <w:color w:val="auto"/>
              </w:rPr>
              <w:t>1</w:t>
            </w:r>
          </w:p>
        </w:tc>
        <w:tc>
          <w:tcPr>
            <w:tcW w:w="8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4"/>
        </w:trPr>
        <w:tc>
          <w:tcPr>
            <w:tcW w:w="5600" w:type="dxa"/>
            <w:vAlign w:val="bottom"/>
          </w:tcPr>
          <w:p>
            <w:pPr>
              <w:ind w:left="240"/>
              <w:spacing w:after="0"/>
              <w:rPr>
                <w:sz w:val="20"/>
                <w:szCs w:val="20"/>
                <w:color w:val="auto"/>
              </w:rPr>
            </w:pPr>
            <w:r>
              <w:rPr>
                <w:rFonts w:ascii="Arial" w:cs="Arial" w:eastAsia="Arial" w:hAnsi="Arial"/>
                <w:sz w:val="13"/>
                <w:szCs w:val="13"/>
                <w:color w:val="auto"/>
              </w:rPr>
              <w:t xml:space="preserve">Shares from assumed conversion of preferred stock </w:t>
            </w:r>
            <w:r>
              <w:rPr>
                <w:rFonts w:ascii="Arial" w:cs="Arial" w:eastAsia="Arial" w:hAnsi="Arial"/>
                <w:sz w:val="8"/>
                <w:szCs w:val="8"/>
                <w:color w:val="auto"/>
              </w:rPr>
              <w:t>2</w:t>
            </w:r>
          </w:p>
        </w:tc>
        <w:tc>
          <w:tcPr>
            <w:tcW w:w="84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9"/>
        </w:trPr>
        <w:tc>
          <w:tcPr>
            <w:tcW w:w="56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Options and unvested restricted shares</w:t>
            </w:r>
          </w:p>
        </w:tc>
        <w:tc>
          <w:tcPr>
            <w:tcW w:w="8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56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Weighted average common shares outstanding — diluted</w:t>
            </w:r>
          </w:p>
        </w:tc>
        <w:tc>
          <w:tcPr>
            <w:tcW w:w="84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color w:val="auto"/>
              </w:rPr>
              <w:t>39,612</w:t>
            </w:r>
          </w:p>
        </w:tc>
        <w:tc>
          <w:tcPr>
            <w:tcW w:w="12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3"/>
                <w:szCs w:val="13"/>
                <w:color w:val="auto"/>
              </w:rPr>
              <w:t>44,893</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color w:val="auto"/>
              </w:rPr>
              <w:t>40,405</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3"/>
                <w:szCs w:val="13"/>
                <w:color w:val="auto"/>
              </w:rPr>
              <w:t>44,576</w:t>
            </w:r>
          </w:p>
        </w:tc>
        <w:tc>
          <w:tcPr>
            <w:tcW w:w="0" w:type="dxa"/>
            <w:vAlign w:val="bottom"/>
          </w:tcPr>
          <w:p>
            <w:pPr>
              <w:spacing w:after="0"/>
              <w:rPr>
                <w:sz w:val="1"/>
                <w:szCs w:val="1"/>
                <w:color w:val="auto"/>
              </w:rPr>
            </w:pPr>
          </w:p>
        </w:tc>
      </w:tr>
      <w:tr>
        <w:trPr>
          <w:trHeight w:val="139"/>
        </w:trPr>
        <w:tc>
          <w:tcPr>
            <w:tcW w:w="5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5600" w:type="dxa"/>
            <w:vAlign w:val="bottom"/>
          </w:tcPr>
          <w:p>
            <w:pPr>
              <w:ind w:left="20"/>
              <w:spacing w:after="0"/>
              <w:rPr>
                <w:sz w:val="20"/>
                <w:szCs w:val="20"/>
                <w:color w:val="auto"/>
              </w:rPr>
            </w:pPr>
            <w:r>
              <w:rPr>
                <w:rFonts w:ascii="Arial" w:cs="Arial" w:eastAsia="Arial" w:hAnsi="Arial"/>
                <w:sz w:val="13"/>
                <w:szCs w:val="13"/>
                <w:b w:val="1"/>
                <w:bCs w:val="1"/>
                <w:color w:val="auto"/>
              </w:rPr>
              <w:t>Basic EPS</w:t>
            </w: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Continuing operations</w:t>
            </w:r>
          </w:p>
        </w:tc>
        <w:tc>
          <w:tcPr>
            <w:tcW w:w="840" w:type="dxa"/>
            <w:vAlign w:val="bottom"/>
            <w:shd w:val="clear" w:color="auto" w:fill="CCEEFF"/>
          </w:tcPr>
          <w:p>
            <w:pPr>
              <w:jc w:val="right"/>
              <w:ind w:right="675"/>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(1.38)</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74"/>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(3.51)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244"/>
        </w:trPr>
        <w:tc>
          <w:tcPr>
            <w:tcW w:w="5600" w:type="dxa"/>
            <w:vAlign w:val="bottom"/>
          </w:tcPr>
          <w:p>
            <w:pPr>
              <w:ind w:left="140"/>
              <w:spacing w:after="0"/>
              <w:rPr>
                <w:sz w:val="20"/>
                <w:szCs w:val="20"/>
                <w:color w:val="auto"/>
              </w:rPr>
            </w:pPr>
            <w:r>
              <w:rPr>
                <w:rFonts w:ascii="Arial" w:cs="Arial" w:eastAsia="Arial" w:hAnsi="Arial"/>
                <w:sz w:val="13"/>
                <w:szCs w:val="13"/>
                <w:color w:val="auto"/>
              </w:rPr>
              <w:t>Discontinued operations**</w:t>
            </w:r>
          </w:p>
        </w:tc>
        <w:tc>
          <w:tcPr>
            <w:tcW w:w="84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21"/>
                <w:szCs w:val="21"/>
                <w:color w:val="auto"/>
              </w:rPr>
            </w:pPr>
          </w:p>
        </w:tc>
        <w:tc>
          <w:tcPr>
            <w:tcW w:w="520" w:type="dxa"/>
            <w:vAlign w:val="bottom"/>
          </w:tcPr>
          <w:p>
            <w:pPr>
              <w:jc w:val="right"/>
              <w:ind w:right="34"/>
              <w:spacing w:after="0"/>
              <w:rPr>
                <w:sz w:val="20"/>
                <w:szCs w:val="20"/>
                <w:color w:val="auto"/>
              </w:rPr>
            </w:pPr>
            <w:r>
              <w:rPr>
                <w:rFonts w:ascii="Arial" w:cs="Arial" w:eastAsia="Arial" w:hAnsi="Arial"/>
                <w:sz w:val="13"/>
                <w:szCs w:val="13"/>
                <w:color w:val="auto"/>
              </w:rPr>
              <w:t>0.20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(0.32)</w:t>
            </w:r>
          </w:p>
        </w:tc>
        <w:tc>
          <w:tcPr>
            <w:tcW w:w="0" w:type="dxa"/>
            <w:vAlign w:val="bottom"/>
          </w:tcPr>
          <w:p>
            <w:pPr>
              <w:spacing w:after="0"/>
              <w:rPr>
                <w:sz w:val="1"/>
                <w:szCs w:val="1"/>
                <w:color w:val="auto"/>
              </w:rPr>
            </w:pPr>
          </w:p>
        </w:tc>
      </w:tr>
      <w:tr>
        <w:trPr>
          <w:trHeight w:val="217"/>
        </w:trPr>
        <w:tc>
          <w:tcPr>
            <w:tcW w:w="56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75"/>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(1.38)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Diluted EPS</w:t>
            </w: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60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Continuing operations</w:t>
            </w:r>
          </w:p>
        </w:tc>
        <w:tc>
          <w:tcPr>
            <w:tcW w:w="840" w:type="dxa"/>
            <w:vAlign w:val="bottom"/>
            <w:shd w:val="clear" w:color="auto" w:fill="CCEEFF"/>
          </w:tcPr>
          <w:p>
            <w:pPr>
              <w:jc w:val="right"/>
              <w:ind w:right="675"/>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(1.38)</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74"/>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(3.51)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244"/>
        </w:trPr>
        <w:tc>
          <w:tcPr>
            <w:tcW w:w="5600" w:type="dxa"/>
            <w:vAlign w:val="bottom"/>
          </w:tcPr>
          <w:p>
            <w:pPr>
              <w:ind w:left="140"/>
              <w:spacing w:after="0"/>
              <w:rPr>
                <w:sz w:val="20"/>
                <w:szCs w:val="20"/>
                <w:color w:val="auto"/>
              </w:rPr>
            </w:pPr>
            <w:r>
              <w:rPr>
                <w:rFonts w:ascii="Arial" w:cs="Arial" w:eastAsia="Arial" w:hAnsi="Arial"/>
                <w:sz w:val="13"/>
                <w:szCs w:val="13"/>
                <w:color w:val="auto"/>
              </w:rPr>
              <w:t>Discontinued operations**</w:t>
            </w:r>
          </w:p>
        </w:tc>
        <w:tc>
          <w:tcPr>
            <w:tcW w:w="84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21"/>
                <w:szCs w:val="21"/>
                <w:color w:val="auto"/>
              </w:rPr>
            </w:pPr>
          </w:p>
        </w:tc>
        <w:tc>
          <w:tcPr>
            <w:tcW w:w="520" w:type="dxa"/>
            <w:vAlign w:val="bottom"/>
          </w:tcPr>
          <w:p>
            <w:pPr>
              <w:jc w:val="right"/>
              <w:ind w:right="34"/>
              <w:spacing w:after="0"/>
              <w:rPr>
                <w:sz w:val="20"/>
                <w:szCs w:val="20"/>
                <w:color w:val="auto"/>
              </w:rPr>
            </w:pPr>
            <w:r>
              <w:rPr>
                <w:rFonts w:ascii="Arial" w:cs="Arial" w:eastAsia="Arial" w:hAnsi="Arial"/>
                <w:sz w:val="13"/>
                <w:szCs w:val="13"/>
                <w:color w:val="auto"/>
              </w:rPr>
              <w:t>0.20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(0.32)</w:t>
            </w:r>
          </w:p>
        </w:tc>
        <w:tc>
          <w:tcPr>
            <w:tcW w:w="0" w:type="dxa"/>
            <w:vAlign w:val="bottom"/>
          </w:tcPr>
          <w:p>
            <w:pPr>
              <w:spacing w:after="0"/>
              <w:rPr>
                <w:sz w:val="1"/>
                <w:szCs w:val="1"/>
                <w:color w:val="auto"/>
              </w:rPr>
            </w:pPr>
          </w:p>
        </w:tc>
      </w:tr>
      <w:tr>
        <w:trPr>
          <w:trHeight w:val="217"/>
        </w:trPr>
        <w:tc>
          <w:tcPr>
            <w:tcW w:w="56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75"/>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(1.38)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Anti-dilutive stock options excluded</w:t>
            </w:r>
          </w:p>
        </w:tc>
        <w:tc>
          <w:tcPr>
            <w:tcW w:w="8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4,647</w:t>
            </w:r>
          </w:p>
        </w:tc>
        <w:tc>
          <w:tcPr>
            <w:tcW w:w="12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3,012</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4,412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2,655</w:t>
            </w:r>
          </w:p>
        </w:tc>
        <w:tc>
          <w:tcPr>
            <w:tcW w:w="0" w:type="dxa"/>
            <w:vAlign w:val="bottom"/>
          </w:tcPr>
          <w:p>
            <w:pPr>
              <w:spacing w:after="0"/>
              <w:rPr>
                <w:sz w:val="1"/>
                <w:szCs w:val="1"/>
                <w:color w:val="auto"/>
              </w:rPr>
            </w:pPr>
          </w:p>
        </w:tc>
      </w:tr>
      <w:tr>
        <w:trPr>
          <w:trHeight w:val="222"/>
        </w:trPr>
        <w:tc>
          <w:tcPr>
            <w:tcW w:w="5600" w:type="dxa"/>
            <w:vAlign w:val="bottom"/>
          </w:tcPr>
          <w:p>
            <w:pPr>
              <w:ind w:left="140"/>
              <w:spacing w:after="0"/>
              <w:rPr>
                <w:sz w:val="20"/>
                <w:szCs w:val="20"/>
                <w:color w:val="auto"/>
              </w:rPr>
            </w:pPr>
            <w:r>
              <w:rPr>
                <w:rFonts w:ascii="Arial" w:cs="Arial" w:eastAsia="Arial" w:hAnsi="Arial"/>
                <w:sz w:val="13"/>
                <w:szCs w:val="13"/>
                <w:color w:val="auto"/>
              </w:rPr>
              <w:t>Unvested shares of restricted stock awards</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2,916</w:t>
            </w:r>
          </w:p>
        </w:tc>
        <w:tc>
          <w:tcPr>
            <w:tcW w:w="1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3,259</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2,916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3,259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0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2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xml:space="preserve">See </w:t>
      </w:r>
      <w:r>
        <w:rPr>
          <w:rFonts w:ascii="Arial" w:cs="Arial" w:eastAsia="Arial" w:hAnsi="Arial"/>
          <w:sz w:val="15"/>
          <w:szCs w:val="15"/>
          <w:i w:val="1"/>
          <w:iCs w:val="1"/>
          <w:color w:val="auto"/>
        </w:rPr>
        <w:t>Note 3 - Acquisitions and Divestitures</w:t>
      </w:r>
      <w:r>
        <w:rPr>
          <w:rFonts w:ascii="Arial" w:cs="Arial" w:eastAsia="Arial" w:hAnsi="Arial"/>
          <w:sz w:val="15"/>
          <w:szCs w:val="15"/>
          <w:color w:val="auto"/>
        </w:rPr>
        <w:t xml:space="preserve"> for transactions classified as discontinued operations.</w:t>
      </w:r>
    </w:p>
    <w:p>
      <w:pPr>
        <w:ind w:left="300" w:hanging="300"/>
        <w:spacing w:after="0" w:line="210" w:lineRule="auto"/>
        <w:tabs>
          <w:tab w:leader="none" w:pos="30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The calculation for each period does not include the effect of assumed conversion of convertible debt of 4,325,646 shares, which is based on 18.8072 shares per $1,000 principal amount of the 2019 Notes.</w:t>
      </w:r>
    </w:p>
    <w:p>
      <w:pPr>
        <w:ind w:left="300" w:hanging="300"/>
        <w:spacing w:after="0" w:line="208" w:lineRule="auto"/>
        <w:tabs>
          <w:tab w:leader="none" w:pos="30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The calculation for each period does not include the effect of assumed conversion of preferred stock of 10,843,398 shares, which is based on 55.5556 shares per $1,000 principal amount of the preferred stock, because the effect would have been anti–dilutive.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127"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Commitments and Contingencies</w:t>
      </w:r>
    </w:p>
    <w:p>
      <w:pPr>
        <w:spacing w:after="0" w:line="207"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6"/>
          <w:szCs w:val="16"/>
          <w:color w:val="auto"/>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Matters</w:t>
      </w:r>
    </w:p>
    <w:p>
      <w:pPr>
        <w:spacing w:after="0" w:line="203" w:lineRule="exact"/>
        <w:rPr>
          <w:sz w:val="20"/>
          <w:szCs w:val="20"/>
          <w:color w:val="auto"/>
        </w:rPr>
      </w:pPr>
    </w:p>
    <w:p>
      <w:pPr>
        <w:jc w:val="both"/>
        <w:ind w:firstLine="299"/>
        <w:spacing w:after="0" w:line="263" w:lineRule="auto"/>
        <w:rPr>
          <w:sz w:val="20"/>
          <w:szCs w:val="20"/>
          <w:color w:val="auto"/>
        </w:rPr>
      </w:pPr>
      <w:r>
        <w:rPr>
          <w:rFonts w:ascii="Arial" w:cs="Arial" w:eastAsia="Arial" w:hAnsi="Arial"/>
          <w:sz w:val="16"/>
          <w:szCs w:val="16"/>
          <w:color w:val="auto"/>
        </w:rPr>
        <w:t>On May 1, 2017, May 2, 2017, June 8, 2017 and June 14, 2017, four putative class actions were filed against the Company and certain of its officers and directors in the United States District Court for the District of New Jersey (the “Securities Law Action”). After these cases were consolidated, the court appointed as lead plaintiff Employees’ Retirement System of the State of Hawaii, which filed, on November 20, 2017, a consolidated amended complaint purportedly on behalf of purchasers of the Company’s common stock between February 3, 2016 and June 13, 2017. On February 2, 2018, the defendants moved to dismiss the consolidated amended complaint in its entirety, with prejudice. Before that motion was decided, on August 24, 2018, lead plaintiff filed a second consolidated amended complaint purportedly on behalf of purchasers of our common stock between October 28, 2014 and June 13, 2017. The second consolidated amended complaint asserts claims under Sections 10(b) and 20(a) of the Securities Exchange Act of 1934, as amended, and it alleges, among other things, that the defendants made false and misleading statements of material information concerning the Company’s financial results, business operations, and prospects. The plaintiff seeks unspecified damages, fees, interest, and costs. The Company believes that the asserted claims lack merit, and the Company intends to defend against all of the claims vigorously. Due to the inherent uncertainties of litigation, the Company cannot predict the outcome of the actions at this time and can give no assurance that the asserted claims will not have a material adverse effect on the financial position or results of operations of the Company.</w:t>
      </w:r>
    </w:p>
    <w:p>
      <w:pPr>
        <w:spacing w:after="0" w:line="175"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6"/>
          <w:szCs w:val="16"/>
          <w:color w:val="auto"/>
        </w:rPr>
        <w:t>On September 15, 2017, October 24, 2017, October 27, 2017 and October 30, 2017, Synchronoss shareholders filed derivative lawsuits against certain of the Company’s officers and directors and the Company (as nominal defendant) in the United States District Court for the District of New Jersey (the “Derivative Suits”). On May 24, 2018, the Court consolidated the Derivative Suits and appointed Lisa LeBoeuf as lead plaintiff. The lead plaintiff designated as the Operative Complaint the complaint she previously had filed on October 27, 2017, which alleges claims related to breaches of fiduciary duties and unjust enrichment. The Operative Complaint’s allegations relate to substantially the same facts as those underlying the Securities Law Action described above. Plaintiff seeks unspecified damages and for the Company to take steps to improve its corporate governance and internal procedures. Defendants’ motion to dismiss the Operative Complaint is due November 14, 2018. The Company believes that the asserted claims lack merit, and the Company intends to defend against all of the claims vigorously. Due to the inherent uncertainties of litigation, the Company cannot predict the outcome of the Derivative Suits at this time, and the Company can give no assurance that the asserted claims will not have a material adverse effect on the Company’s financial position or results of operations.</w:t>
      </w:r>
    </w:p>
    <w:p>
      <w:pPr>
        <w:spacing w:after="0" w:line="173"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On July 11, 2017, Shareholder Representative Services LLC, on behalf of the persons entitled to receive merger consideration (the “Sellers”) in connection with the Company’s acquisition of Razorsight, commenced arbitration against the Company with respect to a dispute over the amount due to the Sellers as additional consideration. Under the Razorsight purchase agreement, the Sellers are entitled to a percentage of any revenue recognized by the Company generated from the sale or licensing of Razorsight products in 2016 after a specific revenue threshold is obtained. The parties disagreed over the determination of the amount of revenue recognized in 2016. The parties entered into an agreement resolving the arbitration in May 2018.</w:t>
      </w:r>
    </w:p>
    <w:p>
      <w:pPr>
        <w:spacing w:after="0" w:line="165" w:lineRule="exact"/>
        <w:rPr>
          <w:sz w:val="20"/>
          <w:szCs w:val="20"/>
          <w:color w:val="auto"/>
        </w:rPr>
      </w:pPr>
    </w:p>
    <w:p>
      <w:pPr>
        <w:jc w:val="both"/>
        <w:ind w:firstLine="299"/>
        <w:spacing w:after="0" w:line="267" w:lineRule="auto"/>
        <w:rPr>
          <w:sz w:val="20"/>
          <w:szCs w:val="20"/>
          <w:color w:val="auto"/>
        </w:rPr>
      </w:pPr>
      <w:r>
        <w:rPr>
          <w:rFonts w:ascii="Arial" w:cs="Arial" w:eastAsia="Arial" w:hAnsi="Arial"/>
          <w:sz w:val="16"/>
          <w:szCs w:val="16"/>
          <w:color w:val="auto"/>
        </w:rPr>
        <w:t>On June 13, 2018, The Bank of New York Mellon, in its capacity as trustee (the “Trustee”) under the indenture dated as of August 12, 2014 (the “Indenture”) governing for the 2019 Notes, filed a verified complaint with the Court of Chancery of the State of Delaware, captioned The Bank of New York Mellon, as Indenture Trustee v. Synchronoss Technologies, Inc. (the “BNY Action”). The BNY Action complaint alleges that a “Fundamental Change” has occurred under the Indenture as a result of the Company’s Common Stock ceasing to be listed or quoted on Nasdaq and that an event of default under the Indenture has occurred as a result of the Company’s failure to provide a notice of such Fundamental Change which, if true, following notice from holders of more than 25% of the outstanding principal under the Notes would trigger the acceleration of the principal and interest outstanding under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127"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the 2019 Notes, which otherwise mature on August 15, 2019. On November 2, 2018, the parties filed a stipulation of dismissal of the BNY Action. For further details, see </w:t>
      </w:r>
      <w:r>
        <w:rPr>
          <w:rFonts w:ascii="Arial" w:cs="Arial" w:eastAsia="Arial" w:hAnsi="Arial"/>
          <w:sz w:val="17"/>
          <w:szCs w:val="17"/>
          <w:i w:val="1"/>
          <w:iCs w:val="1"/>
          <w:color w:val="auto"/>
        </w:rPr>
        <w:t>Note 14 - Subsequent Events Review.</w:t>
      </w:r>
    </w:p>
    <w:p>
      <w:pPr>
        <w:spacing w:after="0" w:line="167"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Except as set forth above, the Company is not currently subject to any legal proceedings that could have a material adverse effect on its operations; however, it may from time to time become a party to various legal proceedings arising in the ordinary course of its business. The Company is currently the plaintiff in several patent infringement cases. The defendants in several of these cases have filed counterclaims. Although the Company cannot predict the outcome of the cases at this time due to the inherent uncertainties of litigation, the Company continues to pursue its claims and believes that the counterclaims are without merit, and the Company intends to defend against all of such counterclaims.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Nasdaq Compliance</w:t>
      </w:r>
    </w:p>
    <w:p>
      <w:pPr>
        <w:spacing w:after="0" w:line="203"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 xml:space="preserve">On September 26, 2018, the Company received notice that the Nasdaq Listing Qualifications Staff (the “Staff”) approved the listing of its common stock on The Nasdaq Stock Market (“Nasdaq”). Previously, the Company’s common stock had been suspended from trading on Nasdaq for failure to comply with the timely filing of certain periodic reports with the SEC. For further details see </w:t>
      </w:r>
      <w:r>
        <w:rPr>
          <w:rFonts w:ascii="Arial" w:cs="Arial" w:eastAsia="Arial" w:hAnsi="Arial"/>
          <w:sz w:val="17"/>
          <w:szCs w:val="17"/>
          <w:i w:val="1"/>
          <w:iCs w:val="1"/>
          <w:color w:val="auto"/>
        </w:rPr>
        <w:t>Note 14 - Subsequent Events Review</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Additional 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 income, net</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sets forth the components of Other (expense) income, net included in the Condensed Consolidated Statements of Operations: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40" w:type="dxa"/>
            <w:vAlign w:val="bottom"/>
          </w:tcPr>
          <w:p>
            <w:pPr>
              <w:spacing w:after="0"/>
              <w:rPr>
                <w:sz w:val="15"/>
                <w:szCs w:val="15"/>
                <w:color w:val="auto"/>
              </w:rPr>
            </w:pPr>
          </w:p>
        </w:tc>
        <w:tc>
          <w:tcPr>
            <w:tcW w:w="300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3"/>
                <w:szCs w:val="13"/>
                <w:b w:val="1"/>
                <w:bCs w:val="1"/>
                <w:color w:val="auto"/>
              </w:rPr>
              <w:t>Three Months Ended September 30,</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4"/>
          </w:tcPr>
          <w:p>
            <w:pPr>
              <w:jc w:val="right"/>
              <w:ind w:right="686"/>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2018</w:t>
            </w: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rPr>
              <w:t>2017</w:t>
            </w:r>
          </w:p>
        </w:tc>
        <w:tc>
          <w:tcPr>
            <w:tcW w:w="5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47"/>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46"/>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34"/>
        </w:trPr>
        <w:tc>
          <w:tcPr>
            <w:tcW w:w="42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 xml:space="preserve">FX gains </w:t>
            </w:r>
            <w:r>
              <w:rPr>
                <w:rFonts w:ascii="Arial" w:cs="Arial" w:eastAsia="Arial" w:hAnsi="Arial"/>
                <w:sz w:val="19"/>
                <w:szCs w:val="19"/>
                <w:color w:val="auto"/>
                <w:vertAlign w:val="superscript"/>
              </w:rPr>
              <w:t>(1)</w:t>
            </w:r>
          </w:p>
        </w:tc>
        <w:tc>
          <w:tcPr>
            <w:tcW w:w="1080" w:type="dxa"/>
            <w:vAlign w:val="bottom"/>
            <w:shd w:val="clear" w:color="auto" w:fill="CCEEFF"/>
          </w:tcPr>
          <w:p>
            <w:pPr>
              <w:jc w:val="right"/>
              <w:ind w:right="909"/>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38</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(2,912)</w:t>
            </w:r>
          </w:p>
        </w:tc>
        <w:tc>
          <w:tcPr>
            <w:tcW w:w="0" w:type="dxa"/>
            <w:vAlign w:val="bottom"/>
          </w:tcPr>
          <w:p>
            <w:pPr>
              <w:spacing w:after="0"/>
              <w:rPr>
                <w:sz w:val="1"/>
                <w:szCs w:val="1"/>
                <w:color w:val="auto"/>
              </w:rPr>
            </w:pPr>
          </w:p>
        </w:tc>
      </w:tr>
      <w:tr>
        <w:trPr>
          <w:trHeight w:val="249"/>
        </w:trPr>
        <w:tc>
          <w:tcPr>
            <w:tcW w:w="4240" w:type="dxa"/>
            <w:vAlign w:val="bottom"/>
          </w:tcPr>
          <w:p>
            <w:pPr>
              <w:ind w:left="240"/>
              <w:spacing w:after="0"/>
              <w:rPr>
                <w:sz w:val="20"/>
                <w:szCs w:val="20"/>
                <w:color w:val="auto"/>
              </w:rPr>
            </w:pPr>
            <w:r>
              <w:rPr>
                <w:rFonts w:ascii="Arial" w:cs="Arial" w:eastAsia="Arial" w:hAnsi="Arial"/>
                <w:sz w:val="15"/>
                <w:szCs w:val="15"/>
                <w:color w:val="auto"/>
              </w:rPr>
              <w:t xml:space="preserve">PIK Note impairment </w:t>
            </w:r>
            <w:r>
              <w:rPr>
                <w:rFonts w:ascii="Arial" w:cs="Arial" w:eastAsia="Arial" w:hAnsi="Arial"/>
                <w:sz w:val="19"/>
                <w:szCs w:val="19"/>
                <w:color w:val="auto"/>
                <w:vertAlign w:val="superscript"/>
              </w:rPr>
              <w:t>(2)</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(18,225)</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(18,225)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9"/>
        </w:trPr>
        <w:tc>
          <w:tcPr>
            <w:tcW w:w="42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 xml:space="preserve">Litigation settlement </w:t>
            </w:r>
            <w:r>
              <w:rPr>
                <w:rFonts w:ascii="Arial" w:cs="Arial" w:eastAsia="Arial" w:hAnsi="Arial"/>
                <w:sz w:val="19"/>
                <w:szCs w:val="19"/>
                <w:color w:val="auto"/>
                <w:vertAlign w:val="superscript"/>
              </w:rPr>
              <w:t>(3)</w:t>
            </w: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4,495</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4,495</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9"/>
        </w:trPr>
        <w:tc>
          <w:tcPr>
            <w:tcW w:w="4240" w:type="dxa"/>
            <w:vAlign w:val="bottom"/>
          </w:tcPr>
          <w:p>
            <w:pPr>
              <w:ind w:left="240"/>
              <w:spacing w:after="0"/>
              <w:rPr>
                <w:sz w:val="20"/>
                <w:szCs w:val="20"/>
                <w:color w:val="auto"/>
              </w:rPr>
            </w:pPr>
            <w:r>
              <w:rPr>
                <w:rFonts w:ascii="Arial" w:cs="Arial" w:eastAsia="Arial" w:hAnsi="Arial"/>
                <w:sz w:val="15"/>
                <w:szCs w:val="15"/>
                <w:color w:val="auto"/>
              </w:rPr>
              <w:t xml:space="preserve">Remeasurement gain on financial instrument </w:t>
            </w:r>
            <w:r>
              <w:rPr>
                <w:rFonts w:ascii="Arial" w:cs="Arial" w:eastAsia="Arial" w:hAnsi="Arial"/>
                <w:sz w:val="19"/>
                <w:szCs w:val="19"/>
                <w:color w:val="auto"/>
                <w:vertAlign w:val="superscript"/>
              </w:rPr>
              <w:t>(4)</w:t>
            </w:r>
          </w:p>
        </w:tc>
        <w:tc>
          <w:tcPr>
            <w:tcW w:w="10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6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21"/>
                <w:szCs w:val="21"/>
                <w:color w:val="auto"/>
              </w:rPr>
            </w:pPr>
          </w:p>
        </w:tc>
        <w:tc>
          <w:tcPr>
            <w:tcW w:w="1280" w:type="dxa"/>
            <w:vAlign w:val="bottom"/>
          </w:tcPr>
          <w:p>
            <w:pPr>
              <w:jc w:val="right"/>
              <w:ind w:right="27"/>
              <w:spacing w:after="0"/>
              <w:rPr>
                <w:sz w:val="20"/>
                <w:szCs w:val="20"/>
                <w:color w:val="auto"/>
              </w:rPr>
            </w:pPr>
            <w:r>
              <w:rPr>
                <w:rFonts w:ascii="Arial" w:cs="Arial" w:eastAsia="Arial" w:hAnsi="Arial"/>
                <w:sz w:val="15"/>
                <w:szCs w:val="15"/>
                <w:color w:val="auto"/>
              </w:rPr>
              <w:t>3,849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9"/>
        </w:trPr>
        <w:tc>
          <w:tcPr>
            <w:tcW w:w="42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 xml:space="preserve">Divestiture: SpeechCycle </w:t>
            </w:r>
            <w:r>
              <w:rPr>
                <w:rFonts w:ascii="Arial" w:cs="Arial" w:eastAsia="Arial" w:hAnsi="Arial"/>
                <w:sz w:val="19"/>
                <w:szCs w:val="19"/>
                <w:color w:val="auto"/>
                <w:vertAlign w:val="superscript"/>
              </w:rPr>
              <w:t>(5)</w:t>
            </w:r>
          </w:p>
        </w:tc>
        <w:tc>
          <w:tcPr>
            <w:tcW w:w="10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4,947</w:t>
            </w:r>
          </w:p>
        </w:tc>
        <w:tc>
          <w:tcPr>
            <w:tcW w:w="0" w:type="dxa"/>
            <w:vAlign w:val="bottom"/>
          </w:tcPr>
          <w:p>
            <w:pPr>
              <w:spacing w:after="0"/>
              <w:rPr>
                <w:sz w:val="1"/>
                <w:szCs w:val="1"/>
                <w:color w:val="auto"/>
              </w:rPr>
            </w:pPr>
          </w:p>
        </w:tc>
      </w:tr>
      <w:tr>
        <w:trPr>
          <w:trHeight w:val="249"/>
        </w:trPr>
        <w:tc>
          <w:tcPr>
            <w:tcW w:w="4240" w:type="dxa"/>
            <w:vAlign w:val="bottom"/>
          </w:tcPr>
          <w:p>
            <w:pPr>
              <w:ind w:left="240"/>
              <w:spacing w:after="0"/>
              <w:rPr>
                <w:sz w:val="20"/>
                <w:szCs w:val="20"/>
                <w:color w:val="auto"/>
              </w:rPr>
            </w:pPr>
            <w:r>
              <w:rPr>
                <w:rFonts w:ascii="Arial" w:cs="Arial" w:eastAsia="Arial" w:hAnsi="Arial"/>
                <w:sz w:val="15"/>
                <w:szCs w:val="15"/>
                <w:color w:val="auto"/>
              </w:rPr>
              <w:t xml:space="preserve">Income from Investment </w:t>
            </w:r>
            <w:r>
              <w:rPr>
                <w:rFonts w:ascii="Arial" w:cs="Arial" w:eastAsia="Arial" w:hAnsi="Arial"/>
                <w:sz w:val="19"/>
                <w:szCs w:val="19"/>
                <w:color w:val="auto"/>
                <w:vertAlign w:val="superscript"/>
              </w:rPr>
              <w:t>(6)</w:t>
            </w:r>
          </w:p>
        </w:tc>
        <w:tc>
          <w:tcPr>
            <w:tcW w:w="1080" w:type="dxa"/>
            <w:vAlign w:val="bottom"/>
          </w:tcPr>
          <w:p>
            <w:pPr>
              <w:spacing w:after="0"/>
              <w:rPr>
                <w:sz w:val="21"/>
                <w:szCs w:val="21"/>
                <w:color w:val="auto"/>
              </w:rPr>
            </w:pPr>
          </w:p>
        </w:tc>
        <w:tc>
          <w:tcPr>
            <w:tcW w:w="640" w:type="dxa"/>
            <w:vAlign w:val="bottom"/>
          </w:tcPr>
          <w:p>
            <w:pPr>
              <w:jc w:val="right"/>
              <w:ind w:right="25"/>
              <w:spacing w:after="0"/>
              <w:rPr>
                <w:sz w:val="20"/>
                <w:szCs w:val="20"/>
                <w:color w:val="auto"/>
              </w:rPr>
            </w:pPr>
            <w:r>
              <w:rPr>
                <w:rFonts w:ascii="Arial" w:cs="Arial" w:eastAsia="Arial" w:hAnsi="Arial"/>
                <w:sz w:val="15"/>
                <w:szCs w:val="15"/>
                <w:color w:val="auto"/>
              </w:rPr>
              <w:t>519</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21"/>
                <w:szCs w:val="21"/>
                <w:color w:val="auto"/>
              </w:rPr>
            </w:pPr>
          </w:p>
        </w:tc>
        <w:tc>
          <w:tcPr>
            <w:tcW w:w="1280" w:type="dxa"/>
            <w:vAlign w:val="bottom"/>
          </w:tcPr>
          <w:p>
            <w:pPr>
              <w:jc w:val="right"/>
              <w:ind w:right="27"/>
              <w:spacing w:after="0"/>
              <w:rPr>
                <w:sz w:val="20"/>
                <w:szCs w:val="20"/>
                <w:color w:val="auto"/>
              </w:rPr>
            </w:pPr>
            <w:r>
              <w:rPr>
                <w:rFonts w:ascii="Arial" w:cs="Arial" w:eastAsia="Arial" w:hAnsi="Arial"/>
                <w:sz w:val="15"/>
                <w:szCs w:val="15"/>
                <w:color w:val="auto"/>
              </w:rPr>
              <w:t>519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9"/>
        </w:trPr>
        <w:tc>
          <w:tcPr>
            <w:tcW w:w="42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 xml:space="preserve">Royalty income </w:t>
            </w:r>
            <w:r>
              <w:rPr>
                <w:rFonts w:ascii="Arial" w:cs="Arial" w:eastAsia="Arial" w:hAnsi="Arial"/>
                <w:sz w:val="19"/>
                <w:szCs w:val="19"/>
                <w:color w:val="auto"/>
                <w:vertAlign w:val="superscript"/>
              </w:rPr>
              <w:t>(7)</w:t>
            </w:r>
          </w:p>
        </w:tc>
        <w:tc>
          <w:tcPr>
            <w:tcW w:w="10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92</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9"/>
        </w:trPr>
        <w:tc>
          <w:tcPr>
            <w:tcW w:w="424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 xml:space="preserve">Others </w:t>
            </w:r>
            <w:r>
              <w:rPr>
                <w:rFonts w:ascii="Arial" w:cs="Arial" w:eastAsia="Arial" w:hAnsi="Arial"/>
                <w:sz w:val="19"/>
                <w:szCs w:val="19"/>
                <w:color w:val="auto"/>
                <w:vertAlign w:val="superscript"/>
              </w:rPr>
              <w:t>(8)</w:t>
            </w:r>
          </w:p>
        </w:tc>
        <w:tc>
          <w:tcPr>
            <w:tcW w:w="10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(266)</w:t>
            </w: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331</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339</w:t>
            </w:r>
          </w:p>
        </w:tc>
        <w:tc>
          <w:tcPr>
            <w:tcW w:w="0" w:type="dxa"/>
            <w:vAlign w:val="bottom"/>
          </w:tcPr>
          <w:p>
            <w:pPr>
              <w:spacing w:after="0"/>
              <w:rPr>
                <w:sz w:val="1"/>
                <w:szCs w:val="1"/>
                <w:color w:val="auto"/>
              </w:rPr>
            </w:pPr>
          </w:p>
        </w:tc>
      </w:tr>
      <w:tr>
        <w:trPr>
          <w:trHeight w:val="222"/>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080" w:type="dxa"/>
            <w:vAlign w:val="bottom"/>
            <w:tcBorders>
              <w:bottom w:val="single" w:sz="8" w:color="auto"/>
            </w:tcBorders>
            <w:shd w:val="clear" w:color="auto" w:fill="CCEEFF"/>
          </w:tcPr>
          <w:p>
            <w:pPr>
              <w:jc w:val="right"/>
              <w:ind w:right="909"/>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(13,439)</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88"/>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(9,180)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2,374</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4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00" w:hanging="300"/>
        <w:spacing w:after="0" w:line="184" w:lineRule="auto"/>
        <w:tabs>
          <w:tab w:leader="none" w:pos="300"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Fair value of foreign exchange gains and losses</w:t>
      </w:r>
    </w:p>
    <w:p>
      <w:pPr>
        <w:spacing w:after="0" w:line="2" w:lineRule="exact"/>
        <w:rPr>
          <w:rFonts w:ascii="Arial" w:cs="Arial" w:eastAsia="Arial" w:hAnsi="Arial"/>
          <w:sz w:val="23"/>
          <w:szCs w:val="23"/>
          <w:color w:val="auto"/>
          <w:vertAlign w:val="superscript"/>
        </w:rPr>
      </w:pPr>
    </w:p>
    <w:p>
      <w:pPr>
        <w:ind w:left="300" w:hanging="300"/>
        <w:spacing w:after="0" w:line="187" w:lineRule="auto"/>
        <w:tabs>
          <w:tab w:leader="none" w:pos="30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PIK Note impairment on the troubled debt restructuring</w:t>
      </w:r>
    </w:p>
    <w:p>
      <w:pPr>
        <w:spacing w:after="0" w:line="2" w:lineRule="exact"/>
        <w:rPr>
          <w:rFonts w:ascii="Arial" w:cs="Arial" w:eastAsia="Arial" w:hAnsi="Arial"/>
          <w:sz w:val="22"/>
          <w:szCs w:val="22"/>
          <w:color w:val="auto"/>
          <w:vertAlign w:val="superscript"/>
        </w:rPr>
      </w:pPr>
    </w:p>
    <w:p>
      <w:pPr>
        <w:ind w:left="300" w:hanging="300"/>
        <w:spacing w:after="0" w:line="187" w:lineRule="auto"/>
        <w:tabs>
          <w:tab w:leader="none" w:pos="30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Represents Legal settlement of $4.2M from Open Exchange and $0.3M IP settlement from F-Secure</w:t>
      </w:r>
    </w:p>
    <w:p>
      <w:pPr>
        <w:spacing w:after="0" w:line="2" w:lineRule="exact"/>
        <w:rPr>
          <w:rFonts w:ascii="Arial" w:cs="Arial" w:eastAsia="Arial" w:hAnsi="Arial"/>
          <w:sz w:val="22"/>
          <w:szCs w:val="22"/>
          <w:color w:val="auto"/>
          <w:vertAlign w:val="superscript"/>
        </w:rPr>
      </w:pPr>
    </w:p>
    <w:p>
      <w:pPr>
        <w:ind w:left="300" w:hanging="300"/>
        <w:spacing w:after="0" w:line="187" w:lineRule="auto"/>
        <w:tabs>
          <w:tab w:leader="none" w:pos="30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Remeasurement of gain/loss on Put option for common shares held by Siris.</w:t>
      </w:r>
    </w:p>
    <w:p>
      <w:pPr>
        <w:spacing w:after="0" w:line="2" w:lineRule="exact"/>
        <w:rPr>
          <w:rFonts w:ascii="Arial" w:cs="Arial" w:eastAsia="Arial" w:hAnsi="Arial"/>
          <w:sz w:val="22"/>
          <w:szCs w:val="22"/>
          <w:color w:val="auto"/>
          <w:vertAlign w:val="superscript"/>
        </w:rPr>
      </w:pPr>
    </w:p>
    <w:p>
      <w:pPr>
        <w:ind w:left="300" w:hanging="300"/>
        <w:spacing w:after="0" w:line="187" w:lineRule="auto"/>
        <w:tabs>
          <w:tab w:leader="none" w:pos="30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Gain on Divestitures: SpeechCycle</w:t>
      </w:r>
    </w:p>
    <w:p>
      <w:pPr>
        <w:spacing w:after="0" w:line="2" w:lineRule="exact"/>
        <w:rPr>
          <w:rFonts w:ascii="Arial" w:cs="Arial" w:eastAsia="Arial" w:hAnsi="Arial"/>
          <w:sz w:val="22"/>
          <w:szCs w:val="22"/>
          <w:color w:val="auto"/>
          <w:vertAlign w:val="superscript"/>
        </w:rPr>
      </w:pPr>
    </w:p>
    <w:p>
      <w:pPr>
        <w:ind w:left="300" w:hanging="300"/>
        <w:spacing w:after="0" w:line="187" w:lineRule="auto"/>
        <w:tabs>
          <w:tab w:leader="none" w:pos="30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Represents gain on sale on the Company’s cost investment in Clarity, Money Inc.</w:t>
      </w:r>
    </w:p>
    <w:p>
      <w:pPr>
        <w:spacing w:after="0" w:line="2" w:lineRule="exact"/>
        <w:rPr>
          <w:rFonts w:ascii="Arial" w:cs="Arial" w:eastAsia="Arial" w:hAnsi="Arial"/>
          <w:sz w:val="22"/>
          <w:szCs w:val="22"/>
          <w:color w:val="auto"/>
          <w:vertAlign w:val="superscript"/>
        </w:rPr>
      </w:pPr>
    </w:p>
    <w:p>
      <w:pPr>
        <w:ind w:left="300" w:hanging="300"/>
        <w:spacing w:after="0" w:line="187" w:lineRule="auto"/>
        <w:tabs>
          <w:tab w:leader="none" w:pos="30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Includes royalty income in connection with Mirapoint sale</w:t>
      </w:r>
    </w:p>
    <w:p>
      <w:pPr>
        <w:spacing w:after="0" w:line="2" w:lineRule="exact"/>
        <w:rPr>
          <w:rFonts w:ascii="Arial" w:cs="Arial" w:eastAsia="Arial" w:hAnsi="Arial"/>
          <w:sz w:val="22"/>
          <w:szCs w:val="22"/>
          <w:color w:val="auto"/>
          <w:vertAlign w:val="superscript"/>
        </w:rPr>
      </w:pPr>
    </w:p>
    <w:p>
      <w:pPr>
        <w:ind w:left="300" w:hanging="300"/>
        <w:spacing w:after="0" w:line="187" w:lineRule="auto"/>
        <w:tabs>
          <w:tab w:leader="none" w:pos="30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Represents individual transactions in other income (expense) that management determined to be immaterial</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127"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w:t>
        </w:r>
      </w:hyperlink>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SYNCHRONOSS TECHNOLOGIES, INC.</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Subsequent Events Review</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Nasdaq listing</w:t>
      </w:r>
    </w:p>
    <w:p>
      <w:pPr>
        <w:spacing w:after="0" w:line="203" w:lineRule="exact"/>
        <w:rPr>
          <w:sz w:val="20"/>
          <w:szCs w:val="20"/>
          <w:color w:val="auto"/>
        </w:rPr>
      </w:pPr>
    </w:p>
    <w:p>
      <w:pPr>
        <w:ind w:right="240" w:firstLine="299"/>
        <w:spacing w:after="0" w:line="265" w:lineRule="auto"/>
        <w:rPr>
          <w:sz w:val="20"/>
          <w:szCs w:val="20"/>
          <w:color w:val="auto"/>
        </w:rPr>
      </w:pPr>
      <w:r>
        <w:rPr>
          <w:rFonts w:ascii="Arial" w:cs="Arial" w:eastAsia="Arial" w:hAnsi="Arial"/>
          <w:sz w:val="17"/>
          <w:szCs w:val="17"/>
          <w:color w:val="auto"/>
        </w:rPr>
        <w:t>On October 1, 2018, the suspension of trading in the Company’s common stock on The Nasdaq Global Select Market was lifted and the Company’s common stock resumed trading under the symbol “SNCR”.</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Repayment of Convertible Note &amp; legal settlement</w:t>
      </w:r>
    </w:p>
    <w:p>
      <w:pPr>
        <w:spacing w:after="0" w:line="203" w:lineRule="exact"/>
        <w:rPr>
          <w:sz w:val="20"/>
          <w:szCs w:val="20"/>
          <w:color w:val="auto"/>
        </w:rPr>
      </w:pPr>
    </w:p>
    <w:p>
      <w:pPr>
        <w:jc w:val="both"/>
        <w:ind w:right="60" w:firstLine="299"/>
        <w:spacing w:after="0" w:line="254" w:lineRule="auto"/>
        <w:rPr>
          <w:sz w:val="20"/>
          <w:szCs w:val="20"/>
          <w:color w:val="auto"/>
        </w:rPr>
      </w:pPr>
      <w:r>
        <w:rPr>
          <w:rFonts w:ascii="Arial" w:cs="Arial" w:eastAsia="Arial" w:hAnsi="Arial"/>
          <w:sz w:val="17"/>
          <w:szCs w:val="17"/>
          <w:color w:val="auto"/>
        </w:rPr>
        <w:t xml:space="preserve">On November 2, 2018, the Company retired approximately $116.0 million of 2019 Notes as a part of settlement agreement entered into on November 1, 2018, among the Company, Indaba Capital Fund, L.P. (“Indaba”) and Westwood Management Corp. (“Westwood”) related to BNY Action, and as a result the parties filed a stipulation of dismissal. For further details see </w:t>
      </w:r>
      <w:r>
        <w:rPr>
          <w:rFonts w:ascii="Arial" w:cs="Arial" w:eastAsia="Arial" w:hAnsi="Arial"/>
          <w:sz w:val="17"/>
          <w:szCs w:val="17"/>
          <w:i w:val="1"/>
          <w:iCs w:val="1"/>
          <w:color w:val="auto"/>
        </w:rPr>
        <w:t>Note 12 - Commitments and Contingencies</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receivable</w:t>
      </w:r>
    </w:p>
    <w:p>
      <w:pPr>
        <w:spacing w:after="0" w:line="203" w:lineRule="exact"/>
        <w:rPr>
          <w:sz w:val="20"/>
          <w:szCs w:val="20"/>
          <w:color w:val="auto"/>
        </w:rPr>
      </w:pPr>
    </w:p>
    <w:p>
      <w:pPr>
        <w:ind w:firstLine="299"/>
        <w:spacing w:after="0" w:line="304" w:lineRule="auto"/>
        <w:rPr>
          <w:sz w:val="20"/>
          <w:szCs w:val="20"/>
          <w:color w:val="auto"/>
        </w:rPr>
      </w:pPr>
      <w:r>
        <w:rPr>
          <w:rFonts w:ascii="Arial" w:cs="Arial" w:eastAsia="Arial" w:hAnsi="Arial"/>
          <w:sz w:val="15"/>
          <w:szCs w:val="15"/>
          <w:color w:val="auto"/>
        </w:rPr>
        <w:t xml:space="preserve">During September, Impala (an affiliate of Siris) announced its sale of Intralinks to SS&amp;C Technologies, which is expected to close during the fourth quarter. As part of the Company’s sale of Intralinks, it can earn up $25.0 million from Siris’ sale, which is expected to be earned upon consummation into discontinued operations on the Condensed Consolidated Statement of Operations. For further details on the sale of Intralinks to Impala (a Siris affiliate), see </w:t>
      </w:r>
      <w:r>
        <w:rPr>
          <w:rFonts w:ascii="Arial" w:cs="Arial" w:eastAsia="Arial" w:hAnsi="Arial"/>
          <w:sz w:val="15"/>
          <w:szCs w:val="15"/>
          <w:i w:val="1"/>
          <w:iCs w:val="1"/>
          <w:color w:val="auto"/>
        </w:rPr>
        <w:t>Note 3- Acquisition and Divestitures</w:t>
      </w:r>
      <w:r>
        <w:rPr>
          <w:rFonts w:ascii="Arial" w:cs="Arial" w:eastAsia="Arial" w:hAnsi="Arial"/>
          <w:sz w:val="15"/>
          <w:szCs w:val="15"/>
          <w:color w:val="auto"/>
        </w:rPr>
        <w:t>.</w:t>
      </w:r>
    </w:p>
    <w:p>
      <w:pPr>
        <w:spacing w:after="0" w:line="142" w:lineRule="exact"/>
        <w:rPr>
          <w:sz w:val="20"/>
          <w:szCs w:val="20"/>
          <w:color w:val="auto"/>
        </w:rPr>
      </w:pPr>
    </w:p>
    <w:p>
      <w:pPr>
        <w:ind w:right="1440" w:firstLine="299"/>
        <w:spacing w:after="0" w:line="265" w:lineRule="auto"/>
        <w:rPr>
          <w:sz w:val="20"/>
          <w:szCs w:val="20"/>
          <w:color w:val="auto"/>
        </w:rPr>
      </w:pPr>
      <w:r>
        <w:rPr>
          <w:rFonts w:ascii="Arial" w:cs="Arial" w:eastAsia="Arial" w:hAnsi="Arial"/>
          <w:sz w:val="17"/>
          <w:szCs w:val="17"/>
          <w:color w:val="auto"/>
        </w:rPr>
        <w:t>The Company has evaluated all subsequent events through the filing date of this form 10-Q for appropriate accounting and disclosures, and there are no subsequent event disclosures required aside from the foregoing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380"/>
          </w:cols>
          <w:pgMar w:left="240" w:top="127" w:right="27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07"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following discussion and analysis should be read in conjunction with our Condensed Consolidated Financial Statements and the related notes included in Item 1 “Financial Information” of this Form 10-Q.</w:t>
      </w:r>
    </w:p>
    <w:p>
      <w:pPr>
        <w:spacing w:after="0" w:line="179"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6"/>
          <w:szCs w:val="16"/>
          <w:i w:val="1"/>
          <w:iCs w:val="1"/>
          <w:color w:val="auto"/>
        </w:rPr>
        <w:t>The words “Synchronoss,” “we,” “our,” “ours,” “us,” and the “Company” refer to Synchronoss Technologies, Inc. and its consolidated subsidiaries. This quarterly report contains “forward-looking statements” within the meaning of the Private Securities Litigation Reform Act of 1995. These forward-looking statements are subject to risks and uncertainties and are based on the beliefs and assumptions of our management based on information currently available to our management. Use of words such as “believes,” “expects,” “anticipates,” “intends,” “plans,” “hopes,” “should,” “continues,” “seeks,” “likely” or similar expressions, indicate a forward-looking statement. Forward-looking statements are not guarantees of future performance and involve risks, uncertainties and assumptions. Actual results may differ materially from the forward-looking statements we make. We caution investors not to place substantial reliance on the forward-looking statements included in this quarterly report. These statements speak only as of the date of this quarterly report, and we undertake no obligation to update or revise the statements in light of future developments. All numbers are expressed in thousands unless otherwise stated.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07"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Synchronoss Technologies, Inc. (“Synchronoss” or the “Company”) is a global software and services company that provides essential technologies for the mobile transformation of business. The Company’s portfolio, contains offerings such as personal cloud, secure-mobility, identity management and scalable messaging platforms, products and solutions. These essential technologies create a better way of delivering the transformative mobile experiences that the Company’s customers need to help them stay ahead of the curve in competition, innovation, productivity, growth and operational efficiency.</w:t>
      </w:r>
    </w:p>
    <w:p>
      <w:pPr>
        <w:spacing w:after="0" w:line="163"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6"/>
          <w:szCs w:val="16"/>
          <w:color w:val="auto"/>
        </w:rPr>
        <w:t>Synchronoss’ products and platforms are designed to be carrier-grade, flexible and scalable, enabling multiple converged communication services to be managed across a range of distribution channels including e-commerce, m-commerce, telesales, customer stores, indirect and other retail outlets. This business model allows the Company to meet the rapidly changing converged services and connected devices offered by their customers. Synchronoss’ products, platforms and solutions enable its customers to acquire, retain and service subscribers and employees quickly, reliably and cost-effectively with white label and custom-branded solutions. Synchronoss’ customers can simplify the processes associated with managing the customer experience for procuring, activating, connecting, backing-up, synchronizing and sharing/collaboration with connected devices and contents from these devices and associated services. The extensibility, scalability, reliability and relevance of the Company’s platforms enable new revenue streams and retention opportunities for their customers through new subscriber acquisitions, sale of new devices, accessories and new value-added service offerings in the Cloud. By using the Company’s technologies, Synchronoss’ customers can optimize their cost of operations while enhancing their customer experience.</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Company currently operates in and markets their solutions and services directly through their sales organizations in Americas, EMEA, and APAC.</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generate a majority of our revenues on a per transaction or subscription basis, which is derived from contracts that extend up to 60 months from execution.</w:t>
      </w:r>
    </w:p>
    <w:p>
      <w:pPr>
        <w:spacing w:after="0" w:line="226"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 xml:space="preserve">During the nine months ended September 30, 2018, the Company made significant changes in its accounting policies over revenue recognition, to align with the adoption of Topic 606. These updates are described in </w:t>
      </w:r>
      <w:r>
        <w:rPr>
          <w:rFonts w:ascii="Arial" w:cs="Arial" w:eastAsia="Arial" w:hAnsi="Arial"/>
          <w:sz w:val="17"/>
          <w:szCs w:val="17"/>
          <w:i w:val="1"/>
          <w:iCs w:val="1"/>
          <w:color w:val="auto"/>
        </w:rPr>
        <w:t>Note 2 - Basis of Presentation and Consolidation</w:t>
      </w:r>
      <w:r>
        <w:rPr>
          <w:rFonts w:ascii="Arial" w:cs="Arial" w:eastAsia="Arial" w:hAnsi="Arial"/>
          <w:sz w:val="17"/>
          <w:szCs w:val="17"/>
          <w:color w:val="auto"/>
        </w:rPr>
        <w:t>.</w:t>
      </w:r>
    </w:p>
    <w:p>
      <w:pPr>
        <w:spacing w:after="0" w:line="167" w:lineRule="exact"/>
        <w:rPr>
          <w:sz w:val="20"/>
          <w:szCs w:val="20"/>
          <w:color w:val="auto"/>
        </w:rPr>
      </w:pPr>
    </w:p>
    <w:p>
      <w:pPr>
        <w:jc w:val="both"/>
        <w:ind w:firstLine="299"/>
        <w:spacing w:after="0" w:line="304" w:lineRule="auto"/>
        <w:rPr>
          <w:sz w:val="20"/>
          <w:szCs w:val="20"/>
          <w:color w:val="auto"/>
        </w:rPr>
      </w:pPr>
      <w:r>
        <w:rPr>
          <w:rFonts w:ascii="Arial" w:cs="Arial" w:eastAsia="Arial" w:hAnsi="Arial"/>
          <w:sz w:val="15"/>
          <w:szCs w:val="15"/>
          <w:color w:val="auto"/>
        </w:rPr>
        <w:t>The future success of our business depends on the continued growth of Business to Business and Business to Business to Consumer driving customer transactions, and continued expansion of our platforms into the TMT Market globally through Digital Transformation, Messaging, Cloud and Internet of Things (“IoT”) markets. As such, the volume of transactions and our ability to expand our footprint in TMT and globally may result in revenue fluctuations on a quarterly basis.</w:t>
      </w:r>
    </w:p>
    <w:p>
      <w:pPr>
        <w:spacing w:after="0" w:line="142"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Most of our revenues are recorded in U.S. dollars but as we continue to expand our footprint with international carriers we will become subject to currency translation that could affect our future net sales as reported in U.S. dollars.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127"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Our top five customers accounted for 70.8% and 76.4% of net revenues for the nine-month periods ended September 30, 2018 and 2017, respectively. Contracts with these customers typically run for three to five years. Of these customers, Verizon accounted for more than 10% of revenues in 2018 and 2017. The loss of Verizon as a customer would have a material negative impact on our company. However, we believe that the costs incurred by Verizon to replace Synchronoss’ solutions would be substantial.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Developments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Honeybee Acquisition</w:t>
      </w:r>
    </w:p>
    <w:p>
      <w:pPr>
        <w:spacing w:after="0" w:line="203"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6"/>
          <w:szCs w:val="16"/>
          <w:color w:val="auto"/>
        </w:rPr>
        <w:t>In May 2018, the Company completed the acquisition of the honeybee software business (“honeybee”), a provider of digital solutions targeted at optimizing the customer experience from Dixons Carphone plc which offers a digital transformation platform that makes it easier for companies to design and launch omni-channel customer journeys. Consideration paid by the Company consisted of approximately $9.7 million in cash and deferred consideration $8.7 million to be paid over the next three years. As of September 30, 2018, the preliminary opening balance sheet reflected intangible assets and net working capital in the amount of $8.0 million and $10.4 million, respectively. Customers of the honeybee platform, such as mobile operators and other communication service providers, can rapidly create and adapt digital sales processes for contact centers, retail stores, and online channels. This helps reduce complexity for the end-user as well as internal employees, while delivering a single customer experience at all touch-points and improved business outcomes such as reduced cost and increased revenue. The acquisition did not have a material impact on the Company’s Condensed Consolidated Statements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Intralinks Acquisition and Divestiture</w:t>
      </w:r>
    </w:p>
    <w:p>
      <w:pPr>
        <w:spacing w:after="0" w:line="203" w:lineRule="exact"/>
        <w:rPr>
          <w:sz w:val="20"/>
          <w:szCs w:val="20"/>
          <w:color w:val="auto"/>
        </w:rPr>
      </w:pPr>
    </w:p>
    <w:p>
      <w:pPr>
        <w:jc w:val="both"/>
        <w:ind w:firstLine="299"/>
        <w:spacing w:after="0" w:line="267" w:lineRule="auto"/>
        <w:rPr>
          <w:sz w:val="20"/>
          <w:szCs w:val="20"/>
          <w:color w:val="auto"/>
        </w:rPr>
      </w:pPr>
      <w:r>
        <w:rPr>
          <w:rFonts w:ascii="Arial" w:cs="Arial" w:eastAsia="Arial" w:hAnsi="Arial"/>
          <w:sz w:val="16"/>
          <w:szCs w:val="16"/>
          <w:color w:val="auto"/>
        </w:rPr>
        <w:t>On January 19, 2017, we completed the acquisition of Intralinks for approximately $815.0 million, net of cash acquired. In connection with the acquisition, we entered into a $900.0 million 2017 Term Facility as of the date of acquisition. Intralinks is a global technology provider of SaaS solutions for secure enterprise content collaboration within and among organizations. Intralinks’ cloud-based solutions enable organizations to securely manage, control, track, search, exchange and collaborate on sensitive information inside and outside the firewall. The total purchase price consideration consisted of the repayment of existing Intralinks indebtedness, and non-cash consideration for services rendered on unvested Intralinks equity awards that were converted into the Company equity awards on the acquisition date. The acquisition was primarily funded from the proceeds of the $900.0 million credit agreement as of the date of acquisition.</w:t>
      </w:r>
    </w:p>
    <w:p>
      <w:pPr>
        <w:spacing w:after="0" w:line="168" w:lineRule="exact"/>
        <w:rPr>
          <w:sz w:val="20"/>
          <w:szCs w:val="20"/>
          <w:color w:val="auto"/>
        </w:rPr>
      </w:pPr>
    </w:p>
    <w:p>
      <w:pPr>
        <w:jc w:val="both"/>
        <w:ind w:firstLine="299"/>
        <w:spacing w:after="0" w:line="248" w:lineRule="auto"/>
        <w:rPr>
          <w:sz w:val="20"/>
          <w:szCs w:val="20"/>
          <w:color w:val="auto"/>
        </w:rPr>
      </w:pPr>
      <w:r>
        <w:rPr>
          <w:rFonts w:ascii="Arial" w:cs="Arial" w:eastAsia="Arial" w:hAnsi="Arial"/>
          <w:sz w:val="17"/>
          <w:szCs w:val="17"/>
          <w:color w:val="auto"/>
        </w:rPr>
        <w:t>On June 23, 2017, we received a non-binding indication of interest from Siris to acquire the Company. In light of the indication of interest, our Board of Directors decided to explore a broad range of strategic alternatives that would have the potential to unlock shareholder value. In October 2017, we concluded our review of strategic alternatives and determined that the best approach for the Company to achieve the goal of maximizing shareholder value was to focus on its core TMT business, divest non-core assets and improve our balance sheet strength, cash position and potential profitability. Under the terms of certain definitive agreements, investment funds affiliated with Siris acquired all of the stock of our wholly-owned subsidiary, Intralinks, for consideration of cash and an investment in convertible preferred equity of the Company.</w:t>
      </w:r>
    </w:p>
    <w:p>
      <w:pPr>
        <w:spacing w:after="0" w:line="184"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On October 17, 2017, we announced our entry into definitive agreements for the sale of Intralinks, and the right to sell a newly created series of preferred stock of Synchronoss to affiliates of Siris. Subject to the terms and conditions set forth in the Share Purchase Agreement, among Synchronoss, Intralinks and Impala, Impala agreed to acquire from us the issued and outstanding shares of common stock of Intralinks as part of the Intralinks Transaction. The total amount of funds used to complete the Intralinks Transaction and related transactions and pay related fees and expenses was approximately $1.0 billion, which was funded through a combination of equity and debt financing obtained by Impala.</w:t>
      </w:r>
    </w:p>
    <w:p>
      <w:pPr>
        <w:spacing w:after="0" w:line="182" w:lineRule="exact"/>
        <w:rPr>
          <w:sz w:val="20"/>
          <w:szCs w:val="20"/>
          <w:color w:val="auto"/>
        </w:rPr>
      </w:pPr>
    </w:p>
    <w:p>
      <w:pPr>
        <w:jc w:val="both"/>
        <w:ind w:firstLine="299"/>
        <w:spacing w:after="0" w:line="266" w:lineRule="auto"/>
        <w:rPr>
          <w:sz w:val="20"/>
          <w:szCs w:val="20"/>
          <w:color w:val="auto"/>
        </w:rPr>
      </w:pPr>
      <w:r>
        <w:rPr>
          <w:rFonts w:ascii="Arial" w:cs="Arial" w:eastAsia="Arial" w:hAnsi="Arial"/>
          <w:sz w:val="16"/>
          <w:szCs w:val="16"/>
          <w:color w:val="auto"/>
        </w:rPr>
        <w:t>Subsequently, on November 14, 2017, we completed the sale of Intralinks to Impala, for approximately $991.0 million in cash, subject to post-closing adjustments for changes in cash, debt and working capital. As a result of the sale, we prepaid the remaining balance on the 2017 Term Facility. If, in the future, Impala receives net cash proceeds in excess of $440.0 million from any sale of equity or assets of Intralinks, or a dividend or distribution in respect of the shares of Intralinks, then Impala is required to pay us up to an additional $25.0 million in cash or publicly traded securities. Immediately following the consummation of the Intralinks Transaction, we paid to Impala $5.0 million as partial reimbursement of the out-of-pocket fees and expenses incurred by Impala, Siris and their respective affiliates in connection with the execution of the Share Purchase Agreement and the Intralinks Transaction. Amounts reimbursed were recorded as a reduction in the gain on sale. The operations of Intralinks were presented as discontinued operations in 2017.</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For further details, see </w:t>
      </w:r>
      <w:r>
        <w:rPr>
          <w:rFonts w:ascii="Arial" w:cs="Arial" w:eastAsia="Arial" w:hAnsi="Arial"/>
          <w:sz w:val="16"/>
          <w:szCs w:val="16"/>
          <w:i w:val="1"/>
          <w:iCs w:val="1"/>
          <w:color w:val="auto"/>
        </w:rPr>
        <w:t>Note 3 - Acquisitions and Divestitures</w:t>
      </w:r>
      <w:r>
        <w:rPr>
          <w:rFonts w:ascii="Arial" w:cs="Arial" w:eastAsia="Arial" w:hAnsi="Arial"/>
          <w:sz w:val="16"/>
          <w:szCs w:val="16"/>
          <w:color w:val="auto"/>
        </w:rPr>
        <w:t xml:space="preserve"> of the Notes to Condensed Consolidated Financial Statements in Item 1 of this Form 10-Q.</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127"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Recent Divestitures</w:t>
      </w:r>
    </w:p>
    <w:p>
      <w:pPr>
        <w:spacing w:after="0" w:line="203"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On February 1, 2017, we completed the divestiture of our SpeechCycle business for consideration of $13.5 million to an unrelated third party. As part of the divestiture, we entered into a one-year transition services agreement with the acquirer to support various indirect activities such as customer software support, technical support services and maintenance and support services. These services were terminated during the first quarter of 2018. We recorded a pre-tax gain of $4.9 million as a result of the divestiture which is included in other income (expense), net in the Condensed Consolidated Statement of Operations.</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For further details, see </w:t>
      </w:r>
      <w:r>
        <w:rPr>
          <w:rFonts w:ascii="Arial" w:cs="Arial" w:eastAsia="Arial" w:hAnsi="Arial"/>
          <w:sz w:val="16"/>
          <w:szCs w:val="16"/>
          <w:i w:val="1"/>
          <w:iCs w:val="1"/>
          <w:color w:val="auto"/>
        </w:rPr>
        <w:t>Note 3 - Acquisitions and Divestitures</w:t>
      </w:r>
      <w:r>
        <w:rPr>
          <w:rFonts w:ascii="Arial" w:cs="Arial" w:eastAsia="Arial" w:hAnsi="Arial"/>
          <w:sz w:val="16"/>
          <w:szCs w:val="16"/>
          <w:color w:val="auto"/>
        </w:rPr>
        <w:t xml:space="preserve"> of the Notes to Condensed Consolidated Financial Statements in Item 1 of this Form 10-Q.</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Trends Affecting Our Results of Operations</w:t>
      </w:r>
    </w:p>
    <w:p>
      <w:pPr>
        <w:spacing w:after="0" w:line="207" w:lineRule="exact"/>
        <w:rPr>
          <w:sz w:val="20"/>
          <w:szCs w:val="20"/>
          <w:color w:val="auto"/>
        </w:rPr>
      </w:pPr>
    </w:p>
    <w:p>
      <w:pPr>
        <w:jc w:val="both"/>
        <w:ind w:firstLine="299"/>
        <w:spacing w:after="0" w:line="295" w:lineRule="auto"/>
        <w:rPr>
          <w:sz w:val="20"/>
          <w:szCs w:val="20"/>
          <w:color w:val="auto"/>
        </w:rPr>
      </w:pPr>
      <w:r>
        <w:rPr>
          <w:rFonts w:ascii="Arial" w:cs="Arial" w:eastAsia="Arial" w:hAnsi="Arial"/>
          <w:sz w:val="15"/>
          <w:szCs w:val="15"/>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essential needs and subscriber expectations. Such devices include smartphones, connected cars, personal health and wellness devices and connected home devices. The need for the contents of these devices to be stored in a common cloud are also expected to be drivers of our business in the longer term.</w:t>
      </w:r>
    </w:p>
    <w:p>
      <w:pPr>
        <w:spacing w:after="0" w:line="149" w:lineRule="exact"/>
        <w:rPr>
          <w:sz w:val="20"/>
          <w:szCs w:val="20"/>
          <w:color w:val="auto"/>
        </w:rPr>
      </w:pPr>
    </w:p>
    <w:p>
      <w:pPr>
        <w:jc w:val="both"/>
        <w:ind w:firstLine="299"/>
        <w:spacing w:after="0" w:line="285" w:lineRule="auto"/>
        <w:rPr>
          <w:sz w:val="20"/>
          <w:szCs w:val="20"/>
          <w:color w:val="auto"/>
        </w:rPr>
      </w:pPr>
      <w:r>
        <w:rPr>
          <w:rFonts w:ascii="Arial" w:cs="Arial" w:eastAsia="Arial" w:hAnsi="Arial"/>
          <w:sz w:val="15"/>
          <w:szCs w:val="15"/>
          <w:color w:val="auto"/>
        </w:rPr>
        <w:t>Business from our traditional Synchronoss Messaging business (Email) has been driven by a resurgence in the need for white label secure messaging platforms that favor the Mobile Network Operator’s (“MNO”) business objectives and are not beholden to the objectives of a sponsoring over-the-top (“OTT”) platform. Messaging drives higher subscriber engagement than any other application in the market today and holds the potential to stimulate new revenue from traditional services and third-party brands. OTT global success has driven MNO’s to look at opportunities to preempt and compete with the OTT’s which has potential opportunity for Synchronoss. Future growth will be driven by the need of TMT companies including (and especially) MNO’s to embrace Messaging as a Platform (“MaaP”) to converse with subscribers in an efficient, automated way (streamlining the costs and increasing the effectiveness of self-care, as well as the yield of cross-sell upselling of service plans, devices, bundles, etc.). The Synchronoss Advanced Messaging Platform provides state of the art RCS-driven features including the ability to support advanced Peer to Peer communications and introduce new revenue streams driven by commerce and advertising via Application to Person capabilities.</w:t>
      </w:r>
    </w:p>
    <w:p>
      <w:pPr>
        <w:spacing w:after="0" w:line="156" w:lineRule="exact"/>
        <w:rPr>
          <w:sz w:val="20"/>
          <w:szCs w:val="20"/>
          <w:color w:val="auto"/>
        </w:rPr>
      </w:pPr>
    </w:p>
    <w:p>
      <w:pPr>
        <w:jc w:val="both"/>
        <w:ind w:firstLine="299"/>
        <w:spacing w:after="0" w:line="247" w:lineRule="auto"/>
        <w:rPr>
          <w:sz w:val="20"/>
          <w:szCs w:val="20"/>
          <w:color w:val="auto"/>
        </w:rPr>
      </w:pPr>
      <w:r>
        <w:rPr>
          <w:rFonts w:ascii="Arial" w:cs="Arial" w:eastAsia="Arial" w:hAnsi="Arial"/>
          <w:sz w:val="17"/>
          <w:szCs w:val="17"/>
          <w:color w:val="auto"/>
        </w:rPr>
        <w:t>Companies in the TMT market all face the dilemma of attempting to pivot their businesses to digital execution in order to create experiences that meet the expectations of their subscribers, generate new revenues and streamline costs creating healthier margins at a faster time to market than they have ever operated before. Their challenges feature the lack of skill set to conceptualize and run day to day digital operations and the lack of resources to integrate their legacy back end systems to enact digital experiences that achieve their business objectives. The growth of Synchronoss Digital Platforms will be driven by the ability to provide TMT companies’ desire to obtain digital transformation solutions as quickly as possible while educating them on the ability to operate a digital business efficiently. Our Platform as a Service (“PaaS”) model provides a desirable alternative to heavy capital expenditure spending options often tried internally. The ability for our platforms to create low/no code, new customer digital journeys, virtually on the fly, give TMT Companies the ability to operate new experiences and businesses without heavily investing in development resources.</w:t>
      </w:r>
    </w:p>
    <w:p>
      <w:pPr>
        <w:spacing w:after="0" w:line="185"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Synchronoss Advanced Messaging, Cloud and Digital Platforms are poised to bring IoT initiatives to life across MNO and TMT companies creating new use cases that will help stimulate the commercial growth of the robust potential of the IoT market. As new devices and sensors come online in connected cities, Synchronoss, partnering with carriers like AT&amp;T, has technology to unify and harness data from legacy systems; provide analytic insights that fuel automated communications, via our Advanced Messaging Platform between sensors, devices and people; and create a common storage reservoir with our secure cloud. There is opportunity in many areas of the IoT ecosystem for Synchronoss to support utilizing our Activation, Cloud and Analytics tools.</w:t>
      </w:r>
    </w:p>
    <w:p>
      <w:pPr>
        <w:spacing w:after="0" w:line="165" w:lineRule="exact"/>
        <w:rPr>
          <w:sz w:val="20"/>
          <w:szCs w:val="20"/>
          <w:color w:val="auto"/>
        </w:rPr>
      </w:pPr>
    </w:p>
    <w:p>
      <w:pPr>
        <w:jc w:val="both"/>
        <w:ind w:firstLine="299"/>
        <w:spacing w:after="0" w:line="295" w:lineRule="auto"/>
        <w:rPr>
          <w:sz w:val="20"/>
          <w:szCs w:val="20"/>
          <w:color w:val="auto"/>
        </w:rPr>
      </w:pPr>
      <w:r>
        <w:rPr>
          <w:rFonts w:ascii="Arial" w:cs="Arial" w:eastAsia="Arial" w:hAnsi="Arial"/>
          <w:sz w:val="15"/>
          <w:szCs w:val="15"/>
          <w:color w:val="auto"/>
        </w:rPr>
        <w:t>To support our growth, which will be driven by these favorable industry trends mentioned above, we will leverage modular components from our existing software platforms to build new products. We believe that these opportunities will continue to provide future benefits and position us for future revenue growth. We are also making investments in research and development of new products designed to enable us to grow rapidly in the mobile wireless market. Our purchase of capital assets and equipment may also increase based on aggressive deployment, subscriber growth and promotional offers for free or bundled storage by our major Tier 1 carrier customers.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127"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We continue to expand our platforms into the converging TMT, MNO, Digital and IoT spaces to enable connected devices to do more things across multiple networks, brands and communities. Our initiatives with AT&amp;T, Verizon, Sprint, British Telecom, Softbank and other CSPs continue to grow both with regard to our current business as well as our new product offerings. We are also exploring additional opportunities through merger and acquisition activities to support our customer, product and geographic diversification strategies.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September 30, 2018 compared to the three months ended September 30, 2017</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an overview of our results of operations for the three months ended September 30, 2018 and 2017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80" w:type="dxa"/>
            <w:vAlign w:val="bottom"/>
            <w:gridSpan w:val="7"/>
          </w:tcPr>
          <w:p>
            <w:pPr>
              <w:jc w:val="right"/>
              <w:ind w:right="738"/>
              <w:spacing w:after="0"/>
              <w:rPr>
                <w:sz w:val="20"/>
                <w:szCs w:val="20"/>
                <w:color w:val="auto"/>
              </w:rPr>
            </w:pPr>
            <w:r>
              <w:rPr>
                <w:rFonts w:ascii="Arial" w:cs="Arial" w:eastAsia="Arial" w:hAnsi="Arial"/>
                <w:sz w:val="15"/>
                <w:szCs w:val="15"/>
                <w:b w:val="1"/>
                <w:bCs w:val="1"/>
                <w:color w:val="auto"/>
              </w:rPr>
              <w:t>Three Months Ended September 30,</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19"/>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78"/>
              <w:spacing w:after="0"/>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58"/>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31"/>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83,286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91,015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(7,729)</w:t>
            </w:r>
          </w:p>
        </w:tc>
        <w:tc>
          <w:tcPr>
            <w:tcW w:w="0" w:type="dxa"/>
            <w:vAlign w:val="bottom"/>
          </w:tcPr>
          <w:p>
            <w:pPr>
              <w:spacing w:after="0"/>
              <w:rPr>
                <w:sz w:val="1"/>
                <w:szCs w:val="1"/>
                <w:color w:val="auto"/>
              </w:rPr>
            </w:pPr>
          </w:p>
        </w:tc>
      </w:tr>
      <w:tr>
        <w:trPr>
          <w:trHeight w:val="224"/>
        </w:trPr>
        <w:tc>
          <w:tcPr>
            <w:tcW w:w="7440" w:type="dxa"/>
            <w:vAlign w:val="bottom"/>
          </w:tcPr>
          <w:p>
            <w:pPr>
              <w:ind w:left="240"/>
              <w:spacing w:after="0"/>
              <w:rPr>
                <w:sz w:val="20"/>
                <w:szCs w:val="20"/>
                <w:color w:val="auto"/>
              </w:rPr>
            </w:pPr>
            <w:r>
              <w:rPr>
                <w:rFonts w:ascii="Arial" w:cs="Arial" w:eastAsia="Arial" w:hAnsi="Arial"/>
                <w:sz w:val="17"/>
                <w:szCs w:val="17"/>
                <w:color w:val="auto"/>
              </w:rPr>
              <w:t>Cost of revenues*</w:t>
            </w:r>
          </w:p>
        </w:tc>
        <w:tc>
          <w:tcPr>
            <w:tcW w:w="3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7"/>
                <w:szCs w:val="17"/>
                <w:color w:val="auto"/>
              </w:rPr>
              <w:t>43,714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45,576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(1,862)</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Research and development</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18,684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20,926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(2,242)</w:t>
            </w:r>
          </w:p>
        </w:tc>
        <w:tc>
          <w:tcPr>
            <w:tcW w:w="0" w:type="dxa"/>
            <w:vAlign w:val="bottom"/>
          </w:tcPr>
          <w:p>
            <w:pPr>
              <w:spacing w:after="0"/>
              <w:rPr>
                <w:sz w:val="1"/>
                <w:szCs w:val="1"/>
                <w:color w:val="auto"/>
              </w:rPr>
            </w:pPr>
          </w:p>
        </w:tc>
      </w:tr>
      <w:tr>
        <w:trPr>
          <w:trHeight w:val="224"/>
        </w:trPr>
        <w:tc>
          <w:tcPr>
            <w:tcW w:w="7440" w:type="dxa"/>
            <w:vAlign w:val="bottom"/>
          </w:tcPr>
          <w:p>
            <w:pPr>
              <w:ind w:left="240"/>
              <w:spacing w:after="0"/>
              <w:rPr>
                <w:sz w:val="20"/>
                <w:szCs w:val="20"/>
                <w:color w:val="auto"/>
              </w:rPr>
            </w:pPr>
            <w:r>
              <w:rPr>
                <w:rFonts w:ascii="Arial" w:cs="Arial" w:eastAsia="Arial" w:hAnsi="Arial"/>
                <w:sz w:val="17"/>
                <w:szCs w:val="17"/>
                <w:color w:val="auto"/>
              </w:rPr>
              <w:t>Selling, general and administrative</w:t>
            </w:r>
          </w:p>
        </w:tc>
        <w:tc>
          <w:tcPr>
            <w:tcW w:w="3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7"/>
                <w:szCs w:val="17"/>
                <w:color w:val="auto"/>
              </w:rPr>
              <w:t>27,320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34,881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(7,561)</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Restructuring charges</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4,539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2,312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2,227</w:t>
            </w:r>
          </w:p>
        </w:tc>
        <w:tc>
          <w:tcPr>
            <w:tcW w:w="0" w:type="dxa"/>
            <w:vAlign w:val="bottom"/>
          </w:tcPr>
          <w:p>
            <w:pPr>
              <w:spacing w:after="0"/>
              <w:rPr>
                <w:sz w:val="1"/>
                <w:szCs w:val="1"/>
                <w:color w:val="auto"/>
              </w:rPr>
            </w:pPr>
          </w:p>
        </w:tc>
      </w:tr>
      <w:tr>
        <w:trPr>
          <w:trHeight w:val="224"/>
        </w:trPr>
        <w:tc>
          <w:tcPr>
            <w:tcW w:w="7440" w:type="dxa"/>
            <w:vAlign w:val="bottom"/>
          </w:tcPr>
          <w:p>
            <w:pPr>
              <w:ind w:left="24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7"/>
                <w:szCs w:val="17"/>
                <w:color w:val="auto"/>
              </w:rPr>
              <w:t>23,658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23,459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5"/>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117,915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127,154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(9,239)</w:t>
            </w:r>
          </w:p>
        </w:tc>
        <w:tc>
          <w:tcPr>
            <w:tcW w:w="0" w:type="dxa"/>
            <w:vAlign w:val="bottom"/>
          </w:tcPr>
          <w:p>
            <w:pPr>
              <w:spacing w:after="0"/>
              <w:rPr>
                <w:sz w:val="1"/>
                <w:szCs w:val="1"/>
                <w:color w:val="auto"/>
              </w:rPr>
            </w:pPr>
          </w:p>
        </w:tc>
      </w:tr>
      <w:tr>
        <w:trPr>
          <w:trHeight w:val="217"/>
        </w:trPr>
        <w:tc>
          <w:tcPr>
            <w:tcW w:w="7440" w:type="dxa"/>
            <w:vAlign w:val="bottom"/>
          </w:tcPr>
          <w:p>
            <w:pPr>
              <w:ind w:left="20"/>
              <w:spacing w:after="0"/>
              <w:rPr>
                <w:sz w:val="20"/>
                <w:szCs w:val="20"/>
                <w:color w:val="auto"/>
              </w:rPr>
            </w:pPr>
            <w:r>
              <w:rPr>
                <w:rFonts w:ascii="Arial" w:cs="Arial" w:eastAsia="Arial" w:hAnsi="Arial"/>
                <w:sz w:val="17"/>
                <w:szCs w:val="17"/>
                <w:color w:val="auto"/>
              </w:rPr>
              <w:t>Loss from continuing operations</w:t>
            </w:r>
          </w:p>
        </w:tc>
        <w:tc>
          <w:tcPr>
            <w:tcW w:w="30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(34,629)</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(36,139)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1,510</w:t>
            </w:r>
          </w:p>
        </w:tc>
        <w:tc>
          <w:tcPr>
            <w:tcW w:w="0" w:type="dxa"/>
            <w:vAlign w:val="bottom"/>
          </w:tcPr>
          <w:p>
            <w:pPr>
              <w:spacing w:after="0"/>
              <w:rPr>
                <w:sz w:val="1"/>
                <w:szCs w:val="1"/>
                <w:color w:val="auto"/>
              </w:rPr>
            </w:pPr>
          </w:p>
        </w:tc>
      </w:tr>
      <w:tr>
        <w:trPr>
          <w:trHeight w:val="25"/>
        </w:trPr>
        <w:tc>
          <w:tcPr>
            <w:tcW w:w="7440" w:type="dxa"/>
            <w:vAlign w:val="bottom"/>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00" w:hanging="300"/>
        <w:spacing w:after="0"/>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Cost of revenues excludes depreciation and amortization which are shown separately.</w:t>
      </w:r>
    </w:p>
    <w:p>
      <w:pPr>
        <w:spacing w:after="0" w:line="161"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5"/>
          <w:szCs w:val="15"/>
          <w:b w:val="1"/>
          <w:bCs w:val="1"/>
          <w:color w:val="auto"/>
        </w:rPr>
        <w:t xml:space="preserve">Net revenues </w:t>
      </w:r>
      <w:r>
        <w:rPr>
          <w:rFonts w:ascii="Arial" w:cs="Arial" w:eastAsia="Arial" w:hAnsi="Arial"/>
          <w:sz w:val="15"/>
          <w:szCs w:val="15"/>
          <w:color w:val="auto"/>
        </w:rPr>
        <w:t>decreased $7.7 million to $83.3 million for the three months ended September 30, 2018, compared to the same period in 2017. This was due to:</w:t>
      </w:r>
    </w:p>
    <w:p>
      <w:pPr>
        <w:spacing w:after="0" w:line="43" w:lineRule="exact"/>
        <w:rPr>
          <w:rFonts w:ascii="Arial" w:cs="Arial" w:eastAsia="Arial" w:hAnsi="Arial"/>
          <w:sz w:val="17"/>
          <w:szCs w:val="17"/>
          <w:color w:val="auto"/>
        </w:rPr>
      </w:pPr>
    </w:p>
    <w:p>
      <w:pPr>
        <w:ind w:left="600" w:hanging="301"/>
        <w:spacing w:after="0"/>
        <w:tabs>
          <w:tab w:leader="none" w:pos="6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 xml:space="preserve">a $14.6 million decrease in </w:t>
      </w:r>
      <w:r>
        <w:rPr>
          <w:rFonts w:ascii="Arial" w:cs="Arial" w:eastAsia="Arial" w:hAnsi="Arial"/>
          <w:sz w:val="17"/>
          <w:szCs w:val="17"/>
          <w:b w:val="1"/>
          <w:bCs w:val="1"/>
          <w:color w:val="auto"/>
        </w:rPr>
        <w:t>Cloud</w:t>
      </w:r>
      <w:r>
        <w:rPr>
          <w:rFonts w:ascii="Arial" w:cs="Arial" w:eastAsia="Arial" w:hAnsi="Arial"/>
          <w:sz w:val="17"/>
          <w:szCs w:val="17"/>
          <w:color w:val="auto"/>
        </w:rPr>
        <w:t xml:space="preserve"> revenues primarily resulting from:</w:t>
      </w:r>
    </w:p>
    <w:p>
      <w:pPr>
        <w:spacing w:after="0" w:line="3" w:lineRule="exact"/>
        <w:rPr>
          <w:rFonts w:ascii="Arial" w:cs="Arial" w:eastAsia="Arial" w:hAnsi="Arial"/>
          <w:sz w:val="17"/>
          <w:szCs w:val="17"/>
          <w:color w:val="auto"/>
        </w:rPr>
      </w:pPr>
    </w:p>
    <w:p>
      <w:pPr>
        <w:ind w:left="1200" w:hanging="303"/>
        <w:spacing w:after="0"/>
        <w:tabs>
          <w:tab w:leader="none" w:pos="1200" w:val="left"/>
        </w:tabs>
        <w:numPr>
          <w:ilvl w:val="2"/>
          <w:numId w:val="19"/>
        </w:numPr>
        <w:rPr>
          <w:rFonts w:ascii="Arial" w:cs="Arial" w:eastAsia="Arial" w:hAnsi="Arial"/>
          <w:sz w:val="16"/>
          <w:szCs w:val="16"/>
          <w:color w:val="auto"/>
        </w:rPr>
      </w:pPr>
      <w:r>
        <w:rPr>
          <w:rFonts w:ascii="Arial" w:cs="Arial" w:eastAsia="Arial" w:hAnsi="Arial"/>
          <w:sz w:val="16"/>
          <w:szCs w:val="16"/>
          <w:color w:val="auto"/>
        </w:rPr>
        <w:t>a change in the business model from a freemium pricing model to an active premium pricing model, resulting in a $11.4 million decrease and,</w:t>
      </w:r>
    </w:p>
    <w:p>
      <w:pPr>
        <w:spacing w:after="0" w:line="15" w:lineRule="exact"/>
        <w:rPr>
          <w:rFonts w:ascii="Arial" w:cs="Arial" w:eastAsia="Arial" w:hAnsi="Arial"/>
          <w:sz w:val="16"/>
          <w:szCs w:val="16"/>
          <w:color w:val="auto"/>
        </w:rPr>
      </w:pPr>
    </w:p>
    <w:p>
      <w:pPr>
        <w:ind w:left="1200" w:hanging="303"/>
        <w:spacing w:after="0"/>
        <w:tabs>
          <w:tab w:leader="none" w:pos="1200" w:val="left"/>
        </w:tabs>
        <w:numPr>
          <w:ilvl w:val="2"/>
          <w:numId w:val="19"/>
        </w:numPr>
        <w:rPr>
          <w:rFonts w:ascii="Arial" w:cs="Arial" w:eastAsia="Arial" w:hAnsi="Arial"/>
          <w:sz w:val="17"/>
          <w:szCs w:val="17"/>
          <w:color w:val="auto"/>
        </w:rPr>
      </w:pPr>
      <w:r>
        <w:rPr>
          <w:rFonts w:ascii="Arial" w:cs="Arial" w:eastAsia="Arial" w:hAnsi="Arial"/>
          <w:sz w:val="17"/>
          <w:szCs w:val="17"/>
          <w:color w:val="auto"/>
        </w:rPr>
        <w:t>a $3.2 million reduction from a decline in business volume related to decisions to sunset certain non-strategic cloud customers.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 xml:space="preserve">a $5.4 million decrease in </w:t>
      </w:r>
      <w:r>
        <w:rPr>
          <w:rFonts w:ascii="Arial" w:cs="Arial" w:eastAsia="Arial" w:hAnsi="Arial"/>
          <w:sz w:val="17"/>
          <w:szCs w:val="17"/>
          <w:b w:val="1"/>
          <w:bCs w:val="1"/>
          <w:color w:val="auto"/>
        </w:rPr>
        <w:t>Digital</w:t>
      </w:r>
      <w:r>
        <w:rPr>
          <w:rFonts w:ascii="Arial" w:cs="Arial" w:eastAsia="Arial" w:hAnsi="Arial"/>
          <w:sz w:val="17"/>
          <w:szCs w:val="17"/>
          <w:color w:val="auto"/>
        </w:rPr>
        <w:t xml:space="preserve"> Transformation revenues due to:</w:t>
      </w:r>
    </w:p>
    <w:p>
      <w:pPr>
        <w:spacing w:after="0" w:line="3" w:lineRule="exact"/>
        <w:rPr>
          <w:rFonts w:ascii="Arial" w:cs="Arial" w:eastAsia="Arial" w:hAnsi="Arial"/>
          <w:sz w:val="17"/>
          <w:szCs w:val="17"/>
          <w:color w:val="auto"/>
        </w:rPr>
      </w:pPr>
    </w:p>
    <w:p>
      <w:pPr>
        <w:ind w:left="1200" w:hanging="303"/>
        <w:spacing w:after="0"/>
        <w:tabs>
          <w:tab w:leader="none" w:pos="1200" w:val="left"/>
        </w:tabs>
        <w:numPr>
          <w:ilvl w:val="2"/>
          <w:numId w:val="19"/>
        </w:numPr>
        <w:rPr>
          <w:rFonts w:ascii="Arial" w:cs="Arial" w:eastAsia="Arial" w:hAnsi="Arial"/>
          <w:sz w:val="17"/>
          <w:szCs w:val="17"/>
          <w:color w:val="auto"/>
        </w:rPr>
      </w:pPr>
      <w:r>
        <w:rPr>
          <w:rFonts w:ascii="Arial" w:cs="Arial" w:eastAsia="Arial" w:hAnsi="Arial"/>
          <w:sz w:val="17"/>
          <w:szCs w:val="17"/>
          <w:color w:val="auto"/>
        </w:rPr>
        <w:t>a reduction in professional services revenue of $3.3 million;</w:t>
      </w:r>
    </w:p>
    <w:p>
      <w:pPr>
        <w:spacing w:after="0" w:line="3" w:lineRule="exact"/>
        <w:rPr>
          <w:rFonts w:ascii="Arial" w:cs="Arial" w:eastAsia="Arial" w:hAnsi="Arial"/>
          <w:sz w:val="17"/>
          <w:szCs w:val="17"/>
          <w:color w:val="auto"/>
        </w:rPr>
      </w:pPr>
    </w:p>
    <w:p>
      <w:pPr>
        <w:ind w:left="1200" w:hanging="303"/>
        <w:spacing w:after="0"/>
        <w:tabs>
          <w:tab w:leader="none" w:pos="1200" w:val="left"/>
        </w:tabs>
        <w:numPr>
          <w:ilvl w:val="2"/>
          <w:numId w:val="19"/>
        </w:numPr>
        <w:rPr>
          <w:rFonts w:ascii="Arial" w:cs="Arial" w:eastAsia="Arial" w:hAnsi="Arial"/>
          <w:sz w:val="17"/>
          <w:szCs w:val="17"/>
          <w:color w:val="auto"/>
        </w:rPr>
      </w:pPr>
      <w:r>
        <w:rPr>
          <w:rFonts w:ascii="Arial" w:cs="Arial" w:eastAsia="Arial" w:hAnsi="Arial"/>
          <w:sz w:val="17"/>
          <w:szCs w:val="17"/>
          <w:color w:val="auto"/>
        </w:rPr>
        <w:t>a decrease in subscription revenue of $1.9 million;</w:t>
      </w:r>
    </w:p>
    <w:p>
      <w:pPr>
        <w:spacing w:after="0" w:line="3" w:lineRule="exact"/>
        <w:rPr>
          <w:rFonts w:ascii="Arial" w:cs="Arial" w:eastAsia="Arial" w:hAnsi="Arial"/>
          <w:sz w:val="17"/>
          <w:szCs w:val="17"/>
          <w:color w:val="auto"/>
        </w:rPr>
      </w:pPr>
    </w:p>
    <w:p>
      <w:pPr>
        <w:ind w:left="1200" w:hanging="303"/>
        <w:spacing w:after="0"/>
        <w:tabs>
          <w:tab w:leader="none" w:pos="1200" w:val="left"/>
        </w:tabs>
        <w:numPr>
          <w:ilvl w:val="2"/>
          <w:numId w:val="19"/>
        </w:numPr>
        <w:rPr>
          <w:rFonts w:ascii="Arial" w:cs="Arial" w:eastAsia="Arial" w:hAnsi="Arial"/>
          <w:sz w:val="17"/>
          <w:szCs w:val="17"/>
          <w:color w:val="auto"/>
        </w:rPr>
      </w:pPr>
      <w:r>
        <w:rPr>
          <w:rFonts w:ascii="Arial" w:cs="Arial" w:eastAsia="Arial" w:hAnsi="Arial"/>
          <w:sz w:val="17"/>
          <w:szCs w:val="17"/>
          <w:color w:val="auto"/>
        </w:rPr>
        <w:t>a reduction in transaction revenue of $1.3 million;</w:t>
      </w:r>
    </w:p>
    <w:p>
      <w:pPr>
        <w:spacing w:after="0" w:line="3" w:lineRule="exact"/>
        <w:rPr>
          <w:rFonts w:ascii="Arial" w:cs="Arial" w:eastAsia="Arial" w:hAnsi="Arial"/>
          <w:sz w:val="17"/>
          <w:szCs w:val="17"/>
          <w:color w:val="auto"/>
        </w:rPr>
      </w:pPr>
    </w:p>
    <w:p>
      <w:pPr>
        <w:ind w:left="1200" w:hanging="303"/>
        <w:spacing w:after="0"/>
        <w:tabs>
          <w:tab w:leader="none" w:pos="1200" w:val="left"/>
        </w:tabs>
        <w:numPr>
          <w:ilvl w:val="2"/>
          <w:numId w:val="19"/>
        </w:numPr>
        <w:rPr>
          <w:rFonts w:ascii="Arial" w:cs="Arial" w:eastAsia="Arial" w:hAnsi="Arial"/>
          <w:sz w:val="17"/>
          <w:szCs w:val="17"/>
          <w:color w:val="auto"/>
        </w:rPr>
      </w:pPr>
      <w:r>
        <w:rPr>
          <w:rFonts w:ascii="Arial" w:cs="Arial" w:eastAsia="Arial" w:hAnsi="Arial"/>
          <w:sz w:val="17"/>
          <w:szCs w:val="17"/>
          <w:color w:val="auto"/>
        </w:rPr>
        <w:t>partially offset by an increase in license revenue of $1.1 million.</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 xml:space="preserve">an increase in </w:t>
      </w:r>
      <w:r>
        <w:rPr>
          <w:rFonts w:ascii="Arial" w:cs="Arial" w:eastAsia="Arial" w:hAnsi="Arial"/>
          <w:sz w:val="17"/>
          <w:szCs w:val="17"/>
          <w:b w:val="1"/>
          <w:bCs w:val="1"/>
          <w:color w:val="auto"/>
        </w:rPr>
        <w:t>Messaging</w:t>
      </w:r>
      <w:r>
        <w:rPr>
          <w:rFonts w:ascii="Arial" w:cs="Arial" w:eastAsia="Arial" w:hAnsi="Arial"/>
          <w:sz w:val="17"/>
          <w:szCs w:val="17"/>
          <w:color w:val="auto"/>
        </w:rPr>
        <w:t xml:space="preserve"> revenue of $0.7 million primarily due to the current quarter impact of new sales in the Japanese market; and</w:t>
      </w:r>
    </w:p>
    <w:p>
      <w:pPr>
        <w:spacing w:after="0" w:line="3" w:lineRule="exact"/>
        <w:rPr>
          <w:rFonts w:ascii="Arial" w:cs="Arial" w:eastAsia="Arial" w:hAnsi="Arial"/>
          <w:sz w:val="17"/>
          <w:szCs w:val="17"/>
          <w:color w:val="auto"/>
        </w:rPr>
      </w:pPr>
    </w:p>
    <w:p>
      <w:pPr>
        <w:ind w:left="600" w:hanging="301"/>
        <w:spacing w:after="0" w:line="249" w:lineRule="auto"/>
        <w:tabs>
          <w:tab w:leader="none" w:pos="6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 increase of $11.6 million as a result of the Company’s implementation of Topic 606. This resulted in an increase in Cloud revenues of $6.3 million; Digital Transformation revenue of $4.0 million and Messaging revenue of $1.3 million.</w:t>
      </w:r>
    </w:p>
    <w:p>
      <w:pPr>
        <w:spacing w:after="0" w:line="176"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b w:val="1"/>
          <w:bCs w:val="1"/>
          <w:color w:val="auto"/>
        </w:rPr>
        <w:t xml:space="preserve">Cost of revenues </w:t>
      </w:r>
      <w:r>
        <w:rPr>
          <w:rFonts w:ascii="Arial" w:cs="Arial" w:eastAsia="Arial" w:hAnsi="Arial"/>
          <w:sz w:val="17"/>
          <w:szCs w:val="17"/>
          <w:color w:val="auto"/>
        </w:rPr>
        <w:t>decreased $1.9 million to $43.7 million for the three months ended September 30, 2018, compared to the same period in 2017, primarily due to cost</w:t>
      </w:r>
      <w:r>
        <w:rPr>
          <w:rFonts w:ascii="Arial" w:cs="Arial" w:eastAsia="Arial" w:hAnsi="Arial"/>
          <w:sz w:val="17"/>
          <w:szCs w:val="17"/>
          <w:b w:val="1"/>
          <w:bCs w:val="1"/>
          <w:color w:val="auto"/>
        </w:rPr>
        <w:t xml:space="preserve"> </w:t>
      </w:r>
      <w:r>
        <w:rPr>
          <w:rFonts w:ascii="Arial" w:cs="Arial" w:eastAsia="Arial" w:hAnsi="Arial"/>
          <w:sz w:val="17"/>
          <w:szCs w:val="17"/>
          <w:color w:val="auto"/>
        </w:rPr>
        <w:t>savings initiatives implemented in 2017 which were realized in 2018. These initiatives resulted in a $1.4 million decrease in the use of outside consultants and a $2.9 million reduction in telecommunication and facility costs driven primarily by lower hosting fees, partially offset by an increase in stock-based compensation for new employees in 2018 and increased operating costs related to honeybee acquisition. The $1.4 million decrease in outside consultants was negatively impacted by non-recurring charges of $4.9 million the current quarter.</w:t>
      </w:r>
    </w:p>
    <w:p>
      <w:pPr>
        <w:spacing w:after="0" w:line="174" w:lineRule="exact"/>
        <w:rPr>
          <w:sz w:val="20"/>
          <w:szCs w:val="20"/>
          <w:color w:val="auto"/>
        </w:rPr>
      </w:pPr>
    </w:p>
    <w:p>
      <w:pPr>
        <w:jc w:val="both"/>
        <w:ind w:firstLine="299"/>
        <w:spacing w:after="0" w:line="338" w:lineRule="auto"/>
        <w:rPr>
          <w:sz w:val="20"/>
          <w:szCs w:val="20"/>
          <w:color w:val="auto"/>
        </w:rPr>
      </w:pPr>
      <w:r>
        <w:rPr>
          <w:rFonts w:ascii="Arial" w:cs="Arial" w:eastAsia="Arial" w:hAnsi="Arial"/>
          <w:sz w:val="15"/>
          <w:szCs w:val="15"/>
          <w:b w:val="1"/>
          <w:bCs w:val="1"/>
          <w:color w:val="auto"/>
        </w:rPr>
        <w:t xml:space="preserve">Research and development </w:t>
      </w:r>
      <w:r>
        <w:rPr>
          <w:rFonts w:ascii="Arial" w:cs="Arial" w:eastAsia="Arial" w:hAnsi="Arial"/>
          <w:sz w:val="15"/>
          <w:szCs w:val="15"/>
          <w:color w:val="auto"/>
        </w:rPr>
        <w:t>expense decreased $2.2 million to $18.7 million for the three months ended September 30, 2018, compared to the same period in 2017,</w:t>
      </w:r>
      <w:r>
        <w:rPr>
          <w:rFonts w:ascii="Arial" w:cs="Arial" w:eastAsia="Arial" w:hAnsi="Arial"/>
          <w:sz w:val="15"/>
          <w:szCs w:val="15"/>
          <w:b w:val="1"/>
          <w:bCs w:val="1"/>
          <w:color w:val="auto"/>
        </w:rPr>
        <w:t xml:space="preserve"> </w:t>
      </w:r>
      <w:r>
        <w:rPr>
          <w:rFonts w:ascii="Arial" w:cs="Arial" w:eastAsia="Arial" w:hAnsi="Arial"/>
          <w:sz w:val="15"/>
          <w:szCs w:val="15"/>
          <w:color w:val="auto"/>
        </w:rPr>
        <w:t>primarily due to decreased personnel related costs resulting from headcount reductions and cost savings initiatives implemented in 2017 which were realized in 2018.</w:t>
      </w:r>
    </w:p>
    <w:p>
      <w:pPr>
        <w:spacing w:after="0" w:line="112" w:lineRule="exact"/>
        <w:rPr>
          <w:sz w:val="20"/>
          <w:szCs w:val="20"/>
          <w:color w:val="auto"/>
        </w:rPr>
      </w:pPr>
    </w:p>
    <w:p>
      <w:pPr>
        <w:jc w:val="both"/>
        <w:ind w:firstLine="299"/>
        <w:spacing w:after="0" w:line="270" w:lineRule="auto"/>
        <w:rPr>
          <w:sz w:val="20"/>
          <w:szCs w:val="20"/>
          <w:color w:val="auto"/>
        </w:rPr>
      </w:pPr>
      <w:r>
        <w:rPr>
          <w:rFonts w:ascii="Arial" w:cs="Arial" w:eastAsia="Arial" w:hAnsi="Arial"/>
          <w:sz w:val="17"/>
          <w:szCs w:val="17"/>
          <w:b w:val="1"/>
          <w:bCs w:val="1"/>
          <w:color w:val="auto"/>
        </w:rPr>
        <w:t xml:space="preserve">Selling, general and administrative </w:t>
      </w:r>
      <w:r>
        <w:rPr>
          <w:rFonts w:ascii="Arial" w:cs="Arial" w:eastAsia="Arial" w:hAnsi="Arial"/>
          <w:sz w:val="17"/>
          <w:szCs w:val="17"/>
          <w:color w:val="auto"/>
        </w:rPr>
        <w:t>expense decreased $7.6 million to $27.3 million for the three months ended September 30, 2018, compared to the same period in</w:t>
      </w:r>
      <w:r>
        <w:rPr>
          <w:rFonts w:ascii="Arial" w:cs="Arial" w:eastAsia="Arial" w:hAnsi="Arial"/>
          <w:sz w:val="17"/>
          <w:szCs w:val="17"/>
          <w:b w:val="1"/>
          <w:bCs w:val="1"/>
          <w:color w:val="auto"/>
        </w:rPr>
        <w:t xml:space="preserve"> </w:t>
      </w:r>
      <w:r>
        <w:rPr>
          <w:rFonts w:ascii="Arial" w:cs="Arial" w:eastAsia="Arial" w:hAnsi="Arial"/>
          <w:sz w:val="17"/>
          <w:szCs w:val="17"/>
          <w:color w:val="auto"/>
        </w:rPr>
        <w:t>2017. The decrease was due primarily to a reduction of $3.5 million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127"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personnel costs related to the cost savings initiatives implemented throughout 2017 and 2018; $3.3 million in professional services fees and $0.6 million in decreased outside consulting fees, primarily due to our financial restatement process.</w:t>
      </w:r>
    </w:p>
    <w:p>
      <w:pPr>
        <w:spacing w:after="0" w:line="163" w:lineRule="exact"/>
        <w:rPr>
          <w:sz w:val="20"/>
          <w:szCs w:val="20"/>
          <w:color w:val="auto"/>
        </w:rPr>
      </w:pPr>
    </w:p>
    <w:p>
      <w:pPr>
        <w:jc w:val="both"/>
        <w:ind w:firstLine="340"/>
        <w:spacing w:after="0" w:line="270" w:lineRule="auto"/>
        <w:rPr>
          <w:sz w:val="20"/>
          <w:szCs w:val="20"/>
          <w:color w:val="auto"/>
        </w:rPr>
      </w:pPr>
      <w:r>
        <w:rPr>
          <w:rFonts w:ascii="Arial" w:cs="Arial" w:eastAsia="Arial" w:hAnsi="Arial"/>
          <w:sz w:val="16"/>
          <w:szCs w:val="16"/>
          <w:b w:val="1"/>
          <w:bCs w:val="1"/>
          <w:color w:val="auto"/>
        </w:rPr>
        <w:t xml:space="preserve">Restructuring charges </w:t>
      </w:r>
      <w:r>
        <w:rPr>
          <w:rFonts w:ascii="Arial" w:cs="Arial" w:eastAsia="Arial" w:hAnsi="Arial"/>
          <w:sz w:val="16"/>
          <w:szCs w:val="16"/>
          <w:color w:val="auto"/>
        </w:rPr>
        <w:t>increased $2.2 million to $4.5 million for the three months ended September 30, 2018, compared to the same period in 2017. The expense in</w:t>
      </w:r>
      <w:r>
        <w:rPr>
          <w:rFonts w:ascii="Arial" w:cs="Arial" w:eastAsia="Arial" w:hAnsi="Arial"/>
          <w:sz w:val="16"/>
          <w:szCs w:val="16"/>
          <w:b w:val="1"/>
          <w:bCs w:val="1"/>
          <w:color w:val="auto"/>
        </w:rPr>
        <w:t xml:space="preserve"> </w:t>
      </w:r>
      <w:r>
        <w:rPr>
          <w:rFonts w:ascii="Arial" w:cs="Arial" w:eastAsia="Arial" w:hAnsi="Arial"/>
          <w:sz w:val="16"/>
          <w:szCs w:val="16"/>
          <w:color w:val="auto"/>
        </w:rPr>
        <w:t>2018 related to employment termination of contracted employees with termination benefits and other terminations following the acquisition of honeybee. In addition, the Company incurred charges in connection with closing certain office locations as part of its cost cutting initiatives. In the prior year period, we commenced separate workforce reduction plans in March 2017 and June 2017 designed to reduce costs and align our resources with our key strategic priorities. Cash outlays for restructuring occur primarily in the quarter in which the plan is initiated or the subsequent quarter.</w:t>
      </w:r>
    </w:p>
    <w:p>
      <w:pPr>
        <w:spacing w:after="0" w:line="162" w:lineRule="exact"/>
        <w:rPr>
          <w:sz w:val="20"/>
          <w:szCs w:val="20"/>
          <w:color w:val="auto"/>
        </w:rPr>
      </w:pPr>
    </w:p>
    <w:p>
      <w:pPr>
        <w:jc w:val="both"/>
        <w:ind w:firstLine="299"/>
        <w:spacing w:after="0" w:line="270" w:lineRule="auto"/>
        <w:rPr>
          <w:sz w:val="20"/>
          <w:szCs w:val="20"/>
          <w:color w:val="auto"/>
        </w:rPr>
      </w:pPr>
      <w:r>
        <w:rPr>
          <w:rFonts w:ascii="Arial" w:cs="Arial" w:eastAsia="Arial" w:hAnsi="Arial"/>
          <w:sz w:val="17"/>
          <w:szCs w:val="17"/>
          <w:b w:val="1"/>
          <w:bCs w:val="1"/>
          <w:color w:val="auto"/>
        </w:rPr>
        <w:t xml:space="preserve">Depreciation and amortization </w:t>
      </w:r>
      <w:r>
        <w:rPr>
          <w:rFonts w:ascii="Arial" w:cs="Arial" w:eastAsia="Arial" w:hAnsi="Arial"/>
          <w:sz w:val="17"/>
          <w:szCs w:val="17"/>
          <w:color w:val="auto"/>
        </w:rPr>
        <w:t>expense increased $0.2 million to $23.7 million for the three months ended September 30, 2018, compared to the same period in</w:t>
      </w:r>
      <w:r>
        <w:rPr>
          <w:rFonts w:ascii="Arial" w:cs="Arial" w:eastAsia="Arial" w:hAnsi="Arial"/>
          <w:sz w:val="17"/>
          <w:szCs w:val="17"/>
          <w:b w:val="1"/>
          <w:bCs w:val="1"/>
          <w:color w:val="auto"/>
        </w:rPr>
        <w:t xml:space="preserve"> </w:t>
      </w:r>
      <w:r>
        <w:rPr>
          <w:rFonts w:ascii="Arial" w:cs="Arial" w:eastAsia="Arial" w:hAnsi="Arial"/>
          <w:sz w:val="17"/>
          <w:szCs w:val="17"/>
          <w:color w:val="auto"/>
        </w:rPr>
        <w:t>2017. This was primarily due increased amortization of capitalized software, offset by the expiration of amortizable acquired assets.</w:t>
      </w:r>
    </w:p>
    <w:p>
      <w:pPr>
        <w:spacing w:after="0" w:line="158" w:lineRule="exact"/>
        <w:rPr>
          <w:sz w:val="20"/>
          <w:szCs w:val="20"/>
          <w:color w:val="auto"/>
        </w:rPr>
      </w:pPr>
    </w:p>
    <w:p>
      <w:pPr>
        <w:jc w:val="both"/>
        <w:ind w:firstLine="299"/>
        <w:spacing w:after="0" w:line="270" w:lineRule="auto"/>
        <w:rPr>
          <w:sz w:val="20"/>
          <w:szCs w:val="20"/>
          <w:color w:val="auto"/>
        </w:rPr>
      </w:pPr>
      <w:r>
        <w:rPr>
          <w:rFonts w:ascii="Arial" w:cs="Arial" w:eastAsia="Arial" w:hAnsi="Arial"/>
          <w:sz w:val="17"/>
          <w:szCs w:val="17"/>
          <w:b w:val="1"/>
          <w:bCs w:val="1"/>
          <w:color w:val="auto"/>
        </w:rPr>
        <w:t xml:space="preserve">Interest income </w:t>
      </w:r>
      <w:r>
        <w:rPr>
          <w:rFonts w:ascii="Arial" w:cs="Arial" w:eastAsia="Arial" w:hAnsi="Arial"/>
          <w:sz w:val="17"/>
          <w:szCs w:val="17"/>
          <w:color w:val="auto"/>
        </w:rPr>
        <w:t>decreased $3.1 million to $0.2 million for the three months ended September 30, 2018, compared to the same period in 2017. Interest income</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primarily due to a lower interest earned on the PIK Note compared to the respective prior year period.</w:t>
      </w:r>
    </w:p>
    <w:p>
      <w:pPr>
        <w:spacing w:after="0" w:line="158" w:lineRule="exact"/>
        <w:rPr>
          <w:sz w:val="20"/>
          <w:szCs w:val="20"/>
          <w:color w:val="auto"/>
        </w:rPr>
      </w:pPr>
    </w:p>
    <w:p>
      <w:pPr>
        <w:jc w:val="both"/>
        <w:ind w:firstLine="299"/>
        <w:spacing w:after="0" w:line="257" w:lineRule="auto"/>
        <w:rPr>
          <w:sz w:val="20"/>
          <w:szCs w:val="20"/>
          <w:color w:val="auto"/>
        </w:rPr>
      </w:pPr>
      <w:r>
        <w:rPr>
          <w:rFonts w:ascii="Arial" w:cs="Arial" w:eastAsia="Arial" w:hAnsi="Arial"/>
          <w:sz w:val="17"/>
          <w:szCs w:val="17"/>
          <w:b w:val="1"/>
          <w:bCs w:val="1"/>
          <w:color w:val="auto"/>
        </w:rPr>
        <w:t xml:space="preserve">Interest expense </w:t>
      </w:r>
      <w:r>
        <w:rPr>
          <w:rFonts w:ascii="Arial" w:cs="Arial" w:eastAsia="Arial" w:hAnsi="Arial"/>
          <w:sz w:val="17"/>
          <w:szCs w:val="17"/>
          <w:color w:val="auto"/>
        </w:rPr>
        <w:t>decreased $24.2 million to $1.4 million for the three months ended September 30, 2018, compared to the same period in 2017. This was primarily</w:t>
      </w:r>
      <w:r>
        <w:rPr>
          <w:rFonts w:ascii="Arial" w:cs="Arial" w:eastAsia="Arial" w:hAnsi="Arial"/>
          <w:sz w:val="17"/>
          <w:szCs w:val="17"/>
          <w:b w:val="1"/>
          <w:bCs w:val="1"/>
          <w:color w:val="auto"/>
        </w:rPr>
        <w:t xml:space="preserve"> </w:t>
      </w:r>
      <w:r>
        <w:rPr>
          <w:rFonts w:ascii="Arial" w:cs="Arial" w:eastAsia="Arial" w:hAnsi="Arial"/>
          <w:sz w:val="17"/>
          <w:szCs w:val="17"/>
          <w:color w:val="auto"/>
        </w:rPr>
        <w:t>due to decreased borrowings outstanding in 2018 resulting from the termination of our $900 million senior secured term loan (the “2017 Term Facility”) in the fourth quarter of 2017.</w:t>
      </w:r>
    </w:p>
    <w:p>
      <w:pPr>
        <w:spacing w:after="0" w:line="145" w:lineRule="exact"/>
        <w:rPr>
          <w:sz w:val="20"/>
          <w:szCs w:val="20"/>
          <w:color w:val="auto"/>
        </w:rPr>
      </w:pPr>
    </w:p>
    <w:p>
      <w:pPr>
        <w:jc w:val="both"/>
        <w:ind w:firstLine="299"/>
        <w:spacing w:after="0" w:line="338" w:lineRule="auto"/>
        <w:rPr>
          <w:sz w:val="20"/>
          <w:szCs w:val="20"/>
          <w:color w:val="auto"/>
        </w:rPr>
      </w:pPr>
      <w:r>
        <w:rPr>
          <w:rFonts w:ascii="Arial" w:cs="Arial" w:eastAsia="Arial" w:hAnsi="Arial"/>
          <w:sz w:val="15"/>
          <w:szCs w:val="15"/>
          <w:b w:val="1"/>
          <w:bCs w:val="1"/>
          <w:color w:val="auto"/>
        </w:rPr>
        <w:t xml:space="preserve">Other income (expense), net </w:t>
      </w:r>
      <w:r>
        <w:rPr>
          <w:rFonts w:ascii="Arial" w:cs="Arial" w:eastAsia="Arial" w:hAnsi="Arial"/>
          <w:sz w:val="15"/>
          <w:szCs w:val="15"/>
          <w:color w:val="auto"/>
        </w:rPr>
        <w:t>changed $13.2 million to an expense of $13.4 million for the three months ended September 30, 2018, compared to the same period in</w:t>
      </w:r>
      <w:r>
        <w:rPr>
          <w:rFonts w:ascii="Arial" w:cs="Arial" w:eastAsia="Arial" w:hAnsi="Arial"/>
          <w:sz w:val="15"/>
          <w:szCs w:val="15"/>
          <w:b w:val="1"/>
          <w:bCs w:val="1"/>
          <w:color w:val="auto"/>
        </w:rPr>
        <w:t xml:space="preserve"> </w:t>
      </w:r>
      <w:r>
        <w:rPr>
          <w:rFonts w:ascii="Arial" w:cs="Arial" w:eastAsia="Arial" w:hAnsi="Arial"/>
          <w:sz w:val="15"/>
          <w:szCs w:val="15"/>
          <w:color w:val="auto"/>
        </w:rPr>
        <w:t>2017. Other net expense increased primarily due to the $18.2 million write down of the PIK note, partially offset by income of $4.3 million in legal settlements.</w:t>
      </w:r>
    </w:p>
    <w:p>
      <w:pPr>
        <w:spacing w:after="0" w:line="112" w:lineRule="exact"/>
        <w:rPr>
          <w:sz w:val="20"/>
          <w:szCs w:val="20"/>
          <w:color w:val="auto"/>
        </w:rPr>
      </w:pPr>
    </w:p>
    <w:p>
      <w:pPr>
        <w:jc w:val="both"/>
        <w:ind w:firstLine="299"/>
        <w:spacing w:after="0" w:line="257" w:lineRule="auto"/>
        <w:rPr>
          <w:sz w:val="20"/>
          <w:szCs w:val="20"/>
          <w:color w:val="auto"/>
        </w:rPr>
      </w:pPr>
      <w:r>
        <w:rPr>
          <w:rFonts w:ascii="Arial" w:cs="Arial" w:eastAsia="Arial" w:hAnsi="Arial"/>
          <w:sz w:val="17"/>
          <w:szCs w:val="17"/>
          <w:b w:val="1"/>
          <w:bCs w:val="1"/>
          <w:color w:val="auto"/>
        </w:rPr>
        <w:t xml:space="preserve">Equity method investment income (loss) </w:t>
      </w:r>
      <w:r>
        <w:rPr>
          <w:rFonts w:ascii="Arial" w:cs="Arial" w:eastAsia="Arial" w:hAnsi="Arial"/>
          <w:sz w:val="17"/>
          <w:szCs w:val="17"/>
          <w:color w:val="auto"/>
        </w:rPr>
        <w:t>changed $0.4 million to income of $0.3 million for the three months ended September 30, 2018, compared to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in 2017. All equity method investment income (loss) are the result of our 30% equity interest in STIN and vary based on the financial results of the investment company during the respective reporting period.</w:t>
      </w:r>
    </w:p>
    <w:p>
      <w:pPr>
        <w:spacing w:after="0" w:line="145" w:lineRule="exact"/>
        <w:rPr>
          <w:sz w:val="20"/>
          <w:szCs w:val="20"/>
          <w:color w:val="auto"/>
        </w:rPr>
      </w:pPr>
    </w:p>
    <w:p>
      <w:pPr>
        <w:jc w:val="both"/>
        <w:ind w:firstLine="299"/>
        <w:spacing w:after="0" w:line="292" w:lineRule="auto"/>
        <w:rPr>
          <w:sz w:val="20"/>
          <w:szCs w:val="20"/>
          <w:color w:val="auto"/>
        </w:rPr>
      </w:pPr>
      <w:r>
        <w:rPr>
          <w:rFonts w:ascii="Arial" w:cs="Arial" w:eastAsia="Arial" w:hAnsi="Arial"/>
          <w:sz w:val="15"/>
          <w:szCs w:val="15"/>
          <w:b w:val="1"/>
          <w:bCs w:val="1"/>
          <w:color w:val="auto"/>
        </w:rPr>
        <w:t>Income tax</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We recognized approximately $2.3 million and $12.8 million in related income tax benefit during the three months ended September 30, 2018 and 2017,</w:t>
      </w:r>
      <w:r>
        <w:rPr>
          <w:rFonts w:ascii="Arial" w:cs="Arial" w:eastAsia="Arial" w:hAnsi="Arial"/>
          <w:sz w:val="15"/>
          <w:szCs w:val="15"/>
          <w:b w:val="1"/>
          <w:bCs w:val="1"/>
          <w:color w:val="auto"/>
        </w:rPr>
        <w:t xml:space="preserve"> </w:t>
      </w:r>
      <w:r>
        <w:rPr>
          <w:rFonts w:ascii="Arial" w:cs="Arial" w:eastAsia="Arial" w:hAnsi="Arial"/>
          <w:sz w:val="15"/>
          <w:szCs w:val="15"/>
          <w:color w:val="auto"/>
        </w:rPr>
        <w:t>respectively. Our effective tax rate was approximately 4.7% for the three months ended September 30, 2018, which was lower than the U.S. federal statutory rate primarily due to the full valuation allowance recorded in the fourth quarter of 2017 and the tax benefits recorded discretely in the third quarter of 2018 from the expiration of the statute of limitations for uncertain tax positions. Our effective tax rate was approximately 22.1% for the three months ended September 30, 2017, which was lower than our U.S. federal statutory rate due to the unfavorable impact of losses in foreign jurisdictions, which have lower tax rates than the U.S.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Nine months ended September 30, 2018 compared to the nine months ended September 30, 2017</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presents an overview of our results of operations for the nine months ended September 30, 2018 and 2017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6"/>
          </w:tcPr>
          <w:p>
            <w:pPr>
              <w:jc w:val="right"/>
              <w:spacing w:after="0"/>
              <w:rPr>
                <w:sz w:val="20"/>
                <w:szCs w:val="20"/>
                <w:color w:val="auto"/>
              </w:rPr>
            </w:pPr>
            <w:r>
              <w:rPr>
                <w:rFonts w:ascii="Arial" w:cs="Arial" w:eastAsia="Arial" w:hAnsi="Arial"/>
                <w:sz w:val="15"/>
                <w:szCs w:val="15"/>
                <w:b w:val="1"/>
                <w:bCs w:val="1"/>
                <w:color w:val="auto"/>
              </w:rPr>
              <w:t>Nine Months Ended 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19"/>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78"/>
              <w:spacing w:after="0"/>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ind w:right="258"/>
              <w:spacing w:after="0"/>
              <w:rPr>
                <w:sz w:val="20"/>
                <w:szCs w:val="20"/>
                <w:color w:val="auto"/>
              </w:rPr>
            </w:pPr>
            <w:r>
              <w:rPr>
                <w:rFonts w:ascii="Arial" w:cs="Arial" w:eastAsia="Arial" w:hAnsi="Arial"/>
                <w:sz w:val="15"/>
                <w:szCs w:val="15"/>
                <w:b w:val="1"/>
                <w:bCs w:val="1"/>
                <w:color w:val="auto"/>
                <w:w w:val="87"/>
              </w:rPr>
              <w:t>Change</w:t>
            </w:r>
          </w:p>
        </w:tc>
        <w:tc>
          <w:tcPr>
            <w:tcW w:w="0" w:type="dxa"/>
            <w:vAlign w:val="bottom"/>
          </w:tcPr>
          <w:p>
            <w:pPr>
              <w:spacing w:after="0"/>
              <w:rPr>
                <w:sz w:val="1"/>
                <w:szCs w:val="1"/>
                <w:color w:val="auto"/>
              </w:rPr>
            </w:pPr>
          </w:p>
        </w:tc>
      </w:tr>
      <w:tr>
        <w:trPr>
          <w:trHeight w:val="31"/>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243,737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296,102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(52,365)</w:t>
            </w:r>
          </w:p>
        </w:tc>
        <w:tc>
          <w:tcPr>
            <w:tcW w:w="0" w:type="dxa"/>
            <w:vAlign w:val="bottom"/>
          </w:tcPr>
          <w:p>
            <w:pPr>
              <w:spacing w:after="0"/>
              <w:rPr>
                <w:sz w:val="1"/>
                <w:szCs w:val="1"/>
                <w:color w:val="auto"/>
              </w:rPr>
            </w:pPr>
          </w:p>
        </w:tc>
      </w:tr>
      <w:tr>
        <w:trPr>
          <w:trHeight w:val="224"/>
        </w:trPr>
        <w:tc>
          <w:tcPr>
            <w:tcW w:w="7440" w:type="dxa"/>
            <w:vAlign w:val="bottom"/>
          </w:tcPr>
          <w:p>
            <w:pPr>
              <w:ind w:left="240"/>
              <w:spacing w:after="0"/>
              <w:rPr>
                <w:sz w:val="20"/>
                <w:szCs w:val="20"/>
                <w:color w:val="auto"/>
              </w:rPr>
            </w:pPr>
            <w:r>
              <w:rPr>
                <w:rFonts w:ascii="Arial" w:cs="Arial" w:eastAsia="Arial" w:hAnsi="Arial"/>
                <w:sz w:val="17"/>
                <w:szCs w:val="17"/>
                <w:color w:val="auto"/>
              </w:rPr>
              <w:t>Cost of revenues*</w:t>
            </w:r>
          </w:p>
        </w:tc>
        <w:tc>
          <w:tcPr>
            <w:tcW w:w="3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7"/>
                <w:szCs w:val="17"/>
                <w:color w:val="auto"/>
              </w:rPr>
              <w:t>127,788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139,386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(11,598)</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Research and development</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59,789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67,234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(7,445)</w:t>
            </w:r>
          </w:p>
        </w:tc>
        <w:tc>
          <w:tcPr>
            <w:tcW w:w="0" w:type="dxa"/>
            <w:vAlign w:val="bottom"/>
          </w:tcPr>
          <w:p>
            <w:pPr>
              <w:spacing w:after="0"/>
              <w:rPr>
                <w:sz w:val="1"/>
                <w:szCs w:val="1"/>
                <w:color w:val="auto"/>
              </w:rPr>
            </w:pPr>
          </w:p>
        </w:tc>
      </w:tr>
      <w:tr>
        <w:trPr>
          <w:trHeight w:val="224"/>
        </w:trPr>
        <w:tc>
          <w:tcPr>
            <w:tcW w:w="7440" w:type="dxa"/>
            <w:vAlign w:val="bottom"/>
          </w:tcPr>
          <w:p>
            <w:pPr>
              <w:ind w:left="240"/>
              <w:spacing w:after="0"/>
              <w:rPr>
                <w:sz w:val="20"/>
                <w:szCs w:val="20"/>
                <w:color w:val="auto"/>
              </w:rPr>
            </w:pPr>
            <w:r>
              <w:rPr>
                <w:rFonts w:ascii="Arial" w:cs="Arial" w:eastAsia="Arial" w:hAnsi="Arial"/>
                <w:sz w:val="17"/>
                <w:szCs w:val="17"/>
                <w:color w:val="auto"/>
              </w:rPr>
              <w:t>Selling, general and administrative</w:t>
            </w:r>
          </w:p>
        </w:tc>
        <w:tc>
          <w:tcPr>
            <w:tcW w:w="3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7"/>
                <w:szCs w:val="17"/>
                <w:color w:val="auto"/>
              </w:rPr>
              <w:t>99,368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103,049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(3,681)</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Restructuring charges</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8,425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11,715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(3,290)</w:t>
            </w:r>
          </w:p>
        </w:tc>
        <w:tc>
          <w:tcPr>
            <w:tcW w:w="0" w:type="dxa"/>
            <w:vAlign w:val="bottom"/>
          </w:tcPr>
          <w:p>
            <w:pPr>
              <w:spacing w:after="0"/>
              <w:rPr>
                <w:sz w:val="1"/>
                <w:szCs w:val="1"/>
                <w:color w:val="auto"/>
              </w:rPr>
            </w:pPr>
          </w:p>
        </w:tc>
      </w:tr>
      <w:tr>
        <w:trPr>
          <w:trHeight w:val="224"/>
        </w:trPr>
        <w:tc>
          <w:tcPr>
            <w:tcW w:w="7440" w:type="dxa"/>
            <w:vAlign w:val="bottom"/>
          </w:tcPr>
          <w:p>
            <w:pPr>
              <w:ind w:left="24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7"/>
                <w:szCs w:val="17"/>
                <w:color w:val="auto"/>
              </w:rPr>
              <w:t>70,330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71,098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(768)</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365,700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392,482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(26,782)</w:t>
            </w:r>
          </w:p>
        </w:tc>
        <w:tc>
          <w:tcPr>
            <w:tcW w:w="0" w:type="dxa"/>
            <w:vAlign w:val="bottom"/>
          </w:tcPr>
          <w:p>
            <w:pPr>
              <w:spacing w:after="0"/>
              <w:rPr>
                <w:sz w:val="1"/>
                <w:szCs w:val="1"/>
                <w:color w:val="auto"/>
              </w:rPr>
            </w:pPr>
          </w:p>
        </w:tc>
      </w:tr>
      <w:tr>
        <w:trPr>
          <w:trHeight w:val="234"/>
        </w:trPr>
        <w:tc>
          <w:tcPr>
            <w:tcW w:w="7440" w:type="dxa"/>
            <w:vAlign w:val="bottom"/>
          </w:tcPr>
          <w:p>
            <w:pPr>
              <w:ind w:left="20"/>
              <w:spacing w:after="0"/>
              <w:rPr>
                <w:sz w:val="20"/>
                <w:szCs w:val="20"/>
                <w:color w:val="auto"/>
              </w:rPr>
            </w:pPr>
            <w:r>
              <w:rPr>
                <w:rFonts w:ascii="Arial" w:cs="Arial" w:eastAsia="Arial" w:hAnsi="Arial"/>
                <w:sz w:val="17"/>
                <w:szCs w:val="17"/>
                <w:color w:val="auto"/>
              </w:rPr>
              <w:t>Loss from continuing operations</w:t>
            </w: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(121,963)</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(96,380)</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(25,583)</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640" w:right="5440" w:hanging="5640"/>
        <w:spacing w:after="0" w:line="660" w:lineRule="auto"/>
        <w:tabs>
          <w:tab w:leader="none" w:pos="308"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Cost of revenues excludes depreciation and amortization which are shown separately. 42</w:t>
      </w:r>
    </w:p>
    <w:p>
      <w:pPr>
        <w:sectPr>
          <w:pgSz w:w="11900" w:h="16838" w:orient="portrait"/>
          <w:cols w:equalWidth="0" w:num="1">
            <w:col w:w="11420"/>
          </w:cols>
          <w:pgMar w:left="240" w:top="127"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 xml:space="preserve">Net revenues </w:t>
      </w:r>
      <w:r>
        <w:rPr>
          <w:rFonts w:ascii="Arial" w:cs="Arial" w:eastAsia="Arial" w:hAnsi="Arial"/>
          <w:sz w:val="15"/>
          <w:szCs w:val="15"/>
          <w:color w:val="auto"/>
        </w:rPr>
        <w:t>decreased $52.4 million to $243.7 million for the nine months ended September 30, 2018, compared to the same period in 2017. This was due to:</w:t>
      </w:r>
    </w:p>
    <w:p>
      <w:pPr>
        <w:spacing w:after="0" w:line="226" w:lineRule="exact"/>
        <w:rPr>
          <w:sz w:val="20"/>
          <w:szCs w:val="20"/>
          <w:color w:val="auto"/>
        </w:rPr>
      </w:pPr>
    </w:p>
    <w:p>
      <w:pPr>
        <w:ind w:left="600" w:hanging="301"/>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a $78.1 million decrease in </w:t>
      </w:r>
      <w:r>
        <w:rPr>
          <w:rFonts w:ascii="Arial" w:cs="Arial" w:eastAsia="Arial" w:hAnsi="Arial"/>
          <w:sz w:val="17"/>
          <w:szCs w:val="17"/>
          <w:b w:val="1"/>
          <w:bCs w:val="1"/>
          <w:color w:val="auto"/>
        </w:rPr>
        <w:t>Cloud</w:t>
      </w:r>
      <w:r>
        <w:rPr>
          <w:rFonts w:ascii="Arial" w:cs="Arial" w:eastAsia="Arial" w:hAnsi="Arial"/>
          <w:sz w:val="17"/>
          <w:szCs w:val="17"/>
          <w:color w:val="auto"/>
        </w:rPr>
        <w:t xml:space="preserve"> revenues resulting due to:</w:t>
      </w:r>
    </w:p>
    <w:p>
      <w:pPr>
        <w:spacing w:after="0" w:line="20" w:lineRule="exact"/>
        <w:rPr>
          <w:rFonts w:ascii="Arial" w:cs="Arial" w:eastAsia="Arial" w:hAnsi="Arial"/>
          <w:sz w:val="17"/>
          <w:szCs w:val="17"/>
          <w:color w:val="auto"/>
        </w:rPr>
      </w:pPr>
    </w:p>
    <w:p>
      <w:pPr>
        <w:ind w:left="1200" w:hanging="303"/>
        <w:spacing w:after="0"/>
        <w:tabs>
          <w:tab w:leader="none" w:pos="12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 change in the business model from a freemium pricing model to an active premium pricing model, resulting in a $50.1 million decrease;</w:t>
      </w:r>
    </w:p>
    <w:p>
      <w:pPr>
        <w:spacing w:after="0" w:line="15" w:lineRule="exact"/>
        <w:rPr>
          <w:rFonts w:ascii="Arial" w:cs="Arial" w:eastAsia="Arial" w:hAnsi="Arial"/>
          <w:sz w:val="16"/>
          <w:szCs w:val="16"/>
          <w:color w:val="auto"/>
        </w:rPr>
      </w:pPr>
    </w:p>
    <w:p>
      <w:pPr>
        <w:ind w:left="1200" w:hanging="303"/>
        <w:spacing w:after="0"/>
        <w:tabs>
          <w:tab w:leader="none" w:pos="12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 $21.7 million reduction in subscription revenue due to a cumulative adjustment in the the prior year period related to persuasive evidence; and</w:t>
      </w:r>
    </w:p>
    <w:p>
      <w:pPr>
        <w:spacing w:after="0" w:line="15" w:lineRule="exact"/>
        <w:rPr>
          <w:rFonts w:ascii="Arial" w:cs="Arial" w:eastAsia="Arial" w:hAnsi="Arial"/>
          <w:sz w:val="16"/>
          <w:szCs w:val="16"/>
          <w:color w:val="auto"/>
        </w:rPr>
      </w:pPr>
    </w:p>
    <w:p>
      <w:pPr>
        <w:ind w:left="1200" w:hanging="303"/>
        <w:spacing w:after="0"/>
        <w:tabs>
          <w:tab w:leader="none" w:pos="12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 $7.8 million reduction from a decline in business volume related to decisions to sunset certain non-strategic cloud customers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a $21.9 million decrease in </w:t>
      </w:r>
      <w:r>
        <w:rPr>
          <w:rFonts w:ascii="Arial" w:cs="Arial" w:eastAsia="Arial" w:hAnsi="Arial"/>
          <w:sz w:val="17"/>
          <w:szCs w:val="17"/>
          <w:b w:val="1"/>
          <w:bCs w:val="1"/>
          <w:color w:val="auto"/>
        </w:rPr>
        <w:t>Digital Transformation</w:t>
      </w:r>
      <w:r>
        <w:rPr>
          <w:rFonts w:ascii="Arial" w:cs="Arial" w:eastAsia="Arial" w:hAnsi="Arial"/>
          <w:sz w:val="17"/>
          <w:szCs w:val="17"/>
          <w:color w:val="auto"/>
        </w:rPr>
        <w:t xml:space="preserve"> revenues due to:</w:t>
      </w:r>
    </w:p>
    <w:p>
      <w:pPr>
        <w:spacing w:after="0" w:line="3" w:lineRule="exact"/>
        <w:rPr>
          <w:rFonts w:ascii="Arial" w:cs="Arial" w:eastAsia="Arial" w:hAnsi="Arial"/>
          <w:sz w:val="17"/>
          <w:szCs w:val="17"/>
          <w:color w:val="auto"/>
        </w:rPr>
      </w:pPr>
    </w:p>
    <w:p>
      <w:pPr>
        <w:ind w:left="1200" w:hanging="303"/>
        <w:spacing w:after="0" w:line="244" w:lineRule="auto"/>
        <w:tabs>
          <w:tab w:leader="none" w:pos="12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 reduction in transaction revenue of $8.4 million resulting from a decline in business volume of $7.3 million and the divestiture of the SpeechCycle business of $1.0 million;</w:t>
      </w:r>
    </w:p>
    <w:p>
      <w:pPr>
        <w:spacing w:after="0" w:line="1" w:lineRule="exact"/>
        <w:rPr>
          <w:rFonts w:ascii="Arial" w:cs="Arial" w:eastAsia="Arial" w:hAnsi="Arial"/>
          <w:sz w:val="17"/>
          <w:szCs w:val="17"/>
          <w:color w:val="auto"/>
        </w:rPr>
      </w:pPr>
    </w:p>
    <w:p>
      <w:pPr>
        <w:ind w:left="1200" w:hanging="303"/>
        <w:spacing w:after="0"/>
        <w:tabs>
          <w:tab w:leader="none" w:pos="12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 reduction in subscription revenue of $6.2 million resulting from a decline in business volume;</w:t>
      </w:r>
    </w:p>
    <w:p>
      <w:pPr>
        <w:spacing w:after="0" w:line="3" w:lineRule="exact"/>
        <w:rPr>
          <w:rFonts w:ascii="Arial" w:cs="Arial" w:eastAsia="Arial" w:hAnsi="Arial"/>
          <w:sz w:val="17"/>
          <w:szCs w:val="17"/>
          <w:color w:val="auto"/>
        </w:rPr>
      </w:pPr>
    </w:p>
    <w:p>
      <w:pPr>
        <w:ind w:left="1200" w:hanging="303"/>
        <w:spacing w:after="0"/>
        <w:tabs>
          <w:tab w:leader="none" w:pos="12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 reduction in professional services revenue of $5.3 million; and</w:t>
      </w:r>
    </w:p>
    <w:p>
      <w:pPr>
        <w:spacing w:after="0" w:line="3" w:lineRule="exact"/>
        <w:rPr>
          <w:rFonts w:ascii="Arial" w:cs="Arial" w:eastAsia="Arial" w:hAnsi="Arial"/>
          <w:sz w:val="17"/>
          <w:szCs w:val="17"/>
          <w:color w:val="auto"/>
        </w:rPr>
      </w:pPr>
    </w:p>
    <w:p>
      <w:pPr>
        <w:ind w:left="1200" w:hanging="303"/>
        <w:spacing w:after="0"/>
        <w:tabs>
          <w:tab w:leader="none" w:pos="12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 reduction in license revenue of $2.0 million.</w:t>
      </w:r>
    </w:p>
    <w:p>
      <w:pPr>
        <w:spacing w:after="0" w:line="3" w:lineRule="exact"/>
        <w:rPr>
          <w:rFonts w:ascii="Arial" w:cs="Arial" w:eastAsia="Arial" w:hAnsi="Arial"/>
          <w:sz w:val="17"/>
          <w:szCs w:val="17"/>
          <w:color w:val="auto"/>
        </w:rPr>
      </w:pPr>
    </w:p>
    <w:p>
      <w:pPr>
        <w:ind w:left="600" w:hanging="301"/>
        <w:spacing w:after="0" w:line="244" w:lineRule="auto"/>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an increase in </w:t>
      </w:r>
      <w:r>
        <w:rPr>
          <w:rFonts w:ascii="Arial" w:cs="Arial" w:eastAsia="Arial" w:hAnsi="Arial"/>
          <w:sz w:val="17"/>
          <w:szCs w:val="17"/>
          <w:b w:val="1"/>
          <w:bCs w:val="1"/>
          <w:color w:val="auto"/>
        </w:rPr>
        <w:t>Messaging</w:t>
      </w:r>
      <w:r>
        <w:rPr>
          <w:rFonts w:ascii="Arial" w:cs="Arial" w:eastAsia="Arial" w:hAnsi="Arial"/>
          <w:sz w:val="17"/>
          <w:szCs w:val="17"/>
          <w:color w:val="auto"/>
        </w:rPr>
        <w:t xml:space="preserve"> revenue of $15.8 million primarily due to the delivery of an advanced messaging solution to a customer in the Japanese market and an uptick in business volume in our core messaging business; and</w:t>
      </w:r>
    </w:p>
    <w:p>
      <w:pPr>
        <w:spacing w:after="0" w:line="1" w:lineRule="exact"/>
        <w:rPr>
          <w:rFonts w:ascii="Arial" w:cs="Arial" w:eastAsia="Arial" w:hAnsi="Arial"/>
          <w:sz w:val="17"/>
          <w:szCs w:val="17"/>
          <w:color w:val="auto"/>
        </w:rPr>
      </w:pPr>
    </w:p>
    <w:p>
      <w:pPr>
        <w:ind w:left="600" w:hanging="301"/>
        <w:spacing w:after="0" w:line="249" w:lineRule="auto"/>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increase in revenues of $31.9 million as a result of the Company’s implementation of Topic 606, which resulted in an increase in Cloud revenues of $17.3 million, Digital Transformation revenue of $12.9 million and Messaging revenue of $1.7 million.</w:t>
      </w:r>
    </w:p>
    <w:p>
      <w:pPr>
        <w:spacing w:after="0" w:line="176" w:lineRule="exact"/>
        <w:rPr>
          <w:sz w:val="20"/>
          <w:szCs w:val="20"/>
          <w:color w:val="auto"/>
        </w:rPr>
      </w:pPr>
    </w:p>
    <w:p>
      <w:pPr>
        <w:jc w:val="both"/>
        <w:ind w:firstLine="299"/>
        <w:spacing w:after="0" w:line="253" w:lineRule="auto"/>
        <w:rPr>
          <w:sz w:val="20"/>
          <w:szCs w:val="20"/>
          <w:color w:val="auto"/>
        </w:rPr>
      </w:pPr>
      <w:r>
        <w:rPr>
          <w:rFonts w:ascii="Arial" w:cs="Arial" w:eastAsia="Arial" w:hAnsi="Arial"/>
          <w:sz w:val="17"/>
          <w:szCs w:val="17"/>
          <w:b w:val="1"/>
          <w:bCs w:val="1"/>
          <w:color w:val="auto"/>
        </w:rPr>
        <w:t xml:space="preserve">Cost of revenues </w:t>
      </w:r>
      <w:r>
        <w:rPr>
          <w:rFonts w:ascii="Arial" w:cs="Arial" w:eastAsia="Arial" w:hAnsi="Arial"/>
          <w:sz w:val="17"/>
          <w:szCs w:val="17"/>
          <w:color w:val="auto"/>
        </w:rPr>
        <w:t>decreased $11.6 million to $127.8 million for the nine months ended September 30, 2018, compared to the same period in 2017, primarily due to</w:t>
      </w:r>
      <w:r>
        <w:rPr>
          <w:rFonts w:ascii="Arial" w:cs="Arial" w:eastAsia="Arial" w:hAnsi="Arial"/>
          <w:sz w:val="17"/>
          <w:szCs w:val="17"/>
          <w:b w:val="1"/>
          <w:bCs w:val="1"/>
          <w:color w:val="auto"/>
        </w:rPr>
        <w:t xml:space="preserve"> </w:t>
      </w:r>
      <w:r>
        <w:rPr>
          <w:rFonts w:ascii="Arial" w:cs="Arial" w:eastAsia="Arial" w:hAnsi="Arial"/>
          <w:sz w:val="17"/>
          <w:szCs w:val="17"/>
          <w:color w:val="auto"/>
        </w:rPr>
        <w:t>cost savings initiatives implemented in 2017, which were realized in 2018. These initiatives resulted in a $7.0 million decrease in the use of outside consultants and a $7.8 million reduction in telecommunication and facility costs driven primarily by lower hosting fees, partially offset by an increase in stock-based compensation for new employees in 2018 and increased operating costs related to honeybee acquisition.</w:t>
      </w:r>
    </w:p>
    <w:p>
      <w:pPr>
        <w:spacing w:after="0" w:line="173" w:lineRule="exact"/>
        <w:rPr>
          <w:sz w:val="20"/>
          <w:szCs w:val="20"/>
          <w:color w:val="auto"/>
        </w:rPr>
      </w:pPr>
    </w:p>
    <w:p>
      <w:pPr>
        <w:jc w:val="both"/>
        <w:ind w:firstLine="299"/>
        <w:spacing w:after="0" w:line="281" w:lineRule="auto"/>
        <w:rPr>
          <w:sz w:val="20"/>
          <w:szCs w:val="20"/>
          <w:color w:val="auto"/>
        </w:rPr>
      </w:pPr>
      <w:r>
        <w:rPr>
          <w:rFonts w:ascii="Arial" w:cs="Arial" w:eastAsia="Arial" w:hAnsi="Arial"/>
          <w:sz w:val="16"/>
          <w:szCs w:val="16"/>
          <w:b w:val="1"/>
          <w:bCs w:val="1"/>
          <w:color w:val="auto"/>
        </w:rPr>
        <w:t xml:space="preserve">Research and development </w:t>
      </w:r>
      <w:r>
        <w:rPr>
          <w:rFonts w:ascii="Arial" w:cs="Arial" w:eastAsia="Arial" w:hAnsi="Arial"/>
          <w:sz w:val="16"/>
          <w:szCs w:val="16"/>
          <w:color w:val="auto"/>
        </w:rPr>
        <w:t>expense decreased $7.4 million to $59.8 million for the nine months ended September 30, 2018, compared to the same period in 2017</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due to $5.4 million in decreased outside consulting fees based on 2018 realization of reduction in workforce and limiting consultant spend beginning in the second half of 2017 and $2.4 million in decreased personnel related costs including stock-based compensation expense.</w:t>
      </w:r>
    </w:p>
    <w:p>
      <w:pPr>
        <w:spacing w:after="0" w:line="151" w:lineRule="exact"/>
        <w:rPr>
          <w:sz w:val="20"/>
          <w:szCs w:val="20"/>
          <w:color w:val="auto"/>
        </w:rPr>
      </w:pPr>
    </w:p>
    <w:p>
      <w:pPr>
        <w:jc w:val="both"/>
        <w:ind w:firstLine="299"/>
        <w:spacing w:after="0" w:line="257" w:lineRule="auto"/>
        <w:rPr>
          <w:sz w:val="20"/>
          <w:szCs w:val="20"/>
          <w:color w:val="auto"/>
        </w:rPr>
      </w:pPr>
      <w:r>
        <w:rPr>
          <w:rFonts w:ascii="Arial" w:cs="Arial" w:eastAsia="Arial" w:hAnsi="Arial"/>
          <w:sz w:val="17"/>
          <w:szCs w:val="17"/>
          <w:b w:val="1"/>
          <w:bCs w:val="1"/>
          <w:color w:val="auto"/>
        </w:rPr>
        <w:t xml:space="preserve">Selling, general and administrative </w:t>
      </w:r>
      <w:r>
        <w:rPr>
          <w:rFonts w:ascii="Arial" w:cs="Arial" w:eastAsia="Arial" w:hAnsi="Arial"/>
          <w:sz w:val="17"/>
          <w:szCs w:val="17"/>
          <w:color w:val="auto"/>
        </w:rPr>
        <w:t>expense decreased $3.7 million to $99.4 million for the nine months ended September 30, 2018, compared to the same period in</w:t>
      </w:r>
      <w:r>
        <w:rPr>
          <w:rFonts w:ascii="Arial" w:cs="Arial" w:eastAsia="Arial" w:hAnsi="Arial"/>
          <w:sz w:val="17"/>
          <w:szCs w:val="17"/>
          <w:b w:val="1"/>
          <w:bCs w:val="1"/>
          <w:color w:val="auto"/>
        </w:rPr>
        <w:t xml:space="preserve"> </w:t>
      </w:r>
      <w:r>
        <w:rPr>
          <w:rFonts w:ascii="Arial" w:cs="Arial" w:eastAsia="Arial" w:hAnsi="Arial"/>
          <w:sz w:val="17"/>
          <w:szCs w:val="17"/>
          <w:color w:val="auto"/>
        </w:rPr>
        <w:t>2017 primarily due to $11.7 million in decreased merger and acquisition costs related to Intralinks in the prior year period, offset by $6.9 million in increased outside consulting fees and $1.2 million in professional services fees related to our financial restatement process.</w:t>
      </w:r>
    </w:p>
    <w:p>
      <w:pPr>
        <w:spacing w:after="0" w:line="170"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b w:val="1"/>
          <w:bCs w:val="1"/>
          <w:color w:val="auto"/>
        </w:rPr>
        <w:t xml:space="preserve">Restructuring charges </w:t>
      </w:r>
      <w:r>
        <w:rPr>
          <w:rFonts w:ascii="Arial" w:cs="Arial" w:eastAsia="Arial" w:hAnsi="Arial"/>
          <w:sz w:val="17"/>
          <w:szCs w:val="17"/>
          <w:color w:val="auto"/>
        </w:rPr>
        <w:t>decreased $3.3 million to $8.4 million for the nine months ended September 30, 2018. The expense in 2018 related to employment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contracted employees with termination benefits and other terminations following the acquisition of honeybee. In addition, the Company incurred charges in connection with closing certain office locations as part of its cost cutting initiatives. In the prior year period, we commenced separate workforce reduction plans in March 2017 and June 2017 designed to reduce costs and align our resources with our key strategic priorities. Cash outlays for restructuring occur primarily in the quarter in which the plan is initiated or the subsequent quarter.</w:t>
      </w:r>
    </w:p>
    <w:p>
      <w:pPr>
        <w:spacing w:after="0" w:line="174" w:lineRule="exact"/>
        <w:rPr>
          <w:sz w:val="20"/>
          <w:szCs w:val="20"/>
          <w:color w:val="auto"/>
        </w:rPr>
      </w:pPr>
    </w:p>
    <w:p>
      <w:pPr>
        <w:jc w:val="both"/>
        <w:ind w:firstLine="299"/>
        <w:spacing w:after="0" w:line="270" w:lineRule="auto"/>
        <w:rPr>
          <w:sz w:val="20"/>
          <w:szCs w:val="20"/>
          <w:color w:val="auto"/>
        </w:rPr>
      </w:pPr>
      <w:r>
        <w:rPr>
          <w:rFonts w:ascii="Arial" w:cs="Arial" w:eastAsia="Arial" w:hAnsi="Arial"/>
          <w:sz w:val="17"/>
          <w:szCs w:val="17"/>
          <w:b w:val="1"/>
          <w:bCs w:val="1"/>
          <w:color w:val="auto"/>
        </w:rPr>
        <w:t xml:space="preserve">Depreciation and amortization </w:t>
      </w:r>
      <w:r>
        <w:rPr>
          <w:rFonts w:ascii="Arial" w:cs="Arial" w:eastAsia="Arial" w:hAnsi="Arial"/>
          <w:sz w:val="17"/>
          <w:szCs w:val="17"/>
          <w:color w:val="auto"/>
        </w:rPr>
        <w:t>expense decreased $0.8 million to $70.3 million for the nine months ended September 30, 2018, compared to the same period in</w:t>
      </w:r>
      <w:r>
        <w:rPr>
          <w:rFonts w:ascii="Arial" w:cs="Arial" w:eastAsia="Arial" w:hAnsi="Arial"/>
          <w:sz w:val="17"/>
          <w:szCs w:val="17"/>
          <w:b w:val="1"/>
          <w:bCs w:val="1"/>
          <w:color w:val="auto"/>
        </w:rPr>
        <w:t xml:space="preserve"> </w:t>
      </w:r>
      <w:r>
        <w:rPr>
          <w:rFonts w:ascii="Arial" w:cs="Arial" w:eastAsia="Arial" w:hAnsi="Arial"/>
          <w:sz w:val="17"/>
          <w:szCs w:val="17"/>
          <w:color w:val="auto"/>
        </w:rPr>
        <w:t>2017. This was primarily due to decreased acquisition activity combined with the expiration of amortizable assets.</w:t>
      </w:r>
    </w:p>
    <w:p>
      <w:pPr>
        <w:spacing w:after="0" w:line="158" w:lineRule="exact"/>
        <w:rPr>
          <w:sz w:val="20"/>
          <w:szCs w:val="20"/>
          <w:color w:val="auto"/>
        </w:rPr>
      </w:pPr>
    </w:p>
    <w:p>
      <w:pPr>
        <w:jc w:val="both"/>
        <w:ind w:firstLine="299"/>
        <w:spacing w:after="0" w:line="270" w:lineRule="auto"/>
        <w:rPr>
          <w:sz w:val="20"/>
          <w:szCs w:val="20"/>
          <w:color w:val="auto"/>
        </w:rPr>
      </w:pPr>
      <w:r>
        <w:rPr>
          <w:rFonts w:ascii="Arial" w:cs="Arial" w:eastAsia="Arial" w:hAnsi="Arial"/>
          <w:sz w:val="17"/>
          <w:szCs w:val="17"/>
          <w:b w:val="1"/>
          <w:bCs w:val="1"/>
          <w:color w:val="auto"/>
        </w:rPr>
        <w:t xml:space="preserve">Interest income </w:t>
      </w:r>
      <w:r>
        <w:rPr>
          <w:rFonts w:ascii="Arial" w:cs="Arial" w:eastAsia="Arial" w:hAnsi="Arial"/>
          <w:sz w:val="17"/>
          <w:szCs w:val="17"/>
          <w:color w:val="auto"/>
        </w:rPr>
        <w:t>decreased $1.6 million to $7.5 million for the nine months ended September 30, 2018, compared to the same period in 2017. Interest income</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primarily due to lower interest earned on the PIK Note balance compared to the respective prior year period.</w:t>
      </w:r>
    </w:p>
    <w:p>
      <w:pPr>
        <w:spacing w:after="0" w:line="158" w:lineRule="exact"/>
        <w:rPr>
          <w:sz w:val="20"/>
          <w:szCs w:val="20"/>
          <w:color w:val="auto"/>
        </w:rPr>
      </w:pPr>
    </w:p>
    <w:p>
      <w:pPr>
        <w:jc w:val="both"/>
        <w:ind w:firstLine="299"/>
        <w:spacing w:after="0" w:line="257" w:lineRule="auto"/>
        <w:rPr>
          <w:sz w:val="20"/>
          <w:szCs w:val="20"/>
          <w:color w:val="auto"/>
        </w:rPr>
      </w:pPr>
      <w:r>
        <w:rPr>
          <w:rFonts w:ascii="Arial" w:cs="Arial" w:eastAsia="Arial" w:hAnsi="Arial"/>
          <w:sz w:val="17"/>
          <w:szCs w:val="17"/>
          <w:b w:val="1"/>
          <w:bCs w:val="1"/>
          <w:color w:val="auto"/>
        </w:rPr>
        <w:t xml:space="preserve">Interest expense </w:t>
      </w:r>
      <w:r>
        <w:rPr>
          <w:rFonts w:ascii="Arial" w:cs="Arial" w:eastAsia="Arial" w:hAnsi="Arial"/>
          <w:sz w:val="17"/>
          <w:szCs w:val="17"/>
          <w:color w:val="auto"/>
        </w:rPr>
        <w:t>decreased $44.1 million to $3.9 million for the nine months ended September 30, 2018, compared to the same period in 2017. This was primarily due</w:t>
      </w:r>
      <w:r>
        <w:rPr>
          <w:rFonts w:ascii="Arial" w:cs="Arial" w:eastAsia="Arial" w:hAnsi="Arial"/>
          <w:sz w:val="17"/>
          <w:szCs w:val="17"/>
          <w:b w:val="1"/>
          <w:bCs w:val="1"/>
          <w:color w:val="auto"/>
        </w:rPr>
        <w:t xml:space="preserve"> </w:t>
      </w:r>
      <w:r>
        <w:rPr>
          <w:rFonts w:ascii="Arial" w:cs="Arial" w:eastAsia="Arial" w:hAnsi="Arial"/>
          <w:sz w:val="17"/>
          <w:szCs w:val="17"/>
          <w:color w:val="auto"/>
        </w:rPr>
        <w:t>to a decrease in our borrowings outstanding in 2018 after the termination of our $900 million senior secured term loan (the “2017 Term Facility”) in the fourth quarter of 2017.</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127"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299"/>
        <w:spacing w:after="0" w:line="297" w:lineRule="auto"/>
        <w:rPr>
          <w:sz w:val="20"/>
          <w:szCs w:val="20"/>
          <w:color w:val="auto"/>
        </w:rPr>
      </w:pPr>
      <w:r>
        <w:rPr>
          <w:rFonts w:ascii="Arial" w:cs="Arial" w:eastAsia="Arial" w:hAnsi="Arial"/>
          <w:sz w:val="15"/>
          <w:szCs w:val="15"/>
          <w:b w:val="1"/>
          <w:bCs w:val="1"/>
          <w:color w:val="auto"/>
        </w:rPr>
        <w:t xml:space="preserve">Other income (expense), net </w:t>
      </w:r>
      <w:r>
        <w:rPr>
          <w:rFonts w:ascii="Arial" w:cs="Arial" w:eastAsia="Arial" w:hAnsi="Arial"/>
          <w:sz w:val="15"/>
          <w:szCs w:val="15"/>
          <w:color w:val="auto"/>
        </w:rPr>
        <w:t>decreased $11.6 million to a net other expense of $9.2 million for the nine months ended September 30, 2018, compared to the same</w:t>
      </w:r>
      <w:r>
        <w:rPr>
          <w:rFonts w:ascii="Arial" w:cs="Arial" w:eastAsia="Arial" w:hAnsi="Arial"/>
          <w:sz w:val="15"/>
          <w:szCs w:val="15"/>
          <w:b w:val="1"/>
          <w:bCs w:val="1"/>
          <w:color w:val="auto"/>
        </w:rPr>
        <w:t xml:space="preserve"> </w:t>
      </w:r>
      <w:r>
        <w:rPr>
          <w:rFonts w:ascii="Arial" w:cs="Arial" w:eastAsia="Arial" w:hAnsi="Arial"/>
          <w:sz w:val="15"/>
          <w:szCs w:val="15"/>
          <w:color w:val="auto"/>
        </w:rPr>
        <w:t>period in 2017. Other net expense increased due to the $18.2 million write down of the PIK note, partially offset by partially offset by other net income of $4.2 million in legal settlements and $3.8 million from the remeasurement of a mandatorily redeemable financial instrument, which expired in the first quarter. Prior period other income comprised primarily of a $4.9 million pre-tax gain recognized on the divestiture of our SpeechCycle business offset by an unfavorable foreign exchange impact.</w:t>
      </w:r>
    </w:p>
    <w:p>
      <w:pPr>
        <w:spacing w:after="0" w:line="143" w:lineRule="exact"/>
        <w:rPr>
          <w:sz w:val="20"/>
          <w:szCs w:val="20"/>
          <w:color w:val="auto"/>
        </w:rPr>
      </w:pPr>
    </w:p>
    <w:p>
      <w:pPr>
        <w:jc w:val="both"/>
        <w:ind w:firstLine="299"/>
        <w:spacing w:after="0" w:line="257" w:lineRule="auto"/>
        <w:rPr>
          <w:sz w:val="20"/>
          <w:szCs w:val="20"/>
          <w:color w:val="auto"/>
        </w:rPr>
      </w:pPr>
      <w:r>
        <w:rPr>
          <w:rFonts w:ascii="Arial" w:cs="Arial" w:eastAsia="Arial" w:hAnsi="Arial"/>
          <w:sz w:val="17"/>
          <w:szCs w:val="17"/>
          <w:b w:val="1"/>
          <w:bCs w:val="1"/>
          <w:color w:val="auto"/>
        </w:rPr>
        <w:t xml:space="preserve">Equity method investment income (loss) </w:t>
      </w:r>
      <w:r>
        <w:rPr>
          <w:rFonts w:ascii="Arial" w:cs="Arial" w:eastAsia="Arial" w:hAnsi="Arial"/>
          <w:sz w:val="17"/>
          <w:szCs w:val="17"/>
          <w:color w:val="auto"/>
        </w:rPr>
        <w:t>changed $1.6 million to income of $0.1 million for the nine months ended September 30, 2018, compared to an income of</w:t>
      </w:r>
      <w:r>
        <w:rPr>
          <w:rFonts w:ascii="Arial" w:cs="Arial" w:eastAsia="Arial" w:hAnsi="Arial"/>
          <w:sz w:val="17"/>
          <w:szCs w:val="17"/>
          <w:b w:val="1"/>
          <w:bCs w:val="1"/>
          <w:color w:val="auto"/>
        </w:rPr>
        <w:t xml:space="preserve"> </w:t>
      </w:r>
      <w:r>
        <w:rPr>
          <w:rFonts w:ascii="Arial" w:cs="Arial" w:eastAsia="Arial" w:hAnsi="Arial"/>
          <w:sz w:val="17"/>
          <w:szCs w:val="17"/>
          <w:color w:val="auto"/>
        </w:rPr>
        <w:t>$1.6 million for the same period in 2017. All equity method investment income (loss) are the result of our 30% equity interest in STIN and vary based on the financial results of the investment company during the respective reporting period.</w:t>
      </w:r>
    </w:p>
    <w:p>
      <w:pPr>
        <w:spacing w:after="0" w:line="170" w:lineRule="exact"/>
        <w:rPr>
          <w:sz w:val="20"/>
          <w:szCs w:val="20"/>
          <w:color w:val="auto"/>
        </w:rPr>
      </w:pPr>
    </w:p>
    <w:p>
      <w:pPr>
        <w:jc w:val="both"/>
        <w:ind w:firstLine="299"/>
        <w:spacing w:after="0" w:line="292" w:lineRule="auto"/>
        <w:rPr>
          <w:sz w:val="20"/>
          <w:szCs w:val="20"/>
          <w:color w:val="auto"/>
        </w:rPr>
      </w:pPr>
      <w:r>
        <w:rPr>
          <w:rFonts w:ascii="Arial" w:cs="Arial" w:eastAsia="Arial" w:hAnsi="Arial"/>
          <w:sz w:val="15"/>
          <w:szCs w:val="15"/>
          <w:b w:val="1"/>
          <w:bCs w:val="1"/>
          <w:color w:val="auto"/>
        </w:rPr>
        <w:t xml:space="preserve">Income tax. </w:t>
      </w:r>
      <w:r>
        <w:rPr>
          <w:rFonts w:ascii="Arial" w:cs="Arial" w:eastAsia="Arial" w:hAnsi="Arial"/>
          <w:sz w:val="15"/>
          <w:szCs w:val="15"/>
          <w:color w:val="auto"/>
        </w:rPr>
        <w:t>The Company recognized approximately $1.6 million and $18.0 million in related income tax benefit during the nine months ended September 30, 2018</w:t>
      </w:r>
      <w:r>
        <w:rPr>
          <w:rFonts w:ascii="Arial" w:cs="Arial" w:eastAsia="Arial" w:hAnsi="Arial"/>
          <w:sz w:val="15"/>
          <w:szCs w:val="15"/>
          <w:b w:val="1"/>
          <w:bCs w:val="1"/>
          <w:color w:val="auto"/>
        </w:rPr>
        <w:t xml:space="preserve"> </w:t>
      </w:r>
      <w:r>
        <w:rPr>
          <w:rFonts w:ascii="Arial" w:cs="Arial" w:eastAsia="Arial" w:hAnsi="Arial"/>
          <w:sz w:val="15"/>
          <w:szCs w:val="15"/>
          <w:color w:val="auto"/>
        </w:rPr>
        <w:t>and 2017, respectively. The effective tax rate was approximately 1.3% for the nine months ended September 30, 2018, which was lower than the U.S. federal statutory rate primarily due to the full valuation allowance recorded in the fourth quarter of 2017 and the tax benefits recorded discretely in the third quarter of 2018 from the expiration of the statute of limitations for uncertain tax positions. The Company’s effective tax rate was approximately 13.7% for the nine months ended September 30, 2017, which was lower than the U.S. federal statutory rate primarily due to the impact of losses in foreign jurisdictions which have lower tax rates than the U.S.</w:t>
      </w:r>
    </w:p>
    <w:p>
      <w:pPr>
        <w:spacing w:after="0" w:line="151" w:lineRule="exact"/>
        <w:rPr>
          <w:sz w:val="20"/>
          <w:szCs w:val="20"/>
          <w:color w:val="auto"/>
        </w:rPr>
      </w:pPr>
    </w:p>
    <w:p>
      <w:pPr>
        <w:jc w:val="both"/>
        <w:ind w:firstLine="299"/>
        <w:spacing w:after="0" w:line="332" w:lineRule="auto"/>
        <w:rPr>
          <w:sz w:val="20"/>
          <w:szCs w:val="20"/>
          <w:color w:val="auto"/>
        </w:rPr>
      </w:pPr>
      <w:r>
        <w:rPr>
          <w:rFonts w:ascii="Arial" w:cs="Arial" w:eastAsia="Arial" w:hAnsi="Arial"/>
          <w:sz w:val="15"/>
          <w:szCs w:val="15"/>
          <w:color w:val="auto"/>
        </w:rPr>
        <w:t>The Company reviews the expected annual effective income tax rate and makes changes on a quarterly basis as necessary based on certain factors such as changes in forecasted annual operating income, changes to the actual and forecasted permanent book-to-tax differences, and changes resulting from the impact of tax law changes.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07"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As of September 30, 2018, our principal sources of liquidity have been cash provided by operations and proceeds from divestitures. Our cash, cash equivalents, marketable securities and restricted cash balance was $242.5 million at September 30, 2018. We anticipate that our principal uses of cash in the future will be to fund the expansion of our business through both organic growth and acquisition activities and the expansion of our customer base. Uses of cash will also include facility and technology expansion, significant integration and restructuring activities, capital expenditures, and working capital.</w:t>
      </w:r>
    </w:p>
    <w:p>
      <w:pPr>
        <w:spacing w:after="0" w:line="163" w:lineRule="exact"/>
        <w:rPr>
          <w:sz w:val="20"/>
          <w:szCs w:val="20"/>
          <w:color w:val="auto"/>
        </w:rPr>
      </w:pPr>
    </w:p>
    <w:p>
      <w:pPr>
        <w:jc w:val="both"/>
        <w:ind w:firstLine="299"/>
        <w:spacing w:after="0" w:line="295" w:lineRule="auto"/>
        <w:rPr>
          <w:sz w:val="20"/>
          <w:szCs w:val="20"/>
          <w:color w:val="auto"/>
        </w:rPr>
      </w:pPr>
      <w:r>
        <w:rPr>
          <w:rFonts w:ascii="Arial" w:cs="Arial" w:eastAsia="Arial" w:hAnsi="Arial"/>
          <w:sz w:val="15"/>
          <w:szCs w:val="15"/>
          <w:color w:val="auto"/>
        </w:rPr>
        <w:t>At September 30, 2018, our non-U.S. subsidiaries held approximately $36.8 million of cash and cash equivalents that are available for use by all of our operations around the world. At this time, we believe the funds held by all non-U.S. subsidiaries will be permanently reinvested outside of the U.S. However, if these funds were repatriated to the U.S. or used for U.S. operations, certain amounts could be subject to U.S. tax for the incremental amount in excess of the foreign tax paid. Due to the timing and circumstances of repatriation of these earnings, if any, it is not practical to determine the unrecognized deferred tax liability related to the amount.</w:t>
      </w:r>
    </w:p>
    <w:p>
      <w:pPr>
        <w:spacing w:after="0" w:line="149" w:lineRule="exact"/>
        <w:rPr>
          <w:sz w:val="20"/>
          <w:szCs w:val="20"/>
          <w:color w:val="auto"/>
        </w:rPr>
      </w:pPr>
    </w:p>
    <w:p>
      <w:pPr>
        <w:jc w:val="both"/>
        <w:ind w:firstLine="299"/>
        <w:spacing w:after="0" w:line="278" w:lineRule="auto"/>
        <w:rPr>
          <w:sz w:val="20"/>
          <w:szCs w:val="20"/>
          <w:color w:val="auto"/>
        </w:rPr>
      </w:pPr>
      <w:r>
        <w:rPr>
          <w:rFonts w:ascii="Arial" w:cs="Arial" w:eastAsia="Arial" w:hAnsi="Arial"/>
          <w:sz w:val="16"/>
          <w:szCs w:val="16"/>
          <w:color w:val="auto"/>
        </w:rPr>
        <w:t>We believe that our existing cash, cash equivalents, marketable securities, and expected positive cash flows generated from operations will be sufficient to fund our operations for the next twelve months based on our current business plans. Our liquidity plans are subject to a number of risks and uncertainties, including those described in the "Forward-Looking Statements" section of this MD&amp;A and Part I, Item 1A. “Risk Factors”, some of which are outside of our control.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Senior Notes</w:t>
      </w:r>
    </w:p>
    <w:p>
      <w:pPr>
        <w:spacing w:after="0" w:line="203"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 xml:space="preserve">On August 12, 2014, we issued the 2019 Notes. The 2019 Notes mature on August 15, 2019, and bear interest at a rate of 0.75% per annum payable semi-annually in arrears on February 15 and August 15 of each year. We accounted for the $230.0 million face value of the debt as a liability and capitalized approximately $7.1 million of financing fees, related to the issuance. At September 30, 2018, the carrying amount of the liability was $228.8 million and the outstanding principal of the 2019 Notes was $230.0 million, with an effective interest rate of approximately 1.37%. For further details, see </w:t>
      </w:r>
      <w:r>
        <w:rPr>
          <w:rFonts w:ascii="Arial" w:cs="Arial" w:eastAsia="Arial" w:hAnsi="Arial"/>
          <w:sz w:val="17"/>
          <w:szCs w:val="17"/>
          <w:i w:val="1"/>
          <w:iCs w:val="1"/>
          <w:color w:val="auto"/>
        </w:rPr>
        <w:t>Note 6 - Debt</w:t>
      </w:r>
      <w:r>
        <w:rPr>
          <w:rFonts w:ascii="Arial" w:cs="Arial" w:eastAsia="Arial" w:hAnsi="Arial"/>
          <w:sz w:val="17"/>
          <w:szCs w:val="17"/>
          <w:color w:val="auto"/>
        </w:rPr>
        <w:t xml:space="preserve"> of the Notes to Condensed Consolidated Financial Statements in Item 1 of this Form 10-Q.</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03"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There were no repurchases in 2018. In 2018, the Company retired 3.9 million shares of Common Stock that were previously repurchased in prior years. Any related additional paid in capital and par values were removed from the Common Stock numbers.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of Preferred Stock</w:t>
      </w:r>
    </w:p>
    <w:p>
      <w:pPr>
        <w:spacing w:after="0" w:line="203"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In accordance with the terms of the PIPE Purchase Agreement with Silver, on February 15, 2018, we issued to Silver 185,000 shares of our newly issued Series A Preferred Stock as part of the Preferred Transaction. In connection with the issuance of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127"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Series A Preferred Stock, we (i) filed the Series A Certificate and (ii) entered into an Investor Rights Agreement. Pursuant to the PIPE Purchase Agreement, at the closing, we paid to Siris $5.0 million as a reimbursement of Silver’s reasonable costs and expenses incurred in connection with the Preferred Transaction.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Certificate of Designation of the Series A Preferred Stock</w:t>
      </w:r>
    </w:p>
    <w:p>
      <w:pPr>
        <w:spacing w:after="0" w:line="203"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Preferred Dividends. The Preferred Dividends are due on each Series A Dividend Payment Date. We may choose to pay the Preferred Dividends in cash or in additional shares of Series A Preferred Stock. In the event we do not declare and pay a dividend in-kind or in cash on any Series A Dividend Payment Date, the unpaid amount of the Preferred Dividend will be added to the Liquidation Preference. In addition, the Series A Preferred Stock participates in dividends declared and paid on shares of our common stock.</w:t>
      </w:r>
    </w:p>
    <w:p>
      <w:pPr>
        <w:spacing w:after="0" w:line="165"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 Conversion Rate is subject to equitable proportionate adjustment in the event of stock splits, recapitalizations and other events set forth in the Series A Certificate.</w:t>
      </w:r>
    </w:p>
    <w:p>
      <w:pPr>
        <w:spacing w:after="0" w:line="182" w:lineRule="exact"/>
        <w:rPr>
          <w:sz w:val="20"/>
          <w:szCs w:val="20"/>
          <w:color w:val="auto"/>
        </w:rPr>
      </w:pPr>
    </w:p>
    <w:p>
      <w:pPr>
        <w:jc w:val="both"/>
        <w:ind w:firstLine="299"/>
        <w:spacing w:after="0" w:line="286" w:lineRule="auto"/>
        <w:rPr>
          <w:sz w:val="20"/>
          <w:szCs w:val="20"/>
          <w:color w:val="auto"/>
        </w:rPr>
      </w:pPr>
      <w:r>
        <w:rPr>
          <w:rFonts w:ascii="Arial" w:cs="Arial" w:eastAsia="Arial" w:hAnsi="Arial"/>
          <w:sz w:val="15"/>
          <w:szCs w:val="15"/>
          <w:color w:val="auto"/>
        </w:rPr>
        <w:t>On and after the fifth anniversary of February 15, 2018, holders of shares of Series A Preferred Stock have the right to cause the Company to redeem each share of Series A Preferred Stock for cash in an amount equal to the sum of the current liquidation preference and any accrued dividends. Each share of Series A Preferred Stock is also redeemable at the option of the holder upon the occurrence of a “Fundamental Change” (as that term is defined in the Series A Certificate) at a specified premium (“Liquidation Value”). In addition, the Company is also permitted to redeem all outstanding shares of the Series A Preferred Stock at any time (i) within the first 30 months of the date of issuance for the sum of the then-applicable Liquidation Preference, accrued but unpaid dividends and a make whole amount (known as “Redemption Value”) and (ii) following the 30-month anniversary of the date of issuance for the sum of the then-applicable Liquidation Preference and the accrued but unpaid dividends. As of September 30, 2018, the Liquidation Value and Redemption Value of the Preferred Shares was $323.5 million and $251.9 million respectively.</w:t>
      </w:r>
    </w:p>
    <w:p>
      <w:pPr>
        <w:spacing w:after="0" w:line="156"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The holders of a majority of the Series A Preferred Stock, voting separately as a class, are entitled at each of our annual meetings of stockholders or at any special meeting called for the purpose of electing directors (or by written consent signed by the holders of a majority of the then-outstanding shares of Series A Preferred Stock in lieu of such a meeting): (i) to nominate and elect two members of our Board of Directors for so long as the Preferred Percentage (as defined in the Series A Certificate) is equal to or greater than 10%; and (ii) to nominate and elect one member of our Board of Directors for so long as the Preferred Percentage is equal to or greater than 5% but less than 10%.</w:t>
      </w:r>
    </w:p>
    <w:p>
      <w:pPr>
        <w:spacing w:after="0" w:line="182" w:lineRule="exact"/>
        <w:rPr>
          <w:sz w:val="20"/>
          <w:szCs w:val="20"/>
          <w:color w:val="auto"/>
        </w:rPr>
      </w:pPr>
    </w:p>
    <w:p>
      <w:pPr>
        <w:jc w:val="both"/>
        <w:ind w:firstLine="299"/>
        <w:spacing w:after="0" w:line="283" w:lineRule="auto"/>
        <w:rPr>
          <w:sz w:val="20"/>
          <w:szCs w:val="20"/>
          <w:color w:val="auto"/>
        </w:rPr>
      </w:pPr>
      <w:r>
        <w:rPr>
          <w:rFonts w:ascii="Arial" w:cs="Arial" w:eastAsia="Arial" w:hAnsi="Arial"/>
          <w:sz w:val="15"/>
          <w:szCs w:val="15"/>
          <w:color w:val="auto"/>
        </w:rPr>
        <w:t>For so long as the holders of shares of Series A Preferred Stock have the right to nominate at least one director, we are required to obtain the prior approval of Silver prior to taking certain actions, including: (i) certain dividends, repayments and redemptions; (ii) any amendment to our certificate of incorporation that adversely effects the rights, preferences, privileges or voting powers of the Series A Preferred Stock; (iii) issuances of stock ranking senior or equivalent to shares of Series A Preferred Stock (including additional shares of Series A Preferred Stock) in the priority of payment of dividends or in the distribution of assets upon any liquidation, dissolution or winding up of us; (iv) changes in the size of our Board of Directors; (v) any amendment, alteration, modification or repeal of the charter of our Nominating and Corporate Governance Committee of the Board of Directors and related documents; and (vi) any change in our principal business or the entry into any line of business outside of our existing lines of businesses. In addition, in the event that we are in EBITDA Non-Compliance (as defined in the Series A Certificate) or the undertaking of certain actions would result in us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160" w:lineRule="exact"/>
        <w:rPr>
          <w:sz w:val="20"/>
          <w:szCs w:val="20"/>
          <w:color w:val="auto"/>
        </w:rPr>
      </w:pPr>
    </w:p>
    <w:p>
      <w:pPr>
        <w:jc w:val="both"/>
        <w:ind w:firstLine="299"/>
        <w:spacing w:after="0" w:line="267" w:lineRule="auto"/>
        <w:rPr>
          <w:sz w:val="20"/>
          <w:szCs w:val="20"/>
          <w:color w:val="auto"/>
        </w:rPr>
      </w:pPr>
      <w:r>
        <w:rPr>
          <w:rFonts w:ascii="Arial" w:cs="Arial" w:eastAsia="Arial" w:hAnsi="Arial"/>
          <w:sz w:val="16"/>
          <w:szCs w:val="16"/>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 provided for in the Series A Certificate or by the General Corporation Law of the State of Delaware, the holders of shares of the Series A Preferred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127"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spacing w:after="0" w:line="332" w:lineRule="auto"/>
        <w:rPr>
          <w:sz w:val="20"/>
          <w:szCs w:val="20"/>
          <w:color w:val="auto"/>
        </w:rPr>
      </w:pPr>
      <w:r>
        <w:rPr>
          <w:rFonts w:ascii="Arial" w:cs="Arial" w:eastAsia="Arial" w:hAnsi="Arial"/>
          <w:sz w:val="15"/>
          <w:szCs w:val="15"/>
          <w:color w:val="auto"/>
        </w:rPr>
        <w:t>Stock are entitled to vote with the holders of shares of common stock (and any other class or series that may similarly be entitled to vote on an as-converted basis with the holders of common stock) on all matters submitted to a vote or to the consent of the stockholders of the Company (including the election of directors) as one class.</w:t>
      </w:r>
    </w:p>
    <w:p>
      <w:pPr>
        <w:spacing w:after="0" w:line="121" w:lineRule="exact"/>
        <w:rPr>
          <w:sz w:val="20"/>
          <w:szCs w:val="20"/>
          <w:color w:val="auto"/>
        </w:rPr>
      </w:pPr>
    </w:p>
    <w:p>
      <w:pPr>
        <w:jc w:val="both"/>
        <w:ind w:firstLine="299"/>
        <w:spacing w:after="0" w:line="282" w:lineRule="auto"/>
        <w:rPr>
          <w:sz w:val="20"/>
          <w:szCs w:val="20"/>
          <w:color w:val="auto"/>
        </w:rPr>
      </w:pPr>
      <w:r>
        <w:rPr>
          <w:rFonts w:ascii="Arial" w:cs="Arial" w:eastAsia="Arial" w:hAnsi="Arial"/>
          <w:sz w:val="15"/>
          <w:szCs w:val="15"/>
          <w:color w:val="auto"/>
        </w:rPr>
        <w:t>Under the Series A Certificate, if Silver and certain of its affiliates have elected to effect a conversion of some or all of their shares of Series A Preferred Stock and if the sum, without duplication, of (i) the aggregate number of shares of our common stock issued to such holders upon such conversion and any shares of our common stock previously issued to such holders upon conversion of Series A Preferred Stock and then held by such holders, plus (ii) the number of shares of our common stock underlying shares of Series A Preferred Stock that would be held at such time by such holders (after giving effect to such conversion), would exceed the 19.9% of the issued and outstanding shares of our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 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our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our common stock under the applicable listing standards.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Form of Investor Rights Agreement</w:t>
      </w:r>
    </w:p>
    <w:p>
      <w:pPr>
        <w:spacing w:after="0" w:line="203" w:lineRule="exact"/>
        <w:rPr>
          <w:sz w:val="20"/>
          <w:szCs w:val="20"/>
          <w:color w:val="auto"/>
        </w:rPr>
      </w:pPr>
    </w:p>
    <w:p>
      <w:pPr>
        <w:jc w:val="both"/>
        <w:ind w:firstLine="299"/>
        <w:spacing w:after="0" w:line="283" w:lineRule="auto"/>
        <w:rPr>
          <w:sz w:val="20"/>
          <w:szCs w:val="20"/>
          <w:color w:val="auto"/>
        </w:rPr>
      </w:pPr>
      <w:r>
        <w:rPr>
          <w:rFonts w:ascii="Arial" w:cs="Arial" w:eastAsia="Arial" w:hAnsi="Arial"/>
          <w:sz w:val="15"/>
          <w:szCs w:val="15"/>
          <w:color w:val="auto"/>
        </w:rPr>
        <w:t>Concurrently with the closing of the Preferred Transaction, Synchronoss and Silver entered into an Investor Rights Agreement. Under the terms of the Investor Rights Agreement, Silver and Synchronoss have agreed that, effective as of the 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 and elected by the holders of shares of Series A Preferred Stock; (ii) four directors who meet the independence criteria set forth 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 shall be the current chairman of the Board of Directors of Synchronoss as of the date of execution of the Investors Rights Agreement. Following the closing of the Preferred Transaction, so long as the holders of Series A Preferred Stock have the right to nominate at least one director to the Board of Directors of Synchronoss pursuant to the Series A Certificate, Silver will have the right to designate two members of the Nominating and Corporate Governance Committee of the Board of Directors.</w:t>
      </w:r>
    </w:p>
    <w:p>
      <w:pPr>
        <w:spacing w:after="0" w:line="160"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167" w:lineRule="exact"/>
        <w:rPr>
          <w:sz w:val="20"/>
          <w:szCs w:val="20"/>
          <w:color w:val="auto"/>
        </w:rPr>
      </w:pPr>
    </w:p>
    <w:p>
      <w:pPr>
        <w:jc w:val="both"/>
        <w:ind w:firstLine="299"/>
        <w:spacing w:after="0" w:line="285" w:lineRule="auto"/>
        <w:rPr>
          <w:sz w:val="20"/>
          <w:szCs w:val="20"/>
          <w:color w:val="auto"/>
        </w:rPr>
      </w:pPr>
      <w:r>
        <w:rPr>
          <w:rFonts w:ascii="Arial" w:cs="Arial" w:eastAsia="Arial" w:hAnsi="Arial"/>
          <w:sz w:val="15"/>
          <w:szCs w:val="15"/>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 affiliates will directly or indirectly purchase or acquire any debt or equity securities of Synchronoss (including equity-linked derivative securities) if such purchase or acquisition would result in Silver’s Standstill Percentage (as defined in the Investor 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 distributions thereon. Silver will also have preemptive rights with respect to issuances of securities of Synchronoss in order to maintain its ownership percentage.</w:t>
      </w:r>
    </w:p>
    <w:p>
      <w:pPr>
        <w:spacing w:after="0" w:line="156" w:lineRule="exact"/>
        <w:rPr>
          <w:sz w:val="20"/>
          <w:szCs w:val="20"/>
          <w:color w:val="auto"/>
        </w:rPr>
      </w:pPr>
    </w:p>
    <w:p>
      <w:pPr>
        <w:jc w:val="both"/>
        <w:ind w:firstLine="224"/>
        <w:spacing w:after="0" w:line="304" w:lineRule="auto"/>
        <w:rPr>
          <w:sz w:val="20"/>
          <w:szCs w:val="20"/>
          <w:color w:val="auto"/>
        </w:rPr>
      </w:pPr>
      <w:r>
        <w:rPr>
          <w:rFonts w:ascii="Arial" w:cs="Arial" w:eastAsia="Arial" w:hAnsi="Arial"/>
          <w:sz w:val="15"/>
          <w:szCs w:val="15"/>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127"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of Cash Flows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 summary of net cash flows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20" w:type="dxa"/>
            <w:vAlign w:val="bottom"/>
          </w:tcPr>
          <w:p>
            <w:pPr>
              <w:spacing w:after="0"/>
              <w:rPr>
                <w:sz w:val="16"/>
                <w:szCs w:val="16"/>
                <w:color w:val="auto"/>
              </w:rPr>
            </w:pPr>
          </w:p>
        </w:tc>
        <w:tc>
          <w:tcPr>
            <w:tcW w:w="3300" w:type="dxa"/>
            <w:vAlign w:val="bottom"/>
            <w:gridSpan w:val="5"/>
          </w:tcPr>
          <w:p>
            <w:pPr>
              <w:jc w:val="right"/>
              <w:ind w:right="445"/>
              <w:spacing w:after="0"/>
              <w:rPr>
                <w:sz w:val="20"/>
                <w:szCs w:val="20"/>
                <w:color w:val="auto"/>
              </w:rPr>
            </w:pPr>
            <w:r>
              <w:rPr>
                <w:rFonts w:ascii="Arial" w:cs="Arial" w:eastAsia="Arial" w:hAnsi="Arial"/>
                <w:sz w:val="15"/>
                <w:szCs w:val="15"/>
                <w:b w:val="1"/>
                <w:bCs w:val="1"/>
                <w:color w:val="auto"/>
              </w:rPr>
              <w:t>Nine Months Ended September 30,</w:t>
            </w:r>
          </w:p>
        </w:tc>
      </w:tr>
      <w:tr>
        <w:trPr>
          <w:trHeight w:val="31"/>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1"/>
        </w:trPr>
        <w:tc>
          <w:tcPr>
            <w:tcW w:w="8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2018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65"/>
              <w:spacing w:after="0"/>
              <w:rPr>
                <w:sz w:val="20"/>
                <w:szCs w:val="20"/>
                <w:color w:val="auto"/>
              </w:rPr>
            </w:pPr>
            <w:r>
              <w:rPr>
                <w:rFonts w:ascii="Arial" w:cs="Arial" w:eastAsia="Arial" w:hAnsi="Arial"/>
                <w:sz w:val="15"/>
                <w:szCs w:val="15"/>
                <w:b w:val="1"/>
                <w:bCs w:val="1"/>
                <w:color w:val="auto"/>
              </w:rPr>
              <w:t>2017</w:t>
            </w:r>
          </w:p>
        </w:tc>
      </w:tr>
      <w:tr>
        <w:trPr>
          <w:trHeight w:val="31"/>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(used in):</w:t>
            </w:r>
          </w:p>
        </w:tc>
        <w:tc>
          <w:tcPr>
            <w:tcW w:w="10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24"/>
        </w:trPr>
        <w:tc>
          <w:tcPr>
            <w:tcW w:w="8120" w:type="dxa"/>
            <w:vAlign w:val="bottom"/>
          </w:tcPr>
          <w:p>
            <w:pPr>
              <w:ind w:left="240"/>
              <w:spacing w:after="0"/>
              <w:rPr>
                <w:sz w:val="20"/>
                <w:szCs w:val="20"/>
                <w:color w:val="auto"/>
              </w:rPr>
            </w:pPr>
            <w:r>
              <w:rPr>
                <w:rFonts w:ascii="Arial" w:cs="Arial" w:eastAsia="Arial" w:hAnsi="Arial"/>
                <w:sz w:val="17"/>
                <w:szCs w:val="17"/>
                <w:color w:val="auto"/>
              </w:rPr>
              <w:t>Operating activities</w:t>
            </w:r>
          </w:p>
        </w:tc>
        <w:tc>
          <w:tcPr>
            <w:tcW w:w="1000" w:type="dxa"/>
            <w:vAlign w:val="bottom"/>
          </w:tcPr>
          <w:p>
            <w:pPr>
              <w:jc w:val="right"/>
              <w:ind w:right="825"/>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w w:val="93"/>
              </w:rPr>
              <w:t>(60,662)</w:t>
            </w:r>
          </w:p>
        </w:tc>
        <w:tc>
          <w:tcPr>
            <w:tcW w:w="120" w:type="dxa"/>
            <w:vAlign w:val="bottom"/>
          </w:tcPr>
          <w:p>
            <w:pPr>
              <w:spacing w:after="0"/>
              <w:rPr>
                <w:sz w:val="19"/>
                <w:szCs w:val="19"/>
                <w:color w:val="auto"/>
              </w:rPr>
            </w:pPr>
          </w:p>
        </w:tc>
        <w:tc>
          <w:tcPr>
            <w:tcW w:w="360" w:type="dxa"/>
            <w:vAlign w:val="bottom"/>
          </w:tcPr>
          <w:p>
            <w:pPr>
              <w:jc w:val="right"/>
              <w:ind w:right="185"/>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(1,093)</w:t>
            </w:r>
          </w:p>
        </w:tc>
      </w:tr>
      <w:tr>
        <w:trPr>
          <w:trHeight w:val="25"/>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Investing activities</w:t>
            </w:r>
          </w:p>
        </w:tc>
        <w:tc>
          <w:tcPr>
            <w:tcW w:w="10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3"/>
              </w:rPr>
              <w:t>(42,045)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(826,042)</w:t>
            </w:r>
          </w:p>
        </w:tc>
      </w:tr>
      <w:tr>
        <w:trPr>
          <w:trHeight w:val="224"/>
        </w:trPr>
        <w:tc>
          <w:tcPr>
            <w:tcW w:w="8120" w:type="dxa"/>
            <w:vAlign w:val="bottom"/>
          </w:tcPr>
          <w:p>
            <w:pPr>
              <w:ind w:left="240"/>
              <w:spacing w:after="0"/>
              <w:rPr>
                <w:sz w:val="20"/>
                <w:szCs w:val="20"/>
                <w:color w:val="auto"/>
              </w:rPr>
            </w:pPr>
            <w:r>
              <w:rPr>
                <w:rFonts w:ascii="Arial" w:cs="Arial" w:eastAsia="Arial" w:hAnsi="Arial"/>
                <w:sz w:val="17"/>
                <w:szCs w:val="17"/>
                <w:color w:val="auto"/>
              </w:rPr>
              <w:t>Financing activities</w:t>
            </w:r>
          </w:p>
        </w:tc>
        <w:tc>
          <w:tcPr>
            <w:tcW w:w="1000" w:type="dxa"/>
            <w:vAlign w:val="bottom"/>
          </w:tcPr>
          <w:p>
            <w:pPr>
              <w:spacing w:after="0"/>
              <w:rPr>
                <w:sz w:val="19"/>
                <w:szCs w:val="19"/>
                <w:color w:val="auto"/>
              </w:rPr>
            </w:pPr>
          </w:p>
        </w:tc>
        <w:tc>
          <w:tcPr>
            <w:tcW w:w="600" w:type="dxa"/>
            <w:vAlign w:val="bottom"/>
          </w:tcPr>
          <w:p>
            <w:pPr>
              <w:jc w:val="right"/>
              <w:ind w:right="45"/>
              <w:spacing w:after="0"/>
              <w:rPr>
                <w:sz w:val="20"/>
                <w:szCs w:val="20"/>
                <w:color w:val="auto"/>
              </w:rPr>
            </w:pPr>
            <w:r>
              <w:rPr>
                <w:rFonts w:ascii="Arial" w:cs="Arial" w:eastAsia="Arial" w:hAnsi="Arial"/>
                <w:sz w:val="15"/>
                <w:szCs w:val="15"/>
                <w:color w:val="auto"/>
              </w:rPr>
              <w:t>85,202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25"/>
              <w:spacing w:after="0"/>
              <w:rPr>
                <w:sz w:val="20"/>
                <w:szCs w:val="20"/>
                <w:color w:val="auto"/>
              </w:rPr>
            </w:pPr>
            <w:r>
              <w:rPr>
                <w:rFonts w:ascii="Arial" w:cs="Arial" w:eastAsia="Arial" w:hAnsi="Arial"/>
                <w:sz w:val="15"/>
                <w:szCs w:val="15"/>
                <w:color w:val="auto"/>
              </w:rPr>
              <w:t>826,998</w:t>
            </w:r>
          </w:p>
        </w:tc>
      </w:tr>
    </w:tbl>
    <w:p>
      <w:pPr>
        <w:spacing w:after="0" w:line="208" w:lineRule="exact"/>
        <w:rPr>
          <w:sz w:val="20"/>
          <w:szCs w:val="20"/>
          <w:color w:val="auto"/>
        </w:rPr>
      </w:pPr>
    </w:p>
    <w:p>
      <w:pPr>
        <w:jc w:val="both"/>
        <w:ind w:firstLine="299"/>
        <w:spacing w:after="0" w:line="257" w:lineRule="auto"/>
        <w:rPr>
          <w:sz w:val="20"/>
          <w:szCs w:val="20"/>
          <w:color w:val="auto"/>
        </w:rPr>
      </w:pPr>
      <w:r>
        <w:rPr>
          <w:rFonts w:ascii="Arial" w:cs="Arial" w:eastAsia="Arial" w:hAnsi="Arial"/>
          <w:sz w:val="17"/>
          <w:szCs w:val="17"/>
          <w:b w:val="1"/>
          <w:bCs w:val="1"/>
          <w:color w:val="auto"/>
        </w:rPr>
        <w:t xml:space="preserve">Cash flows from operating activities </w:t>
      </w:r>
      <w:r>
        <w:rPr>
          <w:rFonts w:ascii="Arial" w:cs="Arial" w:eastAsia="Arial" w:hAnsi="Arial"/>
          <w:sz w:val="17"/>
          <w:szCs w:val="17"/>
          <w:color w:val="auto"/>
        </w:rPr>
        <w:t>for the nine months ended September 30, 2018 was a $60.7 million use of cash, as compared to $1.1 million of cash used by</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activities for the same period in 2017. The increase of cash used in operating activities of $59.6 million was primarily due to unfavorable changes in cash earnings of $41.5 million and working capital of $18.1 million.</w:t>
      </w:r>
    </w:p>
    <w:p>
      <w:pPr>
        <w:spacing w:after="0" w:line="170" w:lineRule="exact"/>
        <w:rPr>
          <w:sz w:val="20"/>
          <w:szCs w:val="20"/>
          <w:color w:val="auto"/>
        </w:rPr>
      </w:pPr>
    </w:p>
    <w:p>
      <w:pPr>
        <w:jc w:val="both"/>
        <w:ind w:firstLine="299"/>
        <w:spacing w:after="0" w:line="257" w:lineRule="auto"/>
        <w:rPr>
          <w:sz w:val="20"/>
          <w:szCs w:val="20"/>
          <w:color w:val="auto"/>
        </w:rPr>
      </w:pPr>
      <w:r>
        <w:rPr>
          <w:rFonts w:ascii="Arial" w:cs="Arial" w:eastAsia="Arial" w:hAnsi="Arial"/>
          <w:sz w:val="17"/>
          <w:szCs w:val="17"/>
          <w:b w:val="1"/>
          <w:bCs w:val="1"/>
          <w:color w:val="auto"/>
        </w:rPr>
        <w:t xml:space="preserve">Cash flows from investing </w:t>
      </w:r>
      <w:r>
        <w:rPr>
          <w:rFonts w:ascii="Arial" w:cs="Arial" w:eastAsia="Arial" w:hAnsi="Arial"/>
          <w:sz w:val="17"/>
          <w:szCs w:val="17"/>
          <w:color w:val="auto"/>
        </w:rPr>
        <w:t>for the nine months ended September 30, 2018 was a use of cash of $42.0 million, as compared to $826.0 million in cash used for</w:t>
      </w:r>
      <w:r>
        <w:rPr>
          <w:rFonts w:ascii="Arial" w:cs="Arial" w:eastAsia="Arial" w:hAnsi="Arial"/>
          <w:sz w:val="17"/>
          <w:szCs w:val="17"/>
          <w:b w:val="1"/>
          <w:bCs w:val="1"/>
          <w:color w:val="auto"/>
        </w:rPr>
        <w:t xml:space="preserve"> </w:t>
      </w:r>
      <w:r>
        <w:rPr>
          <w:rFonts w:ascii="Arial" w:cs="Arial" w:eastAsia="Arial" w:hAnsi="Arial"/>
          <w:sz w:val="17"/>
          <w:szCs w:val="17"/>
          <w:color w:val="auto"/>
        </w:rPr>
        <w:t>investing activities during the same period in 2017. The decrease of $784.0 million in cash used in investing activities was due primarily to cash used for the acquisition of Intralinks in 2017.</w:t>
      </w:r>
    </w:p>
    <w:p>
      <w:pPr>
        <w:spacing w:after="0" w:line="170" w:lineRule="exact"/>
        <w:rPr>
          <w:sz w:val="20"/>
          <w:szCs w:val="20"/>
          <w:color w:val="auto"/>
        </w:rPr>
      </w:pPr>
    </w:p>
    <w:p>
      <w:pPr>
        <w:jc w:val="both"/>
        <w:ind w:firstLine="299"/>
        <w:spacing w:after="0" w:line="253" w:lineRule="auto"/>
        <w:rPr>
          <w:sz w:val="20"/>
          <w:szCs w:val="20"/>
          <w:color w:val="auto"/>
        </w:rPr>
      </w:pPr>
      <w:r>
        <w:rPr>
          <w:rFonts w:ascii="Arial" w:cs="Arial" w:eastAsia="Arial" w:hAnsi="Arial"/>
          <w:sz w:val="17"/>
          <w:szCs w:val="17"/>
          <w:b w:val="1"/>
          <w:bCs w:val="1"/>
          <w:color w:val="auto"/>
        </w:rPr>
        <w:t xml:space="preserve">Cash flows from financing </w:t>
      </w:r>
      <w:r>
        <w:rPr>
          <w:rFonts w:ascii="Arial" w:cs="Arial" w:eastAsia="Arial" w:hAnsi="Arial"/>
          <w:sz w:val="17"/>
          <w:szCs w:val="17"/>
          <w:color w:val="auto"/>
        </w:rPr>
        <w:t>for nine months ended September 30, 2018 was $85.2 million, as compared to $827.0 million of cash provided by financing activities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same period in 2017. The decrease of $741.8 million in cash provided from financing activities was primarily due to proceeds from the issuance of debt in relation to our acquisition of Intralinks in 2017, partially offset by related debt issuance costs, the repayment of previously existing debt in 2017 and proceeds from the issuance of preferred stock in 2018.</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Inflation</w:t>
      </w:r>
    </w:p>
    <w:p>
      <w:pPr>
        <w:spacing w:after="0" w:line="207"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Although inflation generally affects us by increasing our cost of labor and equipment, we do not believe that inflation has had any material effect on our results of operations for the nine months ended September 30, 2018 and 2017.</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57" w:lineRule="exact"/>
        <w:rPr>
          <w:sz w:val="20"/>
          <w:szCs w:val="20"/>
          <w:color w:val="auto"/>
        </w:rPr>
      </w:pPr>
    </w:p>
    <w:p>
      <w:pPr>
        <w:jc w:val="both"/>
        <w:ind w:firstLine="299"/>
        <w:spacing w:after="0" w:line="204" w:lineRule="exact"/>
        <w:rPr>
          <w:sz w:val="20"/>
          <w:szCs w:val="20"/>
          <w:color w:val="auto"/>
        </w:rPr>
      </w:pPr>
      <w:r>
        <w:rPr>
          <w:rFonts w:ascii="Arial" w:cs="Arial" w:eastAsia="Arial" w:hAnsi="Arial"/>
          <w:sz w:val="15"/>
          <w:szCs w:val="15"/>
          <w:color w:val="auto"/>
        </w:rPr>
        <w:t>Our contractual obligations consist of principal and interest related to our Convertible Senior Notes, contingent consideration, non-cancelable capital leases, operating leases or long-term agreements for office space, automobiles, office equipment and colocation services and contractual commitments under third-party hosting, software licenses and maintenance agreements. The following table summarizes our long</w:t>
      </w:r>
      <w:r>
        <w:rPr>
          <w:rFonts w:ascii="MS PGothic" w:cs="MS PGothic" w:eastAsia="MS PGothic" w:hAnsi="MS PGothic"/>
          <w:sz w:val="15"/>
          <w:szCs w:val="15"/>
          <w:color w:val="auto"/>
        </w:rPr>
        <w:t>‑</w:t>
      </w:r>
      <w:r>
        <w:rPr>
          <w:rFonts w:ascii="Arial" w:cs="Arial" w:eastAsia="Arial" w:hAnsi="Arial"/>
          <w:sz w:val="15"/>
          <w:szCs w:val="15"/>
          <w:color w:val="auto"/>
        </w:rPr>
        <w:t>term contractual obligations as of September 30, 2018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40" w:type="dxa"/>
            <w:vAlign w:val="bottom"/>
            <w:gridSpan w:val="5"/>
          </w:tcPr>
          <w:p>
            <w:pPr>
              <w:ind w:left="40"/>
              <w:spacing w:after="0"/>
              <w:rPr>
                <w:sz w:val="20"/>
                <w:szCs w:val="20"/>
                <w:color w:val="auto"/>
              </w:rPr>
            </w:pPr>
            <w:r>
              <w:rPr>
                <w:rFonts w:ascii="Arial" w:cs="Arial" w:eastAsia="Arial" w:hAnsi="Arial"/>
                <w:sz w:val="15"/>
                <w:szCs w:val="15"/>
                <w:b w:val="1"/>
                <w:bCs w:val="1"/>
                <w:color w:val="auto"/>
                <w:w w:val="89"/>
              </w:rPr>
              <w:t>Payments Due by Period</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Arial" w:cs="Arial" w:eastAsia="Arial" w:hAnsi="Arial"/>
                <w:sz w:val="15"/>
                <w:szCs w:val="15"/>
                <w:b w:val="1"/>
                <w:bCs w:val="1"/>
                <w:color w:val="auto"/>
              </w:rPr>
              <w:t>Total</w:t>
            </w:r>
          </w:p>
        </w:tc>
        <w:tc>
          <w:tcPr>
            <w:tcW w:w="1320" w:type="dxa"/>
            <w:vAlign w:val="bottom"/>
            <w:gridSpan w:val="2"/>
          </w:tcPr>
          <w:p>
            <w:pPr>
              <w:jc w:val="right"/>
              <w:spacing w:after="0"/>
              <w:rPr>
                <w:sz w:val="20"/>
                <w:szCs w:val="20"/>
                <w:color w:val="auto"/>
              </w:rPr>
            </w:pPr>
            <w:r>
              <w:rPr>
                <w:rFonts w:ascii="Arial" w:cs="Arial" w:eastAsia="Arial" w:hAnsi="Arial"/>
                <w:sz w:val="15"/>
                <w:szCs w:val="15"/>
                <w:b w:val="1"/>
                <w:bCs w:val="1"/>
                <w:color w:val="auto"/>
                <w:w w:val="95"/>
              </w:rPr>
              <w:t>Remainder of 2018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45"/>
              <w:spacing w:after="0"/>
              <w:rPr>
                <w:sz w:val="20"/>
                <w:szCs w:val="20"/>
                <w:color w:val="auto"/>
              </w:rPr>
            </w:pPr>
            <w:r>
              <w:rPr>
                <w:rFonts w:ascii="Arial" w:cs="Arial" w:eastAsia="Arial" w:hAnsi="Arial"/>
                <w:sz w:val="15"/>
                <w:szCs w:val="15"/>
                <w:b w:val="1"/>
                <w:bCs w:val="1"/>
                <w:color w:val="auto"/>
                <w:w w:val="99"/>
              </w:rPr>
              <w:t>2019 - 2021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45"/>
              <w:spacing w:after="0"/>
              <w:rPr>
                <w:sz w:val="20"/>
                <w:szCs w:val="20"/>
                <w:color w:val="auto"/>
              </w:rPr>
            </w:pPr>
            <w:r>
              <w:rPr>
                <w:rFonts w:ascii="Arial" w:cs="Arial" w:eastAsia="Arial" w:hAnsi="Arial"/>
                <w:sz w:val="15"/>
                <w:szCs w:val="15"/>
                <w:b w:val="1"/>
                <w:bCs w:val="1"/>
                <w:color w:val="auto"/>
              </w:rPr>
              <w:t>2022 - 2023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45"/>
              <w:spacing w:after="0"/>
              <w:rPr>
                <w:sz w:val="20"/>
                <w:szCs w:val="20"/>
                <w:color w:val="auto"/>
              </w:rPr>
            </w:pPr>
            <w:r>
              <w:rPr>
                <w:rFonts w:ascii="Arial" w:cs="Arial" w:eastAsia="Arial" w:hAnsi="Arial"/>
                <w:sz w:val="15"/>
                <w:szCs w:val="15"/>
                <w:b w:val="1"/>
                <w:bCs w:val="1"/>
                <w:color w:val="auto"/>
              </w:rPr>
              <w:t>Thereafter</w:t>
            </w:r>
          </w:p>
        </w:tc>
        <w:tc>
          <w:tcPr>
            <w:tcW w:w="0" w:type="dxa"/>
            <w:vAlign w:val="bottom"/>
          </w:tcPr>
          <w:p>
            <w:pPr>
              <w:spacing w:after="0"/>
              <w:rPr>
                <w:sz w:val="1"/>
                <w:szCs w:val="1"/>
                <w:color w:val="auto"/>
              </w:rPr>
            </w:pPr>
          </w:p>
        </w:tc>
      </w:tr>
      <w:tr>
        <w:trPr>
          <w:trHeight w:val="31"/>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Capital lease obligations </w:t>
            </w:r>
            <w:r>
              <w:rPr>
                <w:rFonts w:ascii="Arial" w:cs="Arial" w:eastAsia="Arial" w:hAnsi="Arial"/>
                <w:sz w:val="19"/>
                <w:szCs w:val="19"/>
                <w:color w:val="auto"/>
                <w:vertAlign w:val="superscript"/>
              </w:rPr>
              <w:t>(1)</w:t>
            </w: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12,742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1,302</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5,566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2,563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3,311</w:t>
            </w:r>
          </w:p>
        </w:tc>
        <w:tc>
          <w:tcPr>
            <w:tcW w:w="0" w:type="dxa"/>
            <w:vAlign w:val="bottom"/>
          </w:tcPr>
          <w:p>
            <w:pPr>
              <w:spacing w:after="0"/>
              <w:rPr>
                <w:sz w:val="1"/>
                <w:szCs w:val="1"/>
                <w:color w:val="auto"/>
              </w:rPr>
            </w:pPr>
          </w:p>
        </w:tc>
      </w:tr>
      <w:tr>
        <w:trPr>
          <w:trHeight w:val="218"/>
        </w:trPr>
        <w:tc>
          <w:tcPr>
            <w:tcW w:w="4120" w:type="dxa"/>
            <w:vAlign w:val="bottom"/>
          </w:tcPr>
          <w:p>
            <w:pPr>
              <w:ind w:left="20"/>
              <w:spacing w:after="0"/>
              <w:rPr>
                <w:sz w:val="20"/>
                <w:szCs w:val="20"/>
                <w:color w:val="auto"/>
              </w:rPr>
            </w:pPr>
            <w:r>
              <w:rPr>
                <w:rFonts w:ascii="Arial" w:cs="Arial" w:eastAsia="Arial" w:hAnsi="Arial"/>
                <w:sz w:val="15"/>
                <w:szCs w:val="15"/>
                <w:color w:val="auto"/>
              </w:rPr>
              <w:t>Convertible Senior Notes</w:t>
            </w:r>
          </w:p>
        </w:tc>
        <w:tc>
          <w:tcPr>
            <w:tcW w:w="320" w:type="dxa"/>
            <w:vAlign w:val="bottom"/>
          </w:tcPr>
          <w:p>
            <w:pPr>
              <w:spacing w:after="0"/>
              <w:rPr>
                <w:sz w:val="18"/>
                <w:szCs w:val="18"/>
                <w:color w:val="auto"/>
              </w:rPr>
            </w:pP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230,000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230,000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4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Interest </w:t>
            </w:r>
            <w:r>
              <w:rPr>
                <w:rFonts w:ascii="Arial" w:cs="Arial" w:eastAsia="Arial" w:hAnsi="Arial"/>
                <w:sz w:val="19"/>
                <w:szCs w:val="19"/>
                <w:color w:val="auto"/>
                <w:vertAlign w:val="superscript"/>
              </w:rPr>
              <w:t>(2)</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1,509</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1,078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8"/>
        </w:trPr>
        <w:tc>
          <w:tcPr>
            <w:tcW w:w="4120" w:type="dxa"/>
            <w:vAlign w:val="bottom"/>
          </w:tcPr>
          <w:p>
            <w:pPr>
              <w:ind w:left="20"/>
              <w:spacing w:after="0"/>
              <w:rPr>
                <w:sz w:val="20"/>
                <w:szCs w:val="20"/>
                <w:color w:val="auto"/>
              </w:rPr>
            </w:pPr>
            <w:r>
              <w:rPr>
                <w:rFonts w:ascii="Arial" w:cs="Arial" w:eastAsia="Arial" w:hAnsi="Arial"/>
                <w:sz w:val="15"/>
                <w:szCs w:val="15"/>
                <w:color w:val="auto"/>
              </w:rPr>
              <w:t>Operating lease obligations</w:t>
            </w:r>
          </w:p>
        </w:tc>
        <w:tc>
          <w:tcPr>
            <w:tcW w:w="320" w:type="dxa"/>
            <w:vAlign w:val="bottom"/>
          </w:tcPr>
          <w:p>
            <w:pPr>
              <w:spacing w:after="0"/>
              <w:rPr>
                <w:sz w:val="18"/>
                <w:szCs w:val="18"/>
                <w:color w:val="auto"/>
              </w:rPr>
            </w:pP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84,289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3,312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33,704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5"/>
              <w:spacing w:after="0"/>
              <w:rPr>
                <w:sz w:val="20"/>
                <w:szCs w:val="20"/>
                <w:color w:val="auto"/>
              </w:rPr>
            </w:pPr>
            <w:r>
              <w:rPr>
                <w:rFonts w:ascii="Arial" w:cs="Arial" w:eastAsia="Arial" w:hAnsi="Arial"/>
                <w:sz w:val="15"/>
                <w:szCs w:val="15"/>
                <w:color w:val="auto"/>
              </w:rPr>
              <w:t>16,037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31,236</w:t>
            </w:r>
          </w:p>
        </w:tc>
        <w:tc>
          <w:tcPr>
            <w:tcW w:w="0" w:type="dxa"/>
            <w:vAlign w:val="bottom"/>
          </w:tcPr>
          <w:p>
            <w:pPr>
              <w:spacing w:after="0"/>
              <w:rPr>
                <w:sz w:val="1"/>
                <w:szCs w:val="1"/>
                <w:color w:val="auto"/>
              </w:rPr>
            </w:pPr>
          </w:p>
        </w:tc>
      </w:tr>
      <w:tr>
        <w:trPr>
          <w:trHeight w:val="31"/>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4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Purchase obligations </w:t>
            </w:r>
            <w:r>
              <w:rPr>
                <w:rFonts w:ascii="Arial" w:cs="Arial" w:eastAsia="Arial" w:hAnsi="Arial"/>
                <w:sz w:val="19"/>
                <w:szCs w:val="19"/>
                <w:color w:val="auto"/>
                <w:vertAlign w:val="superscript"/>
              </w:rPr>
              <w:t>(3)</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9,133</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8,784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 xml:space="preserve">Other long-term liabilities </w:t>
            </w:r>
            <w:r>
              <w:rPr>
                <w:rFonts w:ascii="Arial" w:cs="Arial" w:eastAsia="Arial" w:hAnsi="Arial"/>
                <w:sz w:val="19"/>
                <w:szCs w:val="19"/>
                <w:color w:val="auto"/>
                <w:vertAlign w:val="superscript"/>
              </w:rPr>
              <w:t>(4)</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1,923</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859</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1,064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41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w:t>
            </w: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339,596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6,253</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280,196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18,600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34,547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1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00" w:hanging="300"/>
        <w:spacing w:after="0" w:line="184" w:lineRule="auto"/>
        <w:tabs>
          <w:tab w:leader="none" w:pos="300" w:val="left"/>
        </w:tabs>
        <w:numPr>
          <w:ilvl w:val="0"/>
          <w:numId w:val="22"/>
        </w:numPr>
        <w:rPr>
          <w:rFonts w:ascii="Arial" w:cs="Arial" w:eastAsia="Arial" w:hAnsi="Arial"/>
          <w:sz w:val="23"/>
          <w:szCs w:val="23"/>
          <w:color w:val="auto"/>
          <w:vertAlign w:val="superscript"/>
        </w:rPr>
      </w:pPr>
      <w:r>
        <w:rPr>
          <w:rFonts w:ascii="Arial" w:cs="Arial" w:eastAsia="Arial" w:hAnsi="Arial"/>
          <w:sz w:val="17"/>
          <w:szCs w:val="17"/>
          <w:color w:val="auto"/>
        </w:rPr>
        <w:t>Amount includes the Pennsylvania facility lease and the cloud hosting data center in England.</w:t>
      </w:r>
    </w:p>
    <w:p>
      <w:pPr>
        <w:spacing w:after="0" w:line="2" w:lineRule="exact"/>
        <w:rPr>
          <w:rFonts w:ascii="Arial" w:cs="Arial" w:eastAsia="Arial" w:hAnsi="Arial"/>
          <w:sz w:val="23"/>
          <w:szCs w:val="23"/>
          <w:color w:val="auto"/>
          <w:vertAlign w:val="superscript"/>
        </w:rPr>
      </w:pPr>
    </w:p>
    <w:p>
      <w:pPr>
        <w:ind w:left="300" w:hanging="300"/>
        <w:spacing w:after="0" w:line="187" w:lineRule="auto"/>
        <w:tabs>
          <w:tab w:leader="none" w:pos="30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Represents the interest on the 2019 Notes.</w:t>
      </w:r>
    </w:p>
    <w:p>
      <w:pPr>
        <w:spacing w:after="0" w:line="2" w:lineRule="exact"/>
        <w:rPr>
          <w:rFonts w:ascii="Arial" w:cs="Arial" w:eastAsia="Arial" w:hAnsi="Arial"/>
          <w:sz w:val="22"/>
          <w:szCs w:val="22"/>
          <w:color w:val="auto"/>
          <w:vertAlign w:val="superscript"/>
        </w:rPr>
      </w:pPr>
    </w:p>
    <w:p>
      <w:pPr>
        <w:ind w:left="300" w:hanging="300"/>
        <w:spacing w:after="0" w:line="187" w:lineRule="auto"/>
        <w:tabs>
          <w:tab w:leader="none" w:pos="30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Amount represents obligations associated with colocation agreements and other customer delivery related purchase obligations.</w:t>
      </w:r>
    </w:p>
    <w:p>
      <w:pPr>
        <w:spacing w:after="0" w:line="2" w:lineRule="exact"/>
        <w:rPr>
          <w:rFonts w:ascii="Arial" w:cs="Arial" w:eastAsia="Arial" w:hAnsi="Arial"/>
          <w:sz w:val="22"/>
          <w:szCs w:val="22"/>
          <w:color w:val="auto"/>
          <w:vertAlign w:val="superscript"/>
        </w:rPr>
      </w:pPr>
    </w:p>
    <w:p>
      <w:pPr>
        <w:ind w:left="300" w:hanging="300"/>
        <w:spacing w:after="0" w:line="207" w:lineRule="auto"/>
        <w:tabs>
          <w:tab w:leader="none" w:pos="300" w:val="left"/>
        </w:tabs>
        <w:numPr>
          <w:ilvl w:val="0"/>
          <w:numId w:val="22"/>
        </w:numPr>
        <w:rPr>
          <w:rFonts w:ascii="Arial" w:cs="Arial" w:eastAsia="Arial" w:hAnsi="Arial"/>
          <w:sz w:val="23"/>
          <w:szCs w:val="23"/>
          <w:color w:val="auto"/>
          <w:vertAlign w:val="superscript"/>
        </w:rPr>
      </w:pPr>
      <w:r>
        <w:rPr>
          <w:rFonts w:ascii="Arial" w:cs="Arial" w:eastAsia="Arial" w:hAnsi="Arial"/>
          <w:sz w:val="17"/>
          <w:szCs w:val="17"/>
          <w:color w:val="auto"/>
        </w:rPr>
        <w:t>Amount represents unrecognized tax positions recorded in our balance sheet. Although the timing of the settlement is uncertain, we believe this amount will be settled within three years.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Uncertain Tax Positions</w:t>
      </w:r>
    </w:p>
    <w:p>
      <w:pPr>
        <w:spacing w:after="0" w:line="207"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Unrecognized tax benefits of $3.9 million at September 30, 2018 are excluded from the table above as we are not able to reasonably estimate when we would make any cash payments required to settle these liabilities, but we do not believe that the ultimate settlement of our obligations will materially affect our liquidity. We do not expect that the balance of unrecognized tax benefits will significantly increase or decrease over the next twelve months.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07" w:lineRule="exact"/>
        <w:rPr>
          <w:sz w:val="20"/>
          <w:szCs w:val="20"/>
          <w:color w:val="auto"/>
        </w:rPr>
      </w:pPr>
    </w:p>
    <w:p>
      <w:pPr>
        <w:jc w:val="both"/>
        <w:ind w:firstLine="299"/>
        <w:spacing w:after="0" w:line="284" w:lineRule="auto"/>
        <w:rPr>
          <w:sz w:val="20"/>
          <w:szCs w:val="20"/>
          <w:color w:val="auto"/>
        </w:rPr>
      </w:pPr>
      <w:r>
        <w:rPr>
          <w:rFonts w:ascii="Arial" w:cs="Arial" w:eastAsia="Arial" w:hAnsi="Arial"/>
          <w:sz w:val="15"/>
          <w:szCs w:val="15"/>
          <w:color w:val="auto"/>
        </w:rPr>
        <w:t>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 We have discussed the selection and development of the critical accounting policies with the Audit Committee, and the Audit Committee has reviewed our related disclosures in this Form 10-Q. Although we believe that our judgments and estimates are appropriate, correct and reasonable under the circumstances, actual results may differ from those estimates. If actual results or events differ materially from those contemplated by us in making these estimates, our reported financial condition and results of operations for future periods could be materially affected. See Part II, “Item 1A. Risk Factors” in this Form 10-Q for certain matters bearing risks on our future results of operations.</w:t>
      </w:r>
    </w:p>
    <w:p>
      <w:pPr>
        <w:spacing w:after="0" w:line="157" w:lineRule="exact"/>
        <w:rPr>
          <w:sz w:val="20"/>
          <w:szCs w:val="20"/>
          <w:color w:val="auto"/>
        </w:rPr>
      </w:pPr>
    </w:p>
    <w:p>
      <w:pPr>
        <w:jc w:val="both"/>
        <w:ind w:firstLine="299"/>
        <w:spacing w:after="0" w:line="291" w:lineRule="auto"/>
        <w:rPr>
          <w:sz w:val="20"/>
          <w:szCs w:val="20"/>
          <w:color w:val="auto"/>
        </w:rPr>
      </w:pPr>
      <w:r>
        <w:rPr>
          <w:rFonts w:ascii="Arial" w:cs="Arial" w:eastAsia="Arial" w:hAnsi="Arial"/>
          <w:sz w:val="15"/>
          <w:szCs w:val="15"/>
          <w:color w:val="auto"/>
        </w:rPr>
        <w:t xml:space="preserve">During the nine months ended September 30, 2018, the Company made significant changes in its accounting policies over revenue recognition, to align with the adoption of Topic 606. These updates are described in detail in </w:t>
      </w:r>
      <w:r>
        <w:rPr>
          <w:rFonts w:ascii="Arial" w:cs="Arial" w:eastAsia="Arial" w:hAnsi="Arial"/>
          <w:sz w:val="15"/>
          <w:szCs w:val="15"/>
          <w:i w:val="1"/>
          <w:iCs w:val="1"/>
          <w:color w:val="auto"/>
        </w:rPr>
        <w:t>Note 2 - Basis of Presentation and Consolidation.</w:t>
      </w:r>
      <w:r>
        <w:rPr>
          <w:rFonts w:ascii="Arial" w:cs="Arial" w:eastAsia="Arial" w:hAnsi="Arial"/>
          <w:sz w:val="15"/>
          <w:szCs w:val="15"/>
          <w:color w:val="auto"/>
        </w:rPr>
        <w:t xml:space="preserve"> Aside from the adoption of Topic 606, there were no significant changes in our critical accounting policies and estimates discussed in our Form 10-K/A for the year ended December 31, 2017 during the nine months ended September 30, 2018. Please refer to Management’s Discussion and Analysis of Financial Condition and Results of Operations contained in Part II, Item 7 of our Annual Report on Form 10-K/A for the year ended December 31, 2017 for a more complete discussion of our critical accounting policies and estimates.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ectPr>
          <w:pgSz w:w="11900" w:h="16838" w:orient="portrait"/>
          <w:cols w:equalWidth="0" w:num="1">
            <w:col w:w="11420"/>
          </w:cols>
          <w:pgMar w:left="240" w:top="127" w:right="239" w:bottom="0" w:gutter="0" w:footer="0" w:header="0"/>
        </w:sectPr>
      </w:pPr>
    </w:p>
    <w:bookmarkStart w:id="47" w:name="page48"/>
    <w:bookmarkEnd w:id="47"/>
    <w:p>
      <w:pPr>
        <w:jc w:val="both"/>
        <w:ind w:firstLine="299"/>
        <w:spacing w:after="0" w:line="251" w:lineRule="auto"/>
        <w:rPr>
          <w:sz w:val="20"/>
          <w:szCs w:val="20"/>
          <w:color w:val="auto"/>
        </w:rPr>
      </w:pPr>
      <w:r>
        <w:rPr>
          <w:rFonts w:ascii="Arial" w:cs="Arial" w:eastAsia="Arial" w:hAnsi="Arial"/>
          <w:sz w:val="17"/>
          <w:szCs w:val="17"/>
          <w:color w:val="auto"/>
        </w:rPr>
        <w:t>For our 2017 impairment tests, performed as of October 1, 2017, we performed a quantitative impairment test for both of our reporting units. We performed both a qualitative and quantitative assessment as of June 2017, due to the Company’s failure to meet its filing deadlines, depreciation of the stock price and turnover in executives. The results of such analysis were materially consistent with fair values derived in our annual test. The amounts below represent the results of our latest quantitative assessment.</w:t>
      </w:r>
    </w:p>
    <w:p>
      <w:pPr>
        <w:spacing w:after="0" w:line="179"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We use the average of our fair values for purposes of our comparison between carrying value and fair value for the quantitative impairment test. The table below displays the midpoint of the fair value range for each reporting unit tested in the 2017. When factoring in a 1.0% increase in discount rate, our results of the 2017 tests indicate that the fair value exceeded its carrying value. Additionally, when considering the low end of the range in the market approach, the Company Fair value exceeded the carrying value. The below table depicts the methods employed, assumptions used and percentage fair value in excess of carrying value.</w:t>
      </w: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40" w:type="dxa"/>
            <w:vAlign w:val="bottom"/>
            <w:gridSpan w:val="3"/>
          </w:tcPr>
          <w:p>
            <w:pPr>
              <w:jc w:val="center"/>
              <w:ind w:right="1340"/>
              <w:spacing w:after="0"/>
              <w:rPr>
                <w:sz w:val="20"/>
                <w:szCs w:val="20"/>
                <w:color w:val="auto"/>
              </w:rPr>
            </w:pPr>
            <w:r>
              <w:rPr>
                <w:rFonts w:ascii="Arial" w:cs="Arial" w:eastAsia="Arial" w:hAnsi="Arial"/>
                <w:sz w:val="15"/>
                <w:szCs w:val="15"/>
                <w:b w:val="1"/>
                <w:bCs w:val="1"/>
                <w:color w:val="auto"/>
                <w:w w:val="92"/>
              </w:rPr>
              <w:t>2017 Impairment Test</w:t>
            </w:r>
          </w:p>
        </w:tc>
      </w:tr>
      <w:tr>
        <w:trPr>
          <w:trHeight w:val="31"/>
        </w:trPr>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192"/>
        </w:trPr>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20" w:type="dxa"/>
            <w:vAlign w:val="bottom"/>
          </w:tcPr>
          <w:p>
            <w:pPr>
              <w:jc w:val="center"/>
              <w:ind w:right="201"/>
              <w:spacing w:after="0"/>
              <w:rPr>
                <w:sz w:val="20"/>
                <w:szCs w:val="20"/>
                <w:color w:val="auto"/>
              </w:rPr>
            </w:pPr>
            <w:r>
              <w:rPr>
                <w:rFonts w:ascii="Arial" w:cs="Arial" w:eastAsia="Arial" w:hAnsi="Arial"/>
                <w:sz w:val="15"/>
                <w:szCs w:val="15"/>
                <w:b w:val="1"/>
                <w:bCs w:val="1"/>
                <w:color w:val="auto"/>
                <w:w w:val="93"/>
              </w:rPr>
              <w:t>Terminal Growth</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tcPr>
          <w:p>
            <w:pPr>
              <w:ind w:left="260"/>
              <w:spacing w:after="0"/>
              <w:rPr>
                <w:sz w:val="20"/>
                <w:szCs w:val="20"/>
                <w:color w:val="auto"/>
              </w:rPr>
            </w:pPr>
            <w:r>
              <w:rPr>
                <w:rFonts w:ascii="Arial" w:cs="Arial" w:eastAsia="Arial" w:hAnsi="Arial"/>
                <w:sz w:val="15"/>
                <w:szCs w:val="15"/>
                <w:b w:val="1"/>
                <w:bCs w:val="1"/>
                <w:color w:val="auto"/>
              </w:rPr>
              <w:t>Fair Value Exceeds</w:t>
            </w:r>
          </w:p>
        </w:tc>
        <w:tc>
          <w:tcPr>
            <w:tcW w:w="2580" w:type="dxa"/>
            <w:vAlign w:val="bottom"/>
          </w:tcPr>
          <w:p>
            <w:pPr>
              <w:spacing w:after="0"/>
              <w:rPr>
                <w:sz w:val="16"/>
                <w:szCs w:val="16"/>
                <w:color w:val="auto"/>
              </w:rPr>
            </w:pPr>
          </w:p>
        </w:tc>
      </w:tr>
      <w:tr>
        <w:trPr>
          <w:trHeight w:val="193"/>
        </w:trPr>
        <w:tc>
          <w:tcPr>
            <w:tcW w:w="1340" w:type="dxa"/>
            <w:vAlign w:val="bottom"/>
          </w:tcPr>
          <w:p>
            <w:pPr>
              <w:ind w:left="180"/>
              <w:spacing w:after="0"/>
              <w:rPr>
                <w:sz w:val="20"/>
                <w:szCs w:val="20"/>
                <w:color w:val="auto"/>
              </w:rPr>
            </w:pPr>
            <w:r>
              <w:rPr>
                <w:rFonts w:ascii="Arial" w:cs="Arial" w:eastAsia="Arial" w:hAnsi="Arial"/>
                <w:sz w:val="15"/>
                <w:szCs w:val="15"/>
                <w:b w:val="1"/>
                <w:bCs w:val="1"/>
                <w:color w:val="auto"/>
              </w:rPr>
              <w:t>Reporting Unit</w:t>
            </w:r>
          </w:p>
        </w:tc>
        <w:tc>
          <w:tcPr>
            <w:tcW w:w="1360" w:type="dxa"/>
            <w:vAlign w:val="bottom"/>
          </w:tcPr>
          <w:p>
            <w:pPr>
              <w:jc w:val="right"/>
              <w:ind w:right="180"/>
              <w:spacing w:after="0"/>
              <w:rPr>
                <w:sz w:val="20"/>
                <w:szCs w:val="20"/>
                <w:color w:val="auto"/>
              </w:rPr>
            </w:pPr>
            <w:r>
              <w:rPr>
                <w:rFonts w:ascii="Arial" w:cs="Arial" w:eastAsia="Arial" w:hAnsi="Arial"/>
                <w:sz w:val="15"/>
                <w:szCs w:val="15"/>
                <w:b w:val="1"/>
                <w:bCs w:val="1"/>
                <w:color w:val="auto"/>
              </w:rPr>
              <w:t>Discount Rate</w:t>
            </w:r>
          </w:p>
        </w:tc>
        <w:tc>
          <w:tcPr>
            <w:tcW w:w="1520" w:type="dxa"/>
            <w:vAlign w:val="bottom"/>
          </w:tcPr>
          <w:p>
            <w:pPr>
              <w:jc w:val="right"/>
              <w:ind w:right="120"/>
              <w:spacing w:after="0"/>
              <w:rPr>
                <w:sz w:val="20"/>
                <w:szCs w:val="20"/>
                <w:color w:val="auto"/>
              </w:rPr>
            </w:pPr>
            <w:r>
              <w:rPr>
                <w:rFonts w:ascii="Arial" w:cs="Arial" w:eastAsia="Arial" w:hAnsi="Arial"/>
                <w:sz w:val="15"/>
                <w:szCs w:val="15"/>
                <w:b w:val="1"/>
                <w:bCs w:val="1"/>
                <w:color w:val="auto"/>
              </w:rPr>
              <w:t>Growth rate range</w:t>
            </w:r>
          </w:p>
        </w:tc>
        <w:tc>
          <w:tcPr>
            <w:tcW w:w="1520" w:type="dxa"/>
            <w:vAlign w:val="bottom"/>
          </w:tcPr>
          <w:p>
            <w:pPr>
              <w:jc w:val="center"/>
              <w:ind w:right="201"/>
              <w:spacing w:after="0"/>
              <w:rPr>
                <w:sz w:val="20"/>
                <w:szCs w:val="20"/>
                <w:color w:val="auto"/>
              </w:rPr>
            </w:pPr>
            <w:r>
              <w:rPr>
                <w:rFonts w:ascii="Arial" w:cs="Arial" w:eastAsia="Arial" w:hAnsi="Arial"/>
                <w:sz w:val="15"/>
                <w:szCs w:val="15"/>
                <w:b w:val="1"/>
                <w:bCs w:val="1"/>
                <w:color w:val="auto"/>
                <w:w w:val="85"/>
              </w:rPr>
              <w:t>Rate</w:t>
            </w:r>
          </w:p>
        </w:tc>
        <w:tc>
          <w:tcPr>
            <w:tcW w:w="1200" w:type="dxa"/>
            <w:vAlign w:val="bottom"/>
            <w:gridSpan w:val="2"/>
          </w:tcPr>
          <w:p>
            <w:pPr>
              <w:ind w:left="140"/>
              <w:spacing w:after="0"/>
              <w:rPr>
                <w:sz w:val="20"/>
                <w:szCs w:val="20"/>
                <w:color w:val="auto"/>
              </w:rPr>
            </w:pPr>
            <w:r>
              <w:rPr>
                <w:rFonts w:ascii="Arial" w:cs="Arial" w:eastAsia="Arial" w:hAnsi="Arial"/>
                <w:sz w:val="15"/>
                <w:szCs w:val="15"/>
                <w:b w:val="1"/>
                <w:bCs w:val="1"/>
                <w:color w:val="auto"/>
              </w:rPr>
              <w:t>Goodwill</w:t>
            </w:r>
          </w:p>
        </w:tc>
        <w:tc>
          <w:tcPr>
            <w:tcW w:w="1860" w:type="dxa"/>
            <w:vAlign w:val="bottom"/>
            <w:gridSpan w:val="2"/>
          </w:tcPr>
          <w:p>
            <w:pPr>
              <w:ind w:left="280"/>
              <w:spacing w:after="0"/>
              <w:rPr>
                <w:sz w:val="20"/>
                <w:szCs w:val="20"/>
                <w:color w:val="auto"/>
              </w:rPr>
            </w:pPr>
            <w:r>
              <w:rPr>
                <w:rFonts w:ascii="Arial" w:cs="Arial" w:eastAsia="Arial" w:hAnsi="Arial"/>
                <w:sz w:val="15"/>
                <w:szCs w:val="15"/>
                <w:b w:val="1"/>
                <w:bCs w:val="1"/>
                <w:color w:val="auto"/>
              </w:rPr>
              <w:t>Carrying Value by</w:t>
            </w:r>
          </w:p>
        </w:tc>
        <w:tc>
          <w:tcPr>
            <w:tcW w:w="2580" w:type="dxa"/>
            <w:vAlign w:val="bottom"/>
          </w:tcPr>
          <w:p>
            <w:pPr>
              <w:jc w:val="right"/>
              <w:ind w:right="620"/>
              <w:spacing w:after="0"/>
              <w:rPr>
                <w:sz w:val="20"/>
                <w:szCs w:val="20"/>
                <w:color w:val="auto"/>
              </w:rPr>
            </w:pPr>
            <w:r>
              <w:rPr>
                <w:rFonts w:ascii="Arial" w:cs="Arial" w:eastAsia="Arial" w:hAnsi="Arial"/>
                <w:sz w:val="15"/>
                <w:szCs w:val="15"/>
                <w:b w:val="1"/>
                <w:bCs w:val="1"/>
                <w:color w:val="auto"/>
              </w:rPr>
              <w:t>Fair Value method</w:t>
            </w:r>
          </w:p>
        </w:tc>
      </w:tr>
      <w:tr>
        <w:trPr>
          <w:trHeight w:val="31"/>
        </w:trPr>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22"/>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10.5%</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 - 12.7%</w:t>
            </w:r>
          </w:p>
        </w:tc>
        <w:tc>
          <w:tcPr>
            <w:tcW w:w="15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7"/>
                <w:szCs w:val="17"/>
                <w:color w:val="auto"/>
              </w:rPr>
              <w:t>3.0% $</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226,758</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jc w:val="center"/>
              <w:ind w:left="1162"/>
              <w:spacing w:after="0"/>
              <w:rPr>
                <w:sz w:val="20"/>
                <w:szCs w:val="20"/>
                <w:color w:val="auto"/>
              </w:rPr>
            </w:pPr>
            <w:r>
              <w:rPr>
                <w:rFonts w:ascii="Arial" w:cs="Arial" w:eastAsia="Arial" w:hAnsi="Arial"/>
                <w:sz w:val="17"/>
                <w:szCs w:val="17"/>
                <w:color w:val="auto"/>
                <w:w w:val="91"/>
              </w:rPr>
              <w:t>18.0%</w:t>
            </w:r>
          </w:p>
        </w:tc>
        <w:tc>
          <w:tcPr>
            <w:tcW w:w="100" w:type="dxa"/>
            <w:vAlign w:val="bottom"/>
            <w:tcBorders>
              <w:bottom w:val="single" w:sz="8" w:color="CCEEFF"/>
            </w:tcBorders>
            <w:shd w:val="clear" w:color="auto" w:fill="CCEEFF"/>
          </w:tcPr>
          <w:p>
            <w:pPr>
              <w:spacing w:after="0"/>
              <w:rPr>
                <w:sz w:val="19"/>
                <w:szCs w:val="19"/>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Income Approach, Market Approach</w:t>
            </w:r>
          </w:p>
        </w:tc>
      </w:tr>
      <w:tr>
        <w:trPr>
          <w:trHeight w:val="224"/>
        </w:trPr>
        <w:tc>
          <w:tcPr>
            <w:tcW w:w="1340" w:type="dxa"/>
            <w:vAlign w:val="bottom"/>
          </w:tcPr>
          <w:p>
            <w:pPr>
              <w:ind w:left="20"/>
              <w:spacing w:after="0"/>
              <w:rPr>
                <w:sz w:val="20"/>
                <w:szCs w:val="20"/>
                <w:color w:val="auto"/>
              </w:rPr>
            </w:pPr>
            <w:r>
              <w:rPr>
                <w:rFonts w:ascii="Arial" w:cs="Arial" w:eastAsia="Arial" w:hAnsi="Arial"/>
                <w:sz w:val="17"/>
                <w:szCs w:val="17"/>
                <w:color w:val="auto"/>
              </w:rPr>
              <w:t>B</w:t>
            </w:r>
          </w:p>
        </w:tc>
        <w:tc>
          <w:tcPr>
            <w:tcW w:w="1360" w:type="dxa"/>
            <w:vAlign w:val="bottom"/>
          </w:tcPr>
          <w:p>
            <w:pPr>
              <w:jc w:val="right"/>
              <w:ind w:right="20"/>
              <w:spacing w:after="0"/>
              <w:rPr>
                <w:sz w:val="20"/>
                <w:szCs w:val="20"/>
                <w:color w:val="auto"/>
              </w:rPr>
            </w:pPr>
            <w:r>
              <w:rPr>
                <w:rFonts w:ascii="Arial" w:cs="Arial" w:eastAsia="Arial" w:hAnsi="Arial"/>
                <w:sz w:val="17"/>
                <w:szCs w:val="17"/>
                <w:color w:val="auto"/>
              </w:rPr>
              <w:t>11.0%</w:t>
            </w:r>
          </w:p>
        </w:tc>
        <w:tc>
          <w:tcPr>
            <w:tcW w:w="1520" w:type="dxa"/>
            <w:vAlign w:val="bottom"/>
          </w:tcPr>
          <w:p>
            <w:pPr>
              <w:jc w:val="right"/>
              <w:spacing w:after="0"/>
              <w:rPr>
                <w:sz w:val="20"/>
                <w:szCs w:val="20"/>
                <w:color w:val="auto"/>
              </w:rPr>
            </w:pPr>
            <w:r>
              <w:rPr>
                <w:rFonts w:ascii="Arial" w:cs="Arial" w:eastAsia="Arial" w:hAnsi="Arial"/>
                <w:sz w:val="17"/>
                <w:szCs w:val="17"/>
                <w:color w:val="auto"/>
              </w:rPr>
              <w:t>3% - 67%</w:t>
            </w:r>
          </w:p>
        </w:tc>
        <w:tc>
          <w:tcPr>
            <w:tcW w:w="1520" w:type="dxa"/>
            <w:vAlign w:val="bottom"/>
          </w:tcPr>
          <w:p>
            <w:pPr>
              <w:ind w:left="880"/>
              <w:spacing w:after="0"/>
              <w:rPr>
                <w:sz w:val="20"/>
                <w:szCs w:val="20"/>
                <w:color w:val="auto"/>
              </w:rPr>
            </w:pPr>
            <w:r>
              <w:rPr>
                <w:rFonts w:ascii="Arial" w:cs="Arial" w:eastAsia="Arial" w:hAnsi="Arial"/>
                <w:sz w:val="17"/>
                <w:szCs w:val="17"/>
                <w:color w:val="auto"/>
              </w:rPr>
              <w:t>3.0%</w:t>
            </w:r>
          </w:p>
        </w:tc>
        <w:tc>
          <w:tcPr>
            <w:tcW w:w="1100" w:type="dxa"/>
            <w:vAlign w:val="bottom"/>
          </w:tcPr>
          <w:p>
            <w:pPr>
              <w:jc w:val="right"/>
              <w:ind w:right="40"/>
              <w:spacing w:after="0"/>
              <w:rPr>
                <w:sz w:val="20"/>
                <w:szCs w:val="20"/>
                <w:color w:val="auto"/>
              </w:rPr>
            </w:pPr>
            <w:r>
              <w:rPr>
                <w:rFonts w:ascii="Arial" w:cs="Arial" w:eastAsia="Arial" w:hAnsi="Arial"/>
                <w:sz w:val="17"/>
                <w:szCs w:val="17"/>
                <w:color w:val="auto"/>
              </w:rPr>
              <w:t>9,100</w:t>
            </w:r>
          </w:p>
        </w:tc>
        <w:tc>
          <w:tcPr>
            <w:tcW w:w="100" w:type="dxa"/>
            <w:vAlign w:val="bottom"/>
          </w:tcPr>
          <w:p>
            <w:pPr>
              <w:spacing w:after="0"/>
              <w:rPr>
                <w:sz w:val="19"/>
                <w:szCs w:val="19"/>
                <w:color w:val="auto"/>
              </w:rPr>
            </w:pPr>
          </w:p>
        </w:tc>
        <w:tc>
          <w:tcPr>
            <w:tcW w:w="1760" w:type="dxa"/>
            <w:vAlign w:val="bottom"/>
          </w:tcPr>
          <w:p>
            <w:pPr>
              <w:jc w:val="center"/>
              <w:ind w:left="1162"/>
              <w:spacing w:after="0"/>
              <w:rPr>
                <w:sz w:val="20"/>
                <w:szCs w:val="20"/>
                <w:color w:val="auto"/>
              </w:rPr>
            </w:pPr>
            <w:r>
              <w:rPr>
                <w:rFonts w:ascii="Arial" w:cs="Arial" w:eastAsia="Arial" w:hAnsi="Arial"/>
                <w:sz w:val="17"/>
                <w:szCs w:val="17"/>
                <w:color w:val="auto"/>
                <w:w w:val="91"/>
              </w:rPr>
              <w:t>34.0%</w:t>
            </w:r>
          </w:p>
        </w:tc>
        <w:tc>
          <w:tcPr>
            <w:tcW w:w="10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7"/>
                <w:szCs w:val="17"/>
                <w:color w:val="auto"/>
              </w:rPr>
              <w:t>Income Approach</w:t>
            </w:r>
          </w:p>
        </w:tc>
      </w:tr>
    </w:tbl>
    <w:p>
      <w:pPr>
        <w:spacing w:after="0" w:line="212" w:lineRule="exact"/>
        <w:rPr>
          <w:sz w:val="20"/>
          <w:szCs w:val="20"/>
          <w:color w:val="auto"/>
        </w:rPr>
      </w:pPr>
    </w:p>
    <w:p>
      <w:pPr>
        <w:jc w:val="both"/>
        <w:ind w:firstLine="299"/>
        <w:spacing w:after="0" w:line="295" w:lineRule="auto"/>
        <w:rPr>
          <w:sz w:val="20"/>
          <w:szCs w:val="20"/>
          <w:color w:val="auto"/>
        </w:rPr>
      </w:pPr>
      <w:r>
        <w:rPr>
          <w:rFonts w:ascii="Arial" w:cs="Arial" w:eastAsia="Arial" w:hAnsi="Arial"/>
          <w:sz w:val="15"/>
          <w:szCs w:val="15"/>
          <w:color w:val="auto"/>
        </w:rPr>
        <w:t>The 2017 fair values of the reporting units were estimated using a combination of the income approach, which incorporates the use of the discounted cash flow method, and the market approach, which incorporates the use of earnings and revenue multiples based on market data. We generally applied an equal weighting to the income and market approaches for our analysis when both are applied. However, in estimating the fair value of reporting unit B, we were unable to justify an appropriate market approach, given stage of the enterprise, and comparable peers in market. Accordingly, only the income approach was used to derive the enterprise value.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127"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For the income approach, we used projections, which require the use of significant estimates and assumptions specific to the reporting unit as well as those based on general economic conditions. Factors specific to each reporting unit include revenue and cost growth, profit margins, terminal value growth rates, capital expenditures projections, assumed tax rates, discount rates and other assumptions deemed reasonable by management.</w:t>
      </w:r>
    </w:p>
    <w:p>
      <w:pPr>
        <w:spacing w:after="0" w:line="177" w:lineRule="exact"/>
        <w:rPr>
          <w:sz w:val="20"/>
          <w:szCs w:val="20"/>
          <w:color w:val="auto"/>
        </w:rPr>
      </w:pPr>
    </w:p>
    <w:p>
      <w:pPr>
        <w:jc w:val="both"/>
        <w:ind w:firstLine="299"/>
        <w:spacing w:after="0" w:line="278" w:lineRule="auto"/>
        <w:rPr>
          <w:sz w:val="20"/>
          <w:szCs w:val="20"/>
          <w:color w:val="auto"/>
        </w:rPr>
      </w:pPr>
      <w:r>
        <w:rPr>
          <w:rFonts w:ascii="Arial" w:cs="Arial" w:eastAsia="Arial" w:hAnsi="Arial"/>
          <w:sz w:val="16"/>
          <w:szCs w:val="16"/>
          <w:color w:val="auto"/>
        </w:rPr>
        <w:t>For the market approach, we used judgment in identifying the relevant comparable-company market multiples. These estimates and assumptions may vary between each reporting unit depending on the facts and circumstances specific to that unit. If sufficient comparable data is not present, the market approach will not be employed. The discount rate for each reporting unit is influenced by general market conditions as well as factors specific to the reporting unit.</w:t>
      </w:r>
    </w:p>
    <w:p>
      <w:pPr>
        <w:spacing w:after="0" w:line="158"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Factors influencing the revenue growth rates include the nature of the services the reporting unit provides for its clients, the maturity of the reporting unit and any known concentrated customer contract renewals. We believe that the estimates and assumptions we made are reasonable, but they are susceptible to change from period to period. Actual results of operations, cash flows and other factors will likely differ from the estimates used in our valuation, and it is possible that differences and changes could be material.</w:t>
      </w:r>
    </w:p>
    <w:p>
      <w:pPr>
        <w:spacing w:after="0" w:line="179"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A deterioration in profitability, adverse market conditions, significant client losses, changes in spending levels of our existing clients or a different economic outlook than currently estimated by management could have a significant impact on the estimated fair value of our reporting units and could result in an impairment charge in the future. With regards to Reporting Unit B, certain assumptions were made around renewal of significant customer contract renewals, that deterioration of the base may have a significant impact on its estimate fair value.</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207"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 xml:space="preserve">For a discussion of recently issued accounting standards see </w:t>
      </w:r>
      <w:r>
        <w:rPr>
          <w:rFonts w:ascii="Arial" w:cs="Arial" w:eastAsia="Arial" w:hAnsi="Arial"/>
          <w:sz w:val="17"/>
          <w:szCs w:val="17"/>
          <w:i w:val="1"/>
          <w:iCs w:val="1"/>
          <w:color w:val="auto"/>
        </w:rPr>
        <w:t>Note 2, “Basis of Presentation and Consolidation”</w:t>
      </w:r>
      <w:r>
        <w:rPr>
          <w:rFonts w:ascii="Arial" w:cs="Arial" w:eastAsia="Arial" w:hAnsi="Arial"/>
          <w:sz w:val="17"/>
          <w:szCs w:val="17"/>
          <w:color w:val="auto"/>
        </w:rPr>
        <w:t xml:space="preserve"> included in Part I, Item 1. “Notes to Condensed Consolidated Financial Statements (unaudited)” of this Quarterly Report on Form 10-Q.</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07"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We had no off-balance sheet arrangements as of September 30, 2018 and December 31, 2017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127"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207" w:lineRule="exact"/>
        <w:rPr>
          <w:sz w:val="20"/>
          <w:szCs w:val="20"/>
          <w:color w:val="auto"/>
        </w:rPr>
      </w:pPr>
    </w:p>
    <w:p>
      <w:pPr>
        <w:jc w:val="both"/>
        <w:ind w:firstLine="299"/>
        <w:spacing w:after="0" w:line="295" w:lineRule="auto"/>
        <w:rPr>
          <w:sz w:val="20"/>
          <w:szCs w:val="20"/>
          <w:color w:val="auto"/>
        </w:rPr>
      </w:pPr>
      <w:r>
        <w:rPr>
          <w:rFonts w:ascii="Arial" w:cs="Arial" w:eastAsia="Arial" w:hAnsi="Arial"/>
          <w:sz w:val="15"/>
          <w:szCs w:val="15"/>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149" w:lineRule="exact"/>
        <w:rPr>
          <w:sz w:val="20"/>
          <w:szCs w:val="20"/>
          <w:color w:val="auto"/>
        </w:rPr>
      </w:pPr>
    </w:p>
    <w:p>
      <w:pPr>
        <w:jc w:val="both"/>
        <w:ind w:firstLine="299"/>
        <w:spacing w:after="0" w:line="269" w:lineRule="auto"/>
        <w:rPr>
          <w:sz w:val="20"/>
          <w:szCs w:val="20"/>
          <w:color w:val="auto"/>
        </w:rPr>
      </w:pPr>
      <w:r>
        <w:rPr>
          <w:rFonts w:ascii="Arial" w:cs="Arial" w:eastAsia="Arial" w:hAnsi="Arial"/>
          <w:sz w:val="16"/>
          <w:szCs w:val="16"/>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cash equivalents and marketable securities at September 30, 2018 and December 31, 2017 were invested in liquid money market accounts, certificates of deposit and government securities. All market-risk sensitive instruments were entered into for non-trading purposes.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Risk</w:t>
      </w:r>
    </w:p>
    <w:p>
      <w:pPr>
        <w:spacing w:after="0" w:line="157"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177"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179"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07" w:lineRule="exact"/>
        <w:rPr>
          <w:sz w:val="20"/>
          <w:szCs w:val="20"/>
          <w:color w:val="auto"/>
        </w:rPr>
      </w:pPr>
    </w:p>
    <w:p>
      <w:pPr>
        <w:jc w:val="both"/>
        <w:ind w:firstLine="299"/>
        <w:spacing w:after="0" w:line="332" w:lineRule="auto"/>
        <w:rPr>
          <w:sz w:val="20"/>
          <w:szCs w:val="20"/>
          <w:color w:val="auto"/>
        </w:rPr>
      </w:pPr>
      <w:r>
        <w:rPr>
          <w:rFonts w:ascii="Arial" w:cs="Arial" w:eastAsia="Arial" w:hAnsi="Arial"/>
          <w:sz w:val="15"/>
          <w:szCs w:val="15"/>
          <w:color w:val="auto"/>
        </w:rPr>
        <w:t>We are exposed to the risk of interest rate fluctuations on the interest income earned on our cash and cash equivalents. A hypothetical 100 basis point movement in interest rates applicable to our cash and cash equivalents outstanding at September 30, 2018 would increase interest income by less than $2.2 million on an annual basis.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127"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Background</w:t>
      </w:r>
    </w:p>
    <w:p>
      <w:pPr>
        <w:spacing w:after="0" w:line="203"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In connection with the preparation of the Company’s Form 10-Q for the first quarter of 2017 and a related internal investigation commenced by the Audit Committee, certain adjustments related to the Company’s accounting treatment for software license revenue were identified. The Company subsequently completed additional accounting review procedures and identified other adjustments.</w:t>
      </w:r>
    </w:p>
    <w:p>
      <w:pPr>
        <w:spacing w:after="0" w:line="177" w:lineRule="exact"/>
        <w:rPr>
          <w:sz w:val="20"/>
          <w:szCs w:val="20"/>
          <w:color w:val="auto"/>
        </w:rPr>
      </w:pPr>
    </w:p>
    <w:p>
      <w:pPr>
        <w:jc w:val="both"/>
        <w:ind w:firstLine="299"/>
        <w:spacing w:after="0" w:line="249" w:lineRule="auto"/>
        <w:rPr>
          <w:sz w:val="20"/>
          <w:szCs w:val="20"/>
          <w:color w:val="auto"/>
        </w:rPr>
      </w:pPr>
      <w:r>
        <w:rPr>
          <w:rFonts w:ascii="Arial" w:cs="Arial" w:eastAsia="Arial" w:hAnsi="Arial"/>
          <w:sz w:val="17"/>
          <w:szCs w:val="17"/>
          <w:color w:val="auto"/>
        </w:rPr>
        <w:t>The accounting adjustments referenced above resulted from certain material weaknesses in our internal control over financial reporting. Management determined these material weaknesses and other control deficiencies were primarily the result of an ineffective control environment. As a result, the Company lacked effective control activities necessary to prepare accurate financial statements and ensure compliance with regulatory filing requirements applicable to public companies. These material weaknesses are further described in subsection “Evaluation of Disclosure Controls and Procedures” in Part II, Item 9A of our Annual Report on Form 10-K/A for the year ended December 31, 2017.</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Material Weakness</w:t>
      </w:r>
    </w:p>
    <w:p>
      <w:pPr>
        <w:spacing w:after="0" w:line="203" w:lineRule="exact"/>
        <w:rPr>
          <w:sz w:val="20"/>
          <w:szCs w:val="20"/>
          <w:color w:val="auto"/>
        </w:rPr>
      </w:pPr>
    </w:p>
    <w:p>
      <w:pPr>
        <w:jc w:val="both"/>
        <w:ind w:firstLine="299"/>
        <w:spacing w:after="0" w:line="265"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7" w:lineRule="exact"/>
        <w:rPr>
          <w:sz w:val="20"/>
          <w:szCs w:val="20"/>
          <w:color w:val="auto"/>
        </w:rPr>
      </w:pPr>
    </w:p>
    <w:p>
      <w:pPr>
        <w:jc w:val="both"/>
        <w:ind w:firstLine="299"/>
        <w:spacing w:after="0" w:line="251" w:lineRule="auto"/>
        <w:rPr>
          <w:sz w:val="20"/>
          <w:szCs w:val="20"/>
          <w:color w:val="auto"/>
        </w:rPr>
      </w:pPr>
      <w:r>
        <w:rPr>
          <w:rFonts w:ascii="Arial" w:cs="Arial" w:eastAsia="Arial" w:hAnsi="Arial"/>
          <w:sz w:val="17"/>
          <w:szCs w:val="17"/>
          <w:color w:val="auto"/>
        </w:rPr>
        <w:t>As described in additional detail in the 2017 Form 10-K/A, the Company did not maintain effective controls within its financial close process. Until these material weaknesses are remediated, they could result in material misstatements of the Company’s financial statements that would not be prevented or detected. As of September 30, 2018, the remedial measures identified below are being put in place and will be tested by management for operational effectiveness throughout the fourth quarter and into 2019.</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03" w:lineRule="exact"/>
        <w:rPr>
          <w:sz w:val="20"/>
          <w:szCs w:val="20"/>
          <w:color w:val="auto"/>
        </w:rPr>
      </w:pPr>
    </w:p>
    <w:p>
      <w:pPr>
        <w:jc w:val="both"/>
        <w:ind w:firstLine="299"/>
        <w:spacing w:after="0" w:line="272" w:lineRule="auto"/>
        <w:rPr>
          <w:sz w:val="20"/>
          <w:szCs w:val="20"/>
          <w:color w:val="auto"/>
        </w:rPr>
      </w:pPr>
      <w:r>
        <w:rPr>
          <w:rFonts w:ascii="Arial" w:cs="Arial" w:eastAsia="Arial" w:hAnsi="Arial"/>
          <w:sz w:val="16"/>
          <w:szCs w:val="16"/>
          <w:color w:val="auto"/>
        </w:rPr>
        <w:t>We maintain disclosure controls and procedures (as defined in Rules 13a-15(e) or 15d-15(e) under the Securities Exchange Act of 1934, as amended (the “Exchange Act”)), that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63" w:lineRule="exact"/>
        <w:rPr>
          <w:sz w:val="20"/>
          <w:szCs w:val="20"/>
          <w:color w:val="auto"/>
        </w:rPr>
      </w:pPr>
    </w:p>
    <w:p>
      <w:pPr>
        <w:jc w:val="both"/>
        <w:ind w:firstLine="299"/>
        <w:spacing w:after="0" w:line="286" w:lineRule="auto"/>
        <w:rPr>
          <w:sz w:val="20"/>
          <w:szCs w:val="20"/>
          <w:color w:val="auto"/>
        </w:rPr>
      </w:pPr>
      <w:r>
        <w:rPr>
          <w:rFonts w:ascii="Arial" w:cs="Arial" w:eastAsia="Arial" w:hAnsi="Arial"/>
          <w:sz w:val="15"/>
          <w:szCs w:val="15"/>
          <w:color w:val="auto"/>
        </w:rPr>
        <w:t>The Company’s Principal Executive Officer and Principal Financial Officer have evaluated the design and effectiveness of the Company’s disclosure controls and procedures as of September 30, 2018 and, due to the existence of the material weaknesses in internal control over financial reporting described above, the Company’s Principal Executive and Principal Financial Officers have determined that such disclosure controls and procedures were not effective as of such date. In light of the material weakness, the Company performed additional analysis and other post-closing procedures to ensure the Company’s condensed consolidated financial statements are prepared in accordance with U.S. GAAP. Accordingly, the Company’s management, including its Principal Executive and Principal Financial Officers, has concluded that the condensed consolidated financial statements included in this Form 10-Q present fairly, in all material respects, the Company’s financial position, results of operations and cash flows for the periods presented in conformity with accounting principles generally accepted in the United States.</w:t>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Remediation of Material Weaknesses in Internal Control Over Financial Reporting</w:t>
      </w:r>
    </w:p>
    <w:p>
      <w:pPr>
        <w:spacing w:after="0" w:line="203" w:lineRule="exact"/>
        <w:rPr>
          <w:sz w:val="20"/>
          <w:szCs w:val="20"/>
          <w:color w:val="auto"/>
        </w:rPr>
      </w:pPr>
    </w:p>
    <w:p>
      <w:pPr>
        <w:jc w:val="both"/>
        <w:ind w:firstLine="299"/>
        <w:spacing w:after="0" w:line="291" w:lineRule="auto"/>
        <w:rPr>
          <w:sz w:val="20"/>
          <w:szCs w:val="20"/>
          <w:color w:val="auto"/>
        </w:rPr>
      </w:pPr>
      <w:r>
        <w:rPr>
          <w:rFonts w:ascii="Arial" w:cs="Arial" w:eastAsia="Arial" w:hAnsi="Arial"/>
          <w:sz w:val="15"/>
          <w:szCs w:val="15"/>
          <w:color w:val="auto"/>
        </w:rPr>
        <w:t>Following the identification of the material weaknesses described above and further described in subsection “Evaluation of Disclosure Controls and Procedures” in Part II, Item 9A of our Annual Report on Form 10-K/A for the year ended December 31, 2017, and with the oversight of the Audit Committee, management is still committed to the planning and implementation of remediation efforts to address these material weaknesses. The remediation efforts, summarized below, which are either implemented or in process, are intended to both address the identified material weaknesses and strengthen our overall financial control environment. In this regard, the following represents the enhancements the Company has designed and is in the process of implementing, in an effort to remediate the material weaknesses above:</w:t>
      </w:r>
    </w:p>
    <w:p>
      <w:pPr>
        <w:spacing w:after="0" w:line="151" w:lineRule="exact"/>
        <w:rPr>
          <w:sz w:val="20"/>
          <w:szCs w:val="20"/>
          <w:color w:val="auto"/>
        </w:rPr>
      </w:pPr>
    </w:p>
    <w:p>
      <w:pPr>
        <w:ind w:left="600" w:hanging="301"/>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Continued CEO Communication to reinforce compliance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127"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600" w:hanging="301"/>
        <w:spacing w:after="0" w:line="252" w:lineRule="auto"/>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Recruiting and hiring a Director of Revenue Recognition, and other resources to augment our staff to support further enhancement on the controls and procedures surrounding revenue recognition.</w:t>
      </w:r>
    </w:p>
    <w:p>
      <w:pPr>
        <w:ind w:left="600" w:hanging="301"/>
        <w:spacing w:after="0" w:line="244" w:lineRule="auto"/>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development of a more comprehensive review process and monitoring controls over contracts with customers to ensure accurate accounting for multiple-element arrangements</w:t>
      </w:r>
    </w:p>
    <w:p>
      <w:pPr>
        <w:spacing w:after="0" w:line="1" w:lineRule="exact"/>
        <w:rPr>
          <w:rFonts w:ascii="Arial" w:cs="Arial" w:eastAsia="Arial" w:hAnsi="Arial"/>
          <w:sz w:val="17"/>
          <w:szCs w:val="17"/>
          <w:color w:val="auto"/>
        </w:rPr>
      </w:pPr>
    </w:p>
    <w:p>
      <w:pPr>
        <w:ind w:left="600" w:hanging="301"/>
        <w:spacing w:after="0" w:line="320" w:lineRule="auto"/>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Company developed a comprehensive revenue recognition and contract review training program that has been focused on the impacts of adopting Topic 606. This training is focused on senior-level management and customer-facing employees, as well as finance, sales and marketing personnel as of September 30, 2018.</w:t>
      </w:r>
    </w:p>
    <w:p>
      <w:pPr>
        <w:ind w:left="600" w:hanging="301"/>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Establishment of an Internal Audit function</w:t>
      </w:r>
    </w:p>
    <w:p>
      <w:pPr>
        <w:spacing w:after="0" w:line="3" w:lineRule="exact"/>
        <w:rPr>
          <w:rFonts w:ascii="Arial" w:cs="Arial" w:eastAsia="Arial" w:hAnsi="Arial"/>
          <w:sz w:val="17"/>
          <w:szCs w:val="17"/>
          <w:color w:val="auto"/>
        </w:rPr>
      </w:pPr>
    </w:p>
    <w:p>
      <w:pPr>
        <w:jc w:val="both"/>
        <w:ind w:left="600" w:hanging="301"/>
        <w:spacing w:after="0" w:line="244" w:lineRule="auto"/>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Development of a recurring non-recurring transaction review meeting cadence with key stakeholders within the Company to identify and discuss potentially significant transactions. Meetings are attended by process owners across various functions or departments, both domestic and international, to promote regular and effective communication between finance and non-finance personnel, and to ensure that information related to significant transactions is communicated timely as of September 30, 2018.</w:t>
      </w:r>
    </w:p>
    <w:p>
      <w:pPr>
        <w:spacing w:after="0" w:line="2" w:lineRule="exact"/>
        <w:rPr>
          <w:rFonts w:ascii="Arial" w:cs="Arial" w:eastAsia="Arial" w:hAnsi="Arial"/>
          <w:sz w:val="17"/>
          <w:szCs w:val="17"/>
          <w:color w:val="auto"/>
        </w:rPr>
      </w:pPr>
    </w:p>
    <w:p>
      <w:pPr>
        <w:ind w:left="600" w:hanging="301"/>
        <w:spacing w:after="0" w:line="277" w:lineRule="auto"/>
        <w:tabs>
          <w:tab w:leader="none" w:pos="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Increased standardization of contract documentation and revenue analysis for individual transactions, including increased oversight of revenue opportunities and contract review by personnel with the requisite accounting knowledge to identify revenue-impacting terms and consider potential downstream effects;</w:t>
      </w:r>
    </w:p>
    <w:p>
      <w:pPr>
        <w:ind w:left="600" w:hanging="301"/>
        <w:spacing w:after="0" w:line="244" w:lineRule="auto"/>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development of a more comprehensive review process and monitoring controls over contracts with customers to ensure accurate accounting for multiple-element arrangements</w:t>
      </w:r>
    </w:p>
    <w:p>
      <w:pPr>
        <w:spacing w:after="0" w:line="1" w:lineRule="exact"/>
        <w:rPr>
          <w:rFonts w:ascii="Arial" w:cs="Arial" w:eastAsia="Arial" w:hAnsi="Arial"/>
          <w:sz w:val="17"/>
          <w:szCs w:val="17"/>
          <w:color w:val="auto"/>
        </w:rPr>
      </w:pPr>
    </w:p>
    <w:p>
      <w:pPr>
        <w:jc w:val="both"/>
        <w:ind w:left="600" w:hanging="301"/>
        <w:spacing w:after="0" w:line="277" w:lineRule="auto"/>
        <w:tabs>
          <w:tab w:leader="none" w:pos="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Company performed a review of key business process controls related to high-risk financial statement accounts, such as revenue, significant transactions, capitalized software, accounts receivable, treasury and financial close, which resulted in the redesign of existing controls and the addition of newly developed / documented control activities, in order to mitigate known risks and strengthen the overall control environments as of September 30, 2018.</w:t>
      </w:r>
    </w:p>
    <w:p>
      <w:pPr>
        <w:spacing w:after="0" w:line="1" w:lineRule="exact"/>
        <w:rPr>
          <w:rFonts w:ascii="Arial" w:cs="Arial" w:eastAsia="Arial" w:hAnsi="Arial"/>
          <w:sz w:val="15"/>
          <w:szCs w:val="15"/>
          <w:color w:val="auto"/>
        </w:rPr>
      </w:pPr>
    </w:p>
    <w:p>
      <w:pPr>
        <w:jc w:val="both"/>
        <w:ind w:left="600" w:hanging="301"/>
        <w:spacing w:after="0" w:line="260"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Sub-certification Process: Key process owners each quarter (as part of the Form 10-Q and to be annual as part of the 10-K preparation) complete a sub-certification questionnaire and checklist to support how the process owner reached the conclusion that controls are operating effectively in their respective areas and provide an opportunity to highlight any concerns they have related to internal control over financial reporting.</w:t>
      </w:r>
    </w:p>
    <w:p>
      <w:pPr>
        <w:ind w:left="600" w:hanging="301"/>
        <w:spacing w:after="0" w:line="249" w:lineRule="auto"/>
        <w:tabs>
          <w:tab w:leader="none" w:pos="600" w:val="left"/>
        </w:tabs>
        <w:numPr>
          <w:ilvl w:val="0"/>
          <w:numId w:val="24"/>
        </w:numPr>
        <w:rPr>
          <w:rFonts w:ascii="Arial" w:cs="Arial" w:eastAsia="Arial" w:hAnsi="Arial"/>
          <w:sz w:val="17"/>
          <w:szCs w:val="17"/>
          <w:i w:val="1"/>
          <w:iCs w:val="1"/>
          <w:color w:val="auto"/>
        </w:rPr>
      </w:pPr>
      <w:r>
        <w:rPr>
          <w:rFonts w:ascii="Arial" w:cs="Arial" w:eastAsia="Arial" w:hAnsi="Arial"/>
          <w:sz w:val="17"/>
          <w:szCs w:val="17"/>
          <w:color w:val="auto"/>
        </w:rPr>
        <w:t>The Company has performed a review of key IT process controls and is in the process of enhancing process to remediate material weakness in the general control environment.</w:t>
      </w:r>
    </w:p>
    <w:p>
      <w:pPr>
        <w:spacing w:after="0" w:line="180" w:lineRule="exact"/>
        <w:rPr>
          <w:sz w:val="20"/>
          <w:szCs w:val="20"/>
          <w:color w:val="auto"/>
        </w:rPr>
      </w:pPr>
    </w:p>
    <w:p>
      <w:pPr>
        <w:jc w:val="both"/>
        <w:ind w:firstLine="299"/>
        <w:spacing w:after="0" w:line="278" w:lineRule="auto"/>
        <w:rPr>
          <w:sz w:val="20"/>
          <w:szCs w:val="20"/>
          <w:color w:val="auto"/>
        </w:rPr>
      </w:pPr>
      <w:r>
        <w:rPr>
          <w:rFonts w:ascii="Arial" w:cs="Arial" w:eastAsia="Arial" w:hAnsi="Arial"/>
          <w:sz w:val="16"/>
          <w:szCs w:val="16"/>
          <w:color w:val="auto"/>
        </w:rPr>
        <w:t>To support the execution of this remediation plan, the Company has also engaged additional external resources to aid and supplement the Company’s existing internal resources as of September 30, 2018. The Company will continue to further enhance its design and implementation of the processes described above, augmenting with the additional activities described in Part II, Item 9A of our Annual Report on Form 10-K/A for the year ended December 31, 2017.</w:t>
      </w:r>
    </w:p>
    <w:p>
      <w:pPr>
        <w:spacing w:after="0" w:line="158"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As we continue to evaluate and work to improve our internal control over financial reporting, we may take additional measures to address these control deficiencies or modify the remediation plan described above. We cannot assure you, however, when we will remediate such weaknesses, nor can we be certain of whether additional actions will be required.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Controls Over Financial Reporting</w:t>
      </w:r>
    </w:p>
    <w:p>
      <w:pPr>
        <w:spacing w:after="0" w:line="203"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7"/>
          <w:szCs w:val="17"/>
          <w:color w:val="auto"/>
        </w:rPr>
        <w:t>Excluding the changes described above under “Remediation of Material Weaknesses in Internal Control Over Financial Reporting” including the on-going remediation efforts described above, there were no changes in our internal control over financial reporting during the period ended September 30, 2018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127"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07" w:lineRule="exact"/>
        <w:rPr>
          <w:sz w:val="20"/>
          <w:szCs w:val="20"/>
          <w:color w:val="auto"/>
        </w:rPr>
      </w:pPr>
    </w:p>
    <w:p>
      <w:pPr>
        <w:jc w:val="both"/>
        <w:ind w:firstLine="299"/>
        <w:spacing w:after="0" w:line="332" w:lineRule="auto"/>
        <w:rPr>
          <w:sz w:val="20"/>
          <w:szCs w:val="20"/>
          <w:color w:val="auto"/>
        </w:rPr>
      </w:pPr>
      <w:r>
        <w:rPr>
          <w:rFonts w:ascii="Arial" w:cs="Arial" w:eastAsia="Arial" w:hAnsi="Arial"/>
          <w:sz w:val="15"/>
          <w:szCs w:val="15"/>
          <w:color w:val="auto"/>
        </w:rPr>
        <w:t xml:space="preserve">For a discussion of our material pending legal proceedings that could impact our results of operations, financial condition or cash flows see </w:t>
      </w:r>
      <w:r>
        <w:rPr>
          <w:rFonts w:ascii="Arial" w:cs="Arial" w:eastAsia="Arial" w:hAnsi="Arial"/>
          <w:sz w:val="15"/>
          <w:szCs w:val="15"/>
          <w:i w:val="1"/>
          <w:iCs w:val="1"/>
          <w:color w:val="auto"/>
        </w:rPr>
        <w:t>Note 12, “Commitments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and Contingencies” </w:t>
      </w:r>
      <w:r>
        <w:rPr>
          <w:rFonts w:ascii="Arial" w:cs="Arial" w:eastAsia="Arial" w:hAnsi="Arial"/>
          <w:sz w:val="15"/>
          <w:szCs w:val="15"/>
          <w:color w:val="auto"/>
        </w:rPr>
        <w:t>included in Part I, Item 1. “Notes to Condensed Consolidated Financial Statements (unaudited)” of this Quarterly Report on Form 10-Q.</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07" w:lineRule="exact"/>
        <w:rPr>
          <w:sz w:val="20"/>
          <w:szCs w:val="20"/>
          <w:color w:val="auto"/>
        </w:rPr>
      </w:pPr>
    </w:p>
    <w:p>
      <w:pPr>
        <w:jc w:val="both"/>
        <w:ind w:firstLine="299"/>
        <w:spacing w:after="0" w:line="291" w:lineRule="auto"/>
        <w:rPr>
          <w:sz w:val="20"/>
          <w:szCs w:val="20"/>
          <w:color w:val="auto"/>
        </w:rPr>
      </w:pPr>
      <w:r>
        <w:rPr>
          <w:rFonts w:ascii="Arial" w:cs="Arial" w:eastAsia="Arial" w:hAnsi="Arial"/>
          <w:sz w:val="15"/>
          <w:szCs w:val="15"/>
          <w:color w:val="auto"/>
        </w:rPr>
        <w:t>In addition to the other information set forth in this report, you should carefully consider the factors discussed in Part I, “Item 1A. Risk Factors” in our Annual Report on Form 10-K/A for the year ended December 31, 2017, which could materially affect our business, financial condition or future results. The risks described in our Form 10-K/A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or results of operations could be adversely affected. In that case, the trading price of our stock could decline, and our stockholders may lose part or all of their investment.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 Applicable.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127"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380" w:type="dxa"/>
            <w:vAlign w:val="bottom"/>
            <w:gridSpan w:val="2"/>
          </w:tcPr>
          <w:p>
            <w:pPr>
              <w:ind w:left="320"/>
              <w:spacing w:after="0"/>
              <w:rPr>
                <w:sz w:val="20"/>
                <w:szCs w:val="20"/>
                <w:color w:val="auto"/>
              </w:rPr>
            </w:pPr>
            <w:r>
              <w:rPr>
                <w:rFonts w:ascii="Arial" w:cs="Arial" w:eastAsia="Arial" w:hAnsi="Arial"/>
                <w:sz w:val="13"/>
                <w:szCs w:val="13"/>
                <w:b w:val="1"/>
                <w:bCs w:val="1"/>
                <w:color w:val="auto"/>
              </w:rPr>
              <w:t>Exhibit No.</w:t>
            </w:r>
          </w:p>
        </w:tc>
        <w:tc>
          <w:tcPr>
            <w:tcW w:w="20" w:type="dxa"/>
            <w:vAlign w:val="bottom"/>
          </w:tcPr>
          <w:p>
            <w:pPr>
              <w:spacing w:after="0"/>
              <w:rPr>
                <w:sz w:val="15"/>
                <w:szCs w:val="15"/>
                <w:color w:val="auto"/>
              </w:rPr>
            </w:pPr>
          </w:p>
        </w:tc>
        <w:tc>
          <w:tcPr>
            <w:tcW w:w="10040" w:type="dxa"/>
            <w:vAlign w:val="bottom"/>
            <w:gridSpan w:val="10"/>
          </w:tcPr>
          <w:p>
            <w:pPr>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74"/>
        </w:trPr>
        <w:tc>
          <w:tcPr>
            <w:tcW w:w="1280" w:type="dxa"/>
            <w:vAlign w:val="bottom"/>
            <w:tcBorders>
              <w:top w:val="single" w:sz="8" w:color="auto"/>
            </w:tcBorders>
          </w:tcPr>
          <w:p>
            <w:pPr>
              <w:jc w:val="right"/>
              <w:ind w:right="74"/>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040" w:type="dxa"/>
            <w:vAlign w:val="bottom"/>
            <w:tcBorders>
              <w:top w:val="single" w:sz="8" w:color="auto"/>
            </w:tcBorders>
            <w:gridSpan w:val="7"/>
            <w:vMerge w:val="restart"/>
          </w:tcPr>
          <w:p>
            <w:pPr>
              <w:spacing w:after="0" w:line="150" w:lineRule="exact"/>
              <w:rPr>
                <w:rFonts w:ascii="Arial" w:cs="Arial" w:eastAsia="Arial" w:hAnsi="Arial"/>
                <w:sz w:val="13"/>
                <w:szCs w:val="13"/>
                <w:color w:val="0000FF"/>
                <w:w w:val="93"/>
              </w:rPr>
            </w:pPr>
            <w:hyperlink r:id="rId24">
              <w:r>
                <w:rPr>
                  <w:rFonts w:ascii="Arial" w:cs="Arial" w:eastAsia="Arial" w:hAnsi="Arial"/>
                  <w:sz w:val="13"/>
                  <w:szCs w:val="13"/>
                  <w:color w:val="0000FF"/>
                  <w:w w:val="93"/>
                </w:rPr>
                <w:t>Restated Certificate of Incorporation of the Registrant, incorporated by reference to Registrant’s Registration Statement on Form S</w:t>
              </w:r>
              <w:r>
                <w:rPr>
                  <w:rFonts w:ascii="MS PGothic" w:cs="MS PGothic" w:eastAsia="MS PGothic" w:hAnsi="MS PGothic"/>
                  <w:sz w:val="13"/>
                  <w:szCs w:val="13"/>
                  <w:color w:val="0000FF"/>
                  <w:w w:val="93"/>
                </w:rPr>
                <w:t>‑</w:t>
              </w:r>
              <w:r>
                <w:rPr>
                  <w:rFonts w:ascii="Arial" w:cs="Arial" w:eastAsia="Arial" w:hAnsi="Arial"/>
                  <w:sz w:val="13"/>
                  <w:szCs w:val="13"/>
                  <w:color w:val="0000FF"/>
                  <w:w w:val="93"/>
                </w:rPr>
                <w:t>1 (Commission File No. 333</w:t>
              </w:r>
              <w:r>
                <w:rPr>
                  <w:rFonts w:ascii="MS PGothic" w:cs="MS PGothic" w:eastAsia="MS PGothic" w:hAnsi="MS PGothic"/>
                  <w:sz w:val="13"/>
                  <w:szCs w:val="13"/>
                  <w:color w:val="0000FF"/>
                  <w:w w:val="93"/>
                </w:rPr>
                <w:t>‑</w:t>
              </w:r>
              <w:r>
                <w:rPr>
                  <w:rFonts w:ascii="Arial" w:cs="Arial" w:eastAsia="Arial" w:hAnsi="Arial"/>
                  <w:sz w:val="13"/>
                  <w:szCs w:val="13"/>
                  <w:color w:val="0000FF"/>
                  <w:w w:val="93"/>
                </w:rPr>
                <w:t>132080).</w:t>
              </w:r>
            </w:hyperlink>
          </w:p>
        </w:tc>
        <w:tc>
          <w:tcPr>
            <w:tcW w:w="1000" w:type="dxa"/>
            <w:vAlign w:val="bottom"/>
            <w:tcBorders>
              <w:top w:val="single" w:sz="8" w:color="auto"/>
            </w:tcBorders>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40" w:type="dxa"/>
            <w:vAlign w:val="bottom"/>
            <w:tcBorders>
              <w:bottom w:val="single" w:sz="8" w:color="0000FF"/>
            </w:tcBorders>
            <w:gridSpan w:val="7"/>
            <w:vMerge w:val="continue"/>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1280" w:type="dxa"/>
            <w:vAlign w:val="bottom"/>
          </w:tcPr>
          <w:p>
            <w:pPr>
              <w:jc w:val="right"/>
              <w:ind w:right="74"/>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10"/>
            <w:vMerge w:val="restart"/>
          </w:tcPr>
          <w:p>
            <w:pPr>
              <w:spacing w:after="0" w:line="150" w:lineRule="exact"/>
              <w:rPr>
                <w:rFonts w:ascii="Arial" w:cs="Arial" w:eastAsia="Arial" w:hAnsi="Arial"/>
                <w:sz w:val="13"/>
                <w:szCs w:val="13"/>
                <w:color w:val="0000FF"/>
              </w:rPr>
            </w:pPr>
            <w:hyperlink r:id="rId25">
              <w:r>
                <w:rPr>
                  <w:rFonts w:ascii="Arial" w:cs="Arial" w:eastAsia="Arial" w:hAnsi="Arial"/>
                  <w:sz w:val="13"/>
                  <w:szCs w:val="13"/>
                  <w:color w:val="0000FF"/>
                </w:rPr>
                <w:t>Amended and Restated Bylaws of the Registrant, incorporated by reference to Registrant’s Registration Statement on Form S</w:t>
              </w:r>
              <w:r>
                <w:rPr>
                  <w:rFonts w:ascii="MS PGothic" w:cs="MS PGothic" w:eastAsia="MS PGothic" w:hAnsi="MS PGothic"/>
                  <w:sz w:val="13"/>
                  <w:szCs w:val="13"/>
                  <w:color w:val="0000FF"/>
                </w:rPr>
                <w:t>‑</w:t>
              </w:r>
              <w:r>
                <w:rPr>
                  <w:rFonts w:ascii="Arial" w:cs="Arial" w:eastAsia="Arial" w:hAnsi="Arial"/>
                  <w:sz w:val="13"/>
                  <w:szCs w:val="13"/>
                  <w:color w:val="0000FF"/>
                </w:rPr>
                <w:t>1 (Commission File No. 333</w:t>
              </w:r>
              <w:r>
                <w:rPr>
                  <w:rFonts w:ascii="MS PGothic" w:cs="MS PGothic" w:eastAsia="MS PGothic" w:hAnsi="MS PGothic"/>
                  <w:sz w:val="13"/>
                  <w:szCs w:val="13"/>
                  <w:color w:val="0000FF"/>
                </w:rPr>
                <w:t>‑</w:t>
              </w:r>
              <w:r>
                <w:rPr>
                  <w:rFonts w:ascii="Arial" w:cs="Arial" w:eastAsia="Arial" w:hAnsi="Arial"/>
                  <w:sz w:val="13"/>
                  <w:szCs w:val="13"/>
                  <w:color w:val="0000FF"/>
                </w:rPr>
                <w:t>132080).</w:t>
              </w:r>
            </w:hyperlink>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4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1280" w:type="dxa"/>
            <w:vAlign w:val="bottom"/>
          </w:tcPr>
          <w:p>
            <w:pPr>
              <w:jc w:val="right"/>
              <w:ind w:right="74"/>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20" w:type="dxa"/>
            <w:vAlign w:val="bottom"/>
            <w:tcBorders>
              <w:top w:val="single" w:sz="8" w:color="0000FF"/>
              <w:bottom w:val="single" w:sz="8" w:color="0000FF"/>
            </w:tcBorders>
            <w:gridSpan w:val="2"/>
          </w:tcPr>
          <w:p>
            <w:pPr>
              <w:spacing w:after="0"/>
              <w:rPr>
                <w:rFonts w:ascii="Arial" w:cs="Arial" w:eastAsia="Arial" w:hAnsi="Arial"/>
                <w:sz w:val="13"/>
                <w:szCs w:val="13"/>
                <w:color w:val="0000FF"/>
                <w:w w:val="93"/>
              </w:rPr>
            </w:pPr>
            <w:hyperlink r:id="rId26">
              <w:r>
                <w:rPr>
                  <w:rFonts w:ascii="Arial" w:cs="Arial" w:eastAsia="Arial" w:hAnsi="Arial"/>
                  <w:sz w:val="13"/>
                  <w:szCs w:val="13"/>
                  <w:color w:val="0000FF"/>
                  <w:w w:val="93"/>
                </w:rPr>
                <w:t>Certificate of designations of Series A Convertible Participating Perpetual Preferred Stock</w:t>
              </w:r>
            </w:hyperlink>
          </w:p>
        </w:tc>
        <w:tc>
          <w:tcPr>
            <w:tcW w:w="3920" w:type="dxa"/>
            <w:vAlign w:val="bottom"/>
            <w:tcBorders>
              <w:top w:val="single" w:sz="8" w:color="0000FF"/>
            </w:tcBorders>
            <w:gridSpan w:val="4"/>
          </w:tcPr>
          <w:p>
            <w:pPr>
              <w:spacing w:after="0"/>
              <w:rPr>
                <w:sz w:val="14"/>
                <w:szCs w:val="14"/>
                <w:color w:val="auto"/>
              </w:rPr>
            </w:pPr>
          </w:p>
        </w:tc>
        <w:tc>
          <w:tcPr>
            <w:tcW w:w="13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10.4†</w:t>
            </w:r>
          </w:p>
        </w:tc>
        <w:tc>
          <w:tcPr>
            <w:tcW w:w="20" w:type="dxa"/>
            <w:vAlign w:val="bottom"/>
          </w:tcPr>
          <w:p>
            <w:pPr>
              <w:spacing w:after="0"/>
              <w:rPr>
                <w:sz w:val="19"/>
                <w:szCs w:val="19"/>
                <w:color w:val="auto"/>
              </w:rPr>
            </w:pPr>
          </w:p>
        </w:tc>
        <w:tc>
          <w:tcPr>
            <w:tcW w:w="4940" w:type="dxa"/>
            <w:vAlign w:val="bottom"/>
            <w:tcBorders>
              <w:bottom w:val="single" w:sz="8" w:color="0000FF"/>
            </w:tcBorders>
            <w:gridSpan w:val="3"/>
          </w:tcPr>
          <w:p>
            <w:pPr>
              <w:spacing w:after="0"/>
              <w:rPr>
                <w:rFonts w:ascii="Arial" w:cs="Arial" w:eastAsia="Arial" w:hAnsi="Arial"/>
                <w:sz w:val="13"/>
                <w:szCs w:val="13"/>
                <w:color w:val="0000FF"/>
                <w:w w:val="92"/>
              </w:rPr>
            </w:pPr>
            <w:hyperlink w:anchor="page56">
              <w:r>
                <w:rPr>
                  <w:rFonts w:ascii="Arial" w:cs="Arial" w:eastAsia="Arial" w:hAnsi="Arial"/>
                  <w:sz w:val="13"/>
                  <w:szCs w:val="13"/>
                  <w:color w:val="0000FF"/>
                  <w:w w:val="92"/>
                </w:rPr>
                <w:t>Employment Agreement dated as of August 9, 2018 between the Registrant and David Clark</w:t>
              </w:r>
            </w:hyperlink>
          </w:p>
        </w:tc>
        <w:tc>
          <w:tcPr>
            <w:tcW w:w="510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1280" w:type="dxa"/>
            <w:vAlign w:val="bottom"/>
          </w:tcPr>
          <w:p>
            <w:pPr>
              <w:jc w:val="right"/>
              <w:ind w:right="74"/>
              <w:spacing w:after="0"/>
              <w:rPr>
                <w:sz w:val="20"/>
                <w:szCs w:val="20"/>
                <w:color w:val="auto"/>
              </w:rPr>
            </w:pPr>
            <w:r>
              <w:rPr>
                <w:rFonts w:ascii="Arial" w:cs="Arial" w:eastAsia="Arial" w:hAnsi="Arial"/>
                <w:sz w:val="13"/>
                <w:szCs w:val="13"/>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10"/>
            <w:vMerge w:val="restart"/>
          </w:tcPr>
          <w:p>
            <w:pPr>
              <w:spacing w:after="0" w:line="150" w:lineRule="exact"/>
              <w:rPr>
                <w:rFonts w:ascii="Arial" w:cs="Arial" w:eastAsia="Arial" w:hAnsi="Arial"/>
                <w:sz w:val="13"/>
                <w:szCs w:val="13"/>
                <w:color w:val="0000FF"/>
              </w:rPr>
            </w:pPr>
            <w:hyperlink w:anchor="page63">
              <w:r>
                <w:rPr>
                  <w:rFonts w:ascii="Arial" w:cs="Arial" w:eastAsia="Arial" w:hAnsi="Arial"/>
                  <w:sz w:val="13"/>
                  <w:szCs w:val="13"/>
                  <w:color w:val="0000FF"/>
                </w:rPr>
                <w:t>Certification of Principal Executive Officer pursuant to Rule 13a</w:t>
              </w:r>
              <w:r>
                <w:rPr>
                  <w:rFonts w:ascii="MS PGothic" w:cs="MS PGothic" w:eastAsia="MS PGothic" w:hAnsi="MS PGothic"/>
                  <w:sz w:val="13"/>
                  <w:szCs w:val="13"/>
                  <w:color w:val="0000FF"/>
                </w:rPr>
                <w:t>‑</w:t>
              </w:r>
              <w:r>
                <w:rPr>
                  <w:rFonts w:ascii="Arial" w:cs="Arial" w:eastAsia="Arial" w:hAnsi="Arial"/>
                  <w:sz w:val="13"/>
                  <w:szCs w:val="13"/>
                  <w:color w:val="0000FF"/>
                </w:rPr>
                <w:t>14(a) of the Exchange Act, as adopted pursuant to section 302 of the Sarbanes</w:t>
              </w:r>
              <w:r>
                <w:rPr>
                  <w:rFonts w:ascii="MS PGothic" w:cs="MS PGothic" w:eastAsia="MS PGothic" w:hAnsi="MS PGothic"/>
                  <w:sz w:val="13"/>
                  <w:szCs w:val="13"/>
                  <w:color w:val="0000FF"/>
                </w:rPr>
                <w:t>‑</w:t>
              </w:r>
              <w:r>
                <w:rPr>
                  <w:rFonts w:ascii="Arial" w:cs="Arial" w:eastAsia="Arial" w:hAnsi="Arial"/>
                  <w:sz w:val="13"/>
                  <w:szCs w:val="13"/>
                  <w:color w:val="0000FF"/>
                </w:rPr>
                <w:t>Oxley Act of 2002</w:t>
              </w:r>
            </w:hyperlink>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4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1280" w:type="dxa"/>
            <w:vAlign w:val="bottom"/>
          </w:tcPr>
          <w:p>
            <w:pPr>
              <w:jc w:val="right"/>
              <w:ind w:right="74"/>
              <w:spacing w:after="0"/>
              <w:rPr>
                <w:sz w:val="20"/>
                <w:szCs w:val="20"/>
                <w:color w:val="auto"/>
              </w:rPr>
            </w:pPr>
            <w:r>
              <w:rPr>
                <w:rFonts w:ascii="Arial" w:cs="Arial" w:eastAsia="Arial" w:hAnsi="Arial"/>
                <w:sz w:val="13"/>
                <w:szCs w:val="13"/>
                <w:color w:val="auto"/>
              </w:rPr>
              <w:t>31.2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80" w:type="dxa"/>
            <w:vAlign w:val="bottom"/>
            <w:tcBorders>
              <w:top w:val="single" w:sz="8" w:color="0000FF"/>
            </w:tcBorders>
            <w:gridSpan w:val="5"/>
            <w:vMerge w:val="restart"/>
          </w:tcPr>
          <w:p>
            <w:pPr>
              <w:spacing w:after="0" w:line="150" w:lineRule="exact"/>
              <w:rPr>
                <w:rFonts w:ascii="Arial" w:cs="Arial" w:eastAsia="Arial" w:hAnsi="Arial"/>
                <w:sz w:val="13"/>
                <w:szCs w:val="13"/>
                <w:color w:val="0000FF"/>
                <w:w w:val="93"/>
              </w:rPr>
            </w:pPr>
            <w:hyperlink w:anchor="page64">
              <w:r>
                <w:rPr>
                  <w:rFonts w:ascii="Arial" w:cs="Arial" w:eastAsia="Arial" w:hAnsi="Arial"/>
                  <w:sz w:val="13"/>
                  <w:szCs w:val="13"/>
                  <w:color w:val="0000FF"/>
                  <w:w w:val="93"/>
                </w:rPr>
                <w:t>Certification of Principal Financial Officer pursuant to Rule 13a</w:t>
              </w:r>
              <w:r>
                <w:rPr>
                  <w:rFonts w:ascii="MS PGothic" w:cs="MS PGothic" w:eastAsia="MS PGothic" w:hAnsi="MS PGothic"/>
                  <w:sz w:val="13"/>
                  <w:szCs w:val="13"/>
                  <w:color w:val="0000FF"/>
                  <w:w w:val="93"/>
                </w:rPr>
                <w:t>‑</w:t>
              </w:r>
              <w:r>
                <w:rPr>
                  <w:rFonts w:ascii="Arial" w:cs="Arial" w:eastAsia="Arial" w:hAnsi="Arial"/>
                  <w:sz w:val="13"/>
                  <w:szCs w:val="13"/>
                  <w:color w:val="0000FF"/>
                  <w:w w:val="93"/>
                </w:rPr>
                <w:t>14(a) of the Exchange Act, as adopted pursuant to section 302 of the Sarbanes</w:t>
              </w:r>
              <w:r>
                <w:rPr>
                  <w:rFonts w:ascii="MS PGothic" w:cs="MS PGothic" w:eastAsia="MS PGothic" w:hAnsi="MS PGothic"/>
                  <w:sz w:val="13"/>
                  <w:szCs w:val="13"/>
                  <w:color w:val="0000FF"/>
                  <w:w w:val="93"/>
                </w:rPr>
                <w:t>‑</w:t>
              </w:r>
              <w:r>
                <w:rPr>
                  <w:rFonts w:ascii="Arial" w:cs="Arial" w:eastAsia="Arial" w:hAnsi="Arial"/>
                  <w:sz w:val="13"/>
                  <w:szCs w:val="13"/>
                  <w:color w:val="0000FF"/>
                  <w:w w:val="93"/>
                </w:rPr>
                <w:t>Oxley Act of 2002</w:t>
              </w:r>
            </w:hyperlink>
          </w:p>
        </w:tc>
        <w:tc>
          <w:tcPr>
            <w:tcW w:w="1360" w:type="dxa"/>
            <w:vAlign w:val="bottom"/>
            <w:gridSpan w:val="5"/>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80" w:type="dxa"/>
            <w:vAlign w:val="bottom"/>
            <w:gridSpan w:val="5"/>
            <w:vMerge w:val="continue"/>
          </w:tcPr>
          <w:p>
            <w:pPr>
              <w:spacing w:after="0"/>
              <w:rPr>
                <w:sz w:val="3"/>
                <w:szCs w:val="3"/>
                <w:color w:val="auto"/>
              </w:rPr>
            </w:pPr>
          </w:p>
        </w:tc>
        <w:tc>
          <w:tcPr>
            <w:tcW w:w="13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0" w:type="dxa"/>
            <w:vAlign w:val="bottom"/>
            <w:gridSpan w:val="3"/>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280" w:type="dxa"/>
            <w:vAlign w:val="bottom"/>
          </w:tcPr>
          <w:p>
            <w:pPr>
              <w:jc w:val="right"/>
              <w:ind w:right="74"/>
              <w:spacing w:after="0"/>
              <w:rPr>
                <w:sz w:val="20"/>
                <w:szCs w:val="20"/>
                <w:color w:val="auto"/>
              </w:rPr>
            </w:pPr>
            <w:r>
              <w:rPr>
                <w:rFonts w:ascii="Arial" w:cs="Arial" w:eastAsia="Arial" w:hAnsi="Arial"/>
                <w:sz w:val="13"/>
                <w:szCs w:val="13"/>
                <w:color w:val="auto"/>
              </w:rPr>
              <w:t>32.1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10"/>
          </w:tcPr>
          <w:p>
            <w:pPr>
              <w:spacing w:after="0" w:line="150" w:lineRule="exact"/>
              <w:rPr>
                <w:rFonts w:ascii="Arial" w:cs="Arial" w:eastAsia="Arial" w:hAnsi="Arial"/>
                <w:sz w:val="13"/>
                <w:szCs w:val="13"/>
                <w:color w:val="0000FF"/>
                <w:w w:val="93"/>
              </w:rPr>
            </w:pPr>
            <w:hyperlink w:anchor="page65">
              <w:r>
                <w:rPr>
                  <w:rFonts w:ascii="Arial" w:cs="Arial" w:eastAsia="Arial" w:hAnsi="Arial"/>
                  <w:sz w:val="13"/>
                  <w:szCs w:val="13"/>
                  <w:color w:val="0000FF"/>
                  <w:w w:val="93"/>
                </w:rPr>
                <w:t>Certification of Principal Executive Officer pursuant to Rule 13a</w:t>
              </w:r>
              <w:r>
                <w:rPr>
                  <w:rFonts w:ascii="MS PGothic" w:cs="MS PGothic" w:eastAsia="MS PGothic" w:hAnsi="MS PGothic"/>
                  <w:sz w:val="13"/>
                  <w:szCs w:val="13"/>
                  <w:color w:val="0000FF"/>
                  <w:w w:val="93"/>
                </w:rPr>
                <w:t>‑</w:t>
              </w:r>
              <w:r>
                <w:rPr>
                  <w:rFonts w:ascii="Arial" w:cs="Arial" w:eastAsia="Arial" w:hAnsi="Arial"/>
                  <w:sz w:val="13"/>
                  <w:szCs w:val="13"/>
                  <w:color w:val="0000FF"/>
                  <w:w w:val="93"/>
                </w:rPr>
                <w:t>14(b) of the Exchange Act and section 18 U.S.C. Section 1350, as adopted pursuant to section 906 of the Sarbanes</w:t>
              </w:r>
              <w:r>
                <w:rPr>
                  <w:rFonts w:ascii="MS PGothic" w:cs="MS PGothic" w:eastAsia="MS PGothic" w:hAnsi="MS PGothic"/>
                  <w:sz w:val="13"/>
                  <w:szCs w:val="13"/>
                  <w:color w:val="0000FF"/>
                  <w:w w:val="93"/>
                </w:rPr>
                <w:t>‑</w:t>
              </w:r>
              <w:r>
                <w:rPr>
                  <w:rFonts w:ascii="Arial" w:cs="Arial" w:eastAsia="Arial" w:hAnsi="Arial"/>
                  <w:sz w:val="13"/>
                  <w:szCs w:val="13"/>
                  <w:color w:val="0000FF"/>
                  <w:w w:val="93"/>
                </w:rPr>
                <w:t>Oxley</w:t>
              </w:r>
            </w:hyperlink>
          </w:p>
        </w:tc>
        <w:tc>
          <w:tcPr>
            <w:tcW w:w="0" w:type="dxa"/>
            <w:vAlign w:val="bottom"/>
          </w:tcPr>
          <w:p>
            <w:pPr>
              <w:spacing w:after="0"/>
              <w:rPr>
                <w:sz w:val="1"/>
                <w:szCs w:val="1"/>
                <w:color w:val="auto"/>
              </w:rPr>
            </w:pPr>
          </w:p>
        </w:tc>
      </w:tr>
      <w:tr>
        <w:trPr>
          <w:trHeight w:val="117"/>
        </w:trPr>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0" w:type="dxa"/>
            <w:vAlign w:val="bottom"/>
            <w:tcBorders>
              <w:top w:val="single" w:sz="8" w:color="0000FF"/>
            </w:tcBorders>
            <w:gridSpan w:val="8"/>
          </w:tcPr>
          <w:p>
            <w:pPr>
              <w:spacing w:after="0" w:line="117" w:lineRule="exact"/>
              <w:rPr>
                <w:rFonts w:ascii="Arial" w:cs="Arial" w:eastAsia="Arial" w:hAnsi="Arial"/>
                <w:sz w:val="13"/>
                <w:szCs w:val="13"/>
                <w:color w:val="0000FF"/>
              </w:rPr>
            </w:pPr>
            <w:hyperlink w:anchor="page65">
              <w:r>
                <w:rPr>
                  <w:rFonts w:ascii="Arial" w:cs="Arial" w:eastAsia="Arial" w:hAnsi="Arial"/>
                  <w:sz w:val="13"/>
                  <w:szCs w:val="13"/>
                  <w:color w:val="0000FF"/>
                </w:rPr>
                <w:t>Act of 2002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3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280" w:type="dxa"/>
            <w:vAlign w:val="bottom"/>
          </w:tcPr>
          <w:p>
            <w:pPr>
              <w:jc w:val="right"/>
              <w:ind w:right="74"/>
              <w:spacing w:after="0"/>
              <w:rPr>
                <w:sz w:val="20"/>
                <w:szCs w:val="20"/>
                <w:color w:val="auto"/>
              </w:rPr>
            </w:pPr>
            <w:r>
              <w:rPr>
                <w:rFonts w:ascii="Arial" w:cs="Arial" w:eastAsia="Arial" w:hAnsi="Arial"/>
                <w:sz w:val="13"/>
                <w:szCs w:val="13"/>
                <w:color w:val="auto"/>
              </w:rPr>
              <w:t>32.2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10"/>
          </w:tcPr>
          <w:p>
            <w:pPr>
              <w:spacing w:after="0" w:line="150" w:lineRule="exact"/>
              <w:rPr>
                <w:rFonts w:ascii="Arial" w:cs="Arial" w:eastAsia="Arial" w:hAnsi="Arial"/>
                <w:sz w:val="13"/>
                <w:szCs w:val="13"/>
                <w:color w:val="0000FF"/>
                <w:w w:val="94"/>
              </w:rPr>
            </w:pPr>
            <w:hyperlink w:anchor="page66">
              <w:r>
                <w:rPr>
                  <w:rFonts w:ascii="Arial" w:cs="Arial" w:eastAsia="Arial" w:hAnsi="Arial"/>
                  <w:sz w:val="13"/>
                  <w:szCs w:val="13"/>
                  <w:color w:val="0000FF"/>
                  <w:w w:val="94"/>
                </w:rPr>
                <w:t>Certification of Principal Financial Officer pursuant to Rule 13a</w:t>
              </w:r>
              <w:r>
                <w:rPr>
                  <w:rFonts w:ascii="MS PGothic" w:cs="MS PGothic" w:eastAsia="MS PGothic" w:hAnsi="MS PGothic"/>
                  <w:sz w:val="13"/>
                  <w:szCs w:val="13"/>
                  <w:color w:val="0000FF"/>
                  <w:w w:val="94"/>
                </w:rPr>
                <w:t>‑</w:t>
              </w:r>
              <w:r>
                <w:rPr>
                  <w:rFonts w:ascii="Arial" w:cs="Arial" w:eastAsia="Arial" w:hAnsi="Arial"/>
                  <w:sz w:val="13"/>
                  <w:szCs w:val="13"/>
                  <w:color w:val="0000FF"/>
                  <w:w w:val="94"/>
                </w:rPr>
                <w:t>14(b) of the Exchange Act and section 18 U.S.C. Section 1350, as adopted pursuant to section 906 of the Sarbanes</w:t>
              </w:r>
              <w:r>
                <w:rPr>
                  <w:rFonts w:ascii="MS PGothic" w:cs="MS PGothic" w:eastAsia="MS PGothic" w:hAnsi="MS PGothic"/>
                  <w:sz w:val="13"/>
                  <w:szCs w:val="13"/>
                  <w:color w:val="0000FF"/>
                  <w:w w:val="94"/>
                </w:rPr>
                <w:t>‑</w:t>
              </w:r>
              <w:r>
                <w:rPr>
                  <w:rFonts w:ascii="Arial" w:cs="Arial" w:eastAsia="Arial" w:hAnsi="Arial"/>
                  <w:sz w:val="13"/>
                  <w:szCs w:val="13"/>
                  <w:color w:val="0000FF"/>
                  <w:w w:val="94"/>
                </w:rPr>
                <w:t>Oxley</w:t>
              </w:r>
            </w:hyperlink>
          </w:p>
        </w:tc>
        <w:tc>
          <w:tcPr>
            <w:tcW w:w="0" w:type="dxa"/>
            <w:vAlign w:val="bottom"/>
          </w:tcPr>
          <w:p>
            <w:pPr>
              <w:spacing w:after="0"/>
              <w:rPr>
                <w:sz w:val="1"/>
                <w:szCs w:val="1"/>
                <w:color w:val="auto"/>
              </w:rPr>
            </w:pPr>
          </w:p>
        </w:tc>
      </w:tr>
      <w:tr>
        <w:trPr>
          <w:trHeight w:val="117"/>
        </w:trPr>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20" w:type="dxa"/>
            <w:vAlign w:val="bottom"/>
            <w:tcBorders>
              <w:top w:val="single" w:sz="8" w:color="0000FF"/>
            </w:tcBorders>
            <w:gridSpan w:val="9"/>
          </w:tcPr>
          <w:p>
            <w:pPr>
              <w:spacing w:after="0" w:line="117" w:lineRule="exact"/>
              <w:rPr>
                <w:rFonts w:ascii="Arial" w:cs="Arial" w:eastAsia="Arial" w:hAnsi="Arial"/>
                <w:sz w:val="13"/>
                <w:szCs w:val="13"/>
                <w:color w:val="0000FF"/>
              </w:rPr>
            </w:pPr>
            <w:hyperlink w:anchor="page66">
              <w:r>
                <w:rPr>
                  <w:rFonts w:ascii="Arial" w:cs="Arial" w:eastAsia="Arial" w:hAnsi="Arial"/>
                  <w:sz w:val="13"/>
                  <w:szCs w:val="13"/>
                  <w:color w:val="0000FF"/>
                </w:rPr>
                <w:t>Act of 2002</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101.INS</w:t>
            </w:r>
          </w:p>
        </w:tc>
        <w:tc>
          <w:tcPr>
            <w:tcW w:w="20" w:type="dxa"/>
            <w:vAlign w:val="bottom"/>
          </w:tcPr>
          <w:p>
            <w:pPr>
              <w:spacing w:after="0"/>
              <w:rPr>
                <w:sz w:val="16"/>
                <w:szCs w:val="16"/>
                <w:color w:val="auto"/>
              </w:rPr>
            </w:pPr>
          </w:p>
        </w:tc>
        <w:tc>
          <w:tcPr>
            <w:tcW w:w="10040" w:type="dxa"/>
            <w:vAlign w:val="bottom"/>
            <w:gridSpan w:val="10"/>
          </w:tcPr>
          <w:p>
            <w:pPr>
              <w:spacing w:after="0"/>
              <w:rPr>
                <w:sz w:val="20"/>
                <w:szCs w:val="20"/>
                <w:color w:val="auto"/>
              </w:rPr>
            </w:pPr>
            <w:r>
              <w:rPr>
                <w:rFonts w:ascii="Arial" w:cs="Arial" w:eastAsia="Arial" w:hAnsi="Arial"/>
                <w:sz w:val="13"/>
                <w:szCs w:val="13"/>
                <w:color w:val="auto"/>
              </w:rPr>
              <w:t>XBRL Instance Document</w:t>
            </w:r>
          </w:p>
        </w:tc>
        <w:tc>
          <w:tcPr>
            <w:tcW w:w="0" w:type="dxa"/>
            <w:vAlign w:val="bottom"/>
          </w:tcPr>
          <w:p>
            <w:pPr>
              <w:spacing w:after="0"/>
              <w:rPr>
                <w:sz w:val="1"/>
                <w:szCs w:val="1"/>
                <w:color w:val="auto"/>
              </w:rPr>
            </w:pPr>
          </w:p>
        </w:tc>
      </w:tr>
      <w:tr>
        <w:trPr>
          <w:trHeight w:val="249"/>
        </w:trPr>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101.SCH</w:t>
            </w:r>
          </w:p>
        </w:tc>
        <w:tc>
          <w:tcPr>
            <w:tcW w:w="20" w:type="dxa"/>
            <w:vAlign w:val="bottom"/>
          </w:tcPr>
          <w:p>
            <w:pPr>
              <w:spacing w:after="0"/>
              <w:rPr>
                <w:sz w:val="21"/>
                <w:szCs w:val="21"/>
                <w:color w:val="auto"/>
              </w:rPr>
            </w:pPr>
          </w:p>
        </w:tc>
        <w:tc>
          <w:tcPr>
            <w:tcW w:w="10040" w:type="dxa"/>
            <w:vAlign w:val="bottom"/>
            <w:gridSpan w:val="10"/>
          </w:tcPr>
          <w:p>
            <w:pPr>
              <w:spacing w:after="0"/>
              <w:rPr>
                <w:sz w:val="20"/>
                <w:szCs w:val="20"/>
                <w:color w:val="auto"/>
              </w:rPr>
            </w:pPr>
            <w:r>
              <w:rPr>
                <w:rFonts w:ascii="Arial" w:cs="Arial" w:eastAsia="Arial" w:hAnsi="Arial"/>
                <w:sz w:val="13"/>
                <w:szCs w:val="13"/>
                <w:color w:val="auto"/>
              </w:rPr>
              <w:t>XBRL Schema Document</w:t>
            </w:r>
          </w:p>
        </w:tc>
        <w:tc>
          <w:tcPr>
            <w:tcW w:w="0" w:type="dxa"/>
            <w:vAlign w:val="bottom"/>
          </w:tcPr>
          <w:p>
            <w:pPr>
              <w:spacing w:after="0"/>
              <w:rPr>
                <w:sz w:val="1"/>
                <w:szCs w:val="1"/>
                <w:color w:val="auto"/>
              </w:rPr>
            </w:pPr>
          </w:p>
        </w:tc>
      </w:tr>
      <w:tr>
        <w:trPr>
          <w:trHeight w:val="249"/>
        </w:trPr>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101.CAL</w:t>
            </w:r>
          </w:p>
        </w:tc>
        <w:tc>
          <w:tcPr>
            <w:tcW w:w="20" w:type="dxa"/>
            <w:vAlign w:val="bottom"/>
          </w:tcPr>
          <w:p>
            <w:pPr>
              <w:spacing w:after="0"/>
              <w:rPr>
                <w:sz w:val="21"/>
                <w:szCs w:val="21"/>
                <w:color w:val="auto"/>
              </w:rPr>
            </w:pPr>
          </w:p>
        </w:tc>
        <w:tc>
          <w:tcPr>
            <w:tcW w:w="10040" w:type="dxa"/>
            <w:vAlign w:val="bottom"/>
            <w:gridSpan w:val="10"/>
          </w:tcPr>
          <w:p>
            <w:pPr>
              <w:spacing w:after="0"/>
              <w:rPr>
                <w:sz w:val="20"/>
                <w:szCs w:val="20"/>
                <w:color w:val="auto"/>
              </w:rPr>
            </w:pPr>
            <w:r>
              <w:rPr>
                <w:rFonts w:ascii="Arial" w:cs="Arial" w:eastAsia="Arial" w:hAnsi="Arial"/>
                <w:sz w:val="13"/>
                <w:szCs w:val="13"/>
                <w:color w:val="auto"/>
              </w:rPr>
              <w:t>XBRL Calculation Linkbase Document</w:t>
            </w:r>
          </w:p>
        </w:tc>
        <w:tc>
          <w:tcPr>
            <w:tcW w:w="0" w:type="dxa"/>
            <w:vAlign w:val="bottom"/>
          </w:tcPr>
          <w:p>
            <w:pPr>
              <w:spacing w:after="0"/>
              <w:rPr>
                <w:sz w:val="1"/>
                <w:szCs w:val="1"/>
                <w:color w:val="auto"/>
              </w:rPr>
            </w:pPr>
          </w:p>
        </w:tc>
      </w:tr>
      <w:tr>
        <w:trPr>
          <w:trHeight w:val="249"/>
        </w:trPr>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101.DEF</w:t>
            </w:r>
          </w:p>
        </w:tc>
        <w:tc>
          <w:tcPr>
            <w:tcW w:w="20" w:type="dxa"/>
            <w:vAlign w:val="bottom"/>
          </w:tcPr>
          <w:p>
            <w:pPr>
              <w:spacing w:after="0"/>
              <w:rPr>
                <w:sz w:val="21"/>
                <w:szCs w:val="21"/>
                <w:color w:val="auto"/>
              </w:rPr>
            </w:pPr>
          </w:p>
        </w:tc>
        <w:tc>
          <w:tcPr>
            <w:tcW w:w="10040" w:type="dxa"/>
            <w:vAlign w:val="bottom"/>
            <w:gridSpan w:val="10"/>
          </w:tcPr>
          <w:p>
            <w:pPr>
              <w:spacing w:after="0"/>
              <w:rPr>
                <w:sz w:val="20"/>
                <w:szCs w:val="20"/>
                <w:color w:val="auto"/>
              </w:rPr>
            </w:pPr>
            <w:r>
              <w:rPr>
                <w:rFonts w:ascii="Arial" w:cs="Arial" w:eastAsia="Arial" w:hAnsi="Arial"/>
                <w:sz w:val="13"/>
                <w:szCs w:val="13"/>
                <w:color w:val="auto"/>
              </w:rPr>
              <w:t>XBRL Taxonomy Extension Definition Linkbase</w:t>
            </w:r>
          </w:p>
        </w:tc>
        <w:tc>
          <w:tcPr>
            <w:tcW w:w="0" w:type="dxa"/>
            <w:vAlign w:val="bottom"/>
          </w:tcPr>
          <w:p>
            <w:pPr>
              <w:spacing w:after="0"/>
              <w:rPr>
                <w:sz w:val="1"/>
                <w:szCs w:val="1"/>
                <w:color w:val="auto"/>
              </w:rPr>
            </w:pPr>
          </w:p>
        </w:tc>
      </w:tr>
      <w:tr>
        <w:trPr>
          <w:trHeight w:val="249"/>
        </w:trPr>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101.LAB</w:t>
            </w:r>
          </w:p>
        </w:tc>
        <w:tc>
          <w:tcPr>
            <w:tcW w:w="20" w:type="dxa"/>
            <w:vAlign w:val="bottom"/>
          </w:tcPr>
          <w:p>
            <w:pPr>
              <w:spacing w:after="0"/>
              <w:rPr>
                <w:sz w:val="21"/>
                <w:szCs w:val="21"/>
                <w:color w:val="auto"/>
              </w:rPr>
            </w:pPr>
          </w:p>
        </w:tc>
        <w:tc>
          <w:tcPr>
            <w:tcW w:w="10040" w:type="dxa"/>
            <w:vAlign w:val="bottom"/>
            <w:gridSpan w:val="10"/>
          </w:tcPr>
          <w:p>
            <w:pPr>
              <w:spacing w:after="0"/>
              <w:rPr>
                <w:sz w:val="20"/>
                <w:szCs w:val="20"/>
                <w:color w:val="auto"/>
              </w:rPr>
            </w:pPr>
            <w:r>
              <w:rPr>
                <w:rFonts w:ascii="Arial" w:cs="Arial" w:eastAsia="Arial" w:hAnsi="Arial"/>
                <w:sz w:val="13"/>
                <w:szCs w:val="13"/>
                <w:color w:val="auto"/>
              </w:rPr>
              <w:t>XBRL Labels Linkbase Document</w:t>
            </w:r>
          </w:p>
        </w:tc>
        <w:tc>
          <w:tcPr>
            <w:tcW w:w="0" w:type="dxa"/>
            <w:vAlign w:val="bottom"/>
          </w:tcPr>
          <w:p>
            <w:pPr>
              <w:spacing w:after="0"/>
              <w:rPr>
                <w:sz w:val="1"/>
                <w:szCs w:val="1"/>
                <w:color w:val="auto"/>
              </w:rPr>
            </w:pPr>
          </w:p>
        </w:tc>
      </w:tr>
      <w:tr>
        <w:trPr>
          <w:trHeight w:val="249"/>
        </w:trPr>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101.PRE</w:t>
            </w:r>
          </w:p>
        </w:tc>
        <w:tc>
          <w:tcPr>
            <w:tcW w:w="20" w:type="dxa"/>
            <w:vAlign w:val="bottom"/>
          </w:tcPr>
          <w:p>
            <w:pPr>
              <w:spacing w:after="0"/>
              <w:rPr>
                <w:sz w:val="21"/>
                <w:szCs w:val="21"/>
                <w:color w:val="auto"/>
              </w:rPr>
            </w:pPr>
          </w:p>
        </w:tc>
        <w:tc>
          <w:tcPr>
            <w:tcW w:w="10040" w:type="dxa"/>
            <w:vAlign w:val="bottom"/>
            <w:gridSpan w:val="10"/>
          </w:tcPr>
          <w:p>
            <w:pPr>
              <w:spacing w:after="0"/>
              <w:rPr>
                <w:sz w:val="20"/>
                <w:szCs w:val="20"/>
                <w:color w:val="auto"/>
              </w:rPr>
            </w:pPr>
            <w:r>
              <w:rPr>
                <w:rFonts w:ascii="Arial" w:cs="Arial" w:eastAsia="Arial" w:hAnsi="Arial"/>
                <w:sz w:val="13"/>
                <w:szCs w:val="13"/>
                <w:color w:val="auto"/>
              </w:rPr>
              <w:t>XBRL Presentation Linkbase Document</w:t>
            </w: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w:t>
      </w:r>
    </w:p>
    <w:p>
      <w:pPr>
        <w:spacing w:after="0" w:line="17" w:lineRule="exact"/>
        <w:rPr>
          <w:sz w:val="20"/>
          <w:szCs w:val="20"/>
          <w:color w:val="auto"/>
        </w:rPr>
      </w:pPr>
    </w:p>
    <w:p>
      <w:pPr>
        <w:ind w:left="300" w:hanging="300"/>
        <w:spacing w:after="0"/>
        <w:tabs>
          <w:tab w:leader="none" w:pos="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Compensation Arrangement.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127"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207" w:lineRule="exact"/>
        <w:rPr>
          <w:sz w:val="20"/>
          <w:szCs w:val="20"/>
          <w:color w:val="auto"/>
        </w:rPr>
      </w:pPr>
    </w:p>
    <w:p>
      <w:pPr>
        <w:ind w:firstLine="299"/>
        <w:spacing w:after="0" w:line="26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Synchronoss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2183765</wp:posOffset>
            </wp:positionH>
            <wp:positionV relativeFrom="paragraph">
              <wp:posOffset>26035</wp:posOffset>
            </wp:positionV>
            <wp:extent cx="391731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3917315" cy="7620"/>
                    </a:xfrm>
                    <a:prstGeom prst="rect">
                      <a:avLst/>
                    </a:prstGeom>
                    <a:noFill/>
                  </pic:spPr>
                </pic:pic>
              </a:graphicData>
            </a:graphic>
          </wp:anchor>
        </w:drawing>
      </w:r>
    </w:p>
    <w:p>
      <w:pPr>
        <w:spacing w:after="0" w:line="42"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Glenn Lurie</w:t>
      </w:r>
    </w:p>
    <w:p>
      <w:pPr>
        <w:spacing w:after="0" w:line="5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Chief Executive Officer</w:t>
      </w:r>
    </w:p>
    <w:p>
      <w:pPr>
        <w:spacing w:after="0" w:line="5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2183765</wp:posOffset>
            </wp:positionH>
            <wp:positionV relativeFrom="paragraph">
              <wp:posOffset>26035</wp:posOffset>
            </wp:positionV>
            <wp:extent cx="391731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3917315" cy="7620"/>
                    </a:xfrm>
                    <a:prstGeom prst="rect">
                      <a:avLst/>
                    </a:prstGeom>
                    <a:noFill/>
                  </pic:spPr>
                </pic:pic>
              </a:graphicData>
            </a:graphic>
          </wp:anchor>
        </w:drawing>
      </w:r>
    </w:p>
    <w:p>
      <w:pPr>
        <w:spacing w:after="0" w:line="42"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David Clark</w:t>
      </w:r>
    </w:p>
    <w:p>
      <w:pPr>
        <w:spacing w:after="0" w:line="5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November 9, 2018</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127"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30"/>
          <w:szCs w:val="30"/>
          <w:b w:val="1"/>
          <w:bCs w:val="1"/>
          <w:color w:val="auto"/>
        </w:rPr>
        <w:t>EMPLOYMENT AGREEMENT</w:t>
      </w:r>
    </w:p>
    <w:p>
      <w:pPr>
        <w:spacing w:after="0" w:line="306" w:lineRule="exact"/>
        <w:rPr>
          <w:sz w:val="20"/>
          <w:szCs w:val="20"/>
          <w:color w:val="auto"/>
        </w:rPr>
      </w:pPr>
    </w:p>
    <w:p>
      <w:pPr>
        <w:jc w:val="both"/>
        <w:ind w:firstLine="1196"/>
        <w:spacing w:after="0" w:line="262" w:lineRule="auto"/>
        <w:rPr>
          <w:sz w:val="20"/>
          <w:szCs w:val="20"/>
          <w:color w:val="auto"/>
        </w:rPr>
      </w:pPr>
      <w:r>
        <w:rPr>
          <w:rFonts w:ascii="Arial" w:cs="Arial" w:eastAsia="Arial" w:hAnsi="Arial"/>
          <w:sz w:val="22"/>
          <w:szCs w:val="22"/>
          <w:color w:val="auto"/>
        </w:rPr>
        <w:t xml:space="preserve">THIS AGREEMENT </w:t>
      </w:r>
      <w:r>
        <w:rPr>
          <w:rFonts w:ascii="Arial" w:cs="Arial" w:eastAsia="Arial" w:hAnsi="Arial"/>
          <w:sz w:val="19"/>
          <w:szCs w:val="19"/>
          <w:color w:val="auto"/>
        </w:rPr>
        <w:t>is entered into as of August 9 , 2018 (“Commencement Date”), by and between David Clark (the</w:t>
      </w:r>
      <w:r>
        <w:rPr>
          <w:rFonts w:ascii="Arial" w:cs="Arial" w:eastAsia="Arial" w:hAnsi="Arial"/>
          <w:sz w:val="22"/>
          <w:szCs w:val="22"/>
          <w:color w:val="auto"/>
        </w:rPr>
        <w:t xml:space="preserve"> </w:t>
      </w:r>
      <w:r>
        <w:rPr>
          <w:rFonts w:ascii="Arial" w:cs="Arial" w:eastAsia="Arial" w:hAnsi="Arial"/>
          <w:sz w:val="19"/>
          <w:szCs w:val="19"/>
          <w:color w:val="auto"/>
        </w:rPr>
        <w:t>“Executive”) and Synchronoss Technologies, Inc., a Delaware corporation (the “Company”). Except as otherwise provided herein, defined terms are set forth in Section 10 below.</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1.</w:t>
      </w:r>
      <w:r>
        <w:rPr>
          <w:rFonts w:ascii="Arial" w:cs="Arial" w:eastAsia="Arial" w:hAnsi="Arial"/>
          <w:sz w:val="20"/>
          <w:szCs w:val="20"/>
          <w:b w:val="1"/>
          <w:bCs w:val="1"/>
          <w:color w:val="auto"/>
        </w:rPr>
        <w:t>Duties and Scope of Employment.</w:t>
      </w:r>
    </w:p>
    <w:p>
      <w:pPr>
        <w:spacing w:after="0" w:line="206" w:lineRule="exact"/>
        <w:rPr>
          <w:sz w:val="20"/>
          <w:szCs w:val="20"/>
          <w:color w:val="auto"/>
        </w:rPr>
      </w:pPr>
    </w:p>
    <w:p>
      <w:pPr>
        <w:jc w:val="both"/>
        <w:spacing w:after="0" w:line="257" w:lineRule="auto"/>
        <w:tabs>
          <w:tab w:leader="none" w:pos="482"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Position</w:t>
      </w:r>
      <w:r>
        <w:rPr>
          <w:rFonts w:ascii="Arial" w:cs="Arial" w:eastAsia="Arial" w:hAnsi="Arial"/>
          <w:sz w:val="20"/>
          <w:szCs w:val="20"/>
          <w:color w:val="auto"/>
        </w:rPr>
        <w:t>. For the term of his employment under this Agreement (the “Employment”), the Company agrees to employ Executive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position of Chief Financial Officer. In such role, Executive shall be the Company’s principal financial officer for purposes of SEC reporting. Executive shall report to the Company’s Chief Executive Officer or his or her designee. Executive’s principal workplace shall be in Bridgewater, New Jersey.</w:t>
      </w:r>
    </w:p>
    <w:p>
      <w:pPr>
        <w:spacing w:after="0" w:line="162" w:lineRule="exact"/>
        <w:rPr>
          <w:sz w:val="20"/>
          <w:szCs w:val="20"/>
          <w:color w:val="auto"/>
        </w:rPr>
      </w:pPr>
    </w:p>
    <w:p>
      <w:pPr>
        <w:jc w:val="both"/>
        <w:spacing w:after="0" w:line="255" w:lineRule="auto"/>
        <w:tabs>
          <w:tab w:leader="none" w:pos="400" w:val="left"/>
        </w:tabs>
        <w:numPr>
          <w:ilvl w:val="0"/>
          <w:numId w:val="27"/>
        </w:numPr>
        <w:rPr>
          <w:rFonts w:ascii="Arial" w:cs="Arial" w:eastAsia="Arial" w:hAnsi="Arial"/>
          <w:sz w:val="20"/>
          <w:szCs w:val="20"/>
          <w:color w:val="auto"/>
        </w:rPr>
      </w:pPr>
      <w:r>
        <w:rPr>
          <w:rFonts w:ascii="Arial" w:cs="Arial" w:eastAsia="Arial" w:hAnsi="Arial"/>
          <w:sz w:val="20"/>
          <w:szCs w:val="20"/>
          <w:b w:val="1"/>
          <w:bCs w:val="1"/>
          <w:color w:val="auto"/>
        </w:rPr>
        <w:t>Obligations to the Company</w:t>
      </w:r>
      <w:r>
        <w:rPr>
          <w:rFonts w:ascii="Arial" w:cs="Arial" w:eastAsia="Arial" w:hAnsi="Arial"/>
          <w:sz w:val="20"/>
          <w:szCs w:val="20"/>
          <w:color w:val="auto"/>
        </w:rPr>
        <w:t>. During his Employment, Executive (i) shall devote substantially all of his full business efforts and time to</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(ii) shall not engage in any other employment, consulting or other business activity that would create a conflict of interest with the Company, (iii) shall not assist any person or entity in competing with the Company or in preparing to compete with the Company, (iv) shall comply with the Company’s policies and rules, as they may be in effect from time to time and (v) shall comply with the Proprietary Information and Inventions Agreement. This provision shall not restrict Executive’s ability to sit on non-profit boards and, subject to Board approval, at least one corporate board.</w:t>
      </w:r>
    </w:p>
    <w:p>
      <w:pPr>
        <w:spacing w:after="0" w:line="166" w:lineRule="exact"/>
        <w:rPr>
          <w:rFonts w:ascii="Arial" w:cs="Arial" w:eastAsia="Arial" w:hAnsi="Arial"/>
          <w:sz w:val="20"/>
          <w:szCs w:val="20"/>
          <w:color w:val="auto"/>
        </w:rPr>
      </w:pPr>
    </w:p>
    <w:p>
      <w:pPr>
        <w:jc w:val="both"/>
        <w:spacing w:after="0" w:line="293" w:lineRule="auto"/>
        <w:tabs>
          <w:tab w:leader="none" w:pos="399"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No Conflicting Obligations</w:t>
      </w:r>
      <w:r>
        <w:rPr>
          <w:rFonts w:ascii="Arial" w:cs="Arial" w:eastAsia="Arial" w:hAnsi="Arial"/>
          <w:sz w:val="18"/>
          <w:szCs w:val="18"/>
          <w:color w:val="auto"/>
        </w:rPr>
        <w:t>. Executive represents and warrants to the Company that he is under no obligations or commitments,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 or otherwise, that are inconsistent with his obligations under this Agreement. Executive represents and warrants that he will not use or disclose, in connection with his Employment, any trade secrets or other proprietary information or intellectual property in which Executive or any other person has any right, title or interest and that his Employment will not infringe or violate the rights of any other person. Executive represents and warrants to the Company that he has returned all property and confidential information belonging to any prior employer.</w:t>
      </w:r>
    </w:p>
    <w:p>
      <w:pPr>
        <w:spacing w:after="0" w:line="132" w:lineRule="exact"/>
        <w:rPr>
          <w:sz w:val="20"/>
          <w:szCs w:val="20"/>
          <w:color w:val="auto"/>
        </w:rPr>
      </w:pPr>
    </w:p>
    <w:p>
      <w:pPr>
        <w:ind w:right="40"/>
        <w:spacing w:after="0" w:line="271" w:lineRule="auto"/>
        <w:tabs>
          <w:tab w:leader="none" w:pos="443"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Indemnification/D&amp;O Insurance</w:t>
      </w:r>
      <w:r>
        <w:rPr>
          <w:rFonts w:ascii="Arial" w:cs="Arial" w:eastAsia="Arial" w:hAnsi="Arial"/>
          <w:sz w:val="19"/>
          <w:szCs w:val="19"/>
          <w:color w:val="auto"/>
        </w:rPr>
        <w:t>. To the maximum extent permitted by applicable law and the Company’s by-laws, the Company shall</w:t>
      </w:r>
      <w:r>
        <w:rPr>
          <w:rFonts w:ascii="Arial" w:cs="Arial" w:eastAsia="Arial" w:hAnsi="Arial"/>
          <w:sz w:val="19"/>
          <w:szCs w:val="19"/>
          <w:b w:val="1"/>
          <w:bCs w:val="1"/>
          <w:color w:val="auto"/>
        </w:rPr>
        <w:t xml:space="preserve"> </w:t>
      </w:r>
      <w:r>
        <w:rPr>
          <w:rFonts w:ascii="Arial" w:cs="Arial" w:eastAsia="Arial" w:hAnsi="Arial"/>
          <w:sz w:val="19"/>
          <w:szCs w:val="19"/>
          <w:color w:val="auto"/>
        </w:rPr>
        <w:t>indemnify Executive for all acts and omissions by him and any action on his part while acting in such capacity, and for losses that arise from serving at the request of the Company or a subsidiary thereof as a director, officer, employee or agent of another corporation, partnership, joint venture, trust, employee benefit plan or other enterprise. Executive shall be covered by directors’ and officers’ liability insurance on a basis no less favorable than provided to directors and officers of the Company, including “tail” coverage.</w:t>
      </w:r>
    </w:p>
    <w:p>
      <w:pPr>
        <w:spacing w:after="0" w:line="150" w:lineRule="exact"/>
        <w:rPr>
          <w:sz w:val="20"/>
          <w:szCs w:val="20"/>
          <w:color w:val="auto"/>
        </w:rPr>
      </w:pPr>
    </w:p>
    <w:p>
      <w:pPr>
        <w:spacing w:after="0"/>
        <w:tabs>
          <w:tab w:leader="none" w:pos="30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7"/>
          <w:szCs w:val="17"/>
          <w:b w:val="1"/>
          <w:bCs w:val="1"/>
          <w:color w:val="auto"/>
        </w:rPr>
        <w:t>Compensation</w:t>
      </w:r>
    </w:p>
    <w:p>
      <w:pPr>
        <w:spacing w:after="0" w:line="219" w:lineRule="exact"/>
        <w:rPr>
          <w:sz w:val="20"/>
          <w:szCs w:val="20"/>
          <w:color w:val="auto"/>
        </w:rPr>
      </w:pPr>
    </w:p>
    <w:p>
      <w:pPr>
        <w:jc w:val="both"/>
        <w:spacing w:after="0" w:line="261" w:lineRule="auto"/>
        <w:tabs>
          <w:tab w:leader="none" w:pos="400" w:val="left"/>
        </w:tabs>
        <w:numPr>
          <w:ilvl w:val="0"/>
          <w:numId w:val="29"/>
        </w:numPr>
        <w:rPr>
          <w:rFonts w:ascii="Arial" w:cs="Arial" w:eastAsia="Arial" w:hAnsi="Arial"/>
          <w:sz w:val="20"/>
          <w:szCs w:val="20"/>
          <w:color w:val="auto"/>
        </w:rPr>
      </w:pPr>
      <w:r>
        <w:rPr>
          <w:rFonts w:ascii="Arial" w:cs="Arial" w:eastAsia="Arial" w:hAnsi="Arial"/>
          <w:sz w:val="20"/>
          <w:szCs w:val="20"/>
          <w:b w:val="1"/>
          <w:bCs w:val="1"/>
          <w:color w:val="auto"/>
        </w:rPr>
        <w:t>Salary</w:t>
      </w:r>
      <w:r>
        <w:rPr>
          <w:rFonts w:ascii="Arial" w:cs="Arial" w:eastAsia="Arial" w:hAnsi="Arial"/>
          <w:sz w:val="20"/>
          <w:szCs w:val="20"/>
          <w:color w:val="auto"/>
        </w:rPr>
        <w:t>. The Company shall pay Executive as compensation for his services a base salary at a gross annual rate of not less than $385,000.</w:t>
      </w:r>
      <w:r>
        <w:rPr>
          <w:rFonts w:ascii="Arial" w:cs="Arial" w:eastAsia="Arial" w:hAnsi="Arial"/>
          <w:sz w:val="20"/>
          <w:szCs w:val="20"/>
          <w:b w:val="1"/>
          <w:bCs w:val="1"/>
          <w:color w:val="auto"/>
        </w:rPr>
        <w:t xml:space="preserve"> </w:t>
      </w:r>
      <w:r>
        <w:rPr>
          <w:rFonts w:ascii="Arial" w:cs="Arial" w:eastAsia="Arial" w:hAnsi="Arial"/>
          <w:sz w:val="20"/>
          <w:szCs w:val="20"/>
          <w:color w:val="auto"/>
        </w:rPr>
        <w:t>Such salary shall be payable in accordance with the Company’s standard payroll procedures. (The annual compensation specified in this Subsection (a), together with any increases in such compensation that the Company may grant from time to time, is referred to in this Agreement as “Base Salary.”)</w:t>
      </w:r>
    </w:p>
    <w:p>
      <w:pPr>
        <w:spacing w:after="0" w:line="158" w:lineRule="exact"/>
        <w:rPr>
          <w:rFonts w:ascii="Arial" w:cs="Arial" w:eastAsia="Arial" w:hAnsi="Arial"/>
          <w:sz w:val="20"/>
          <w:szCs w:val="20"/>
          <w:color w:val="auto"/>
        </w:rPr>
      </w:pPr>
    </w:p>
    <w:p>
      <w:pPr>
        <w:jc w:val="both"/>
        <w:spacing w:after="0" w:line="271" w:lineRule="auto"/>
        <w:tabs>
          <w:tab w:leader="none" w:pos="424" w:val="left"/>
        </w:tabs>
        <w:numPr>
          <w:ilvl w:val="0"/>
          <w:numId w:val="29"/>
        </w:numPr>
        <w:rPr>
          <w:rFonts w:ascii="Arial" w:cs="Arial" w:eastAsia="Arial" w:hAnsi="Arial"/>
          <w:sz w:val="19"/>
          <w:szCs w:val="19"/>
          <w:color w:val="auto"/>
        </w:rPr>
      </w:pPr>
      <w:r>
        <w:rPr>
          <w:rFonts w:ascii="Arial" w:cs="Arial" w:eastAsia="Arial" w:hAnsi="Arial"/>
          <w:sz w:val="19"/>
          <w:szCs w:val="19"/>
          <w:b w:val="1"/>
          <w:bCs w:val="1"/>
          <w:color w:val="auto"/>
        </w:rPr>
        <w:t>Incentive Bonuses</w:t>
      </w:r>
      <w:r>
        <w:rPr>
          <w:rFonts w:ascii="Arial" w:cs="Arial" w:eastAsia="Arial" w:hAnsi="Arial"/>
          <w:sz w:val="19"/>
          <w:szCs w:val="19"/>
          <w:color w:val="auto"/>
        </w:rPr>
        <w:t>. Executive shall be eligible for an annual incentive bonus with a target amount equal to 70% of his Base Salary (the</w:t>
      </w:r>
      <w:r>
        <w:rPr>
          <w:rFonts w:ascii="Arial" w:cs="Arial" w:eastAsia="Arial" w:hAnsi="Arial"/>
          <w:sz w:val="19"/>
          <w:szCs w:val="19"/>
          <w:b w:val="1"/>
          <w:bCs w:val="1"/>
          <w:color w:val="auto"/>
        </w:rPr>
        <w:t xml:space="preserve"> </w:t>
      </w:r>
      <w:r>
        <w:rPr>
          <w:rFonts w:ascii="Arial" w:cs="Arial" w:eastAsia="Arial" w:hAnsi="Arial"/>
          <w:sz w:val="19"/>
          <w:szCs w:val="19"/>
          <w:color w:val="auto"/>
        </w:rPr>
        <w:t>“Target Bonus”). Executive’s bonus (if any) shall be awarded based on criteria established by the Company’s Board of Directors (the “Board”) or its Compensation Committee. Executive shall not be entitled to an incentive bonus for a fiscal year if he is not employed by the Company on the last day of the fiscal year for which such bonus is payable or is provided notice of termination under Section 5(b) prior to such time. Any bonus for a fiscal year shall be paid within 2½ months after the close of that fiscal year. The determinations of the Board or its Compensation Committee with respect to such bonus shall be final and binding.</w:t>
      </w:r>
    </w:p>
    <w:p>
      <w:pPr>
        <w:spacing w:after="0" w:line="152" w:lineRule="exact"/>
        <w:rPr>
          <w:sz w:val="20"/>
          <w:szCs w:val="20"/>
          <w:color w:val="auto"/>
        </w:rPr>
      </w:pPr>
    </w:p>
    <w:p>
      <w:pPr>
        <w:jc w:val="both"/>
        <w:spacing w:after="0" w:line="279" w:lineRule="auto"/>
        <w:tabs>
          <w:tab w:leader="none" w:pos="391"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Paid Time Off and Employee Benefits. </w:t>
      </w:r>
      <w:r>
        <w:rPr>
          <w:rFonts w:ascii="Arial" w:cs="Arial" w:eastAsia="Arial" w:hAnsi="Arial"/>
          <w:sz w:val="19"/>
          <w:szCs w:val="19"/>
          <w:color w:val="auto"/>
        </w:rPr>
        <w:t>During his Employment, Executive shall be eligible for paid time off in accordance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Flex Time Policy, which allows and encourages employees to take a reasonable amount of paid vacation and personal time each calendar year without having to accrue hours. During his Employment, Executive shall be eligible to participate in the employee benefit plans maintained by the Company, subject in each case to the terms and conditions of the plan in question.</w:t>
      </w:r>
    </w:p>
    <w:p>
      <w:pPr>
        <w:spacing w:after="0" w:line="143" w:lineRule="exact"/>
        <w:rPr>
          <w:rFonts w:ascii="Arial" w:cs="Arial" w:eastAsia="Arial" w:hAnsi="Arial"/>
          <w:sz w:val="19"/>
          <w:szCs w:val="19"/>
          <w:b w:val="1"/>
          <w:bCs w:val="1"/>
          <w:color w:val="auto"/>
        </w:rPr>
      </w:pPr>
    </w:p>
    <w:p>
      <w:pPr>
        <w:jc w:val="both"/>
        <w:spacing w:after="0" w:line="268" w:lineRule="auto"/>
        <w:tabs>
          <w:tab w:leader="none" w:pos="366"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Business Expenses. </w:t>
      </w:r>
      <w:r>
        <w:rPr>
          <w:rFonts w:ascii="Arial" w:cs="Arial" w:eastAsia="Arial" w:hAnsi="Arial"/>
          <w:sz w:val="19"/>
          <w:szCs w:val="19"/>
          <w:color w:val="auto"/>
        </w:rPr>
        <w:t>During his Employment, Executive shall be authorized to incur necessary and reasonable travel, entertainment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other business expenses in connection with his duties hereunder. Notwithstanding anything to the contrary herein, except to the extent any expense or reimbursement provided pursuant to this Agreement does not constitute a “deferral of compensation” within the meaning of Section 409A of the Code, (a) the amount of expenses eligible for reimbursement provided to Executive during any calendar year will not affect the amount of expenses eligible for reimbursement or in-kind benefits provided to Executive in any other calendar year, (b) the reimbursements for expenses for which Executive is entitled to be reimbursed shall be made on or before the last day of the calendar year following the calendar year in which the applicable expense is incurred and (c) the right to payment or reimbursement hereunder may not be liquidated or exchanged for any other benefit.</w:t>
      </w:r>
    </w:p>
    <w:p>
      <w:pPr>
        <w:spacing w:after="0" w:line="154" w:lineRule="exact"/>
        <w:rPr>
          <w:rFonts w:ascii="Arial" w:cs="Arial" w:eastAsia="Arial" w:hAnsi="Arial"/>
          <w:sz w:val="19"/>
          <w:szCs w:val="19"/>
          <w:b w:val="1"/>
          <w:bCs w:val="1"/>
          <w:color w:val="auto"/>
        </w:rPr>
      </w:pPr>
    </w:p>
    <w:p>
      <w:pPr>
        <w:ind w:left="320" w:hanging="320"/>
        <w:spacing w:after="0"/>
        <w:tabs>
          <w:tab w:leader="none" w:pos="32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Term of Employment.</w:t>
      </w:r>
    </w:p>
    <w:p>
      <w:pPr>
        <w:spacing w:after="0" w:line="219" w:lineRule="exact"/>
        <w:rPr>
          <w:sz w:val="20"/>
          <w:szCs w:val="20"/>
          <w:color w:val="auto"/>
        </w:rPr>
      </w:pPr>
    </w:p>
    <w:p>
      <w:pPr>
        <w:jc w:val="both"/>
        <w:spacing w:after="0" w:line="261" w:lineRule="auto"/>
        <w:tabs>
          <w:tab w:leader="none" w:pos="412" w:val="left"/>
        </w:tabs>
        <w:numPr>
          <w:ilvl w:val="0"/>
          <w:numId w:val="31"/>
        </w:numPr>
        <w:rPr>
          <w:rFonts w:ascii="Arial" w:cs="Arial" w:eastAsia="Arial" w:hAnsi="Arial"/>
          <w:sz w:val="20"/>
          <w:szCs w:val="20"/>
          <w:color w:val="auto"/>
        </w:rPr>
      </w:pPr>
      <w:r>
        <w:rPr>
          <w:rFonts w:ascii="Arial" w:cs="Arial" w:eastAsia="Arial" w:hAnsi="Arial"/>
          <w:sz w:val="20"/>
          <w:szCs w:val="20"/>
          <w:b w:val="1"/>
          <w:bCs w:val="1"/>
          <w:color w:val="auto"/>
        </w:rPr>
        <w:t>Employment Term</w:t>
      </w:r>
      <w:r>
        <w:rPr>
          <w:rFonts w:ascii="Arial" w:cs="Arial" w:eastAsia="Arial" w:hAnsi="Arial"/>
          <w:sz w:val="20"/>
          <w:szCs w:val="20"/>
          <w:color w:val="auto"/>
        </w:rPr>
        <w:t>. The Company hereby employs Executive to render services to the Company in the position and with the duties and</w:t>
      </w:r>
      <w:r>
        <w:rPr>
          <w:rFonts w:ascii="Arial" w:cs="Arial" w:eastAsia="Arial" w:hAnsi="Arial"/>
          <w:sz w:val="20"/>
          <w:szCs w:val="20"/>
          <w:b w:val="1"/>
          <w:bCs w:val="1"/>
          <w:color w:val="auto"/>
        </w:rPr>
        <w:t xml:space="preserve"> </w:t>
      </w:r>
      <w:r>
        <w:rPr>
          <w:rFonts w:ascii="Arial" w:cs="Arial" w:eastAsia="Arial" w:hAnsi="Arial"/>
          <w:sz w:val="20"/>
          <w:szCs w:val="20"/>
          <w:color w:val="auto"/>
        </w:rPr>
        <w:t>responsibilities described in Section 1 for the period commencing on the Commencement Date and ending upon the earlier of (i) the date of Executive’s resignation from the Company and (ii) the date Executive’s Employment is terminated in accordance with Section 5(b) (the “Term”).</w:t>
      </w:r>
    </w:p>
    <w:p>
      <w:pPr>
        <w:sectPr>
          <w:pgSz w:w="11900" w:h="16838" w:orient="portrait"/>
          <w:cols w:equalWidth="0" w:num="1">
            <w:col w:w="11420"/>
          </w:cols>
          <w:pgMar w:left="240" w:top="774" w:right="239" w:bottom="0" w:gutter="0" w:footer="0" w:header="0"/>
        </w:sectPr>
      </w:pPr>
    </w:p>
    <w:bookmarkStart w:id="56" w:name="page57"/>
    <w:bookmarkEnd w:id="56"/>
    <w:p>
      <w:pPr>
        <w:spacing w:after="0" w:line="74" w:lineRule="exact"/>
        <w:rPr>
          <w:sz w:val="20"/>
          <w:szCs w:val="20"/>
          <w:color w:val="auto"/>
        </w:rPr>
      </w:pPr>
    </w:p>
    <w:p>
      <w:pPr>
        <w:jc w:val="both"/>
        <w:spacing w:after="0" w:line="269" w:lineRule="auto"/>
        <w:tabs>
          <w:tab w:leader="none" w:pos="411" w:val="left"/>
        </w:tabs>
        <w:numPr>
          <w:ilvl w:val="0"/>
          <w:numId w:val="32"/>
        </w:numPr>
        <w:rPr>
          <w:rFonts w:ascii="Arial" w:cs="Arial" w:eastAsia="Arial" w:hAnsi="Arial"/>
          <w:sz w:val="19"/>
          <w:szCs w:val="19"/>
          <w:color w:val="auto"/>
        </w:rPr>
      </w:pPr>
      <w:r>
        <w:rPr>
          <w:rFonts w:ascii="Arial" w:cs="Arial" w:eastAsia="Arial" w:hAnsi="Arial"/>
          <w:sz w:val="19"/>
          <w:szCs w:val="19"/>
          <w:b w:val="1"/>
          <w:bCs w:val="1"/>
          <w:color w:val="auto"/>
        </w:rPr>
        <w:t>Termination of Employment</w:t>
      </w:r>
      <w:r>
        <w:rPr>
          <w:rFonts w:ascii="Arial" w:cs="Arial" w:eastAsia="Arial" w:hAnsi="Arial"/>
          <w:sz w:val="19"/>
          <w:szCs w:val="19"/>
          <w:color w:val="auto"/>
        </w:rPr>
        <w:t>. The Company may terminate Executive’s Employment at any time and for any reason (or no reason), and</w:t>
      </w:r>
      <w:r>
        <w:rPr>
          <w:rFonts w:ascii="Arial" w:cs="Arial" w:eastAsia="Arial" w:hAnsi="Arial"/>
          <w:sz w:val="19"/>
          <w:szCs w:val="19"/>
          <w:b w:val="1"/>
          <w:bCs w:val="1"/>
          <w:color w:val="auto"/>
        </w:rPr>
        <w:t xml:space="preserve"> </w:t>
      </w:r>
      <w:r>
        <w:rPr>
          <w:rFonts w:ascii="Arial" w:cs="Arial" w:eastAsia="Arial" w:hAnsi="Arial"/>
          <w:sz w:val="19"/>
          <w:szCs w:val="19"/>
          <w:color w:val="auto"/>
        </w:rPr>
        <w:t>with or without Cause, by giving Executive 30 days’ advance notice in writing. Executive may terminate his Employment by giving the Company 30 days’ advance notice in writing. The Company shall have the right at any time during such 30-day period, to relieve Executive of his offices, duties and responsibilities and place him on a paid leave-of-absence status, provided that during such notice period, Executive shall remain a full-time employee of the Company and shall continue to receive his then current salary compensation and other benefits as provided in this Agreement. Executive’s Employment shall terminate automatically in the event of his death. The termination of Executive’s Employment shall not limit or otherwise affect his obligations under Section 7.</w:t>
      </w:r>
    </w:p>
    <w:p>
      <w:pPr>
        <w:spacing w:after="0" w:line="155" w:lineRule="exact"/>
        <w:rPr>
          <w:rFonts w:ascii="Arial" w:cs="Arial" w:eastAsia="Arial" w:hAnsi="Arial"/>
          <w:sz w:val="19"/>
          <w:szCs w:val="19"/>
          <w:color w:val="auto"/>
        </w:rPr>
      </w:pPr>
    </w:p>
    <w:p>
      <w:pPr>
        <w:jc w:val="both"/>
        <w:spacing w:after="0" w:line="255" w:lineRule="auto"/>
        <w:tabs>
          <w:tab w:leader="none" w:pos="612" w:val="left"/>
        </w:tabs>
        <w:numPr>
          <w:ilvl w:val="0"/>
          <w:numId w:val="32"/>
        </w:numPr>
        <w:rPr>
          <w:rFonts w:ascii="Arial" w:cs="Arial" w:eastAsia="Arial" w:hAnsi="Arial"/>
          <w:sz w:val="20"/>
          <w:szCs w:val="20"/>
          <w:color w:val="auto"/>
        </w:rPr>
      </w:pPr>
      <w:r>
        <w:rPr>
          <w:rFonts w:ascii="Arial" w:cs="Arial" w:eastAsia="Arial" w:hAnsi="Arial"/>
          <w:sz w:val="20"/>
          <w:szCs w:val="20"/>
          <w:b w:val="1"/>
          <w:bCs w:val="1"/>
          <w:color w:val="auto"/>
        </w:rPr>
        <w:t>Rights Upon Termination</w:t>
      </w:r>
      <w:r>
        <w:rPr>
          <w:rFonts w:ascii="Arial" w:cs="Arial" w:eastAsia="Arial" w:hAnsi="Arial"/>
          <w:sz w:val="20"/>
          <w:szCs w:val="20"/>
          <w:color w:val="auto"/>
        </w:rPr>
        <w:t>. Upon Executive’s termination of Employment for any reason, Executive shall be entitled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benefits and reimbursements described in Sections 1, 2, 3, and 4 for the period preceding the effective date of such termination or otherwise accrued before such termination. Upon the termination of Executive’s Employment under certain circumstances, Executive may be entitled to additional severance pay benefits described in Section 6. The payments under this Agreement shall fully discharge all responsibilities of the Company to Executive. This Agreement shall terminate when all obligations of the parties hereunder have been satisfied.</w:t>
      </w:r>
    </w:p>
    <w:p>
      <w:pPr>
        <w:spacing w:after="0" w:line="166" w:lineRule="exact"/>
        <w:rPr>
          <w:rFonts w:ascii="Arial" w:cs="Arial" w:eastAsia="Arial" w:hAnsi="Arial"/>
          <w:sz w:val="20"/>
          <w:szCs w:val="20"/>
          <w:color w:val="auto"/>
        </w:rPr>
      </w:pPr>
    </w:p>
    <w:p>
      <w:pPr>
        <w:jc w:val="both"/>
        <w:spacing w:after="0" w:line="287" w:lineRule="auto"/>
        <w:tabs>
          <w:tab w:leader="none" w:pos="411"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Rights Upon Death</w:t>
      </w:r>
      <w:r>
        <w:rPr>
          <w:rFonts w:ascii="Arial" w:cs="Arial" w:eastAsia="Arial" w:hAnsi="Arial"/>
          <w:sz w:val="18"/>
          <w:szCs w:val="18"/>
          <w:color w:val="auto"/>
        </w:rPr>
        <w:t>. If Executive’s Employment ends due to death, (A) Executive’s estate shall be entitled to receive an amount equal to</w:t>
      </w:r>
      <w:r>
        <w:rPr>
          <w:rFonts w:ascii="Arial" w:cs="Arial" w:eastAsia="Arial" w:hAnsi="Arial"/>
          <w:sz w:val="18"/>
          <w:szCs w:val="18"/>
          <w:b w:val="1"/>
          <w:bCs w:val="1"/>
          <w:color w:val="auto"/>
        </w:rPr>
        <w:t xml:space="preserve"> </w:t>
      </w:r>
      <w:r>
        <w:rPr>
          <w:rFonts w:ascii="Arial" w:cs="Arial" w:eastAsia="Arial" w:hAnsi="Arial"/>
          <w:sz w:val="18"/>
          <w:szCs w:val="18"/>
          <w:color w:val="auto"/>
        </w:rPr>
        <w:t>his target bonus for the fiscal year in which his death occurred (or, if greater, the bonus amount determined based on the applicable factors and actual performance for such fiscal year), prorated based on the number of days he was employed by the Company during that fiscal year and</w:t>
      </w:r>
    </w:p>
    <w:p>
      <w:pPr>
        <w:spacing w:after="0" w:line="2" w:lineRule="exact"/>
        <w:rPr>
          <w:rFonts w:ascii="Arial" w:cs="Arial" w:eastAsia="Arial" w:hAnsi="Arial"/>
          <w:sz w:val="18"/>
          <w:szCs w:val="18"/>
          <w:color w:val="auto"/>
        </w:rPr>
      </w:pPr>
    </w:p>
    <w:p>
      <w:pPr>
        <w:jc w:val="both"/>
        <w:spacing w:after="0" w:line="251" w:lineRule="auto"/>
        <w:rPr>
          <w:rFonts w:ascii="Arial" w:cs="Arial" w:eastAsia="Arial" w:hAnsi="Arial"/>
          <w:sz w:val="18"/>
          <w:szCs w:val="18"/>
          <w:color w:val="auto"/>
        </w:rPr>
      </w:pPr>
      <w:r>
        <w:rPr>
          <w:rFonts w:ascii="Arial" w:cs="Arial" w:eastAsia="Arial" w:hAnsi="Arial"/>
          <w:sz w:val="20"/>
          <w:szCs w:val="20"/>
          <w:color w:val="auto"/>
        </w:rPr>
        <w:t>(B) all stock options, shares of restricted stock (other than performance-related restricted stock), and other time-based equity awards granted by the Company and held by Executive at the time of his death shall be fully vested. All amounts under this Section 5(d) shall be paid no later than the date all regular employees are paid their bonuses.</w:t>
      </w:r>
    </w:p>
    <w:p>
      <w:pPr>
        <w:spacing w:after="0" w:line="166" w:lineRule="exact"/>
        <w:rPr>
          <w:rFonts w:ascii="Arial" w:cs="Arial" w:eastAsia="Arial" w:hAnsi="Arial"/>
          <w:sz w:val="18"/>
          <w:szCs w:val="18"/>
          <w:color w:val="auto"/>
        </w:rPr>
      </w:pPr>
    </w:p>
    <w:p>
      <w:pPr>
        <w:jc w:val="both"/>
        <w:spacing w:after="0" w:line="267" w:lineRule="auto"/>
        <w:tabs>
          <w:tab w:leader="none" w:pos="387" w:val="left"/>
        </w:tabs>
        <w:numPr>
          <w:ilvl w:val="0"/>
          <w:numId w:val="32"/>
        </w:numPr>
        <w:rPr>
          <w:rFonts w:ascii="Arial" w:cs="Arial" w:eastAsia="Arial" w:hAnsi="Arial"/>
          <w:sz w:val="19"/>
          <w:szCs w:val="19"/>
          <w:color w:val="auto"/>
        </w:rPr>
      </w:pPr>
      <w:r>
        <w:rPr>
          <w:rFonts w:ascii="Arial" w:cs="Arial" w:eastAsia="Arial" w:hAnsi="Arial"/>
          <w:sz w:val="19"/>
          <w:szCs w:val="19"/>
          <w:b w:val="1"/>
          <w:bCs w:val="1"/>
          <w:color w:val="auto"/>
        </w:rPr>
        <w:t>Rights Upon Permanent Disability</w:t>
      </w:r>
      <w:r>
        <w:rPr>
          <w:rFonts w:ascii="Arial" w:cs="Arial" w:eastAsia="Arial" w:hAnsi="Arial"/>
          <w:sz w:val="19"/>
          <w:szCs w:val="19"/>
          <w:color w:val="auto"/>
        </w:rPr>
        <w:t>. If Executive’s Employment ends due to Permanent Disability and a Separation occurs, (I)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entitled to receive (i) an amount equal to his Target Bonus for the fiscal year in which his Employment ended (or, if reasonably ascertainable and greater, the bonus amount determined based on the applicable factors and actual performance for such fiscal year), prorated based on the number of days he was employed by the Company during that fiscal year, and (ii) a lump sum amount equal to the product of (A) 24 and (B) the monthly amount the Company was paying on behalf of Executive and his eligible dependents with respect to the Company’s health insurance plans in which Executive and his eligible dependents were participants as of the date of Separation, and (II) all stock options, shares of restricted stock (other than performance-related restricted stock) and other time-based equity awards granted by the Company and held by Executive shall be fully vested as of the date of Executive’s Separation. The amounts payable under this Section 5(e) shall be paid no later 60 days after Executive’s Separation.</w:t>
      </w:r>
    </w:p>
    <w:p>
      <w:pPr>
        <w:spacing w:after="0" w:line="155" w:lineRule="exact"/>
        <w:rPr>
          <w:sz w:val="20"/>
          <w:szCs w:val="20"/>
          <w:color w:val="auto"/>
        </w:rPr>
      </w:pPr>
    </w:p>
    <w:p>
      <w:pPr>
        <w:spacing w:after="0"/>
        <w:tabs>
          <w:tab w:leader="none" w:pos="30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7"/>
          <w:szCs w:val="17"/>
          <w:b w:val="1"/>
          <w:bCs w:val="1"/>
          <w:color w:val="auto"/>
        </w:rPr>
        <w:t>Termination Benefits.</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b w:val="1"/>
          <w:bCs w:val="1"/>
          <w:color w:val="auto"/>
        </w:rPr>
        <w:t>Preconditions</w:t>
      </w:r>
      <w:r>
        <w:rPr>
          <w:rFonts w:ascii="Arial" w:cs="Arial" w:eastAsia="Arial" w:hAnsi="Arial"/>
          <w:sz w:val="18"/>
          <w:szCs w:val="18"/>
          <w:color w:val="auto"/>
        </w:rPr>
        <w:t>. Any other provision of this Agreement notwithstanding, Subsections (b) and (c) below shall not apply unless Executive:</w:t>
      </w:r>
    </w:p>
    <w:p>
      <w:pPr>
        <w:spacing w:after="0" w:line="225" w:lineRule="exact"/>
        <w:rPr>
          <w:sz w:val="20"/>
          <w:szCs w:val="20"/>
          <w:color w:val="auto"/>
        </w:rPr>
      </w:pPr>
    </w:p>
    <w:p>
      <w:pPr>
        <w:jc w:val="both"/>
        <w:spacing w:after="0" w:line="265" w:lineRule="auto"/>
        <w:tabs>
          <w:tab w:leader="none" w:pos="404" w:val="left"/>
        </w:tabs>
        <w:numPr>
          <w:ilvl w:val="0"/>
          <w:numId w:val="33"/>
        </w:numPr>
        <w:rPr>
          <w:rFonts w:ascii="Arial" w:cs="Arial" w:eastAsia="Arial" w:hAnsi="Arial"/>
          <w:sz w:val="20"/>
          <w:szCs w:val="20"/>
          <w:color w:val="auto"/>
        </w:rPr>
      </w:pPr>
      <w:r>
        <w:rPr>
          <w:rFonts w:ascii="Arial" w:cs="Arial" w:eastAsia="Arial" w:hAnsi="Arial"/>
          <w:sz w:val="20"/>
          <w:szCs w:val="20"/>
          <w:color w:val="auto"/>
        </w:rPr>
        <w:t>Has executed (or, with respect to Section 5(d), the executor or his estate has executed) a general release of all claims Executive (or his executor or estate) may have against the Company or persons affiliated with the Company (substantially in the form attached hereto as Exhibit A) (the “Release”);</w:t>
      </w:r>
    </w:p>
    <w:p>
      <w:pPr>
        <w:spacing w:after="0" w:line="160" w:lineRule="exact"/>
        <w:rPr>
          <w:rFonts w:ascii="Arial" w:cs="Arial" w:eastAsia="Arial" w:hAnsi="Arial"/>
          <w:sz w:val="20"/>
          <w:szCs w:val="20"/>
          <w:color w:val="auto"/>
        </w:rPr>
      </w:pPr>
    </w:p>
    <w:p>
      <w:pPr>
        <w:ind w:left="400" w:hanging="400"/>
        <w:spacing w:after="0"/>
        <w:tabs>
          <w:tab w:leader="none" w:pos="4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Complies with Executive’s obligations under Section 7 of this Agreement;</w:t>
      </w:r>
    </w:p>
    <w:p>
      <w:pPr>
        <w:spacing w:after="0" w:line="218" w:lineRule="exact"/>
        <w:rPr>
          <w:rFonts w:ascii="Arial" w:cs="Arial" w:eastAsia="Arial" w:hAnsi="Arial"/>
          <w:sz w:val="20"/>
          <w:szCs w:val="20"/>
          <w:color w:val="auto"/>
        </w:rPr>
      </w:pPr>
    </w:p>
    <w:p>
      <w:pPr>
        <w:ind w:left="460" w:hanging="460"/>
        <w:spacing w:after="0"/>
        <w:tabs>
          <w:tab w:leader="none" w:pos="4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Has returned all property of the Company in Executive’s possession; and</w:t>
      </w:r>
    </w:p>
    <w:p>
      <w:pPr>
        <w:spacing w:after="0" w:line="218" w:lineRule="exact"/>
        <w:rPr>
          <w:rFonts w:ascii="Arial" w:cs="Arial" w:eastAsia="Arial" w:hAnsi="Arial"/>
          <w:sz w:val="20"/>
          <w:szCs w:val="20"/>
          <w:color w:val="auto"/>
        </w:rPr>
      </w:pPr>
    </w:p>
    <w:p>
      <w:pPr>
        <w:spacing w:after="0" w:line="284" w:lineRule="auto"/>
        <w:tabs>
          <w:tab w:leader="none" w:pos="491" w:val="left"/>
        </w:tabs>
        <w:numPr>
          <w:ilvl w:val="0"/>
          <w:numId w:val="33"/>
        </w:numPr>
        <w:rPr>
          <w:rFonts w:ascii="Arial" w:cs="Arial" w:eastAsia="Arial" w:hAnsi="Arial"/>
          <w:sz w:val="20"/>
          <w:szCs w:val="20"/>
          <w:color w:val="auto"/>
        </w:rPr>
      </w:pPr>
      <w:r>
        <w:rPr>
          <w:rFonts w:ascii="Arial" w:cs="Arial" w:eastAsia="Arial" w:hAnsi="Arial"/>
          <w:sz w:val="20"/>
          <w:szCs w:val="20"/>
          <w:color w:val="auto"/>
        </w:rPr>
        <w:t>If requested by the Board, has resigned as a member of the Board and as a member of the boards of directors of all subsidiaries of the Company, to the extent applicable.</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Executive must execute and return the Release within the period of time set forth in the Release (the “Release Deadline”). The Release Deadline will in no event be later than 50 days after Executive’s Separation. If Executive fails to return the Release on or before the Release Deadline or if Executive revokes the Release, then Executive will not be entitled to the benefits described in this Section 6.</w:t>
      </w:r>
    </w:p>
    <w:p>
      <w:pPr>
        <w:spacing w:after="0" w:line="142" w:lineRule="exact"/>
        <w:rPr>
          <w:sz w:val="20"/>
          <w:szCs w:val="20"/>
          <w:color w:val="auto"/>
        </w:rPr>
      </w:pPr>
    </w:p>
    <w:p>
      <w:pPr>
        <w:ind w:left="420" w:hanging="420"/>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Severance Pay in the Absence of a Change in Control</w:t>
      </w:r>
      <w:r>
        <w:rPr>
          <w:rFonts w:ascii="Arial" w:cs="Arial" w:eastAsia="Arial" w:hAnsi="Arial"/>
          <w:sz w:val="18"/>
          <w:szCs w:val="18"/>
          <w:color w:val="auto"/>
        </w:rPr>
        <w:t>. If, during the term of this Agreement and not at a time described in subsection</w:t>
      </w:r>
    </w:p>
    <w:p>
      <w:pPr>
        <w:spacing w:after="0" w:line="52" w:lineRule="exact"/>
        <w:rPr>
          <w:rFonts w:ascii="Arial" w:cs="Arial" w:eastAsia="Arial" w:hAnsi="Arial"/>
          <w:sz w:val="18"/>
          <w:szCs w:val="18"/>
          <w:color w:val="auto"/>
        </w:rPr>
      </w:pPr>
    </w:p>
    <w:p>
      <w:pPr>
        <w:jc w:val="both"/>
        <w:spacing w:after="0" w:line="278" w:lineRule="auto"/>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below, Executive resigns his Employment for Good Reason and a Separation occurs or the Company terminates Executive’s Employment with the Company for a reason other than death, Cause or Permanent Disability and a Separation occurs, then the Company shall pay Executive a lump sum severance payment equal to (i) one and one-half times (A) his Base Salary in effect at the time of the termination of Employment plus, (B) his average annual bonus based on the actual amounts received in the immediately preceding two years and (ii) the product of (A) 24 and (B) the monthly amount the Company was paying on behalf of Executive and his eligible dependents with respect to the Company’s health insurance plans in which Executive and his eligible dependents were participants as of the date of Separation. In the event that Executive Employment is terminated for a reason other than death, Cause or Permanent Disability or Executive resigns his Employment for Good Reason under this Subsection (b) within two years after commencement of employment with the Company, then in lieu of using the average bonus received in the immediately preceding two years for the above calculation, such calculation shall use his Target Bonus in the year of termination if such termination under this Subsection (b) occurs in the first year of employment with the Company and the actual bonus Executive received during the first year of employment with the Company if such termination under this Subsection (b) occurs in the second year of employment with the Company. However, the amount of the severance payment under this Subsection (b) shall be reduced by the amount of any severance pay or pay in lieu of notice that Executive receives from the Company under a federal or state statute (including, without limitation, the Worker Adjustment and Retraining Notification Act).</w:t>
      </w:r>
    </w:p>
    <w:p>
      <w:pPr>
        <w:spacing w:after="0" w:line="148" w:lineRule="exact"/>
        <w:rPr>
          <w:sz w:val="20"/>
          <w:szCs w:val="20"/>
          <w:color w:val="auto"/>
        </w:rPr>
      </w:pPr>
    </w:p>
    <w:p>
      <w:pPr>
        <w:jc w:val="both"/>
        <w:spacing w:after="0" w:line="299" w:lineRule="auto"/>
        <w:tabs>
          <w:tab w:leader="none" w:pos="387"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Severance Pay in Connection with a Change in Control</w:t>
      </w:r>
      <w:r>
        <w:rPr>
          <w:rFonts w:ascii="Arial" w:cs="Arial" w:eastAsia="Arial" w:hAnsi="Arial"/>
          <w:sz w:val="18"/>
          <w:szCs w:val="18"/>
          <w:color w:val="auto"/>
        </w:rPr>
        <w:t>. If, during the term of this Agreement and within (i) 120 days prior to or (ii) 24</w:t>
      </w:r>
      <w:r>
        <w:rPr>
          <w:rFonts w:ascii="Arial" w:cs="Arial" w:eastAsia="Arial" w:hAnsi="Arial"/>
          <w:sz w:val="18"/>
          <w:szCs w:val="18"/>
          <w:b w:val="1"/>
          <w:bCs w:val="1"/>
          <w:color w:val="auto"/>
        </w:rPr>
        <w:t xml:space="preserve"> </w:t>
      </w:r>
      <w:r>
        <w:rPr>
          <w:rFonts w:ascii="Arial" w:cs="Arial" w:eastAsia="Arial" w:hAnsi="Arial"/>
          <w:sz w:val="18"/>
          <w:szCs w:val="18"/>
          <w:color w:val="auto"/>
        </w:rPr>
        <w:t>months following a Change in Control, Executive is subject to an Involuntary Termination, then (i) the Company shall pay Executive a lump sum severance payment equal to (x) two times his Base Salary in effect at the time of the termination of Employment plus two times Executive’s average bonus received in the immediately preceding two years and (y) a lump sum amount equal to the product of (A) 24 and (B)</w:t>
      </w:r>
    </w:p>
    <w:p>
      <w:pPr>
        <w:sectPr>
          <w:pgSz w:w="11900" w:h="16913" w:orient="portrait"/>
          <w:cols w:equalWidth="0" w:num="1">
            <w:col w:w="11420"/>
          </w:cols>
          <w:pgMar w:left="240" w:top="127" w:right="239" w:bottom="0" w:gutter="0" w:footer="0" w:header="0"/>
        </w:sectPr>
      </w:pPr>
    </w:p>
    <w:bookmarkStart w:id="57" w:name="page58"/>
    <w:bookmarkEnd w:id="57"/>
    <w:p>
      <w:pPr>
        <w:jc w:val="both"/>
        <w:spacing w:after="0" w:line="279" w:lineRule="auto"/>
        <w:rPr>
          <w:sz w:val="20"/>
          <w:szCs w:val="20"/>
          <w:color w:val="auto"/>
        </w:rPr>
      </w:pPr>
      <w:r>
        <w:rPr>
          <w:rFonts w:ascii="Arial" w:cs="Arial" w:eastAsia="Arial" w:hAnsi="Arial"/>
          <w:sz w:val="18"/>
          <w:szCs w:val="18"/>
          <w:color w:val="auto"/>
        </w:rPr>
        <w:t>the monthly amount the Company was paying on behalf of Executive and his eligible dependents with respect to the Company’s health insurance plans in which Executive and his eligible dependents were participants as of the date of Separation, and (ii) all stock options, shares of restricted stock (other than performance-related restricted stock that is tied to performance after the Change in Control), and other time-based equity awards granted by the Company and held by Executive shall be fully vested as of the date of the Involuntary Termination. In the event that Executive is subject to an Involuntary Termination under this Subsection (c) within two years after commencement of employment with the Company, then in lieu of using the average bonus received in the immediately preceding two years for the above calculation, such calculation shall use his Target Bonus in the year of the Involuntary Termination if such termination under this Subsection (c) occurs in the first year of employment with the Company and the actual bonus Executive received during the first year of employment with the Company if such termination under this Subsection (c) occurs in the second year of employment with the Company. However, the amount of the severance payment under this Subsection (c) shall be reduced by the amount of any severance pay or pay in lieu of notice that Executive receives from the Company under a federal or state statute (including, without limitation, the Worker Adjustment and Retraining Notification Act).</w:t>
      </w:r>
    </w:p>
    <w:p>
      <w:pPr>
        <w:spacing w:after="0" w:line="151" w:lineRule="exact"/>
        <w:rPr>
          <w:sz w:val="20"/>
          <w:szCs w:val="20"/>
          <w:color w:val="auto"/>
        </w:rPr>
      </w:pPr>
    </w:p>
    <w:p>
      <w:pPr>
        <w:jc w:val="both"/>
        <w:spacing w:after="0" w:line="284" w:lineRule="auto"/>
        <w:tabs>
          <w:tab w:leader="none" w:pos="424"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Commencement of Severance Payments</w:t>
      </w:r>
      <w:r>
        <w:rPr>
          <w:rFonts w:ascii="Arial" w:cs="Arial" w:eastAsia="Arial" w:hAnsi="Arial"/>
          <w:sz w:val="18"/>
          <w:szCs w:val="18"/>
          <w:color w:val="auto"/>
        </w:rPr>
        <w:t>. Payment of the severance pay provided for under this Agreement will be made no later than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regularly scheduled payroll date that occurs no later than 50 days after Executive’s Separation, but only if Executive has complied with the release and other preconditions set forth in Subsection (a) (to the extent applicable). However, except as provided in the next following sentence, if the 50-day period described in Section 5(a) spans two calendar years, then the payment will be made on the first payroll date in the second calendar year following expiration of the applicable revocation period. In the event that Executive experiences an Involuntary Termination immediately at or after a Change in Control, the Company shall work with the surviving company to ensure that any payments due to Executive under subsection (c) above be paid upon the closing of the Change in Control. In addition, if at any time the parties agree that a Good Reason arises after the Change in Control and severance is due to Executive under subsection (c), the Company shall work with the surviving company to insure that any such payments due to Executive are paid promptly after such Good Reason arises.</w:t>
      </w:r>
    </w:p>
    <w:p>
      <w:pPr>
        <w:spacing w:after="0" w:line="138" w:lineRule="exact"/>
        <w:rPr>
          <w:rFonts w:ascii="Arial" w:cs="Arial" w:eastAsia="Arial" w:hAnsi="Arial"/>
          <w:sz w:val="18"/>
          <w:szCs w:val="18"/>
          <w:color w:val="auto"/>
        </w:rPr>
      </w:pPr>
    </w:p>
    <w:p>
      <w:pPr>
        <w:jc w:val="both"/>
        <w:spacing w:after="0" w:line="284" w:lineRule="auto"/>
        <w:tabs>
          <w:tab w:leader="none" w:pos="475"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This Agreement shall be construed consistently with the intent that all payments hereunder shall be exempt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Section 409A of the Code by reason of the “short-term” deferral exemption or a different exemption. Each payment made under this Agreement shall be treated as a separate payment and the right to a series of installment payments under this Agreement is to be treated as a right to a series of separate payments. If the Company determines that Executive is a “specified employee” under Section 409A(a)</w:t>
      </w:r>
    </w:p>
    <w:p>
      <w:pPr>
        <w:spacing w:after="0" w:line="1" w:lineRule="exact"/>
        <w:rPr>
          <w:rFonts w:ascii="Arial" w:cs="Arial" w:eastAsia="Arial" w:hAnsi="Arial"/>
          <w:sz w:val="18"/>
          <w:szCs w:val="18"/>
          <w:color w:val="auto"/>
        </w:rPr>
      </w:pPr>
    </w:p>
    <w:p>
      <w:pPr>
        <w:jc w:val="both"/>
        <w:spacing w:after="0" w:line="249" w:lineRule="auto"/>
        <w:rPr>
          <w:rFonts w:ascii="Arial" w:cs="Arial" w:eastAsia="Arial" w:hAnsi="Arial"/>
          <w:sz w:val="18"/>
          <w:szCs w:val="18"/>
          <w:color w:val="auto"/>
        </w:rPr>
      </w:pPr>
      <w:r>
        <w:rPr>
          <w:rFonts w:ascii="Arial" w:cs="Arial" w:eastAsia="Arial" w:hAnsi="Arial"/>
          <w:sz w:val="20"/>
          <w:szCs w:val="20"/>
          <w:color w:val="auto"/>
        </w:rPr>
        <w:t>(2)(B)(i) of the Code at the time of his Separation, then (i) payment of any “nonqualified deferred compensation” (within the meaning of Section 409A) that is payable to Executive upon Separation shall be delayed until the first business day following (A) expiration of the six-month period measured from Executive’s Separation, or (B) the date of Executive’s death, and (ii) the installments that otherwise would have been paid prior to such date will be paid in a lump sum when such payments commence.</w:t>
      </w:r>
    </w:p>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7"/>
          <w:szCs w:val="17"/>
          <w:b w:val="1"/>
          <w:bCs w:val="1"/>
          <w:color w:val="auto"/>
        </w:rPr>
        <w:t>Protective Covenants.</w:t>
      </w:r>
    </w:p>
    <w:p>
      <w:pPr>
        <w:spacing w:after="0" w:line="219" w:lineRule="exact"/>
        <w:rPr>
          <w:sz w:val="20"/>
          <w:szCs w:val="20"/>
          <w:color w:val="auto"/>
        </w:rPr>
      </w:pPr>
    </w:p>
    <w:p>
      <w:pPr>
        <w:jc w:val="both"/>
        <w:spacing w:after="0" w:line="282" w:lineRule="auto"/>
        <w:tabs>
          <w:tab w:leader="none" w:pos="45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As one of the Company’s executive and management personnel and officer, Executive has acquired extensive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knowledge and confidential information concerning the business of the Company, including certain trade secrets the Company wishes to protect. Executive further acknowledges that during his employment he will have access to and knowledge of Proprietary Information. To protect the Company’s Proprietary Information, and in consideration of this Agreement, Executive agrees that during his employment with the Company and for a period of twelve (12) months after the termination of Executive’s employment with the Company for any reason, whether under this Agreement or otherwise (the “Restricted Period”), he will not without the Company’s approval (which shall not be unreasonably withheld), directly or indirectly engage in (whether as an employee, consultant, proprietor, partner, director or otherwise), have any ownership interest in, or participate in the financing, operation, management or control of, any person, firm, corporation or business that engages in a Restricted Business in a Restricted Territory. It is agreed that ownership of (i) no more than one percent (1%) of the outstanding voting stock of a publicly traded corporation or (ii) any stock he presently owns shall not constitute a violation of this Section.</w:t>
      </w:r>
    </w:p>
    <w:p>
      <w:pPr>
        <w:spacing w:after="0" w:line="147" w:lineRule="exact"/>
        <w:rPr>
          <w:rFonts w:ascii="Arial" w:cs="Arial" w:eastAsia="Arial" w:hAnsi="Arial"/>
          <w:sz w:val="18"/>
          <w:szCs w:val="18"/>
          <w:color w:val="auto"/>
        </w:rPr>
      </w:pPr>
    </w:p>
    <w:p>
      <w:pPr>
        <w:jc w:val="both"/>
        <w:spacing w:after="0" w:line="269" w:lineRule="auto"/>
        <w:tabs>
          <w:tab w:leader="none" w:pos="449" w:val="left"/>
        </w:tabs>
        <w:numPr>
          <w:ilvl w:val="0"/>
          <w:numId w:val="37"/>
        </w:numPr>
        <w:rPr>
          <w:rFonts w:ascii="Arial" w:cs="Arial" w:eastAsia="Arial" w:hAnsi="Arial"/>
          <w:sz w:val="20"/>
          <w:szCs w:val="20"/>
          <w:color w:val="auto"/>
        </w:rPr>
      </w:pPr>
      <w:r>
        <w:rPr>
          <w:rFonts w:ascii="Arial" w:cs="Arial" w:eastAsia="Arial" w:hAnsi="Arial"/>
          <w:sz w:val="20"/>
          <w:szCs w:val="20"/>
          <w:b w:val="1"/>
          <w:bCs w:val="1"/>
          <w:color w:val="auto"/>
        </w:rPr>
        <w:t>Non-Solicitation and Non-Servicing</w:t>
      </w:r>
      <w:r>
        <w:rPr>
          <w:rFonts w:ascii="Arial" w:cs="Arial" w:eastAsia="Arial" w:hAnsi="Arial"/>
          <w:sz w:val="20"/>
          <w:szCs w:val="20"/>
          <w:color w:val="auto"/>
        </w:rPr>
        <w:t>. During his employment with the Company and continuing for a period of eighteen (18) months</w:t>
      </w:r>
      <w:r>
        <w:rPr>
          <w:rFonts w:ascii="Arial" w:cs="Arial" w:eastAsia="Arial" w:hAnsi="Arial"/>
          <w:sz w:val="20"/>
          <w:szCs w:val="20"/>
          <w:b w:val="1"/>
          <w:bCs w:val="1"/>
          <w:color w:val="auto"/>
        </w:rPr>
        <w:t xml:space="preserve"> </w:t>
      </w:r>
      <w:r>
        <w:rPr>
          <w:rFonts w:ascii="Arial" w:cs="Arial" w:eastAsia="Arial" w:hAnsi="Arial"/>
          <w:sz w:val="20"/>
          <w:szCs w:val="20"/>
          <w:color w:val="auto"/>
        </w:rPr>
        <w:t>after termination of Executive’s employment with the Company for any reason, whether under this Agreement or otherwise, Executive shall not directly or indirectly, personally or through others,</w:t>
      </w:r>
    </w:p>
    <w:p>
      <w:pPr>
        <w:spacing w:after="0" w:line="154" w:lineRule="exact"/>
        <w:rPr>
          <w:rFonts w:ascii="Arial" w:cs="Arial" w:eastAsia="Arial" w:hAnsi="Arial"/>
          <w:sz w:val="20"/>
          <w:szCs w:val="20"/>
          <w:color w:val="auto"/>
        </w:rPr>
      </w:pPr>
    </w:p>
    <w:p>
      <w:pPr>
        <w:jc w:val="both"/>
        <w:ind w:left="600" w:hanging="2"/>
        <w:spacing w:after="0" w:line="253" w:lineRule="auto"/>
        <w:tabs>
          <w:tab w:leader="none" w:pos="1022" w:val="left"/>
        </w:tabs>
        <w:numPr>
          <w:ilvl w:val="1"/>
          <w:numId w:val="37"/>
        </w:numPr>
        <w:rPr>
          <w:rFonts w:ascii="Arial" w:cs="Arial" w:eastAsia="Arial" w:hAnsi="Arial"/>
          <w:sz w:val="20"/>
          <w:szCs w:val="20"/>
          <w:color w:val="auto"/>
        </w:rPr>
      </w:pPr>
      <w:r>
        <w:rPr>
          <w:rFonts w:ascii="Arial" w:cs="Arial" w:eastAsia="Arial" w:hAnsi="Arial"/>
          <w:sz w:val="20"/>
          <w:szCs w:val="20"/>
          <w:color w:val="auto"/>
        </w:rPr>
        <w:t>attempt in any manner to solicit, persuade or induce any Client of the Company to terminate, reduce or refrain from renewing or extending its contractual or other relationship with the Company in regard to the purchase or licensing of products or services manufactured, marketed, licensed or sold by the Company, or to become a Client of or enter into any contractual or other relationship with Executive or any other individual, person or entity in regard to the purchase or license of products or services similar or identical to those manufactured, marketed or sold by the Company; or</w:t>
      </w:r>
    </w:p>
    <w:p>
      <w:pPr>
        <w:spacing w:after="0" w:line="171" w:lineRule="exact"/>
        <w:rPr>
          <w:rFonts w:ascii="Arial" w:cs="Arial" w:eastAsia="Arial" w:hAnsi="Arial"/>
          <w:sz w:val="20"/>
          <w:szCs w:val="20"/>
          <w:color w:val="auto"/>
        </w:rPr>
      </w:pPr>
    </w:p>
    <w:p>
      <w:pPr>
        <w:jc w:val="both"/>
        <w:ind w:left="600" w:hanging="2"/>
        <w:spacing w:after="0" w:line="265" w:lineRule="auto"/>
        <w:tabs>
          <w:tab w:leader="none" w:pos="1079" w:val="left"/>
        </w:tabs>
        <w:numPr>
          <w:ilvl w:val="1"/>
          <w:numId w:val="37"/>
        </w:numPr>
        <w:rPr>
          <w:rFonts w:ascii="Arial" w:cs="Arial" w:eastAsia="Arial" w:hAnsi="Arial"/>
          <w:sz w:val="19"/>
          <w:szCs w:val="19"/>
          <w:color w:val="auto"/>
        </w:rPr>
      </w:pPr>
      <w:r>
        <w:rPr>
          <w:rFonts w:ascii="Arial" w:cs="Arial" w:eastAsia="Arial" w:hAnsi="Arial"/>
          <w:sz w:val="19"/>
          <w:szCs w:val="19"/>
          <w:color w:val="auto"/>
        </w:rPr>
        <w:t>attempt in any manner to solicit, persuade or induce any individual, person or entity which is, or at any time during Executive’s employment with the Company was, a supplier of any product or service to the Company or vendor of the Company (whether as a distributor, agent, employee or otherwise) to terminate, reduce or refrain from renewing or extending his, her or its contractual or other relationship with the Company; provided, however, this subparagraph (ii) shall not apply with respect to (I) during the first six (6) months after Executive’s Separation, up to two service providers of the Company who report in to Executive’s organization, were recruited by Executive and had worked with Executive in prior employment, plus Executive’s administrative assistant, and (II) during the next six (6) month period thereafter, up to two service providers of the Company who report in to Executive’s organization, were recruited by Executive and had worked with Executive in prior employment; or</w:t>
      </w:r>
    </w:p>
    <w:p>
      <w:pPr>
        <w:spacing w:after="0" w:line="163" w:lineRule="exact"/>
        <w:rPr>
          <w:rFonts w:ascii="Arial" w:cs="Arial" w:eastAsia="Arial" w:hAnsi="Arial"/>
          <w:sz w:val="19"/>
          <w:szCs w:val="19"/>
          <w:color w:val="auto"/>
        </w:rPr>
      </w:pPr>
    </w:p>
    <w:p>
      <w:pPr>
        <w:ind w:left="1100" w:hanging="502"/>
        <w:spacing w:after="0"/>
        <w:tabs>
          <w:tab w:leader="none" w:pos="1100" w:val="left"/>
        </w:tabs>
        <w:numPr>
          <w:ilvl w:val="1"/>
          <w:numId w:val="37"/>
        </w:numPr>
        <w:rPr>
          <w:rFonts w:ascii="Arial" w:cs="Arial" w:eastAsia="Arial" w:hAnsi="Arial"/>
          <w:sz w:val="20"/>
          <w:szCs w:val="20"/>
          <w:color w:val="auto"/>
        </w:rPr>
      </w:pPr>
      <w:r>
        <w:rPr>
          <w:rFonts w:ascii="Arial" w:cs="Arial" w:eastAsia="Arial" w:hAnsi="Arial"/>
          <w:sz w:val="20"/>
          <w:szCs w:val="20"/>
          <w:color w:val="auto"/>
        </w:rPr>
        <w:t>render to or for any Client any services of the type rendered by the Company; or</w:t>
      </w:r>
    </w:p>
    <w:p>
      <w:pPr>
        <w:spacing w:after="0" w:line="206" w:lineRule="exact"/>
        <w:rPr>
          <w:rFonts w:ascii="Arial" w:cs="Arial" w:eastAsia="Arial" w:hAnsi="Arial"/>
          <w:sz w:val="20"/>
          <w:szCs w:val="20"/>
          <w:color w:val="auto"/>
        </w:rPr>
      </w:pPr>
    </w:p>
    <w:p>
      <w:pPr>
        <w:jc w:val="both"/>
        <w:ind w:left="600" w:hanging="2"/>
        <w:spacing w:after="0" w:line="253" w:lineRule="auto"/>
        <w:tabs>
          <w:tab w:leader="none" w:pos="1110" w:val="left"/>
        </w:tabs>
        <w:numPr>
          <w:ilvl w:val="1"/>
          <w:numId w:val="37"/>
        </w:numPr>
        <w:rPr>
          <w:rFonts w:ascii="Arial" w:cs="Arial" w:eastAsia="Arial" w:hAnsi="Arial"/>
          <w:sz w:val="20"/>
          <w:szCs w:val="20"/>
          <w:color w:val="auto"/>
        </w:rPr>
      </w:pPr>
      <w:r>
        <w:rPr>
          <w:rFonts w:ascii="Arial" w:cs="Arial" w:eastAsia="Arial" w:hAnsi="Arial"/>
          <w:sz w:val="20"/>
          <w:szCs w:val="20"/>
          <w:color w:val="auto"/>
        </w:rPr>
        <w:t>subject to the exceptions in subparagraph (ii) above, employ as an employee or retain as a consultant any person who is then, or at any time during the preceding twelve months was, an employee of or consultant to the Company (unless the Company had terminated the employment or engagement of such employee or exclusive consultant prior to the time of the alleged prohibited conduct), or persuade, induce or attempt to persuade any employee of or consultant to the Company to leave the employ of the Company or to breach any service arrangement with the Company.</w:t>
      </w:r>
    </w:p>
    <w:p>
      <w:pPr>
        <w:sectPr>
          <w:pgSz w:w="11900" w:h="16838" w:orient="portrait"/>
          <w:cols w:equalWidth="0" w:num="1">
            <w:col w:w="11420"/>
          </w:cols>
          <w:pgMar w:left="240" w:top="133" w:right="239" w:bottom="0" w:gutter="0" w:footer="0" w:header="0"/>
        </w:sectPr>
      </w:pPr>
    </w:p>
    <w:bookmarkStart w:id="58" w:name="page59"/>
    <w:bookmarkEnd w:id="58"/>
    <w:p>
      <w:pPr>
        <w:spacing w:after="0" w:line="291" w:lineRule="auto"/>
        <w:tabs>
          <w:tab w:leader="none" w:pos="587" w:val="left"/>
        </w:tabs>
        <w:numPr>
          <w:ilvl w:val="0"/>
          <w:numId w:val="38"/>
        </w:numPr>
        <w:rPr>
          <w:rFonts w:ascii="Arial" w:cs="Arial" w:eastAsia="Arial" w:hAnsi="Arial"/>
          <w:sz w:val="20"/>
          <w:szCs w:val="20"/>
          <w:color w:val="auto"/>
        </w:rPr>
      </w:pPr>
      <w:r>
        <w:rPr>
          <w:rFonts w:ascii="Arial" w:cs="Arial" w:eastAsia="Arial" w:hAnsi="Arial"/>
          <w:sz w:val="20"/>
          <w:szCs w:val="20"/>
          <w:b w:val="1"/>
          <w:bCs w:val="1"/>
          <w:color w:val="auto"/>
        </w:rPr>
        <w:t>Non-Disclosure</w:t>
      </w:r>
      <w:r>
        <w:rPr>
          <w:rFonts w:ascii="Arial" w:cs="Arial" w:eastAsia="Arial" w:hAnsi="Arial"/>
          <w:sz w:val="20"/>
          <w:szCs w:val="20"/>
          <w:color w:val="auto"/>
        </w:rPr>
        <w:t>. Executive has entered into a Proprietary Information and Inventions Agreement with the Company, which is</w:t>
      </w:r>
      <w:r>
        <w:rPr>
          <w:rFonts w:ascii="Arial" w:cs="Arial" w:eastAsia="Arial" w:hAnsi="Arial"/>
          <w:sz w:val="20"/>
          <w:szCs w:val="20"/>
          <w:b w:val="1"/>
          <w:bCs w:val="1"/>
          <w:color w:val="auto"/>
        </w:rPr>
        <w:t xml:space="preserve"> </w:t>
      </w:r>
      <w:r>
        <w:rPr>
          <w:rFonts w:ascii="Arial" w:cs="Arial" w:eastAsia="Arial" w:hAnsi="Arial"/>
          <w:sz w:val="20"/>
          <w:szCs w:val="20"/>
          <w:color w:val="auto"/>
        </w:rPr>
        <w:t>incorporated herein by reference.</w:t>
      </w:r>
    </w:p>
    <w:p>
      <w:pPr>
        <w:spacing w:after="0" w:line="127" w:lineRule="exact"/>
        <w:rPr>
          <w:rFonts w:ascii="Arial" w:cs="Arial" w:eastAsia="Arial" w:hAnsi="Arial"/>
          <w:sz w:val="20"/>
          <w:szCs w:val="20"/>
          <w:color w:val="auto"/>
        </w:rPr>
      </w:pPr>
    </w:p>
    <w:p>
      <w:pPr>
        <w:jc w:val="both"/>
        <w:spacing w:after="0" w:line="287" w:lineRule="auto"/>
        <w:tabs>
          <w:tab w:leader="none" w:pos="536"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Reasonable</w:t>
      </w:r>
      <w:r>
        <w:rPr>
          <w:rFonts w:ascii="Arial" w:cs="Arial" w:eastAsia="Arial" w:hAnsi="Arial"/>
          <w:sz w:val="18"/>
          <w:szCs w:val="18"/>
          <w:color w:val="auto"/>
        </w:rPr>
        <w:t>. Executive agrees and acknowledges that the time limitation on the restrictions in this Section 7, combined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geographic scope, is reasonable. Executive also acknowledges and agrees that this provision is reasonably necessary for the protection of Proprietary Information, that through his Employment he shall receive adequate consideration for any loss of opportunity associated with the provisions herein, and that these provisions provide a reasonable way of protecting the Company’s business value which will be imparted to him. If any restriction set forth in this Section 7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137" w:lineRule="exact"/>
        <w:rPr>
          <w:sz w:val="20"/>
          <w:szCs w:val="20"/>
          <w:color w:val="auto"/>
        </w:rPr>
      </w:pPr>
    </w:p>
    <w:p>
      <w:pPr>
        <w:spacing w:after="0"/>
        <w:tabs>
          <w:tab w:leader="none" w:pos="30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6"/>
          <w:szCs w:val="16"/>
          <w:b w:val="1"/>
          <w:bCs w:val="1"/>
          <w:color w:val="auto"/>
        </w:rPr>
        <w:t>Successors.</w:t>
      </w:r>
    </w:p>
    <w:p>
      <w:pPr>
        <w:spacing w:after="0" w:line="219" w:lineRule="exact"/>
        <w:rPr>
          <w:sz w:val="20"/>
          <w:szCs w:val="20"/>
          <w:color w:val="auto"/>
        </w:rPr>
      </w:pPr>
    </w:p>
    <w:p>
      <w:pPr>
        <w:jc w:val="both"/>
        <w:spacing w:after="0" w:line="261" w:lineRule="auto"/>
        <w:tabs>
          <w:tab w:leader="none" w:pos="400" w:val="left"/>
        </w:tabs>
        <w:numPr>
          <w:ilvl w:val="0"/>
          <w:numId w:val="39"/>
        </w:numPr>
        <w:rPr>
          <w:rFonts w:ascii="Arial" w:cs="Arial" w:eastAsia="Arial" w:hAnsi="Arial"/>
          <w:sz w:val="20"/>
          <w:szCs w:val="20"/>
          <w:color w:val="auto"/>
        </w:rPr>
      </w:pPr>
      <w:r>
        <w:rPr>
          <w:rFonts w:ascii="Arial" w:cs="Arial" w:eastAsia="Arial" w:hAnsi="Arial"/>
          <w:sz w:val="20"/>
          <w:szCs w:val="20"/>
          <w:b w:val="1"/>
          <w:bCs w:val="1"/>
          <w:color w:val="auto"/>
        </w:rPr>
        <w:t>Company’s Successors</w:t>
      </w:r>
      <w:r>
        <w:rPr>
          <w:rFonts w:ascii="Arial" w:cs="Arial" w:eastAsia="Arial" w:hAnsi="Arial"/>
          <w:sz w:val="20"/>
          <w:szCs w:val="20"/>
          <w:color w:val="auto"/>
        </w:rPr>
        <w:t>. This Agreement shall be binding upon any successor (whether direct or indirect and whether by purchase, lease,</w:t>
      </w:r>
      <w:r>
        <w:rPr>
          <w:rFonts w:ascii="Arial" w:cs="Arial" w:eastAsia="Arial" w:hAnsi="Arial"/>
          <w:sz w:val="20"/>
          <w:szCs w:val="20"/>
          <w:b w:val="1"/>
          <w:bCs w:val="1"/>
          <w:color w:val="auto"/>
        </w:rPr>
        <w:t xml:space="preserve"> </w:t>
      </w:r>
      <w:r>
        <w:rPr>
          <w:rFonts w:ascii="Arial" w:cs="Arial" w:eastAsia="Arial" w:hAnsi="Arial"/>
          <w:sz w:val="20"/>
          <w:szCs w:val="20"/>
          <w:color w:val="auto"/>
        </w:rPr>
        <w:t>merger, consolidation, liquidation or otherwise) to all or substantially all of the Company’s business and/or assets. For all purposes under this Agreement, the term “Company” shall include any successor to the Company’s business and/or assets which becomes bound by this Agreement.</w:t>
      </w:r>
    </w:p>
    <w:p>
      <w:pPr>
        <w:spacing w:after="0" w:line="158" w:lineRule="exact"/>
        <w:rPr>
          <w:rFonts w:ascii="Arial" w:cs="Arial" w:eastAsia="Arial" w:hAnsi="Arial"/>
          <w:sz w:val="20"/>
          <w:szCs w:val="20"/>
          <w:color w:val="auto"/>
        </w:rPr>
      </w:pPr>
    </w:p>
    <w:p>
      <w:pPr>
        <w:spacing w:after="0" w:line="319" w:lineRule="auto"/>
        <w:tabs>
          <w:tab w:leader="none" w:pos="498" w:val="left"/>
        </w:tabs>
        <w:numPr>
          <w:ilvl w:val="0"/>
          <w:numId w:val="39"/>
        </w:numPr>
        <w:rPr>
          <w:rFonts w:ascii="Arial" w:cs="Arial" w:eastAsia="Arial" w:hAnsi="Arial"/>
          <w:sz w:val="19"/>
          <w:szCs w:val="19"/>
          <w:color w:val="auto"/>
        </w:rPr>
      </w:pPr>
      <w:r>
        <w:rPr>
          <w:rFonts w:ascii="Arial" w:cs="Arial" w:eastAsia="Arial" w:hAnsi="Arial"/>
          <w:sz w:val="19"/>
          <w:szCs w:val="19"/>
          <w:b w:val="1"/>
          <w:bCs w:val="1"/>
          <w:color w:val="auto"/>
        </w:rPr>
        <w:t>Employee’s Successors</w:t>
      </w:r>
      <w:r>
        <w:rPr>
          <w:rFonts w:ascii="Arial" w:cs="Arial" w:eastAsia="Arial" w:hAnsi="Arial"/>
          <w:sz w:val="19"/>
          <w:szCs w:val="19"/>
          <w:color w:val="auto"/>
        </w:rPr>
        <w:t>. This Agreement and all rights of Executive hereunder shall inure to the benefit of, and be enforceable by,</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personal or legal representatives, executors, administrators, successors, heirs, distributees, devisees and legatees.</w:t>
      </w:r>
    </w:p>
    <w:p>
      <w:pPr>
        <w:spacing w:after="0" w:line="105" w:lineRule="exact"/>
        <w:rPr>
          <w:sz w:val="20"/>
          <w:szCs w:val="20"/>
          <w:color w:val="auto"/>
        </w:rPr>
      </w:pPr>
    </w:p>
    <w:p>
      <w:pPr>
        <w:spacing w:after="0"/>
        <w:tabs>
          <w:tab w:leader="none" w:pos="30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6"/>
          <w:szCs w:val="16"/>
          <w:b w:val="1"/>
          <w:bCs w:val="1"/>
          <w:color w:val="auto"/>
        </w:rPr>
        <w:t>Taxes.</w:t>
      </w:r>
    </w:p>
    <w:p>
      <w:pPr>
        <w:spacing w:after="0" w:line="219" w:lineRule="exact"/>
        <w:rPr>
          <w:sz w:val="20"/>
          <w:szCs w:val="20"/>
          <w:color w:val="auto"/>
        </w:rPr>
      </w:pPr>
    </w:p>
    <w:p>
      <w:pPr>
        <w:spacing w:after="0" w:line="291" w:lineRule="auto"/>
        <w:tabs>
          <w:tab w:leader="none" w:pos="400" w:val="left"/>
        </w:tabs>
        <w:numPr>
          <w:ilvl w:val="0"/>
          <w:numId w:val="40"/>
        </w:numPr>
        <w:rPr>
          <w:rFonts w:ascii="Arial" w:cs="Arial" w:eastAsia="Arial" w:hAnsi="Arial"/>
          <w:sz w:val="20"/>
          <w:szCs w:val="20"/>
          <w:color w:val="auto"/>
        </w:rPr>
      </w:pPr>
      <w:r>
        <w:rPr>
          <w:rFonts w:ascii="Arial" w:cs="Arial" w:eastAsia="Arial" w:hAnsi="Arial"/>
          <w:sz w:val="20"/>
          <w:szCs w:val="20"/>
          <w:b w:val="1"/>
          <w:bCs w:val="1"/>
          <w:color w:val="auto"/>
        </w:rPr>
        <w:t>Withholding Taxes</w:t>
      </w:r>
      <w:r>
        <w:rPr>
          <w:rFonts w:ascii="Arial" w:cs="Arial" w:eastAsia="Arial" w:hAnsi="Arial"/>
          <w:sz w:val="20"/>
          <w:szCs w:val="20"/>
          <w:color w:val="auto"/>
        </w:rPr>
        <w:t>. All payments made under this Agreement shall be subject to reduction to reflect applicable withholding and payroll</w:t>
      </w:r>
      <w:r>
        <w:rPr>
          <w:rFonts w:ascii="Arial" w:cs="Arial" w:eastAsia="Arial" w:hAnsi="Arial"/>
          <w:sz w:val="20"/>
          <w:szCs w:val="20"/>
          <w:b w:val="1"/>
          <w:bCs w:val="1"/>
          <w:color w:val="auto"/>
        </w:rPr>
        <w:t xml:space="preserve"> </w:t>
      </w:r>
      <w:r>
        <w:rPr>
          <w:rFonts w:ascii="Arial" w:cs="Arial" w:eastAsia="Arial" w:hAnsi="Arial"/>
          <w:sz w:val="20"/>
          <w:szCs w:val="20"/>
          <w:color w:val="auto"/>
        </w:rPr>
        <w:t>taxes or other deductions required to be withheld by law.</w:t>
      </w:r>
    </w:p>
    <w:p>
      <w:pPr>
        <w:spacing w:after="0" w:line="127" w:lineRule="exact"/>
        <w:rPr>
          <w:rFonts w:ascii="Arial" w:cs="Arial" w:eastAsia="Arial" w:hAnsi="Arial"/>
          <w:sz w:val="20"/>
          <w:szCs w:val="20"/>
          <w:color w:val="auto"/>
        </w:rPr>
      </w:pPr>
    </w:p>
    <w:p>
      <w:pPr>
        <w:jc w:val="both"/>
        <w:spacing w:after="0" w:line="312" w:lineRule="auto"/>
        <w:tabs>
          <w:tab w:leader="none" w:pos="411"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Tax Advice</w:t>
      </w:r>
      <w:r>
        <w:rPr>
          <w:rFonts w:ascii="Arial" w:cs="Arial" w:eastAsia="Arial" w:hAnsi="Arial"/>
          <w:sz w:val="18"/>
          <w:szCs w:val="18"/>
          <w:color w:val="auto"/>
        </w:rPr>
        <w:t>. Executive is encouraged to obtain his own tax advice regarding his compensation from the Company. Executive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does not have a duty to design its compensation policies in a manner that minimizes Executive’s tax liabilities, and Executive shall not make any claim against the Company or the Board related to tax liabilities arising from Executive’s compensation.</w:t>
      </w:r>
    </w:p>
    <w:p>
      <w:pPr>
        <w:spacing w:after="0" w:line="115" w:lineRule="exact"/>
        <w:rPr>
          <w:rFonts w:ascii="Arial" w:cs="Arial" w:eastAsia="Arial" w:hAnsi="Arial"/>
          <w:sz w:val="18"/>
          <w:szCs w:val="18"/>
          <w:color w:val="auto"/>
        </w:rPr>
      </w:pPr>
    </w:p>
    <w:p>
      <w:pPr>
        <w:jc w:val="both"/>
        <w:spacing w:after="0" w:line="278" w:lineRule="auto"/>
        <w:tabs>
          <w:tab w:leader="none" w:pos="441"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Parachute Taxes</w:t>
      </w:r>
      <w:r>
        <w:rPr>
          <w:rFonts w:ascii="Arial" w:cs="Arial" w:eastAsia="Arial" w:hAnsi="Arial"/>
          <w:sz w:val="18"/>
          <w:szCs w:val="18"/>
          <w:color w:val="auto"/>
        </w:rPr>
        <w:t>. Notwithstanding anything in this Agreement to the contrary, if it shall be determined that any payment or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to or for the benefit of Executive, whether paid or payable or distributed or distributable pursuant to the terms of this Agreement or otherwise (“Total Payments”) to be made to Executive would otherwise exceed the amount (the “Safe Harbor Amount”) that could be received by Executive without the imposition of an excise tax under Section 4999 of Code, then the Total Payments shall be reduced to the Safe Harbor Amount if (and only if) the Safe Harbor Amount (net of applicable taxes) is greater than the net amount payable to Executive after taking into account any excise tax imposed under section 4999 of the Code on the Total Payments. All determinations to be made under this subparagraph (c) shall be made by a public accounting firm selected by the Company before the date of the Change in Control (the “Accounting Firm”). In determining whether such Benefit Limit is exceeded, the Accounting Firm shall make a reasonable determination of the value to be assigned to the restrictive covenants in effect for Executive pursuant to Section 7 of this Agreement, and the amount of his potential parachute payment under Section 280G of the Code shall be reduced by the value of those restrictive covenants and all other permissible adjustments to the extent consistent with Section 280G of the Code and the regulations thereunder. To the extent a reduction to the Total Payments is required to be made in accordance with this subparagraph (c), such reduction and/or cancellation of acceleration of equity awards shall occur in the order that provides the maximum economic benefit to Executive. In the event that acceleration of equity awards is to be reduced, such acceleration of vesting also shall be canceled in the order that provides the maximum economic benefit to Executive. Notwithstanding the foregoing, any reduction shall be made in a manner consistent with the requirements of section 409A of the Code and where two economically equivalent amounts are subject to reduction but payable at different times, such amounts shall be reduced on a pro rata basis but not below zero. All of the fees and expenses of the Accounting Firm in performing the determinations referred to in this subparagraph (c) shall be borne solely by the Company.</w:t>
      </w:r>
    </w:p>
    <w:p>
      <w:pPr>
        <w:spacing w:after="0" w:line="146"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7"/>
          <w:szCs w:val="17"/>
          <w:b w:val="1"/>
          <w:bCs w:val="1"/>
          <w:color w:val="auto"/>
        </w:rPr>
        <w:t>Definitions.</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b w:val="1"/>
          <w:bCs w:val="1"/>
          <w:color w:val="auto"/>
        </w:rPr>
        <w:t>Cause</w:t>
      </w:r>
      <w:r>
        <w:rPr>
          <w:rFonts w:ascii="Arial" w:cs="Arial" w:eastAsia="Arial" w:hAnsi="Arial"/>
          <w:sz w:val="18"/>
          <w:szCs w:val="18"/>
          <w:color w:val="auto"/>
        </w:rPr>
        <w:t>. For all purposes under this Agreement, “Cause” shall mean:</w:t>
      </w:r>
    </w:p>
    <w:p>
      <w:pPr>
        <w:spacing w:after="0" w:line="225" w:lineRule="exact"/>
        <w:rPr>
          <w:sz w:val="20"/>
          <w:szCs w:val="20"/>
          <w:color w:val="auto"/>
        </w:rPr>
      </w:pPr>
    </w:p>
    <w:p>
      <w:pPr>
        <w:spacing w:after="0" w:line="284" w:lineRule="auto"/>
        <w:tabs>
          <w:tab w:leader="none" w:pos="379" w:val="left"/>
        </w:tabs>
        <w:numPr>
          <w:ilvl w:val="0"/>
          <w:numId w:val="41"/>
        </w:numPr>
        <w:rPr>
          <w:rFonts w:ascii="Arial" w:cs="Arial" w:eastAsia="Arial" w:hAnsi="Arial"/>
          <w:sz w:val="20"/>
          <w:szCs w:val="20"/>
          <w:color w:val="auto"/>
        </w:rPr>
      </w:pPr>
      <w:r>
        <w:rPr>
          <w:rFonts w:ascii="Arial" w:cs="Arial" w:eastAsia="Arial" w:hAnsi="Arial"/>
          <w:sz w:val="20"/>
          <w:szCs w:val="20"/>
          <w:color w:val="auto"/>
        </w:rPr>
        <w:t>An intentional and unauthorized use or disclosure by Executive of the Company’s confidential information or trade secrets, which use or disclosure causes material harm to the Company;</w:t>
      </w:r>
    </w:p>
    <w:p>
      <w:pPr>
        <w:spacing w:after="0" w:line="141" w:lineRule="exact"/>
        <w:rPr>
          <w:rFonts w:ascii="Arial" w:cs="Arial" w:eastAsia="Arial" w:hAnsi="Arial"/>
          <w:sz w:val="20"/>
          <w:szCs w:val="20"/>
          <w:color w:val="auto"/>
        </w:rPr>
      </w:pPr>
    </w:p>
    <w:p>
      <w:pPr>
        <w:ind w:left="400" w:hanging="400"/>
        <w:spacing w:after="0"/>
        <w:tabs>
          <w:tab w:leader="none" w:pos="40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 material breach by Executive of any material agreement between Executive and the Company;</w:t>
      </w:r>
    </w:p>
    <w:p>
      <w:pPr>
        <w:spacing w:after="0" w:line="218" w:lineRule="exact"/>
        <w:rPr>
          <w:rFonts w:ascii="Arial" w:cs="Arial" w:eastAsia="Arial" w:hAnsi="Arial"/>
          <w:sz w:val="20"/>
          <w:szCs w:val="20"/>
          <w:color w:val="auto"/>
        </w:rPr>
      </w:pPr>
    </w:p>
    <w:p>
      <w:pPr>
        <w:ind w:left="460" w:hanging="460"/>
        <w:spacing w:after="0"/>
        <w:tabs>
          <w:tab w:leader="none" w:pos="4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 material failure by Executive to comply with the Company’s written policies or rules;</w:t>
      </w:r>
    </w:p>
    <w:p>
      <w:pPr>
        <w:spacing w:after="0" w:line="218" w:lineRule="exact"/>
        <w:rPr>
          <w:rFonts w:ascii="Arial" w:cs="Arial" w:eastAsia="Arial" w:hAnsi="Arial"/>
          <w:sz w:val="20"/>
          <w:szCs w:val="20"/>
          <w:color w:val="auto"/>
        </w:rPr>
      </w:pPr>
    </w:p>
    <w:p>
      <w:pPr>
        <w:spacing w:after="0" w:line="284" w:lineRule="auto"/>
        <w:tabs>
          <w:tab w:leader="none" w:pos="466" w:val="left"/>
        </w:tabs>
        <w:numPr>
          <w:ilvl w:val="0"/>
          <w:numId w:val="41"/>
        </w:numPr>
        <w:rPr>
          <w:rFonts w:ascii="Arial" w:cs="Arial" w:eastAsia="Arial" w:hAnsi="Arial"/>
          <w:sz w:val="20"/>
          <w:szCs w:val="20"/>
          <w:color w:val="auto"/>
        </w:rPr>
      </w:pPr>
      <w:r>
        <w:rPr>
          <w:rFonts w:ascii="Arial" w:cs="Arial" w:eastAsia="Arial" w:hAnsi="Arial"/>
          <w:sz w:val="20"/>
          <w:szCs w:val="20"/>
          <w:color w:val="auto"/>
        </w:rPr>
        <w:t>Executive’s conviction of, indictment for, or plea of “guilty” or “no contest” to, a felony under the laws of the United States or any State thereof;</w:t>
      </w:r>
    </w:p>
    <w:p>
      <w:pPr>
        <w:spacing w:after="0" w:line="141" w:lineRule="exact"/>
        <w:rPr>
          <w:rFonts w:ascii="Arial" w:cs="Arial" w:eastAsia="Arial" w:hAnsi="Arial"/>
          <w:sz w:val="20"/>
          <w:szCs w:val="20"/>
          <w:color w:val="auto"/>
        </w:rPr>
      </w:pPr>
    </w:p>
    <w:p>
      <w:pPr>
        <w:ind w:left="400" w:hanging="400"/>
        <w:spacing w:after="0"/>
        <w:tabs>
          <w:tab w:leader="none" w:pos="400" w:val="left"/>
        </w:tabs>
        <w:numPr>
          <w:ilvl w:val="0"/>
          <w:numId w:val="41"/>
        </w:numPr>
        <w:rPr>
          <w:rFonts w:ascii="Arial" w:cs="Arial" w:eastAsia="Arial" w:hAnsi="Arial"/>
          <w:sz w:val="20"/>
          <w:szCs w:val="20"/>
          <w:color w:val="auto"/>
        </w:rPr>
      </w:pPr>
      <w:r>
        <w:rPr>
          <w:rFonts w:ascii="Arial" w:cs="Arial" w:eastAsia="Arial" w:hAnsi="Arial"/>
          <w:sz w:val="20"/>
          <w:szCs w:val="20"/>
          <w:color w:val="auto"/>
        </w:rPr>
        <w:t>Executive’s gross negligence or willful misconduct which causes material harm to the Company;</w:t>
      </w:r>
    </w:p>
    <w:p>
      <w:pPr>
        <w:spacing w:after="0" w:line="218" w:lineRule="exact"/>
        <w:rPr>
          <w:rFonts w:ascii="Arial" w:cs="Arial" w:eastAsia="Arial" w:hAnsi="Arial"/>
          <w:sz w:val="20"/>
          <w:szCs w:val="20"/>
          <w:color w:val="auto"/>
        </w:rPr>
      </w:pPr>
    </w:p>
    <w:p>
      <w:pPr>
        <w:spacing w:after="0" w:line="284" w:lineRule="auto"/>
        <w:tabs>
          <w:tab w:leader="none" w:pos="541" w:val="left"/>
        </w:tabs>
        <w:numPr>
          <w:ilvl w:val="0"/>
          <w:numId w:val="41"/>
        </w:numPr>
        <w:rPr>
          <w:rFonts w:ascii="Arial" w:cs="Arial" w:eastAsia="Arial" w:hAnsi="Arial"/>
          <w:sz w:val="20"/>
          <w:szCs w:val="20"/>
          <w:color w:val="auto"/>
        </w:rPr>
      </w:pPr>
      <w:r>
        <w:rPr>
          <w:rFonts w:ascii="Arial" w:cs="Arial" w:eastAsia="Arial" w:hAnsi="Arial"/>
          <w:sz w:val="20"/>
          <w:szCs w:val="20"/>
          <w:color w:val="auto"/>
        </w:rPr>
        <w:t>A continued failure by Executive to perform reasonably assigned duties after receiving written notification of such failure from the Board (other than by reason of Executive’s physical or mental illness, incapacity or disability); or</w:t>
      </w:r>
    </w:p>
    <w:p>
      <w:pPr>
        <w:spacing w:after="0" w:line="141" w:lineRule="exact"/>
        <w:rPr>
          <w:rFonts w:ascii="Arial" w:cs="Arial" w:eastAsia="Arial" w:hAnsi="Arial"/>
          <w:sz w:val="20"/>
          <w:szCs w:val="20"/>
          <w:color w:val="auto"/>
        </w:rPr>
      </w:pPr>
    </w:p>
    <w:p>
      <w:pPr>
        <w:jc w:val="both"/>
        <w:spacing w:after="0" w:line="265" w:lineRule="auto"/>
        <w:tabs>
          <w:tab w:leader="none" w:pos="522" w:val="left"/>
        </w:tabs>
        <w:numPr>
          <w:ilvl w:val="0"/>
          <w:numId w:val="41"/>
        </w:numPr>
        <w:rPr>
          <w:rFonts w:ascii="Arial" w:cs="Arial" w:eastAsia="Arial" w:hAnsi="Arial"/>
          <w:sz w:val="20"/>
          <w:szCs w:val="20"/>
          <w:color w:val="auto"/>
        </w:rPr>
      </w:pPr>
      <w:r>
        <w:rPr>
          <w:rFonts w:ascii="Arial" w:cs="Arial" w:eastAsia="Arial" w:hAnsi="Arial"/>
          <w:sz w:val="20"/>
          <w:szCs w:val="20"/>
          <w:color w:val="auto"/>
        </w:rPr>
        <w:t>A failure by Executive to cooperate in good faith with a governmental or internal investigation of the Company or its directors, officers or employees, if the Company has requested in writing Executive’s cooperation, and Executive has not cooperated in good faith within 5 business days.</w:t>
      </w:r>
    </w:p>
    <w:p>
      <w:pPr>
        <w:sectPr>
          <w:pgSz w:w="11900" w:h="16838" w:orient="portrait"/>
          <w:cols w:equalWidth="0" w:num="1">
            <w:col w:w="11420"/>
          </w:cols>
          <w:pgMar w:left="240" w:top="127" w:right="239" w:bottom="0" w:gutter="0" w:footer="0" w:header="0"/>
        </w:sectPr>
      </w:pPr>
    </w:p>
    <w:bookmarkStart w:id="59" w:name="page60"/>
    <w:bookmarkEnd w:id="59"/>
    <w:p>
      <w:pPr>
        <w:ind w:right="260"/>
        <w:spacing w:after="0" w:line="271" w:lineRule="auto"/>
        <w:rPr>
          <w:sz w:val="20"/>
          <w:szCs w:val="20"/>
          <w:color w:val="auto"/>
        </w:rPr>
      </w:pPr>
      <w:r>
        <w:rPr>
          <w:rFonts w:ascii="Arial" w:cs="Arial" w:eastAsia="Arial" w:hAnsi="Arial"/>
          <w:sz w:val="20"/>
          <w:szCs w:val="20"/>
          <w:color w:val="auto"/>
        </w:rPr>
        <w:t>With respect to subparagraphs (ii), (iii) or (vi), the Company shall not have the right to terminate Executive for Cause if Executive cures the breach or failure within 30 days of the Company’s written notice to Executive of such breach or failure.</w:t>
      </w:r>
    </w:p>
    <w:p>
      <w:pPr>
        <w:spacing w:after="0" w:line="148"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b w:val="1"/>
          <w:bCs w:val="1"/>
          <w:color w:val="auto"/>
        </w:rPr>
        <w:t>Change in Control</w:t>
      </w:r>
      <w:r>
        <w:rPr>
          <w:rFonts w:ascii="Arial" w:cs="Arial" w:eastAsia="Arial" w:hAnsi="Arial"/>
          <w:sz w:val="18"/>
          <w:szCs w:val="18"/>
          <w:color w:val="auto"/>
        </w:rPr>
        <w:t>. For all purposes under this Agreement, “Change in Control” shall mean the occurrence of:</w:t>
      </w:r>
    </w:p>
    <w:p>
      <w:pPr>
        <w:spacing w:after="0" w:line="225" w:lineRule="exact"/>
        <w:rPr>
          <w:sz w:val="20"/>
          <w:szCs w:val="20"/>
          <w:color w:val="auto"/>
        </w:rPr>
      </w:pPr>
    </w:p>
    <w:p>
      <w:pPr>
        <w:spacing w:after="0" w:line="271" w:lineRule="auto"/>
        <w:tabs>
          <w:tab w:leader="none" w:pos="461"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acquisition, by a person or persons acting as a group, of the Company's stock that, together with other stock held by such person or group, constitutes more than 50% of the total fair market value or total voting power of the Company;</w:t>
      </w:r>
    </w:p>
    <w:p>
      <w:pPr>
        <w:spacing w:after="0" w:line="153" w:lineRule="exact"/>
        <w:rPr>
          <w:rFonts w:ascii="Arial" w:cs="Arial" w:eastAsia="Arial" w:hAnsi="Arial"/>
          <w:sz w:val="20"/>
          <w:szCs w:val="20"/>
          <w:color w:val="auto"/>
        </w:rPr>
      </w:pPr>
    </w:p>
    <w:p>
      <w:pPr>
        <w:spacing w:after="0" w:line="271" w:lineRule="auto"/>
        <w:tabs>
          <w:tab w:leader="none" w:pos="498"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acquisition, during a 12-month period ending on the date of the most recent acquisition, by a person or persons acting as a group, of 30% or more of the total voting power of the Company;</w:t>
      </w:r>
    </w:p>
    <w:p>
      <w:pPr>
        <w:spacing w:after="0" w:line="153" w:lineRule="exact"/>
        <w:rPr>
          <w:rFonts w:ascii="Arial" w:cs="Arial" w:eastAsia="Arial" w:hAnsi="Arial"/>
          <w:sz w:val="20"/>
          <w:szCs w:val="20"/>
          <w:color w:val="auto"/>
        </w:rPr>
      </w:pPr>
    </w:p>
    <w:p>
      <w:pPr>
        <w:spacing w:after="0" w:line="271" w:lineRule="auto"/>
        <w:tabs>
          <w:tab w:leader="none" w:pos="553"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replacement of a majority of the members of the Board, during any 12-month period, by directors whose appointment or election is not endorsed by a majority of the members of the Board before the date of such appointment or election; or</w:t>
      </w:r>
    </w:p>
    <w:p>
      <w:pPr>
        <w:spacing w:after="0" w:line="153" w:lineRule="exact"/>
        <w:rPr>
          <w:rFonts w:ascii="Arial" w:cs="Arial" w:eastAsia="Arial" w:hAnsi="Arial"/>
          <w:sz w:val="20"/>
          <w:szCs w:val="20"/>
          <w:color w:val="auto"/>
        </w:rPr>
      </w:pPr>
    </w:p>
    <w:p>
      <w:pPr>
        <w:jc w:val="both"/>
        <w:spacing w:after="0" w:line="255" w:lineRule="auto"/>
        <w:tabs>
          <w:tab w:leader="none" w:pos="536"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acquisition, during a 12-month period ending on the date of the most recent acquisition, by a person or persons acting as a group, of the Company's assets having a total gross fair market value (determined without regard to any liabilities associated with such assets) of 80% or more of the total gross fair market value of all of the assets of the Company (determined without regard to any liabilities associated with such assets) immediately prior to such acquisition or acquisitions.</w:t>
      </w:r>
    </w:p>
    <w:p>
      <w:pPr>
        <w:spacing w:after="0" w:line="169" w:lineRule="exact"/>
        <w:rPr>
          <w:sz w:val="20"/>
          <w:szCs w:val="20"/>
          <w:color w:val="auto"/>
        </w:rPr>
      </w:pPr>
    </w:p>
    <w:p>
      <w:pPr>
        <w:jc w:val="both"/>
        <w:ind w:firstLine="598"/>
        <w:spacing w:after="0" w:line="301" w:lineRule="auto"/>
        <w:rPr>
          <w:sz w:val="20"/>
          <w:szCs w:val="20"/>
          <w:color w:val="auto"/>
        </w:rPr>
      </w:pPr>
      <w:r>
        <w:rPr>
          <w:rFonts w:ascii="Arial" w:cs="Arial" w:eastAsia="Arial" w:hAnsi="Arial"/>
          <w:sz w:val="18"/>
          <w:szCs w:val="18"/>
          <w:color w:val="auto"/>
        </w:rPr>
        <w:t>Notwithstanding the foregoing, a Change in Control shall not be deemed to occur unless such transaction also qualifies as an event under Treas. Reg. §1.409A-3(i)(5)(v) (change in the ownership of a corporation), Treas. Reg. §1.409A-3(i)(5)(vi) (change in the effective control of a corporation), or Treas. Reg. §1.409A-3(i)(5)(vii) (change in the ownership of a substantial portion of a corporation's assets).</w:t>
      </w:r>
    </w:p>
    <w:p>
      <w:pPr>
        <w:spacing w:after="0" w:line="125" w:lineRule="exact"/>
        <w:rPr>
          <w:sz w:val="20"/>
          <w:szCs w:val="20"/>
          <w:color w:val="auto"/>
        </w:rPr>
      </w:pPr>
    </w:p>
    <w:p>
      <w:pPr>
        <w:jc w:val="both"/>
        <w:spacing w:after="0" w:line="287" w:lineRule="auto"/>
        <w:tabs>
          <w:tab w:leader="none" w:pos="387"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Client. </w:t>
      </w:r>
      <w:r>
        <w:rPr>
          <w:rFonts w:ascii="Arial" w:cs="Arial" w:eastAsia="Arial" w:hAnsi="Arial"/>
          <w:sz w:val="18"/>
          <w:szCs w:val="18"/>
          <w:color w:val="auto"/>
        </w:rPr>
        <w:t>For all purposes under this Agreement, “Client” shall mean (i) anyone who is a client of the Company as of, or at any time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one-year period immediately preceding, the termination of Executive’s employment, but only if Executive had a direct relationship with, supervisory responsibility for or otherwise were involved with such client during Executive’s employment with the Company and (ii) any prospective client to whom the Company made a new business presentation (or similar offering of services) at any time during the one-year period immediately preceding, or six-month period immediately following, Executive’s employment termination (but only if initial discussions between the Company and such prospective client relating to the rendering of services occurred prior to the termination date, and only if Executive participated in or supervised such presentation and/or its preparation or the discussions leading up to it).</w:t>
      </w:r>
    </w:p>
    <w:p>
      <w:pPr>
        <w:spacing w:after="0" w:line="136" w:lineRule="exact"/>
        <w:rPr>
          <w:rFonts w:ascii="Arial" w:cs="Arial" w:eastAsia="Arial" w:hAnsi="Arial"/>
          <w:sz w:val="18"/>
          <w:szCs w:val="18"/>
          <w:color w:val="auto"/>
        </w:rPr>
      </w:pPr>
    </w:p>
    <w:p>
      <w:pPr>
        <w:ind w:left="400" w:hanging="400"/>
        <w:spacing w:after="0"/>
        <w:tabs>
          <w:tab w:leader="none" w:pos="400" w:val="left"/>
        </w:tabs>
        <w:numPr>
          <w:ilvl w:val="0"/>
          <w:numId w:val="43"/>
        </w:numPr>
        <w:rPr>
          <w:rFonts w:ascii="Arial" w:cs="Arial" w:eastAsia="Arial" w:hAnsi="Arial"/>
          <w:sz w:val="20"/>
          <w:szCs w:val="20"/>
          <w:color w:val="auto"/>
        </w:rPr>
      </w:pPr>
      <w:r>
        <w:rPr>
          <w:rFonts w:ascii="Arial" w:cs="Arial" w:eastAsia="Arial" w:hAnsi="Arial"/>
          <w:sz w:val="20"/>
          <w:szCs w:val="20"/>
          <w:b w:val="1"/>
          <w:bCs w:val="1"/>
          <w:color w:val="auto"/>
        </w:rPr>
        <w:t>Code</w:t>
      </w:r>
      <w:r>
        <w:rPr>
          <w:rFonts w:ascii="Arial" w:cs="Arial" w:eastAsia="Arial" w:hAnsi="Arial"/>
          <w:sz w:val="20"/>
          <w:szCs w:val="20"/>
          <w:color w:val="auto"/>
        </w:rPr>
        <w:t>. For all purposes under this Agreement, “Code” shall mean the Internal Revenue Code of 1986, as amended.</w:t>
      </w:r>
    </w:p>
    <w:p>
      <w:pPr>
        <w:spacing w:after="0" w:line="218" w:lineRule="exact"/>
        <w:rPr>
          <w:rFonts w:ascii="Arial" w:cs="Arial" w:eastAsia="Arial" w:hAnsi="Arial"/>
          <w:sz w:val="20"/>
          <w:szCs w:val="20"/>
          <w:color w:val="auto"/>
        </w:rPr>
      </w:pPr>
    </w:p>
    <w:p>
      <w:pPr>
        <w:spacing w:after="0" w:line="291" w:lineRule="auto"/>
        <w:tabs>
          <w:tab w:leader="none" w:pos="437" w:val="left"/>
        </w:tabs>
        <w:numPr>
          <w:ilvl w:val="0"/>
          <w:numId w:val="43"/>
        </w:numPr>
        <w:rPr>
          <w:rFonts w:ascii="Arial" w:cs="Arial" w:eastAsia="Arial" w:hAnsi="Arial"/>
          <w:sz w:val="20"/>
          <w:szCs w:val="20"/>
          <w:color w:val="auto"/>
        </w:rPr>
      </w:pPr>
      <w:r>
        <w:rPr>
          <w:rFonts w:ascii="Arial" w:cs="Arial" w:eastAsia="Arial" w:hAnsi="Arial"/>
          <w:sz w:val="20"/>
          <w:szCs w:val="20"/>
          <w:b w:val="1"/>
          <w:bCs w:val="1"/>
          <w:color w:val="auto"/>
        </w:rPr>
        <w:t>Company</w:t>
      </w:r>
      <w:r>
        <w:rPr>
          <w:rFonts w:ascii="Arial" w:cs="Arial" w:eastAsia="Arial" w:hAnsi="Arial"/>
          <w:sz w:val="20"/>
          <w:szCs w:val="20"/>
          <w:color w:val="auto"/>
        </w:rPr>
        <w:t>. For all purposes under this Agreement, “Company” shall include Synchronoss Technologies, Inc. and all of its subsidiaries</w:t>
      </w:r>
      <w:r>
        <w:rPr>
          <w:rFonts w:ascii="Arial" w:cs="Arial" w:eastAsia="Arial" w:hAnsi="Arial"/>
          <w:sz w:val="20"/>
          <w:szCs w:val="20"/>
          <w:b w:val="1"/>
          <w:bCs w:val="1"/>
          <w:color w:val="auto"/>
        </w:rPr>
        <w:t xml:space="preserve"> </w:t>
      </w:r>
      <w:r>
        <w:rPr>
          <w:rFonts w:ascii="Arial" w:cs="Arial" w:eastAsia="Arial" w:hAnsi="Arial"/>
          <w:sz w:val="20"/>
          <w:szCs w:val="20"/>
          <w:color w:val="auto"/>
        </w:rPr>
        <w:t>and affiliates.</w:t>
      </w:r>
    </w:p>
    <w:p>
      <w:pPr>
        <w:spacing w:after="0" w:line="127" w:lineRule="exact"/>
        <w:rPr>
          <w:rFonts w:ascii="Arial" w:cs="Arial" w:eastAsia="Arial" w:hAnsi="Arial"/>
          <w:sz w:val="20"/>
          <w:szCs w:val="20"/>
          <w:color w:val="auto"/>
        </w:rPr>
      </w:pPr>
    </w:p>
    <w:p>
      <w:pPr>
        <w:ind w:left="360" w:hanging="360"/>
        <w:spacing w:after="0"/>
        <w:tabs>
          <w:tab w:leader="none" w:pos="360" w:val="left"/>
        </w:tabs>
        <w:numPr>
          <w:ilvl w:val="0"/>
          <w:numId w:val="43"/>
        </w:numPr>
        <w:rPr>
          <w:rFonts w:ascii="Arial" w:cs="Arial" w:eastAsia="Arial" w:hAnsi="Arial"/>
          <w:sz w:val="20"/>
          <w:szCs w:val="20"/>
          <w:color w:val="auto"/>
        </w:rPr>
      </w:pPr>
      <w:r>
        <w:rPr>
          <w:rFonts w:ascii="Arial" w:cs="Arial" w:eastAsia="Arial" w:hAnsi="Arial"/>
          <w:sz w:val="20"/>
          <w:szCs w:val="20"/>
          <w:b w:val="1"/>
          <w:bCs w:val="1"/>
          <w:color w:val="auto"/>
        </w:rPr>
        <w:t>Good Reason</w:t>
      </w:r>
      <w:r>
        <w:rPr>
          <w:rFonts w:ascii="Arial" w:cs="Arial" w:eastAsia="Arial" w:hAnsi="Arial"/>
          <w:sz w:val="20"/>
          <w:szCs w:val="20"/>
          <w:color w:val="auto"/>
        </w:rPr>
        <w:t>. For all purposes under this Agreement, “Good Reason” shall mean:</w:t>
      </w:r>
    </w:p>
    <w:p>
      <w:pPr>
        <w:spacing w:after="0" w:line="225" w:lineRule="exact"/>
        <w:rPr>
          <w:sz w:val="20"/>
          <w:szCs w:val="20"/>
          <w:color w:val="auto"/>
        </w:rPr>
      </w:pPr>
    </w:p>
    <w:p>
      <w:pPr>
        <w:ind w:left="360" w:hanging="360"/>
        <w:spacing w:after="0"/>
        <w:tabs>
          <w:tab w:leader="none" w:pos="3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material diminution in Executive’s authorities, duties or responsibilities;</w:t>
      </w:r>
    </w:p>
    <w:p>
      <w:pPr>
        <w:spacing w:after="0" w:line="218" w:lineRule="exact"/>
        <w:rPr>
          <w:rFonts w:ascii="Arial" w:cs="Arial" w:eastAsia="Arial" w:hAnsi="Arial"/>
          <w:sz w:val="20"/>
          <w:szCs w:val="20"/>
          <w:color w:val="auto"/>
        </w:rPr>
      </w:pPr>
    </w:p>
    <w:p>
      <w:pPr>
        <w:spacing w:after="0" w:line="284" w:lineRule="auto"/>
        <w:tabs>
          <w:tab w:leader="none" w:pos="547" w:val="left"/>
        </w:tabs>
        <w:numPr>
          <w:ilvl w:val="0"/>
          <w:numId w:val="44"/>
        </w:numPr>
        <w:rPr>
          <w:rFonts w:ascii="Arial" w:cs="Arial" w:eastAsia="Arial" w:hAnsi="Arial"/>
          <w:sz w:val="20"/>
          <w:szCs w:val="20"/>
          <w:color w:val="auto"/>
        </w:rPr>
      </w:pPr>
      <w:r>
        <w:rPr>
          <w:rFonts w:ascii="Arial" w:cs="Arial" w:eastAsia="Arial" w:hAnsi="Arial"/>
          <w:sz w:val="20"/>
          <w:szCs w:val="20"/>
          <w:color w:val="auto"/>
        </w:rPr>
        <w:t>a reduction in Executive’s base salary by more than 5% unless pursuant to a Company-wide salary reduction affecting all of the Company’s Section 16 officers proportionately;</w:t>
      </w:r>
    </w:p>
    <w:p>
      <w:pPr>
        <w:spacing w:after="0" w:line="141" w:lineRule="exact"/>
        <w:rPr>
          <w:rFonts w:ascii="Arial" w:cs="Arial" w:eastAsia="Arial" w:hAnsi="Arial"/>
          <w:sz w:val="20"/>
          <w:szCs w:val="20"/>
          <w:color w:val="auto"/>
        </w:rPr>
      </w:pPr>
    </w:p>
    <w:p>
      <w:pPr>
        <w:ind w:left="460" w:hanging="460"/>
        <w:spacing w:after="0"/>
        <w:tabs>
          <w:tab w:leader="none" w:pos="4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relocation of Executive’s principal workplace that results in an increase to Executive’s commute by more than 50 miles;</w:t>
      </w:r>
    </w:p>
    <w:p>
      <w:pPr>
        <w:spacing w:after="0" w:line="218" w:lineRule="exact"/>
        <w:rPr>
          <w:rFonts w:ascii="Arial" w:cs="Arial" w:eastAsia="Arial" w:hAnsi="Arial"/>
          <w:sz w:val="20"/>
          <w:szCs w:val="20"/>
          <w:color w:val="auto"/>
        </w:rPr>
      </w:pPr>
    </w:p>
    <w:p>
      <w:pPr>
        <w:jc w:val="both"/>
        <w:spacing w:after="0" w:line="308" w:lineRule="auto"/>
        <w:tabs>
          <w:tab w:leader="none" w:pos="4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material reduction in the kind or level of incentive compensation or employee benefits to which Executive is entitled immediately prior to such reduction with the result that Executive’s overall compensation and benefits package is significantly reduced, unless such reduction occurs solely as a result of a reduction in the kind or level of employee benefits of employees that applies for all employees of the Company or</w:t>
      </w:r>
    </w:p>
    <w:p>
      <w:pPr>
        <w:spacing w:after="0" w:line="125" w:lineRule="exact"/>
        <w:rPr>
          <w:rFonts w:ascii="Arial" w:cs="Arial" w:eastAsia="Arial" w:hAnsi="Arial"/>
          <w:sz w:val="18"/>
          <w:szCs w:val="18"/>
          <w:color w:val="auto"/>
        </w:rPr>
      </w:pPr>
    </w:p>
    <w:p>
      <w:pPr>
        <w:ind w:left="400" w:hanging="400"/>
        <w:spacing w:after="0"/>
        <w:tabs>
          <w:tab w:leader="none" w:pos="4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 material breach by the Company of this Agreement.</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 condition shall not be considered “Good Reason” unless Executive gives the Company written notice of such condition within 90 days after Executive has knowledge of such condition and the Company fails to remedy such condition (or in the case of (v), remedy such breach) within 30 days after receiving Executive’s written notice. In addition, Executive’s resignation must occur no later than 12 months after Executive has knowledge of such condition.</w:t>
      </w:r>
    </w:p>
    <w:p>
      <w:pPr>
        <w:spacing w:after="0" w:line="163" w:lineRule="exact"/>
        <w:rPr>
          <w:sz w:val="20"/>
          <w:szCs w:val="20"/>
          <w:color w:val="auto"/>
        </w:rPr>
      </w:pPr>
    </w:p>
    <w:p>
      <w:pPr>
        <w:jc w:val="both"/>
        <w:spacing w:after="0" w:line="269" w:lineRule="auto"/>
        <w:tabs>
          <w:tab w:leader="none" w:pos="548" w:val="left"/>
        </w:tabs>
        <w:numPr>
          <w:ilvl w:val="0"/>
          <w:numId w:val="45"/>
        </w:numPr>
        <w:rPr>
          <w:rFonts w:ascii="Arial" w:cs="Arial" w:eastAsia="Arial" w:hAnsi="Arial"/>
          <w:sz w:val="20"/>
          <w:szCs w:val="20"/>
          <w:color w:val="auto"/>
        </w:rPr>
      </w:pPr>
      <w:r>
        <w:rPr>
          <w:rFonts w:ascii="Arial" w:cs="Arial" w:eastAsia="Arial" w:hAnsi="Arial"/>
          <w:sz w:val="20"/>
          <w:szCs w:val="20"/>
          <w:b w:val="1"/>
          <w:bCs w:val="1"/>
          <w:color w:val="auto"/>
        </w:rPr>
        <w:t>Involuntary Termination</w:t>
      </w:r>
      <w:r>
        <w:rPr>
          <w:rFonts w:ascii="Arial" w:cs="Arial" w:eastAsia="Arial" w:hAnsi="Arial"/>
          <w:sz w:val="20"/>
          <w:szCs w:val="20"/>
          <w:color w:val="auto"/>
        </w:rPr>
        <w:t>. For all purposes under this Agreement, “Involuntary Termination” shall mean either (i)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terminates Executive’s Employment with the Company for a reason other than death, Cause or Permanent Disability and a Separation occurs, or (ii) Executive resigns his Employment for Good Reason and a Separation occurs.</w:t>
      </w:r>
    </w:p>
    <w:p>
      <w:pPr>
        <w:spacing w:after="0" w:line="148" w:lineRule="exact"/>
        <w:rPr>
          <w:rFonts w:ascii="Arial" w:cs="Arial" w:eastAsia="Arial" w:hAnsi="Arial"/>
          <w:sz w:val="20"/>
          <w:szCs w:val="20"/>
          <w:color w:val="auto"/>
        </w:rPr>
      </w:pPr>
    </w:p>
    <w:p>
      <w:pPr>
        <w:jc w:val="both"/>
        <w:spacing w:after="0" w:line="289" w:lineRule="auto"/>
        <w:tabs>
          <w:tab w:leader="none" w:pos="399" w:val="left"/>
        </w:tabs>
        <w:numPr>
          <w:ilvl w:val="0"/>
          <w:numId w:val="45"/>
        </w:numPr>
        <w:rPr>
          <w:rFonts w:ascii="Arial" w:cs="Arial" w:eastAsia="Arial" w:hAnsi="Arial"/>
          <w:sz w:val="19"/>
          <w:szCs w:val="19"/>
          <w:color w:val="auto"/>
        </w:rPr>
      </w:pPr>
      <w:r>
        <w:rPr>
          <w:rFonts w:ascii="Arial" w:cs="Arial" w:eastAsia="Arial" w:hAnsi="Arial"/>
          <w:sz w:val="19"/>
          <w:szCs w:val="19"/>
          <w:b w:val="1"/>
          <w:bCs w:val="1"/>
          <w:color w:val="auto"/>
        </w:rPr>
        <w:t>Permanent Disability</w:t>
      </w:r>
      <w:r>
        <w:rPr>
          <w:rFonts w:ascii="Arial" w:cs="Arial" w:eastAsia="Arial" w:hAnsi="Arial"/>
          <w:sz w:val="19"/>
          <w:szCs w:val="19"/>
          <w:color w:val="auto"/>
        </w:rPr>
        <w:t>. For all purposes under this Agreement, “Permanent Disability” shall mean, in the reasonable determination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Committee, Executive’s inability to perform the essential functions of Executive’s position, with or without reasonable accommodation, for a period of at least 180 consecutive days because of a physical or mental impairment.</w:t>
      </w:r>
    </w:p>
    <w:p>
      <w:pPr>
        <w:spacing w:after="0" w:line="132" w:lineRule="exact"/>
        <w:rPr>
          <w:rFonts w:ascii="Arial" w:cs="Arial" w:eastAsia="Arial" w:hAnsi="Arial"/>
          <w:sz w:val="19"/>
          <w:szCs w:val="19"/>
          <w:color w:val="auto"/>
        </w:rPr>
      </w:pPr>
    </w:p>
    <w:p>
      <w:pPr>
        <w:jc w:val="both"/>
        <w:spacing w:after="0" w:line="243" w:lineRule="exact"/>
        <w:tabs>
          <w:tab w:leader="none" w:pos="392"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Proprietary Information</w:t>
      </w:r>
      <w:r>
        <w:rPr>
          <w:rFonts w:ascii="Arial" w:cs="Arial" w:eastAsia="Arial" w:hAnsi="Arial"/>
          <w:sz w:val="18"/>
          <w:szCs w:val="18"/>
          <w:color w:val="auto"/>
        </w:rPr>
        <w:t>. For all purposes under this Agreement, “Proprietary Information” shall mean any and all confidential and/or</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knowledge, data or information of the Company. By way of illustration but not limitation, Proprietary Information includes (i) trade secrets, inventions, mask works, ideas, processes, formulas, source and object codes, data, programs, other works of authorship, know</w:t>
      </w:r>
      <w:r>
        <w:rPr>
          <w:rFonts w:ascii="MS PGothic" w:cs="MS PGothic" w:eastAsia="MS PGothic" w:hAnsi="MS PGothic"/>
          <w:sz w:val="18"/>
          <w:szCs w:val="18"/>
          <w:color w:val="auto"/>
        </w:rPr>
        <w:t>‑</w:t>
      </w:r>
      <w:r>
        <w:rPr>
          <w:rFonts w:ascii="Arial" w:cs="Arial" w:eastAsia="Arial" w:hAnsi="Arial"/>
          <w:sz w:val="18"/>
          <w:szCs w:val="18"/>
          <w:color w:val="auto"/>
        </w:rPr>
        <w:t>how, improvements, discoveries, developments, designs and techniques; and (ii) information regarding plans for research, development, new products, marketing and selling, business plans, budgets and unpublished financial statements, licenses, prices and costs, suppliers and customers; and (iii) information regarding the skills and compensation of other employees of the Company.</w:t>
      </w:r>
    </w:p>
    <w:p>
      <w:pPr>
        <w:sectPr>
          <w:pgSz w:w="11900" w:h="16838" w:orient="portrait"/>
          <w:cols w:equalWidth="0" w:num="1">
            <w:col w:w="11420"/>
          </w:cols>
          <w:pgMar w:left="240" w:top="145" w:right="239" w:bottom="86" w:gutter="0" w:footer="0" w:header="0"/>
        </w:sectPr>
      </w:pPr>
    </w:p>
    <w:bookmarkStart w:id="60" w:name="page61"/>
    <w:bookmarkEnd w:id="60"/>
    <w:p>
      <w:pPr>
        <w:jc w:val="both"/>
        <w:spacing w:after="0" w:line="261" w:lineRule="auto"/>
        <w:tabs>
          <w:tab w:leader="none" w:pos="429"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Restricted Business</w:t>
      </w:r>
      <w:r>
        <w:rPr>
          <w:rFonts w:ascii="Arial" w:cs="Arial" w:eastAsia="Arial" w:hAnsi="Arial"/>
          <w:sz w:val="20"/>
          <w:szCs w:val="20"/>
          <w:color w:val="auto"/>
        </w:rPr>
        <w:t>. For all purposes under this Agreement, “Restricted Business” shall mean the design, development, marketing or</w:t>
      </w:r>
      <w:r>
        <w:rPr>
          <w:rFonts w:ascii="Arial" w:cs="Arial" w:eastAsia="Arial" w:hAnsi="Arial"/>
          <w:sz w:val="20"/>
          <w:szCs w:val="20"/>
          <w:b w:val="1"/>
          <w:bCs w:val="1"/>
          <w:color w:val="auto"/>
        </w:rPr>
        <w:t xml:space="preserve"> </w:t>
      </w:r>
      <w:r>
        <w:rPr>
          <w:rFonts w:ascii="Arial" w:cs="Arial" w:eastAsia="Arial" w:hAnsi="Arial"/>
          <w:sz w:val="20"/>
          <w:szCs w:val="20"/>
          <w:color w:val="auto"/>
        </w:rPr>
        <w:t>sales of software, or any other process, system, product, or service marketed, sold or under development by the Company (and expected to reach market before the end of the Restricted Period) at the time Executive’s employment with the Company ends, whether during or after the Term.</w:t>
      </w:r>
    </w:p>
    <w:p>
      <w:pPr>
        <w:spacing w:after="0" w:line="158" w:lineRule="exact"/>
        <w:rPr>
          <w:rFonts w:ascii="Arial" w:cs="Arial" w:eastAsia="Arial" w:hAnsi="Arial"/>
          <w:sz w:val="20"/>
          <w:szCs w:val="20"/>
          <w:color w:val="auto"/>
        </w:rPr>
      </w:pPr>
    </w:p>
    <w:p>
      <w:pPr>
        <w:spacing w:after="0" w:line="291" w:lineRule="auto"/>
        <w:tabs>
          <w:tab w:leader="none" w:pos="399"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Restricted Territory</w:t>
      </w:r>
      <w:r>
        <w:rPr>
          <w:rFonts w:ascii="Arial" w:cs="Arial" w:eastAsia="Arial" w:hAnsi="Arial"/>
          <w:sz w:val="20"/>
          <w:szCs w:val="20"/>
          <w:color w:val="auto"/>
        </w:rPr>
        <w:t>. For all purposes under this Agreement, “Restricted Territory” shall mean any state, county, or locality in the United</w:t>
      </w:r>
      <w:r>
        <w:rPr>
          <w:rFonts w:ascii="Arial" w:cs="Arial" w:eastAsia="Arial" w:hAnsi="Arial"/>
          <w:sz w:val="20"/>
          <w:szCs w:val="20"/>
          <w:b w:val="1"/>
          <w:bCs w:val="1"/>
          <w:color w:val="auto"/>
        </w:rPr>
        <w:t xml:space="preserve"> </w:t>
      </w:r>
      <w:r>
        <w:rPr>
          <w:rFonts w:ascii="Arial" w:cs="Arial" w:eastAsia="Arial" w:hAnsi="Arial"/>
          <w:sz w:val="20"/>
          <w:szCs w:val="20"/>
          <w:color w:val="auto"/>
        </w:rPr>
        <w:t>States or around the world in which the Company conducts business.</w:t>
      </w:r>
    </w:p>
    <w:p>
      <w:pPr>
        <w:spacing w:after="0" w:line="127" w:lineRule="exact"/>
        <w:rPr>
          <w:rFonts w:ascii="Arial" w:cs="Arial" w:eastAsia="Arial" w:hAnsi="Arial"/>
          <w:sz w:val="20"/>
          <w:szCs w:val="20"/>
          <w:color w:val="auto"/>
        </w:rPr>
      </w:pPr>
    </w:p>
    <w:p>
      <w:pPr>
        <w:spacing w:after="0" w:line="291" w:lineRule="auto"/>
        <w:tabs>
          <w:tab w:leader="none" w:pos="454"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Separation</w:t>
      </w:r>
      <w:r>
        <w:rPr>
          <w:rFonts w:ascii="Arial" w:cs="Arial" w:eastAsia="Arial" w:hAnsi="Arial"/>
          <w:sz w:val="20"/>
          <w:szCs w:val="20"/>
          <w:color w:val="auto"/>
        </w:rPr>
        <w:t>. For all purposes under this Employment Agreement, “Separation” means a “separation from service,” as defined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regulations under Section 409A of the Code.</w:t>
      </w:r>
    </w:p>
    <w:p>
      <w:pPr>
        <w:spacing w:after="0" w:line="127" w:lineRule="exact"/>
        <w:rPr>
          <w:rFonts w:ascii="Arial" w:cs="Arial" w:eastAsia="Arial" w:hAnsi="Arial"/>
          <w:sz w:val="20"/>
          <w:szCs w:val="20"/>
          <w:color w:val="auto"/>
        </w:rPr>
      </w:pPr>
    </w:p>
    <w:p>
      <w:pPr>
        <w:jc w:val="both"/>
        <w:spacing w:after="0" w:line="287" w:lineRule="auto"/>
        <w:tabs>
          <w:tab w:leader="none" w:pos="491"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Solicit. </w:t>
      </w:r>
      <w:r>
        <w:rPr>
          <w:rFonts w:ascii="Arial" w:cs="Arial" w:eastAsia="Arial" w:hAnsi="Arial"/>
          <w:sz w:val="18"/>
          <w:szCs w:val="18"/>
          <w:color w:val="auto"/>
        </w:rPr>
        <w:t>For all purposes under this Agreement, “solicit” shall mean (i) active solicitation of any Client or Company employee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marketing of a product, service or open position not targeted at such employee); (ii) the provision of information regarding any Client or Company employee to any third party where such information could be useful to such third party in attempting to obtain business from such Client or attempting to hire any such Company employee; (iii) participation in any meetings, discussions, or other communications with any third party regarding any Client or Company employee where the purpose or effect of such meeting, discussion or communication is to obtain business from such Client or employ such Company employee; and (iv) any other passive use of information about any Client or Company employee which has the purpose or effect of assisting a third party or causing harm to the business of the Company.</w:t>
      </w:r>
    </w:p>
    <w:p>
      <w:pPr>
        <w:spacing w:after="0" w:line="137"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7"/>
          <w:szCs w:val="17"/>
          <w:b w:val="1"/>
          <w:bCs w:val="1"/>
          <w:color w:val="auto"/>
        </w:rPr>
        <w:t>Miscellaneous Provisions.</w:t>
      </w:r>
    </w:p>
    <w:p>
      <w:pPr>
        <w:spacing w:after="0" w:line="219" w:lineRule="exact"/>
        <w:rPr>
          <w:sz w:val="20"/>
          <w:szCs w:val="20"/>
          <w:color w:val="auto"/>
        </w:rPr>
      </w:pPr>
    </w:p>
    <w:p>
      <w:pPr>
        <w:jc w:val="both"/>
        <w:spacing w:after="0" w:line="274" w:lineRule="auto"/>
        <w:tabs>
          <w:tab w:leader="none" w:pos="400"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Notice</w:t>
      </w:r>
      <w:r>
        <w:rPr>
          <w:rFonts w:ascii="Arial" w:cs="Arial" w:eastAsia="Arial" w:hAnsi="Arial"/>
          <w:sz w:val="19"/>
          <w:szCs w:val="19"/>
          <w:color w:val="auto"/>
        </w:rPr>
        <w:t>. Notices and all other communications contemplated by this Agreement shall be in writing and shall be deemed to have been duly</w:t>
      </w:r>
      <w:r>
        <w:rPr>
          <w:rFonts w:ascii="Arial" w:cs="Arial" w:eastAsia="Arial" w:hAnsi="Arial"/>
          <w:sz w:val="19"/>
          <w:szCs w:val="19"/>
          <w:b w:val="1"/>
          <w:bCs w:val="1"/>
          <w:color w:val="auto"/>
        </w:rPr>
        <w:t xml:space="preserve"> </w:t>
      </w:r>
      <w:r>
        <w:rPr>
          <w:rFonts w:ascii="Arial" w:cs="Arial" w:eastAsia="Arial" w:hAnsi="Arial"/>
          <w:sz w:val="19"/>
          <w:szCs w:val="19"/>
          <w:color w:val="auto"/>
        </w:rPr>
        <w:t>given when personally delivered, when delivered by FedEx with delivery charges prepaid, or when mailed by U.S. registered or certified mail, return receipt requested and postage prepaid. In the case of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48" w:lineRule="exact"/>
        <w:rPr>
          <w:rFonts w:ascii="Arial" w:cs="Arial" w:eastAsia="Arial" w:hAnsi="Arial"/>
          <w:sz w:val="19"/>
          <w:szCs w:val="19"/>
          <w:color w:val="auto"/>
        </w:rPr>
      </w:pPr>
    </w:p>
    <w:p>
      <w:pPr>
        <w:jc w:val="both"/>
        <w:spacing w:after="0" w:line="279" w:lineRule="auto"/>
        <w:tabs>
          <w:tab w:leader="none" w:pos="411"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Modifications and Waivers</w:t>
      </w:r>
      <w:r>
        <w:rPr>
          <w:rFonts w:ascii="Arial" w:cs="Arial" w:eastAsia="Arial" w:hAnsi="Arial"/>
          <w:sz w:val="19"/>
          <w:szCs w:val="19"/>
          <w:color w:val="auto"/>
        </w:rPr>
        <w:t>. No provision of this Agreement shall be modified, waived or discharged unless the modification, waiver or</w:t>
      </w:r>
      <w:r>
        <w:rPr>
          <w:rFonts w:ascii="Arial" w:cs="Arial" w:eastAsia="Arial" w:hAnsi="Arial"/>
          <w:sz w:val="19"/>
          <w:szCs w:val="19"/>
          <w:b w:val="1"/>
          <w:bCs w:val="1"/>
          <w:color w:val="auto"/>
        </w:rPr>
        <w:t xml:space="preserve"> </w:t>
      </w:r>
      <w:r>
        <w:rPr>
          <w:rFonts w:ascii="Arial" w:cs="Arial" w:eastAsia="Arial" w:hAnsi="Arial"/>
          <w:sz w:val="19"/>
          <w:szCs w:val="19"/>
          <w:color w:val="auto"/>
        </w:rPr>
        <w:t>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43" w:lineRule="exact"/>
        <w:rPr>
          <w:rFonts w:ascii="Arial" w:cs="Arial" w:eastAsia="Arial" w:hAnsi="Arial"/>
          <w:sz w:val="19"/>
          <w:szCs w:val="19"/>
          <w:color w:val="auto"/>
        </w:rPr>
      </w:pPr>
    </w:p>
    <w:p>
      <w:pPr>
        <w:jc w:val="both"/>
        <w:spacing w:after="0" w:line="279" w:lineRule="auto"/>
        <w:tabs>
          <w:tab w:leader="none" w:pos="549"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Whole Agreement</w:t>
      </w:r>
      <w:r>
        <w:rPr>
          <w:rFonts w:ascii="Arial" w:cs="Arial" w:eastAsia="Arial" w:hAnsi="Arial"/>
          <w:sz w:val="19"/>
          <w:szCs w:val="19"/>
          <w:color w:val="auto"/>
        </w:rPr>
        <w:t>. This Agreement and the Proprietary Information and Inventions Agreement supersede and replace any prior</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agreements, representations or understandings (whether oral or written and whether express or implied) between Executive and the Company and constitute the complete agreement between Executive and the Company regarding the subject matter set forth herein; provided that nothing in this Agreement shall supersede an express promise made by the Company in Executive’s offer letter.</w:t>
      </w:r>
    </w:p>
    <w:p>
      <w:pPr>
        <w:spacing w:after="0" w:line="143" w:lineRule="exact"/>
        <w:rPr>
          <w:rFonts w:ascii="Arial" w:cs="Arial" w:eastAsia="Arial" w:hAnsi="Arial"/>
          <w:sz w:val="19"/>
          <w:szCs w:val="19"/>
          <w:color w:val="auto"/>
        </w:rPr>
      </w:pPr>
    </w:p>
    <w:p>
      <w:pPr>
        <w:jc w:val="both"/>
        <w:spacing w:after="0" w:line="252" w:lineRule="auto"/>
        <w:tabs>
          <w:tab w:leader="none" w:pos="449" w:val="left"/>
        </w:tabs>
        <w:numPr>
          <w:ilvl w:val="0"/>
          <w:numId w:val="47"/>
        </w:numPr>
        <w:rPr>
          <w:rFonts w:ascii="Arial" w:cs="Arial" w:eastAsia="Arial" w:hAnsi="Arial"/>
          <w:sz w:val="20"/>
          <w:szCs w:val="20"/>
          <w:color w:val="auto"/>
        </w:rPr>
      </w:pPr>
      <w:r>
        <w:rPr>
          <w:rFonts w:ascii="Arial" w:cs="Arial" w:eastAsia="Arial" w:hAnsi="Arial"/>
          <w:sz w:val="20"/>
          <w:szCs w:val="20"/>
          <w:b w:val="1"/>
          <w:bCs w:val="1"/>
          <w:color w:val="auto"/>
        </w:rPr>
        <w:t>Choice of Law and Severability</w:t>
      </w:r>
      <w:r>
        <w:rPr>
          <w:rFonts w:ascii="Arial" w:cs="Arial" w:eastAsia="Arial" w:hAnsi="Arial"/>
          <w:sz w:val="20"/>
          <w:szCs w:val="20"/>
          <w:color w:val="auto"/>
        </w:rPr>
        <w:t>. This Agreement shall be interpreted in accordance with the laws of the State of New Jersey (except</w:t>
      </w:r>
      <w:r>
        <w:rPr>
          <w:rFonts w:ascii="Arial" w:cs="Arial" w:eastAsia="Arial" w:hAnsi="Arial"/>
          <w:sz w:val="20"/>
          <w:szCs w:val="20"/>
          <w:b w:val="1"/>
          <w:bCs w:val="1"/>
          <w:color w:val="auto"/>
        </w:rPr>
        <w:t xml:space="preserve"> </w:t>
      </w:r>
      <w:r>
        <w:rPr>
          <w:rFonts w:ascii="Arial" w:cs="Arial" w:eastAsia="Arial" w:hAnsi="Arial"/>
          <w:sz w:val="20"/>
          <w:szCs w:val="20"/>
          <w:color w:val="auto"/>
        </w:rPr>
        <w:t>their provisions governing the choice of law). If any provision of this 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“Law”), then such provision shall be curtailed or limited only to the minimum extent necessary to bring such provision into compliance with the Law. All the other terms and provisions of this Agreement shall continue in full force and effect without impairment or limitation.</w:t>
      </w:r>
    </w:p>
    <w:p>
      <w:pPr>
        <w:spacing w:after="0" w:line="169" w:lineRule="exact"/>
        <w:rPr>
          <w:rFonts w:ascii="Arial" w:cs="Arial" w:eastAsia="Arial" w:hAnsi="Arial"/>
          <w:sz w:val="20"/>
          <w:szCs w:val="20"/>
          <w:color w:val="auto"/>
        </w:rPr>
      </w:pPr>
    </w:p>
    <w:p>
      <w:pPr>
        <w:jc w:val="both"/>
        <w:spacing w:after="0" w:line="312" w:lineRule="auto"/>
        <w:tabs>
          <w:tab w:leader="none" w:pos="512"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No Assignment</w:t>
      </w:r>
      <w:r>
        <w:rPr>
          <w:rFonts w:ascii="Arial" w:cs="Arial" w:eastAsia="Arial" w:hAnsi="Arial"/>
          <w:sz w:val="18"/>
          <w:szCs w:val="18"/>
          <w:color w:val="auto"/>
        </w:rPr>
        <w:t>. This Agreement and all rights and obligations of Executive hereunder are personal to Executive and may not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or assigned by Executive at any time. The Company may assign its rights under this Agreement to any entity that assumes the Company’s obligations hereunder in connection with any sale or transfer of all or a substantial portion of the Company’s assets to such entity.</w:t>
      </w:r>
    </w:p>
    <w:p>
      <w:pPr>
        <w:spacing w:after="0" w:line="115" w:lineRule="exact"/>
        <w:rPr>
          <w:rFonts w:ascii="Arial" w:cs="Arial" w:eastAsia="Arial" w:hAnsi="Arial"/>
          <w:sz w:val="18"/>
          <w:szCs w:val="18"/>
          <w:color w:val="auto"/>
        </w:rPr>
      </w:pPr>
    </w:p>
    <w:p>
      <w:pPr>
        <w:spacing w:after="0" w:line="291" w:lineRule="auto"/>
        <w:tabs>
          <w:tab w:leader="none" w:pos="365" w:val="left"/>
        </w:tabs>
        <w:numPr>
          <w:ilvl w:val="0"/>
          <w:numId w:val="47"/>
        </w:numPr>
        <w:rPr>
          <w:rFonts w:ascii="Arial" w:cs="Arial" w:eastAsia="Arial" w:hAnsi="Arial"/>
          <w:sz w:val="20"/>
          <w:szCs w:val="20"/>
          <w:color w:val="auto"/>
        </w:rPr>
      </w:pPr>
      <w:r>
        <w:rPr>
          <w:rFonts w:ascii="Arial" w:cs="Arial" w:eastAsia="Arial" w:hAnsi="Arial"/>
          <w:sz w:val="20"/>
          <w:szCs w:val="20"/>
          <w:b w:val="1"/>
          <w:bCs w:val="1"/>
          <w:color w:val="auto"/>
        </w:rPr>
        <w:t>Counterparts</w:t>
      </w:r>
      <w:r>
        <w:rPr>
          <w:rFonts w:ascii="Arial" w:cs="Arial" w:eastAsia="Arial" w:hAnsi="Arial"/>
          <w:sz w:val="20"/>
          <w:szCs w:val="20"/>
          <w:color w:val="auto"/>
        </w:rPr>
        <w:t>. This Agreement may be executed in two or more counterparts, each of which shall be deemed an original, but all of which</w:t>
      </w:r>
      <w:r>
        <w:rPr>
          <w:rFonts w:ascii="Arial" w:cs="Arial" w:eastAsia="Arial" w:hAnsi="Arial"/>
          <w:sz w:val="20"/>
          <w:szCs w:val="20"/>
          <w:b w:val="1"/>
          <w:bCs w:val="1"/>
          <w:color w:val="auto"/>
        </w:rPr>
        <w:t xml:space="preserve"> </w:t>
      </w:r>
      <w:r>
        <w:rPr>
          <w:rFonts w:ascii="Arial" w:cs="Arial" w:eastAsia="Arial" w:hAnsi="Arial"/>
          <w:sz w:val="20"/>
          <w:szCs w:val="20"/>
          <w:color w:val="auto"/>
        </w:rPr>
        <w:t>together shall constitute one and the same instrument.</w:t>
      </w:r>
    </w:p>
    <w:p>
      <w:pPr>
        <w:spacing w:after="0" w:line="165" w:lineRule="exact"/>
        <w:rPr>
          <w:rFonts w:ascii="Arial" w:cs="Arial" w:eastAsia="Arial" w:hAnsi="Arial"/>
          <w:sz w:val="20"/>
          <w:szCs w:val="20"/>
          <w:color w:val="auto"/>
        </w:rPr>
      </w:pPr>
    </w:p>
    <w:p>
      <w:pPr>
        <w:jc w:val="both"/>
        <w:spacing w:after="0" w:line="289" w:lineRule="auto"/>
        <w:tabs>
          <w:tab w:leader="none" w:pos="436"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 xml:space="preserve">Survival. </w:t>
      </w:r>
      <w:r>
        <w:rPr>
          <w:rFonts w:ascii="Arial" w:cs="Arial" w:eastAsia="Arial" w:hAnsi="Arial"/>
          <w:sz w:val="19"/>
          <w:szCs w:val="19"/>
          <w:color w:val="auto"/>
        </w:rPr>
        <w:t>The rights and obligations of the parties under the provisions of this Agreement (including without limitation Section 7) shall</w:t>
      </w:r>
      <w:r>
        <w:rPr>
          <w:rFonts w:ascii="Arial" w:cs="Arial" w:eastAsia="Arial" w:hAnsi="Arial"/>
          <w:sz w:val="19"/>
          <w:szCs w:val="19"/>
          <w:b w:val="1"/>
          <w:bCs w:val="1"/>
          <w:color w:val="auto"/>
        </w:rPr>
        <w:t xml:space="preserve"> </w:t>
      </w:r>
      <w:r>
        <w:rPr>
          <w:rFonts w:ascii="Arial" w:cs="Arial" w:eastAsia="Arial" w:hAnsi="Arial"/>
          <w:sz w:val="19"/>
          <w:szCs w:val="19"/>
          <w:color w:val="auto"/>
        </w:rPr>
        <w:t>survive, and remaining binding and enforceable, notwithstanding the termination of this Agreement, the termination of Executive’s Employment hereunder or otherwise, to the extent necessary to preserve the intended benefits of such provision.</w:t>
      </w:r>
    </w:p>
    <w:p>
      <w:pPr>
        <w:spacing w:after="0" w:line="332" w:lineRule="exact"/>
        <w:rPr>
          <w:sz w:val="20"/>
          <w:szCs w:val="20"/>
          <w:color w:val="auto"/>
        </w:rPr>
      </w:pPr>
    </w:p>
    <w:p>
      <w:pPr>
        <w:ind w:firstLine="1196"/>
        <w:spacing w:after="0" w:line="278"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each of the parties has executed this Agreement, in the case of the Company by its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officer,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7066915</wp:posOffset>
            </wp:positionH>
            <wp:positionV relativeFrom="paragraph">
              <wp:posOffset>603885</wp:posOffset>
            </wp:positionV>
            <wp:extent cx="24828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2482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David Clark</w:t>
      </w:r>
    </w:p>
    <w:p>
      <w:pPr>
        <w:sectPr>
          <w:pgSz w:w="11900" w:h="16838" w:orient="portrait"/>
          <w:cols w:equalWidth="0" w:num="1">
            <w:col w:w="11420"/>
          </w:cols>
          <w:pgMar w:left="240" w:top="127" w:right="239" w:bottom="93" w:gutter="0" w:footer="0" w:header="0"/>
        </w:sectPr>
      </w:pPr>
    </w:p>
    <w:p>
      <w:pPr>
        <w:spacing w:after="0" w:line="33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SYNCHRONOSS TECHNOLOGIES, INC.</w:t>
      </w:r>
    </w:p>
    <w:p>
      <w:pPr>
        <w:sectPr>
          <w:pgSz w:w="11900" w:h="16838" w:orient="portrait"/>
          <w:cols w:equalWidth="0" w:num="1">
            <w:col w:w="11420"/>
          </w:cols>
          <w:pgMar w:left="240" w:top="127" w:right="239" w:bottom="93" w:gutter="0" w:footer="0" w:header="0"/>
          <w:type w:val="continuous"/>
        </w:sectPr>
      </w:pPr>
    </w:p>
    <w:bookmarkStart w:id="61" w:name="page62"/>
    <w:bookmarkEnd w:id="61"/>
    <w:p>
      <w:pPr>
        <w:ind w:left="22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1601470</wp:posOffset>
            </wp:positionH>
            <wp:positionV relativeFrom="paragraph">
              <wp:posOffset>-14605</wp:posOffset>
            </wp:positionV>
            <wp:extent cx="25336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253365" cy="7620"/>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20"/>
          <w:szCs w:val="20"/>
          <w:color w:val="auto"/>
        </w:rPr>
        <w:t>Glenn Lurie</w:t>
      </w:r>
    </w:p>
    <w:p>
      <w:pPr>
        <w:spacing w:after="0" w:line="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w:t>
      </w:r>
      <w:r>
        <w:rPr>
          <w:rFonts w:ascii="Arial" w:cs="Arial" w:eastAsia="Arial" w:hAnsi="Arial"/>
          <w:sz w:val="20"/>
          <w:szCs w:val="20"/>
          <w:color w:val="auto"/>
        </w:rPr>
        <w:t xml:space="preserve"> of </w:t>
      </w:r>
      <w:r>
        <w:rPr>
          <w:rFonts w:ascii="Arial" w:cs="Arial" w:eastAsia="Arial" w:hAnsi="Arial"/>
          <w:sz w:val="20"/>
          <w:szCs w:val="20"/>
          <w:b w:val="1"/>
          <w:bCs w:val="1"/>
          <w:color w:val="auto"/>
        </w:rPr>
        <w:t>1</w:t>
      </w:r>
    </w:p>
    <w:p>
      <w:pPr>
        <w:sectPr>
          <w:pgSz w:w="11900" w:h="16838" w:orient="portrait"/>
          <w:cols w:equalWidth="0" w:num="1">
            <w:col w:w="9019"/>
          </w:cols>
          <w:pgMar w:left="1440" w:top="133" w:right="1440"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b w:val="1"/>
          <w:bCs w:val="1"/>
          <w:color w:val="auto"/>
        </w:rPr>
        <w:t>Exhibit 31.1</w:t>
      </w:r>
    </w:p>
    <w:p>
      <w:pPr>
        <w:spacing w:after="0" w:line="203"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SECURITIES AND EXCHANGE COMMISSION RULE 13a-14(a)</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I, Glenn Lurie, certify that:</w:t>
      </w:r>
    </w:p>
    <w:p>
      <w:pPr>
        <w:spacing w:after="0" w:line="203" w:lineRule="exact"/>
        <w:rPr>
          <w:sz w:val="20"/>
          <w:szCs w:val="20"/>
          <w:color w:val="auto"/>
        </w:rPr>
      </w:pPr>
    </w:p>
    <w:p>
      <w:pPr>
        <w:ind w:left="600" w:hanging="301"/>
        <w:spacing w:after="0"/>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Synchronoss Technologies, Inc. for the quarter ended September 30, 2018;</w:t>
      </w:r>
    </w:p>
    <w:p>
      <w:pPr>
        <w:spacing w:after="0" w:line="165" w:lineRule="exact"/>
        <w:rPr>
          <w:rFonts w:ascii="Arial" w:cs="Arial" w:eastAsia="Arial" w:hAnsi="Arial"/>
          <w:sz w:val="17"/>
          <w:szCs w:val="17"/>
          <w:color w:val="auto"/>
        </w:rPr>
      </w:pPr>
    </w:p>
    <w:p>
      <w:pPr>
        <w:ind w:left="600" w:hanging="301"/>
        <w:spacing w:after="0" w:line="332" w:lineRule="auto"/>
        <w:tabs>
          <w:tab w:leader="none" w:pos="6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5"/>
          <w:szCs w:val="15"/>
          <w:color w:val="auto"/>
        </w:rPr>
      </w:pPr>
    </w:p>
    <w:p>
      <w:pPr>
        <w:ind w:left="600" w:hanging="301"/>
        <w:spacing w:after="0" w:line="265" w:lineRule="auto"/>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7"/>
          <w:szCs w:val="17"/>
          <w:color w:val="auto"/>
        </w:rPr>
      </w:pPr>
    </w:p>
    <w:p>
      <w:pPr>
        <w:jc w:val="both"/>
        <w:ind w:left="600" w:hanging="301"/>
        <w:spacing w:after="0" w:line="254" w:lineRule="auto"/>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39" w:lineRule="exact"/>
        <w:rPr>
          <w:rFonts w:ascii="Arial" w:cs="Arial" w:eastAsia="Arial" w:hAnsi="Arial"/>
          <w:sz w:val="17"/>
          <w:szCs w:val="17"/>
          <w:color w:val="auto"/>
        </w:rPr>
      </w:pPr>
    </w:p>
    <w:p>
      <w:pPr>
        <w:jc w:val="both"/>
        <w:ind w:left="1200" w:hanging="303"/>
        <w:spacing w:after="0" w:line="254" w:lineRule="auto"/>
        <w:tabs>
          <w:tab w:leader="none" w:pos="12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Arial" w:cs="Arial" w:eastAsia="Arial" w:hAnsi="Arial"/>
          <w:sz w:val="17"/>
          <w:szCs w:val="17"/>
          <w:color w:val="auto"/>
        </w:rPr>
      </w:pPr>
    </w:p>
    <w:p>
      <w:pPr>
        <w:jc w:val="both"/>
        <w:ind w:left="1200" w:hanging="303"/>
        <w:spacing w:after="0" w:line="254" w:lineRule="auto"/>
        <w:tabs>
          <w:tab w:leader="none" w:pos="12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Arial" w:cs="Arial" w:eastAsia="Arial" w:hAnsi="Arial"/>
          <w:sz w:val="17"/>
          <w:szCs w:val="17"/>
          <w:color w:val="auto"/>
        </w:rPr>
      </w:pPr>
    </w:p>
    <w:p>
      <w:pPr>
        <w:ind w:left="1200" w:hanging="303"/>
        <w:spacing w:after="0" w:line="296" w:lineRule="auto"/>
        <w:tabs>
          <w:tab w:leader="none" w:pos="12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6"/>
          <w:szCs w:val="16"/>
          <w:color w:val="auto"/>
        </w:rPr>
      </w:pPr>
    </w:p>
    <w:p>
      <w:pPr>
        <w:jc w:val="both"/>
        <w:ind w:left="1200" w:hanging="303"/>
        <w:spacing w:after="0" w:line="254" w:lineRule="auto"/>
        <w:tabs>
          <w:tab w:leader="none" w:pos="12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9" w:lineRule="exact"/>
        <w:rPr>
          <w:rFonts w:ascii="Arial" w:cs="Arial" w:eastAsia="Arial" w:hAnsi="Arial"/>
          <w:sz w:val="17"/>
          <w:szCs w:val="17"/>
          <w:color w:val="auto"/>
        </w:rPr>
      </w:pPr>
    </w:p>
    <w:p>
      <w:pPr>
        <w:ind w:left="600" w:hanging="301"/>
        <w:spacing w:after="0" w:line="265" w:lineRule="auto"/>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7"/>
          <w:szCs w:val="17"/>
          <w:color w:val="auto"/>
        </w:rPr>
      </w:pPr>
    </w:p>
    <w:p>
      <w:pPr>
        <w:ind w:left="1200" w:hanging="303"/>
        <w:spacing w:after="0" w:line="265" w:lineRule="auto"/>
        <w:tabs>
          <w:tab w:leader="none" w:pos="12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7"/>
          <w:szCs w:val="17"/>
          <w:color w:val="auto"/>
        </w:rPr>
      </w:pPr>
    </w:p>
    <w:p>
      <w:pPr>
        <w:ind w:left="1200" w:hanging="303"/>
        <w:spacing w:after="0" w:line="265" w:lineRule="auto"/>
        <w:tabs>
          <w:tab w:leader="none" w:pos="12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Date: November 9, 2018</w:t>
      </w:r>
    </w:p>
    <w:p>
      <w:pPr>
        <w:spacing w:after="0" w:line="200" w:lineRule="exact"/>
        <w:rPr>
          <w:sz w:val="20"/>
          <w:szCs w:val="20"/>
          <w:color w:val="auto"/>
        </w:rPr>
      </w:pPr>
    </w:p>
    <w:p>
      <w:pPr>
        <w:spacing w:after="0" w:line="228"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26035</wp:posOffset>
            </wp:positionV>
            <wp:extent cx="279336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2793365" cy="7620"/>
                    </a:xfrm>
                    <a:prstGeom prst="rect">
                      <a:avLst/>
                    </a:prstGeom>
                    <a:noFill/>
                  </pic:spPr>
                </pic:pic>
              </a:graphicData>
            </a:graphic>
          </wp:anchor>
        </w:drawing>
      </w:r>
    </w:p>
    <w:p>
      <w:pPr>
        <w:spacing w:after="0" w:line="42"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Glenn Lurie</w:t>
      </w:r>
    </w:p>
    <w:p>
      <w:pPr>
        <w:spacing w:after="0" w:line="54"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Chief Executive Officer</w:t>
      </w:r>
    </w:p>
    <w:p>
      <w:pPr>
        <w:sectPr>
          <w:pgSz w:w="11900" w:h="16838" w:orient="portrait"/>
          <w:cols w:equalWidth="0" w:num="1">
            <w:col w:w="11420"/>
          </w:cols>
          <w:pgMar w:left="240" w:top="547"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7"/>
          <w:szCs w:val="17"/>
          <w:b w:val="1"/>
          <w:bCs w:val="1"/>
          <w:color w:val="auto"/>
        </w:rPr>
        <w:t>Exhibit 31.2</w:t>
      </w:r>
    </w:p>
    <w:p>
      <w:pPr>
        <w:spacing w:after="0" w:line="203"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SECURITIES AND EXCHANGE COMMISSION RULE 13a-14(a)</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I, David Clark, certify that:</w:t>
      </w:r>
    </w:p>
    <w:p>
      <w:pPr>
        <w:spacing w:after="0" w:line="203" w:lineRule="exact"/>
        <w:rPr>
          <w:sz w:val="20"/>
          <w:szCs w:val="20"/>
          <w:color w:val="auto"/>
        </w:rPr>
      </w:pPr>
    </w:p>
    <w:p>
      <w:pPr>
        <w:ind w:left="600" w:hanging="301"/>
        <w:spacing w:after="0"/>
        <w:tabs>
          <w:tab w:leader="none" w:pos="6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Synchronoss Technologies, Inc. for the quarter ended September 30, 2018;</w:t>
      </w:r>
    </w:p>
    <w:p>
      <w:pPr>
        <w:spacing w:after="0" w:line="165" w:lineRule="exact"/>
        <w:rPr>
          <w:rFonts w:ascii="Arial" w:cs="Arial" w:eastAsia="Arial" w:hAnsi="Arial"/>
          <w:sz w:val="17"/>
          <w:szCs w:val="17"/>
          <w:color w:val="auto"/>
        </w:rPr>
      </w:pPr>
    </w:p>
    <w:p>
      <w:pPr>
        <w:ind w:left="600" w:hanging="301"/>
        <w:spacing w:after="0" w:line="332" w:lineRule="auto"/>
        <w:tabs>
          <w:tab w:leader="none" w:pos="6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5"/>
          <w:szCs w:val="15"/>
          <w:color w:val="auto"/>
        </w:rPr>
      </w:pPr>
    </w:p>
    <w:p>
      <w:pPr>
        <w:ind w:left="600" w:hanging="301"/>
        <w:spacing w:after="0" w:line="265" w:lineRule="auto"/>
        <w:tabs>
          <w:tab w:leader="none" w:pos="6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7"/>
          <w:szCs w:val="17"/>
          <w:color w:val="auto"/>
        </w:rPr>
      </w:pPr>
    </w:p>
    <w:p>
      <w:pPr>
        <w:jc w:val="both"/>
        <w:ind w:left="600" w:hanging="301"/>
        <w:spacing w:after="0" w:line="254" w:lineRule="auto"/>
        <w:tabs>
          <w:tab w:leader="none" w:pos="6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39" w:lineRule="exact"/>
        <w:rPr>
          <w:rFonts w:ascii="Arial" w:cs="Arial" w:eastAsia="Arial" w:hAnsi="Arial"/>
          <w:sz w:val="17"/>
          <w:szCs w:val="17"/>
          <w:color w:val="auto"/>
        </w:rPr>
      </w:pPr>
    </w:p>
    <w:p>
      <w:pPr>
        <w:jc w:val="both"/>
        <w:ind w:left="1200" w:hanging="303"/>
        <w:spacing w:after="0" w:line="254" w:lineRule="auto"/>
        <w:tabs>
          <w:tab w:leader="none" w:pos="12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Arial" w:cs="Arial" w:eastAsia="Arial" w:hAnsi="Arial"/>
          <w:sz w:val="17"/>
          <w:szCs w:val="17"/>
          <w:color w:val="auto"/>
        </w:rPr>
      </w:pPr>
    </w:p>
    <w:p>
      <w:pPr>
        <w:jc w:val="both"/>
        <w:ind w:left="1200" w:hanging="303"/>
        <w:spacing w:after="0" w:line="254" w:lineRule="auto"/>
        <w:tabs>
          <w:tab w:leader="none" w:pos="12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Arial" w:cs="Arial" w:eastAsia="Arial" w:hAnsi="Arial"/>
          <w:sz w:val="17"/>
          <w:szCs w:val="17"/>
          <w:color w:val="auto"/>
        </w:rPr>
      </w:pPr>
    </w:p>
    <w:p>
      <w:pPr>
        <w:ind w:left="1200" w:hanging="303"/>
        <w:spacing w:after="0" w:line="296" w:lineRule="auto"/>
        <w:tabs>
          <w:tab w:leader="none" w:pos="12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6"/>
          <w:szCs w:val="16"/>
          <w:color w:val="auto"/>
        </w:rPr>
      </w:pPr>
    </w:p>
    <w:p>
      <w:pPr>
        <w:jc w:val="both"/>
        <w:ind w:left="1200" w:hanging="303"/>
        <w:spacing w:after="0" w:line="254" w:lineRule="auto"/>
        <w:tabs>
          <w:tab w:leader="none" w:pos="12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17"/>
          <w:szCs w:val="17"/>
          <w:color w:val="auto"/>
        </w:rPr>
      </w:pPr>
    </w:p>
    <w:p>
      <w:pPr>
        <w:ind w:left="600" w:hanging="301"/>
        <w:spacing w:after="0" w:line="265" w:lineRule="auto"/>
        <w:tabs>
          <w:tab w:leader="none" w:pos="6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7"/>
          <w:szCs w:val="17"/>
          <w:color w:val="auto"/>
        </w:rPr>
      </w:pPr>
    </w:p>
    <w:p>
      <w:pPr>
        <w:ind w:left="1200" w:hanging="303"/>
        <w:spacing w:after="0" w:line="265" w:lineRule="auto"/>
        <w:tabs>
          <w:tab w:leader="none" w:pos="12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7"/>
          <w:szCs w:val="17"/>
          <w:color w:val="auto"/>
        </w:rPr>
      </w:pPr>
    </w:p>
    <w:p>
      <w:pPr>
        <w:ind w:left="1200" w:hanging="303"/>
        <w:spacing w:after="0" w:line="265" w:lineRule="auto"/>
        <w:tabs>
          <w:tab w:leader="none" w:pos="12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Date: November 9, 2018</w:t>
      </w:r>
    </w:p>
    <w:p>
      <w:pPr>
        <w:spacing w:after="0" w:line="200" w:lineRule="exact"/>
        <w:rPr>
          <w:sz w:val="20"/>
          <w:szCs w:val="20"/>
          <w:color w:val="auto"/>
        </w:rPr>
      </w:pPr>
    </w:p>
    <w:p>
      <w:pPr>
        <w:spacing w:after="0" w:line="228"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2943860</wp:posOffset>
            </wp:positionH>
            <wp:positionV relativeFrom="paragraph">
              <wp:posOffset>26035</wp:posOffset>
            </wp:positionV>
            <wp:extent cx="246126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2461260" cy="7620"/>
                    </a:xfrm>
                    <a:prstGeom prst="rect">
                      <a:avLst/>
                    </a:prstGeom>
                    <a:noFill/>
                  </pic:spPr>
                </pic:pic>
              </a:graphicData>
            </a:graphic>
          </wp:anchor>
        </w:drawing>
      </w:r>
    </w:p>
    <w:p>
      <w:pPr>
        <w:spacing w:after="0" w:line="42" w:lineRule="exact"/>
        <w:rPr>
          <w:sz w:val="20"/>
          <w:szCs w:val="20"/>
          <w:color w:val="auto"/>
        </w:rPr>
      </w:pPr>
    </w:p>
    <w:p>
      <w:pPr>
        <w:ind w:left="4660"/>
        <w:spacing w:after="0"/>
        <w:rPr>
          <w:sz w:val="20"/>
          <w:szCs w:val="20"/>
          <w:color w:val="auto"/>
        </w:rPr>
      </w:pPr>
      <w:r>
        <w:rPr>
          <w:rFonts w:ascii="Arial" w:cs="Arial" w:eastAsia="Arial" w:hAnsi="Arial"/>
          <w:sz w:val="17"/>
          <w:szCs w:val="17"/>
          <w:b w:val="1"/>
          <w:bCs w:val="1"/>
          <w:color w:val="auto"/>
        </w:rPr>
        <w:t>David Clark</w:t>
      </w:r>
    </w:p>
    <w:p>
      <w:pPr>
        <w:spacing w:after="0" w:line="54" w:lineRule="exact"/>
        <w:rPr>
          <w:sz w:val="20"/>
          <w:szCs w:val="20"/>
          <w:color w:val="auto"/>
        </w:rPr>
      </w:pPr>
    </w:p>
    <w:p>
      <w:pPr>
        <w:ind w:left="4660"/>
        <w:spacing w:after="0"/>
        <w:rPr>
          <w:sz w:val="20"/>
          <w:szCs w:val="20"/>
          <w:color w:val="auto"/>
        </w:rPr>
      </w:pPr>
      <w:r>
        <w:rPr>
          <w:rFonts w:ascii="Arial" w:cs="Arial" w:eastAsia="Arial" w:hAnsi="Arial"/>
          <w:sz w:val="17"/>
          <w:szCs w:val="17"/>
          <w:b w:val="1"/>
          <w:bCs w:val="1"/>
          <w:color w:val="auto"/>
        </w:rPr>
        <w:t>Chief Financial Officer</w:t>
      </w:r>
    </w:p>
    <w:p>
      <w:pPr>
        <w:sectPr>
          <w:pgSz w:w="11900" w:h="16838" w:orient="portrait"/>
          <w:cols w:equalWidth="0" w:num="1">
            <w:col w:w="11420"/>
          </w:cols>
          <w:pgMar w:left="240" w:top="547"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7"/>
          <w:szCs w:val="17"/>
          <w:b w:val="1"/>
          <w:bCs w:val="1"/>
          <w:color w:val="auto"/>
        </w:rPr>
        <w:t>Exhibit 32.1</w:t>
      </w:r>
    </w:p>
    <w:p>
      <w:pPr>
        <w:spacing w:after="0" w:line="203"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18 U.S.C. SECTION 1350</w:t>
      </w:r>
    </w:p>
    <w:p>
      <w:pPr>
        <w:spacing w:after="0" w:line="4"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AS ADOPTED PURSUANT TO</w:t>
      </w:r>
    </w:p>
    <w:p>
      <w:pPr>
        <w:spacing w:after="0" w:line="4" w:lineRule="exact"/>
        <w:rPr>
          <w:sz w:val="20"/>
          <w:szCs w:val="20"/>
          <w:color w:val="auto"/>
        </w:rPr>
      </w:pPr>
    </w:p>
    <w:p>
      <w:pPr>
        <w:jc w:val="center"/>
        <w:ind w:left="5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connection with the Quarterly Report on Form 10-Q of Synchronoss Technologies, Inc. (the “Company”) for the quarter ended September 30, 2018, as filed with the Securities and Exchange Commission on the date hereof (the “Report”), I, Glenn Lurie, the Chief Executive Officer of the Company, hereby certify, pursuant to 18 U.S.C. 1350, as adopted pursuant to Section 906 of the Sarbanes-Oxley Act of 2002, to the best of my knowledge and belief that:</w:t>
      </w:r>
    </w:p>
    <w:p>
      <w:pPr>
        <w:spacing w:after="0" w:line="221" w:lineRule="exact"/>
        <w:rPr>
          <w:sz w:val="20"/>
          <w:szCs w:val="20"/>
          <w:color w:val="auto"/>
        </w:rPr>
      </w:pPr>
    </w:p>
    <w:p>
      <w:pPr>
        <w:ind w:left="600" w:hanging="301"/>
        <w:spacing w:after="0"/>
        <w:tabs>
          <w:tab w:leader="none" w:pos="6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77" w:lineRule="exact"/>
        <w:rPr>
          <w:rFonts w:ascii="Arial" w:cs="Arial" w:eastAsia="Arial" w:hAnsi="Arial"/>
          <w:sz w:val="16"/>
          <w:szCs w:val="16"/>
          <w:color w:val="auto"/>
        </w:rPr>
      </w:pPr>
    </w:p>
    <w:p>
      <w:pPr>
        <w:ind w:left="600" w:hanging="301"/>
        <w:spacing w:after="0"/>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This certification is being provided pursuant to 18 U.S.C. 1350 and is not to be deemed a part of the Report, nor is it to be deemed to be “filed” for any purpose whatsoever.</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Date: November 9, 2018</w:t>
      </w:r>
    </w:p>
    <w:p>
      <w:pPr>
        <w:spacing w:after="0" w:line="200" w:lineRule="exact"/>
        <w:rPr>
          <w:sz w:val="20"/>
          <w:szCs w:val="20"/>
          <w:color w:val="auto"/>
        </w:rPr>
      </w:pPr>
    </w:p>
    <w:p>
      <w:pPr>
        <w:spacing w:after="0" w:line="327"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2595880</wp:posOffset>
            </wp:positionH>
            <wp:positionV relativeFrom="paragraph">
              <wp:posOffset>26035</wp:posOffset>
            </wp:positionV>
            <wp:extent cx="280924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2809240" cy="7620"/>
                    </a:xfrm>
                    <a:prstGeom prst="rect">
                      <a:avLst/>
                    </a:prstGeom>
                    <a:noFill/>
                  </pic:spPr>
                </pic:pic>
              </a:graphicData>
            </a:graphic>
          </wp:anchor>
        </w:drawing>
      </w:r>
    </w:p>
    <w:p>
      <w:pPr>
        <w:spacing w:after="0" w:line="42"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Glenn Lurie</w:t>
      </w:r>
    </w:p>
    <w:p>
      <w:pPr>
        <w:spacing w:after="0" w:line="54"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Chief Executive Officer</w:t>
      </w:r>
    </w:p>
    <w:p>
      <w:pPr>
        <w:spacing w:after="0" w:line="23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47"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b w:val="1"/>
          <w:bCs w:val="1"/>
          <w:color w:val="auto"/>
        </w:rPr>
        <w:t>Exhibit 32.2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connection with the Quarterly Report on Form 10-Q of Synchronoss Technologies, Inc. (the “Company”) for the quarter ended September 30, 2018, as filed with the Securities and Exchange Commission on the date hereof (the “Report”), I, David Clark, the Chief Financial Officer of the Company, hereby certify, pursuant to 18 U.S.C. 1350, as adopted pursuant to Section 906 of the Sarbanes-Oxley Act of 2002, to the best of my knowledge and belief that:</w:t>
      </w:r>
    </w:p>
    <w:p>
      <w:pPr>
        <w:spacing w:after="0" w:line="221" w:lineRule="exact"/>
        <w:rPr>
          <w:sz w:val="20"/>
          <w:szCs w:val="20"/>
          <w:color w:val="auto"/>
        </w:rPr>
      </w:pPr>
    </w:p>
    <w:p>
      <w:pPr>
        <w:ind w:left="600" w:hanging="301"/>
        <w:spacing w:after="0"/>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77" w:lineRule="exact"/>
        <w:rPr>
          <w:rFonts w:ascii="Arial" w:cs="Arial" w:eastAsia="Arial" w:hAnsi="Arial"/>
          <w:sz w:val="16"/>
          <w:szCs w:val="16"/>
          <w:color w:val="auto"/>
        </w:rPr>
      </w:pPr>
    </w:p>
    <w:p>
      <w:pPr>
        <w:ind w:left="600" w:hanging="301"/>
        <w:spacing w:after="0"/>
        <w:tabs>
          <w:tab w:leader="none" w:pos="6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This certification is being provided pursuant to 18 U.S.C. 1350 and is not to be deemed a part of the Report, nor is it to be deemed to be “filed” for any purpose whatsoever.</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Date: November 9, 2018</w:t>
      </w:r>
    </w:p>
    <w:p>
      <w:pPr>
        <w:spacing w:after="0" w:line="200" w:lineRule="exact"/>
        <w:rPr>
          <w:sz w:val="20"/>
          <w:szCs w:val="20"/>
          <w:color w:val="auto"/>
        </w:rPr>
      </w:pPr>
    </w:p>
    <w:p>
      <w:pPr>
        <w:spacing w:after="0" w:line="327"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26035</wp:posOffset>
            </wp:positionV>
            <wp:extent cx="239014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2390140" cy="7620"/>
                    </a:xfrm>
                    <a:prstGeom prst="rect">
                      <a:avLst/>
                    </a:prstGeom>
                    <a:noFill/>
                  </pic:spPr>
                </pic:pic>
              </a:graphicData>
            </a:graphic>
          </wp:anchor>
        </w:drawing>
      </w:r>
    </w:p>
    <w:p>
      <w:pPr>
        <w:spacing w:after="0" w:line="42"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David Clark</w:t>
      </w:r>
    </w:p>
    <w:p>
      <w:pPr>
        <w:spacing w:after="0" w:line="54"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Chief Financial Officer</w:t>
      </w:r>
    </w:p>
    <w:p>
      <w:pPr>
        <w:spacing w:after="0" w:line="23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x"/>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3"/>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3"/>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upperLetter"/>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lvl w:ilvl="1">
      <w:lvlJc w:val="left"/>
      <w:lvlText w:val="◦"/>
      <w:numFmt w:val="bullet"/>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lowerLetter"/>
      <w:start w:val="1"/>
    </w:lvl>
  </w:abstractNum>
  <w:abstractNum w:abstractNumId="26">
    <w:nsid w:val="5E884ADC"/>
    <w:multiLevelType w:val="hybridMultilevel"/>
    <w:lvl w:ilvl="0">
      <w:lvlJc w:val="left"/>
      <w:lvlText w:val="(%1)"/>
      <w:numFmt w:val="lowerLetter"/>
      <w:start w:val="1"/>
    </w:lvl>
  </w:abstractNum>
  <w:abstractNum w:abstractNumId="27">
    <w:nsid w:val="51EAD36B"/>
    <w:multiLevelType w:val="hybridMultilevel"/>
    <w:lvl w:ilvl="0">
      <w:lvlJc w:val="left"/>
      <w:lvlText w:val="(%1)"/>
      <w:numFmt w:val="lowerLetter"/>
      <w:start w:val="4"/>
    </w:lvl>
  </w:abstractNum>
  <w:abstractNum w:abstractNumId="28">
    <w:nsid w:val="2D517796"/>
    <w:multiLevelType w:val="hybridMultilevel"/>
    <w:lvl w:ilvl="0">
      <w:lvlJc w:val="left"/>
      <w:lvlText w:val="(%1)"/>
      <w:numFmt w:val="lowerLetter"/>
      <w:start w:val="1"/>
    </w:lvl>
  </w:abstractNum>
  <w:abstractNum w:abstractNumId="29">
    <w:nsid w:val="580BD78F"/>
    <w:multiLevelType w:val="hybridMultilevel"/>
    <w:lvl w:ilvl="0">
      <w:lvlJc w:val="left"/>
      <w:lvlText w:val="%1."/>
      <w:numFmt w:val="decimal"/>
      <w:start w:val="3"/>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1)"/>
      <w:numFmt w:val="lowerLetter"/>
      <w:start w:val="2"/>
    </w:lvl>
  </w:abstractNum>
  <w:abstractNum w:abstractNumId="32">
    <w:nsid w:val="70A64E2A"/>
    <w:multiLevelType w:val="hybridMultilevel"/>
    <w:lvl w:ilvl="0">
      <w:lvlJc w:val="left"/>
      <w:lvlText w:val="(%1)"/>
      <w:numFmt w:val="lowerRoman"/>
      <w:start w:val="1"/>
    </w:lvl>
  </w:abstractNum>
  <w:abstractNum w:abstractNumId="33">
    <w:nsid w:val="6A2342EC"/>
    <w:multiLevelType w:val="hybridMultilevel"/>
    <w:lvl w:ilvl="0">
      <w:lvlJc w:val="left"/>
      <w:lvlText w:val="(%1)"/>
      <w:numFmt w:val="lowerLetter"/>
      <w:start w:val="2"/>
    </w:lvl>
  </w:abstractNum>
  <w:abstractNum w:abstractNumId="34">
    <w:nsid w:val="2A487CB0"/>
    <w:multiLevelType w:val="hybridMultilevel"/>
    <w:lvl w:ilvl="0">
      <w:lvlJc w:val="left"/>
      <w:lvlText w:val="(%1)"/>
      <w:numFmt w:val="lowerLetter"/>
      <w:start w:val="3"/>
    </w:lvl>
  </w:abstractNum>
  <w:abstractNum w:abstractNumId="35">
    <w:nsid w:val="1D4ED43B"/>
    <w:multiLevelType w:val="hybridMultilevel"/>
    <w:lvl w:ilvl="0">
      <w:lvlJc w:val="left"/>
      <w:lvlText w:val="(%1)"/>
      <w:numFmt w:val="lowerLetter"/>
      <w:start w:val="4"/>
    </w:lvl>
  </w:abstractNum>
  <w:abstractNum w:abstractNumId="36">
    <w:nsid w:val="725A06FB"/>
    <w:multiLevelType w:val="hybridMultilevel"/>
    <w:lvl w:ilvl="0">
      <w:lvlJc w:val="left"/>
      <w:lvlText w:val="(%1)"/>
      <w:numFmt w:val="lowerLetter"/>
      <w:start w:val="1"/>
    </w:lvl>
    <w:lvl w:ilvl="1">
      <w:lvlJc w:val="left"/>
      <w:lvlText w:val="(%2)"/>
      <w:numFmt w:val="lowerRoman"/>
      <w:start w:val="1"/>
    </w:lvl>
  </w:abstractNum>
  <w:abstractNum w:abstractNumId="37">
    <w:nsid w:val="2CD89A32"/>
    <w:multiLevelType w:val="hybridMultilevel"/>
    <w:lvl w:ilvl="0">
      <w:lvlJc w:val="left"/>
      <w:lvlText w:val="(%1)"/>
      <w:numFmt w:val="lowerLetter"/>
      <w:start w:val="3"/>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lowerRoman"/>
      <w:start w:val="1"/>
    </w:lvl>
  </w:abstractNum>
  <w:abstractNum w:abstractNumId="41">
    <w:nsid w:val="542289EC"/>
    <w:multiLevelType w:val="hybridMultilevel"/>
    <w:lvl w:ilvl="0">
      <w:lvlJc w:val="left"/>
      <w:lvlText w:val="(%1)"/>
      <w:numFmt w:val="lowerRoman"/>
      <w:start w:val="1"/>
    </w:lvl>
  </w:abstractNum>
  <w:abstractNum w:abstractNumId="42">
    <w:nsid w:val="6DE91B18"/>
    <w:multiLevelType w:val="hybridMultilevel"/>
    <w:lvl w:ilvl="0">
      <w:lvlJc w:val="left"/>
      <w:lvlText w:val="(%1)"/>
      <w:numFmt w:val="lowerLetter"/>
      <w:start w:val="3"/>
    </w:lvl>
  </w:abstractNum>
  <w:abstractNum w:abstractNumId="43">
    <w:nsid w:val="38437FDB"/>
    <w:multiLevelType w:val="hybridMultilevel"/>
    <w:lvl w:ilvl="0">
      <w:lvlJc w:val="left"/>
      <w:lvlText w:val="(%1)"/>
      <w:numFmt w:val="lowerRoman"/>
      <w:start w:val="1"/>
    </w:lvl>
  </w:abstractNum>
  <w:abstractNum w:abstractNumId="44">
    <w:nsid w:val="7644A45C"/>
    <w:multiLevelType w:val="hybridMultilevel"/>
    <w:lvl w:ilvl="0">
      <w:lvlJc w:val="left"/>
      <w:lvlText w:val="(%1)"/>
      <w:numFmt w:val="lowerLetter"/>
      <w:start w:val="7"/>
    </w:lvl>
  </w:abstractNum>
  <w:abstractNum w:abstractNumId="45">
    <w:nsid w:val="32FFF902"/>
    <w:multiLevelType w:val="hybridMultilevel"/>
    <w:lvl w:ilvl="0">
      <w:lvlJc w:val="left"/>
      <w:lvlText w:val="(%1)"/>
      <w:numFmt w:val="lowerLetter"/>
      <w:start w:val="10"/>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24" Type="http://schemas.openxmlformats.org/officeDocument/2006/relationships/hyperlink" Target="http://www.sec.gov/Archives/edgar/data/1131554/000095012306002345/y15440exv3w1.txt" TargetMode="External"/><Relationship Id="rId25" Type="http://schemas.openxmlformats.org/officeDocument/2006/relationships/hyperlink" Target="http://www.sec.gov/Archives/edgar/data/1131554/000095012306002345/y15440exv3w3.txt" TargetMode="External"/><Relationship Id="rId26" Type="http://schemas.openxmlformats.org/officeDocument/2006/relationships/hyperlink" Target="http://www.sec.gov/Archives/edgar/data/1131554/000110465918010721/a18-6289_1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2019-12-28T18:16:47Z</dcterms:created>
  <dcterms:modified xsi:type="dcterms:W3CDTF">2019-12-28T18:16:47Z</dcterms:modified>
</cp:coreProperties>
</file>