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b41877c9f6b4423b83513f555592c74c_7">
        <w:r>
          <w:rPr>
            <w:rStyle w:val="InternetLink"/>
            <w:rFonts w:ascii="Times New Roman;sans-serif" w:hAnsi="Times New Roman;sans-serif"/>
            <w:b w:val="false"/>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UNITED STATES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SECURITIES AND EXCHANGE COMMISSION</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Washington, D.C. 20549</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FORM 10-Q</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(Mark One)</w:t>
      </w:r>
    </w:p>
    <w:tbl>
      <w:tblPr>
        <w:tblW w:w="9762" w:type="dxa"/>
        <w:jc w:val="center"/>
        <w:tblInd w:w="0" w:type="dxa"/>
        <w:tblLayout w:type="fixed"/>
        <w:tblCellMar>
          <w:top w:w="28" w:type="dxa"/>
          <w:left w:w="28" w:type="dxa"/>
          <w:bottom w:w="28" w:type="dxa"/>
          <w:right w:w="28" w:type="dxa"/>
        </w:tblCellMar>
      </w:tblPr>
      <w:tblGrid>
        <w:gridCol w:w="124"/>
        <w:gridCol w:w="109"/>
        <w:gridCol w:w="109"/>
        <w:gridCol w:w="2758"/>
        <w:gridCol w:w="2758"/>
        <w:gridCol w:w="390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390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QUARTERLY REPORT PURSUANT TO SECTION 13 OR 15(d) OF THE SECURITIES EXCHANGE ACT OF 1934</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For the quarterly period ended June 30, 2024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Or</w:t>
      </w:r>
    </w:p>
    <w:tbl>
      <w:tblPr>
        <w:tblW w:w="9762" w:type="dxa"/>
        <w:jc w:val="center"/>
        <w:tblInd w:w="0" w:type="dxa"/>
        <w:tblLayout w:type="fixed"/>
        <w:tblCellMar>
          <w:top w:w="28" w:type="dxa"/>
          <w:left w:w="28" w:type="dxa"/>
          <w:bottom w:w="28" w:type="dxa"/>
          <w:right w:w="28" w:type="dxa"/>
        </w:tblCellMar>
      </w:tblPr>
      <w:tblGrid>
        <w:gridCol w:w="124"/>
        <w:gridCol w:w="109"/>
        <w:gridCol w:w="109"/>
        <w:gridCol w:w="2758"/>
        <w:gridCol w:w="2758"/>
        <w:gridCol w:w="390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390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For the transition period from          to</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Commission file number 001-40574</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SYNCHRONOSS TECHNOLOGIES, INC.</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(Exact name of registrant as specified in its charter)</w:t>
      </w:r>
    </w:p>
    <w:tbl>
      <w:tblPr>
        <w:tblW w:w="4380" w:type="dxa"/>
        <w:jc w:val="center"/>
        <w:tblInd w:w="0" w:type="dxa"/>
        <w:tblLayout w:type="fixed"/>
        <w:tblCellMar>
          <w:top w:w="28" w:type="dxa"/>
          <w:left w:w="28" w:type="dxa"/>
          <w:bottom w:w="28" w:type="dxa"/>
          <w:right w:w="28" w:type="dxa"/>
        </w:tblCellMar>
      </w:tblPr>
      <w:tblGrid>
        <w:gridCol w:w="1056"/>
        <w:gridCol w:w="931"/>
        <w:gridCol w:w="938"/>
        <w:gridCol w:w="424"/>
        <w:gridCol w:w="424"/>
        <w:gridCol w:w="607"/>
      </w:tblGrid>
      <w:tr>
        <w:trPr/>
        <w:tc>
          <w:tcPr>
            <w:tcW w:w="105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06-1594540</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w:t>
              <w:br/>
              <w:t>incorporation or organization)</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w:t>
              <w:br/>
              <w:t>Identification No.)</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200 Crossing Boulevard, 8th Floor</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Bridgewater, New Jersey</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08807</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(Zip Code)</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(866) 620-3940</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(Registrant’s telephone number, including area code)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(Former name, former address, and former fiscal year, if changed since last report)</w:t>
      </w:r>
    </w:p>
    <w:p>
      <w:pPr>
        <w:pStyle w:val="TextBody"/>
        <w:bidi w:val="0"/>
        <w:spacing w:before="0" w:after="0"/>
        <w:jc w:val="center"/>
        <w:rPr/>
      </w:pPr>
      <w:r>
        <w:rPr/>
      </w:r>
    </w:p>
    <w:p>
      <w:pPr>
        <w:pStyle w:val="TextBody"/>
        <w:bidi w:val="0"/>
        <w:spacing w:lineRule="auto" w:line="288" w:before="0" w:after="0"/>
        <w:jc w:val="both"/>
        <w:rPr/>
      </w:pPr>
      <w:r>
        <w:rPr>
          <w:rFonts w:ascii="Times New Roman;sans-serif" w:hAnsi="Times New Roman;sans-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xml:space="preserve"> </w:t>
      </w:r>
      <w:r>
        <w:rPr>
          <w:rFonts w:ascii="Times New Roman;sans-serif" w:hAnsi="Times New Roman;sans-serif"/>
          <w:b w:val="false"/>
          <w:color w:val="000000"/>
          <w:sz w:val="18"/>
        </w:rPr>
        <w:t xml:space="preserve">No </w:t>
      </w:r>
      <w:r>
        <w:rPr>
          <w:color w:val="000000"/>
        </w:rPr>
        <w:t>☐</w:t>
      </w:r>
    </w:p>
    <w:p>
      <w:pPr>
        <w:pStyle w:val="TextBody"/>
        <w:bidi w:val="0"/>
        <w:spacing w:lineRule="auto" w:line="288" w:before="140" w:after="283"/>
        <w:jc w:val="both"/>
        <w:rPr/>
      </w:pPr>
      <w:r>
        <w:rPr>
          <w:rFonts w:ascii="Times New Roman;sans-serif" w:hAnsi="Times New Roman;sans-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6"/>
        </w:rPr>
        <w:t>x</w:t>
      </w:r>
      <w:r>
        <w:rPr>
          <w:color w:val="000000"/>
        </w:rPr>
        <w:t xml:space="preserve"> </w:t>
      </w:r>
      <w:r>
        <w:rPr>
          <w:rFonts w:ascii="Times New Roman;sans-serif" w:hAnsi="Times New Roman;sans-serif"/>
          <w:b w:val="false"/>
          <w:color w:val="000000"/>
          <w:sz w:val="18"/>
        </w:rPr>
        <w:t xml:space="preserve">No </w:t>
      </w:r>
      <w:r>
        <w:rPr>
          <w:color w:val="000000"/>
        </w:rPr>
        <w: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or a non-accelerated filer. See definition of “accelerated filer and large accelerated filer” in Rule 12b-2 of the Exchange Act. (Check one):</w:t>
      </w:r>
    </w:p>
    <w:tbl>
      <w:tblPr>
        <w:tblW w:w="5210" w:type="dxa"/>
        <w:jc w:val="left"/>
        <w:tblInd w:w="0" w:type="dxa"/>
        <w:tblLayout w:type="fixed"/>
        <w:tblCellMar>
          <w:top w:w="28" w:type="dxa"/>
          <w:left w:w="28" w:type="dxa"/>
          <w:bottom w:w="28" w:type="dxa"/>
          <w:right w:w="28" w:type="dxa"/>
        </w:tblCellMar>
      </w:tblPr>
      <w:tblGrid>
        <w:gridCol w:w="744"/>
        <w:gridCol w:w="654"/>
        <w:gridCol w:w="656"/>
        <w:gridCol w:w="109"/>
        <w:gridCol w:w="109"/>
        <w:gridCol w:w="109"/>
        <w:gridCol w:w="109"/>
        <w:gridCol w:w="109"/>
        <w:gridCol w:w="109"/>
        <w:gridCol w:w="709"/>
        <w:gridCol w:w="709"/>
        <w:gridCol w:w="712"/>
        <w:gridCol w:w="109"/>
        <w:gridCol w:w="109"/>
        <w:gridCol w:w="154"/>
      </w:tblGrid>
      <w:tr>
        <w:trPr/>
        <w:tc>
          <w:tcPr>
            <w:tcW w:w="7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6"/>
              </w:rPr>
            </w:pPr>
            <w:r>
              <w:rPr>
                <w:rFonts w:ascii="Wingdings;sans-serif" w:hAnsi="Wingdings;sans-serif"/>
                <w:b w:val="false"/>
                <w:color w:val="000000"/>
                <w:sz w:val="16"/>
              </w:rPr>
              <w:t>x</w:t>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lineRule="auto" w:line="288" w:before="0" w:after="0"/>
        <w:jc w:val="both"/>
        <w:rPr/>
      </w:pPr>
      <w:r>
        <w:rPr>
          <w:rFonts w:ascii="Times New Roman;sans-serif" w:hAnsi="Times New Roman;sans-serif"/>
          <w:b w:val="false"/>
          <w:color w:val="000000"/>
          <w:sz w:val="18"/>
        </w:rPr>
        <w:t xml:space="preserve">Indicate by check mark whether the registrant is a shell company (as defined in Rule 12b-2 of the Exchange Act). Yes ☐ No </w:t>
      </w:r>
      <w:r>
        <w:rPr>
          <w:rFonts w:ascii="Wingdings;sans-serif" w:hAnsi="Wingdings;sans-serif"/>
          <w:b w:val="false"/>
          <w:color w:val="000000"/>
          <w:sz w:val="16"/>
        </w:rPr>
        <w:t>x</w:t>
      </w:r>
    </w:p>
    <w:p>
      <w:pPr>
        <w:pStyle w:val="TextBody"/>
        <w:bidi w:val="0"/>
        <w:spacing w:lineRule="auto" w:line="288" w:before="120" w:after="120"/>
        <w:jc w:val="left"/>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bl>
      <w:tblPr>
        <w:tblW w:w="7941" w:type="dxa"/>
        <w:jc w:val="left"/>
        <w:tblInd w:w="0" w:type="dxa"/>
        <w:tblLayout w:type="fixed"/>
        <w:tblCellMar>
          <w:top w:w="28" w:type="dxa"/>
          <w:left w:w="28" w:type="dxa"/>
          <w:bottom w:w="28" w:type="dxa"/>
          <w:right w:w="28" w:type="dxa"/>
        </w:tblCellMar>
      </w:tblPr>
      <w:tblGrid>
        <w:gridCol w:w="903"/>
        <w:gridCol w:w="795"/>
        <w:gridCol w:w="806"/>
        <w:gridCol w:w="109"/>
        <w:gridCol w:w="109"/>
        <w:gridCol w:w="109"/>
        <w:gridCol w:w="504"/>
        <w:gridCol w:w="504"/>
        <w:gridCol w:w="506"/>
        <w:gridCol w:w="109"/>
        <w:gridCol w:w="109"/>
        <w:gridCol w:w="109"/>
        <w:gridCol w:w="956"/>
        <w:gridCol w:w="956"/>
        <w:gridCol w:w="1357"/>
      </w:tblGrid>
      <w:tr>
        <w:trPr/>
        <w:tc>
          <w:tcPr>
            <w:tcW w:w="903"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Name of each exchange on which registered</w:t>
            </w:r>
          </w:p>
        </w:tc>
      </w:tr>
      <w:tr>
        <w:trPr/>
        <w:tc>
          <w:tcPr>
            <w:tcW w:w="2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SNCR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Nasdaq Stock Market, LLC</w:t>
            </w:r>
          </w:p>
        </w:tc>
      </w:tr>
      <w:tr>
        <w:trPr/>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8.375% Senior Notes due 2026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SNCRL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Nasdaq Stock Market, LLC</w:t>
            </w:r>
          </w:p>
        </w:tc>
      </w:tr>
    </w:tbl>
    <w:p>
      <w:pPr>
        <w:pStyle w:val="TextBody"/>
        <w:bidi w:val="0"/>
        <w:spacing w:lineRule="auto" w:line="288" w:before="0" w:after="0"/>
        <w:jc w:val="both"/>
        <w:rPr/>
      </w:pPr>
      <w:r>
        <w:rPr>
          <w:rFonts w:ascii="Times New Roman;sans-serif" w:hAnsi="Times New Roman;sans-serif"/>
          <w:b w:val="false"/>
          <w:color w:val="000000"/>
          <w:sz w:val="18"/>
        </w:rPr>
        <w:t>As of August 6, 2024, there were 10,818,169 s</w:t>
      </w:r>
      <w:r>
        <w:rPr>
          <w:rFonts w:ascii="Times New Roman;sans-serif" w:hAnsi="Times New Roman;sans-serif"/>
          <w:b w:val="false"/>
          <w:color w:val="000000"/>
          <w:sz w:val="18"/>
          <w:shd w:fill="FFFFFF" w:val="clear"/>
        </w:rPr>
        <w:t xml:space="preserve">hares of common stock issued </w:t>
      </w:r>
      <w:r>
        <w:rPr>
          <w:rFonts w:ascii="Times New Roman;sans-serif" w:hAnsi="Times New Roman;sans-serif"/>
          <w:b w:val="false"/>
          <w:color w:val="000000"/>
          <w:sz w:val="18"/>
        </w:rPr>
        <w:t>and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b41877c9f6b4423b83513f555592c74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SYNCHRONOSS TECHNOLOGIES, INC.</w:t>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FORM 10-Q INDEX</w:t>
      </w:r>
    </w:p>
    <w:tbl>
      <w:tblPr>
        <w:tblW w:w="9060" w:type="dxa"/>
        <w:jc w:val="center"/>
        <w:tblInd w:w="0" w:type="dxa"/>
        <w:tblLayout w:type="fixed"/>
        <w:tblCellMar>
          <w:top w:w="28" w:type="dxa"/>
          <w:left w:w="28" w:type="dxa"/>
          <w:bottom w:w="28" w:type="dxa"/>
          <w:right w:w="28" w:type="dxa"/>
        </w:tblCellMar>
      </w:tblPr>
      <w:tblGrid>
        <w:gridCol w:w="299"/>
        <w:gridCol w:w="262"/>
        <w:gridCol w:w="264"/>
        <w:gridCol w:w="2454"/>
        <w:gridCol w:w="2454"/>
        <w:gridCol w:w="2457"/>
        <w:gridCol w:w="254"/>
        <w:gridCol w:w="254"/>
        <w:gridCol w:w="362"/>
      </w:tblGrid>
      <w:tr>
        <w:trPr/>
        <w:tc>
          <w:tcPr>
            <w:tcW w:w="29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 No.</w:t>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1877c9f6b4423b83513f555592c74c_10">
              <w:r>
                <w:rPr>
                  <w:rStyle w:val="InternetLink"/>
                  <w:rFonts w:ascii="Times New Roman;sans-serif" w:hAnsi="Times New Roman;sans-serif"/>
                  <w:b w:val="false"/>
                  <w:color w:val="0000FF"/>
                  <w:sz w:val="20"/>
                  <w:u w:val="single"/>
                </w:rPr>
                <w:t>PART I.</w:t>
              </w:r>
            </w:hyperlink>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1877c9f6b4423b83513f555592c74c_10">
              <w:r>
                <w:rPr>
                  <w:rStyle w:val="InternetLink"/>
                  <w:rFonts w:ascii="Times New Roman;sans-serif" w:hAnsi="Times New Roman;sans-serif"/>
                  <w:b w:val="false"/>
                  <w:color w:val="0000FF"/>
                  <w:sz w:val="20"/>
                  <w:u w:val="single"/>
                </w:rPr>
                <w:t>FINANCIAL INFORMATION</w:t>
              </w:r>
            </w:hyperlink>
          </w:p>
        </w:tc>
        <w:tc>
          <w:tcPr>
            <w:tcW w:w="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ib41877c9f6b4423b83513f555592c74c_10">
              <w:r>
                <w:rPr>
                  <w:rStyle w:val="InternetLink"/>
                  <w:rFonts w:ascii="Times New Roman;sans-serif" w:hAnsi="Times New Roman;sans-serif"/>
                  <w:b w:val="false"/>
                  <w:color w:val="0000FF"/>
                  <w:sz w:val="20"/>
                  <w:u w:val="single"/>
                </w:rPr>
                <w:t>3</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1877c9f6b4423b83513f555592c74c_13">
              <w:r>
                <w:rPr>
                  <w:rStyle w:val="InternetLink"/>
                  <w:rFonts w:ascii="Times New Roman;sans-serif" w:hAnsi="Times New Roman;sans-serif"/>
                  <w:b w:val="false"/>
                  <w:color w:val="0000FF"/>
                  <w:sz w:val="20"/>
                  <w:u w:val="single"/>
                </w:rPr>
                <w:t>Item 1. </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1877c9f6b4423b83513f555592c74c_13">
              <w:r>
                <w:rPr>
                  <w:rStyle w:val="InternetLink"/>
                  <w:rFonts w:ascii="Times New Roman;sans-serif" w:hAnsi="Times New Roman;sans-serif"/>
                  <w:b w:val="false"/>
                  <w:color w:val="0000FF"/>
                  <w:sz w:val="20"/>
                  <w:u w:val="single"/>
                </w:rPr>
                <w:t>Condensed Consolidated Financial Statements and Notes</w:t>
              </w:r>
            </w:hyperlink>
          </w:p>
        </w:tc>
        <w:tc>
          <w:tcPr>
            <w:tcW w:w="8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41877c9f6b4423b83513f555592c74c_13">
              <w:r>
                <w:rPr>
                  <w:rStyle w:val="InternetLink"/>
                  <w:rFonts w:ascii="Times New Roman;sans-serif" w:hAnsi="Times New Roman;sans-serif"/>
                  <w:b w:val="false"/>
                  <w:color w:val="0000FF"/>
                  <w:sz w:val="20"/>
                  <w:u w:val="single"/>
                </w:rPr>
                <w:t>3</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1877c9f6b4423b83513f555592c74c_16">
              <w:r>
                <w:rPr>
                  <w:rStyle w:val="InternetLink"/>
                  <w:rFonts w:ascii="Times New Roman;sans-serif" w:hAnsi="Times New Roman;sans-serif"/>
                  <w:b w:val="false"/>
                  <w:color w:val="0000FF"/>
                  <w:sz w:val="20"/>
                  <w:u w:val="single"/>
                </w:rPr>
                <w:t>Condensed Consolidated Balance Sheets (unaudited)</w:t>
              </w:r>
            </w:hyperlink>
          </w:p>
        </w:tc>
        <w:tc>
          <w:tcPr>
            <w:tcW w:w="8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41877c9f6b4423b83513f555592c74c_16">
              <w:r>
                <w:rPr>
                  <w:rStyle w:val="InternetLink"/>
                  <w:rFonts w:ascii="Times New Roman;sans-serif" w:hAnsi="Times New Roman;sans-serif"/>
                  <w:b w:val="false"/>
                  <w:color w:val="0000FF"/>
                  <w:sz w:val="20"/>
                  <w:u w:val="single"/>
                </w:rPr>
                <w:t>3</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1877c9f6b4423b83513f555592c74c_19">
              <w:r>
                <w:rPr>
                  <w:rStyle w:val="InternetLink"/>
                  <w:rFonts w:ascii="Times New Roman;sans-serif" w:hAnsi="Times New Roman;sans-serif"/>
                  <w:b w:val="false"/>
                  <w:color w:val="0000FF"/>
                  <w:sz w:val="20"/>
                  <w:u w:val="single"/>
                </w:rPr>
                <w:t>Condensed Consolidated Statements of Operations (unaudited)</w:t>
              </w:r>
            </w:hyperlink>
            <w:r>
              <w:rPr>
                <w:color w:val="000000"/>
              </w:rPr>
              <w:t> </w:t>
            </w:r>
          </w:p>
        </w:tc>
        <w:tc>
          <w:tcPr>
            <w:tcW w:w="8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41877c9f6b4423b83513f555592c74c_19">
              <w:r>
                <w:rPr>
                  <w:rStyle w:val="InternetLink"/>
                  <w:rFonts w:ascii="Times New Roman;sans-serif" w:hAnsi="Times New Roman;sans-serif"/>
                  <w:b w:val="false"/>
                  <w:color w:val="0000FF"/>
                  <w:sz w:val="20"/>
                  <w:u w:val="single"/>
                </w:rPr>
                <w:t>4</w:t>
              </w:r>
            </w:hyperlink>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41877c9f6b4423b83513f555592c74c_22">
              <w:r>
                <w:rPr>
                  <w:rStyle w:val="InternetLink"/>
                  <w:rFonts w:ascii="Times New Roman;sans-serif" w:hAnsi="Times New Roman;sans-serif"/>
                  <w:b w:val="false"/>
                  <w:color w:val="0000FF"/>
                  <w:sz w:val="20"/>
                  <w:u w:val="single"/>
                </w:rPr>
                <w:t>Condensed Consolidated Statements of Comprehensive (Loss) Income (unaudited) </w:t>
              </w:r>
            </w:hyperlink>
          </w:p>
        </w:tc>
        <w:tc>
          <w:tcPr>
            <w:tcW w:w="8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41877c9f6b4423b83513f555592c74c_22">
              <w:r>
                <w:rPr>
                  <w:rStyle w:val="InternetLink"/>
                  <w:rFonts w:ascii="Times New Roman;sans-serif" w:hAnsi="Times New Roman;sans-serif"/>
                  <w:b w:val="false"/>
                  <w:color w:val="0000FF"/>
                  <w:sz w:val="20"/>
                  <w:u w:val="single"/>
                </w:rPr>
                <w:t>5</w:t>
              </w:r>
            </w:hyperlink>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1877c9f6b4423b83513f555592c74c_25">
              <w:r>
                <w:rPr>
                  <w:rStyle w:val="InternetLink"/>
                  <w:rFonts w:ascii="Times New Roman;sans-serif" w:hAnsi="Times New Roman;sans-serif"/>
                  <w:b w:val="false"/>
                  <w:color w:val="0000FF"/>
                  <w:sz w:val="20"/>
                  <w:u w:val="single"/>
                </w:rPr>
                <w:t>Condensed Consolidated Statements of Stockholders’ Equity (unaudited)</w:t>
              </w:r>
            </w:hyperlink>
          </w:p>
        </w:tc>
        <w:tc>
          <w:tcPr>
            <w:tcW w:w="8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41877c9f6b4423b83513f555592c74c_25">
              <w:r>
                <w:rPr>
                  <w:rStyle w:val="InternetLink"/>
                  <w:rFonts w:ascii="Times New Roman;sans-serif" w:hAnsi="Times New Roman;sans-serif"/>
                  <w:b w:val="false"/>
                  <w:color w:val="0000FF"/>
                  <w:sz w:val="20"/>
                  <w:u w:val="single"/>
                </w:rPr>
                <w:t>6</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1877c9f6b4423b83513f555592c74c_28">
              <w:r>
                <w:rPr>
                  <w:rStyle w:val="InternetLink"/>
                  <w:rFonts w:ascii="Times New Roman;sans-serif" w:hAnsi="Times New Roman;sans-serif"/>
                  <w:b w:val="false"/>
                  <w:color w:val="0000FF"/>
                  <w:sz w:val="20"/>
                  <w:u w:val="single"/>
                </w:rPr>
                <w:t>Condensed Consolidated Statements of Cash Flows (unaudited)</w:t>
              </w:r>
            </w:hyperlink>
          </w:p>
        </w:tc>
        <w:tc>
          <w:tcPr>
            <w:tcW w:w="8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41877c9f6b4423b83513f555592c74c_28">
              <w:r>
                <w:rPr>
                  <w:rStyle w:val="InternetLink"/>
                  <w:rFonts w:ascii="Times New Roman;sans-serif" w:hAnsi="Times New Roman;sans-serif"/>
                  <w:b w:val="false"/>
                  <w:color w:val="0000FF"/>
                  <w:sz w:val="20"/>
                  <w:u w:val="single"/>
                </w:rPr>
                <w:t>8</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1877c9f6b4423b83513f555592c74c_31">
              <w:r>
                <w:rPr>
                  <w:rStyle w:val="InternetLink"/>
                  <w:rFonts w:ascii="Times New Roman;sans-serif" w:hAnsi="Times New Roman;sans-serif"/>
                  <w:b w:val="false"/>
                  <w:color w:val="0000FF"/>
                  <w:sz w:val="20"/>
                  <w:u w:val="single"/>
                </w:rPr>
                <w:t>Notes to Condensed Consolidated Financial Statements (unaudited)</w:t>
              </w:r>
            </w:hyperlink>
          </w:p>
        </w:tc>
        <w:tc>
          <w:tcPr>
            <w:tcW w:w="8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41877c9f6b4423b83513f555592c74c_31">
              <w:r>
                <w:rPr>
                  <w:rStyle w:val="InternetLink"/>
                  <w:rFonts w:ascii="Times New Roman;sans-serif" w:hAnsi="Times New Roman;sans-serif"/>
                  <w:b w:val="false"/>
                  <w:color w:val="0000FF"/>
                  <w:sz w:val="20"/>
                  <w:u w:val="single"/>
                </w:rPr>
                <w:t>10</w:t>
              </w:r>
            </w:hyperlink>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1877c9f6b4423b83513f555592c74c_34">
              <w:r>
                <w:rPr>
                  <w:rStyle w:val="InternetLink"/>
                  <w:rFonts w:ascii="Times New Roman;sans-serif" w:hAnsi="Times New Roman;sans-serif"/>
                  <w:b w:val="false"/>
                  <w:color w:val="0000FF"/>
                  <w:sz w:val="20"/>
                  <w:u w:val="single"/>
                </w:rPr>
                <w:t xml:space="preserve">Note 1. Description of Business </w:t>
              </w:r>
            </w:hyperlink>
          </w:p>
        </w:tc>
        <w:tc>
          <w:tcPr>
            <w:tcW w:w="8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41877c9f6b4423b83513f555592c74c_34">
              <w:r>
                <w:rPr>
                  <w:rStyle w:val="InternetLink"/>
                  <w:rFonts w:ascii="Times New Roman;sans-serif" w:hAnsi="Times New Roman;sans-serif"/>
                  <w:b w:val="false"/>
                  <w:color w:val="0000FF"/>
                  <w:sz w:val="20"/>
                  <w:u w:val="single"/>
                </w:rPr>
                <w:t>10</w:t>
              </w:r>
            </w:hyperlink>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1877c9f6b4423b83513f555592c74c_37">
              <w:r>
                <w:rPr>
                  <w:rStyle w:val="InternetLink"/>
                  <w:rFonts w:ascii="Times New Roman;sans-serif" w:hAnsi="Times New Roman;sans-serif"/>
                  <w:b w:val="false"/>
                  <w:color w:val="0000FF"/>
                  <w:sz w:val="20"/>
                  <w:u w:val="single"/>
                </w:rPr>
                <w:t>Note 2. Basis of Presentation and Consolidation</w:t>
              </w:r>
            </w:hyperlink>
          </w:p>
        </w:tc>
        <w:tc>
          <w:tcPr>
            <w:tcW w:w="8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41877c9f6b4423b83513f555592c74c_37">
              <w:r>
                <w:rPr>
                  <w:rStyle w:val="InternetLink"/>
                  <w:rFonts w:ascii="Times New Roman;sans-serif" w:hAnsi="Times New Roman;sans-serif"/>
                  <w:b w:val="false"/>
                  <w:color w:val="0000FF"/>
                  <w:sz w:val="20"/>
                  <w:u w:val="single"/>
                </w:rPr>
                <w:t>10</w:t>
              </w:r>
            </w:hyperlink>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1877c9f6b4423b83513f555592c74c_40">
              <w:r>
                <w:rPr>
                  <w:rStyle w:val="InternetLink"/>
                  <w:rFonts w:ascii="Times New Roman;sans-serif" w:hAnsi="Times New Roman;sans-serif"/>
                  <w:b w:val="false"/>
                  <w:color w:val="0000FF"/>
                  <w:sz w:val="20"/>
                  <w:u w:val="single"/>
                </w:rPr>
                <w:t>Note 3. Revenue</w:t>
              </w:r>
            </w:hyperlink>
          </w:p>
        </w:tc>
        <w:tc>
          <w:tcPr>
            <w:tcW w:w="8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41877c9f6b4423b83513f555592c74c_40">
              <w:r>
                <w:rPr>
                  <w:rStyle w:val="InternetLink"/>
                  <w:rFonts w:ascii="Times New Roman;sans-serif" w:hAnsi="Times New Roman;sans-serif"/>
                  <w:b w:val="false"/>
                  <w:color w:val="0000FF"/>
                  <w:sz w:val="20"/>
                  <w:u w:val="single"/>
                </w:rPr>
                <w:t>12</w:t>
              </w:r>
            </w:hyperlink>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w:anchor="ib41877c9f6b4423b83513f555592c74c_46">
              <w:r>
                <w:rPr>
                  <w:rStyle w:val="InternetLink"/>
                  <w:rFonts w:ascii="Times New Roman;sans-serif" w:hAnsi="Times New Roman;sans-serif"/>
                  <w:b w:val="false"/>
                  <w:color w:val="0000FF"/>
                  <w:sz w:val="20"/>
                  <w:u w:val="single"/>
                </w:rPr>
                <w:t>Note 4. Divestitures and Discontinued Operations</w:t>
              </w:r>
            </w:hyperlink>
          </w:p>
        </w:tc>
        <w:tc>
          <w:tcPr>
            <w:tcW w:w="8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41877c9f6b4423b83513f555592c74c_46">
              <w:r>
                <w:rPr>
                  <w:rStyle w:val="InternetLink"/>
                  <w:rFonts w:ascii="Times New Roman;sans-serif" w:hAnsi="Times New Roman;sans-serif"/>
                  <w:b w:val="false"/>
                  <w:color w:val="0000FF"/>
                  <w:sz w:val="20"/>
                  <w:u w:val="single"/>
                </w:rPr>
                <w:t>15</w:t>
              </w:r>
            </w:hyperlink>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w:anchor="ib41877c9f6b4423b83513f555592c74c_49">
              <w:r>
                <w:rPr>
                  <w:rStyle w:val="InternetLink"/>
                  <w:rFonts w:ascii="Times New Roman;sans-serif" w:hAnsi="Times New Roman;sans-serif"/>
                  <w:b w:val="false"/>
                  <w:color w:val="0000FF"/>
                  <w:sz w:val="20"/>
                  <w:u w:val="single"/>
                </w:rPr>
                <w:t>Note 5. Accounts Receivable Securitization Facility</w:t>
              </w:r>
            </w:hyperlink>
          </w:p>
        </w:tc>
        <w:tc>
          <w:tcPr>
            <w:tcW w:w="8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41877c9f6b4423b83513f555592c74c_49">
              <w:r>
                <w:rPr>
                  <w:rStyle w:val="InternetLink"/>
                  <w:rFonts w:ascii="Times New Roman;sans-serif" w:hAnsi="Times New Roman;sans-serif"/>
                  <w:b w:val="false"/>
                  <w:color w:val="0000FF"/>
                  <w:sz w:val="20"/>
                  <w:u w:val="single"/>
                </w:rPr>
                <w:t>17</w:t>
              </w:r>
            </w:hyperlink>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1877c9f6b4423b83513f555592c74c_52">
              <w:r>
                <w:rPr>
                  <w:rStyle w:val="InternetLink"/>
                  <w:rFonts w:ascii="Times New Roman;sans-serif" w:hAnsi="Times New Roman;sans-serif"/>
                  <w:b w:val="false"/>
                  <w:color w:val="0000FF"/>
                  <w:sz w:val="20"/>
                  <w:u w:val="single"/>
                </w:rPr>
                <w:t>Note 6. Fair Value Measurements</w:t>
              </w:r>
            </w:hyperlink>
          </w:p>
        </w:tc>
        <w:tc>
          <w:tcPr>
            <w:tcW w:w="8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41877c9f6b4423b83513f555592c74c_52">
              <w:r>
                <w:rPr>
                  <w:rStyle w:val="InternetLink"/>
                  <w:rFonts w:ascii="Times New Roman;sans-serif" w:hAnsi="Times New Roman;sans-serif"/>
                  <w:b w:val="false"/>
                  <w:color w:val="0000FF"/>
                  <w:sz w:val="20"/>
                  <w:u w:val="single"/>
                </w:rPr>
                <w:t>18</w:t>
              </w:r>
            </w:hyperlink>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1877c9f6b4423b83513f555592c74c_55">
              <w:r>
                <w:rPr>
                  <w:rStyle w:val="InternetLink"/>
                  <w:rFonts w:ascii="Times New Roman;sans-serif" w:hAnsi="Times New Roman;sans-serif"/>
                  <w:b w:val="false"/>
                  <w:color w:val="0000FF"/>
                  <w:sz w:val="20"/>
                  <w:u w:val="single"/>
                </w:rPr>
                <w:t>Note 7. Note receivable</w:t>
              </w:r>
            </w:hyperlink>
          </w:p>
        </w:tc>
        <w:tc>
          <w:tcPr>
            <w:tcW w:w="8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41877c9f6b4423b83513f555592c74c_55">
              <w:r>
                <w:rPr>
                  <w:rStyle w:val="InternetLink"/>
                  <w:rFonts w:ascii="Times New Roman;sans-serif" w:hAnsi="Times New Roman;sans-serif"/>
                  <w:b w:val="false"/>
                  <w:color w:val="0000FF"/>
                  <w:sz w:val="20"/>
                  <w:u w:val="single"/>
                </w:rPr>
                <w:t>18</w:t>
              </w:r>
            </w:hyperlink>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1877c9f6b4423b83513f555592c74c_58">
              <w:r>
                <w:rPr>
                  <w:rStyle w:val="InternetLink"/>
                  <w:rFonts w:ascii="Times New Roman;sans-serif" w:hAnsi="Times New Roman;sans-serif"/>
                  <w:b w:val="false"/>
                  <w:color w:val="0000FF"/>
                  <w:sz w:val="20"/>
                  <w:u w:val="single"/>
                </w:rPr>
                <w:t>Note 8. Leases</w:t>
              </w:r>
            </w:hyperlink>
          </w:p>
        </w:tc>
        <w:tc>
          <w:tcPr>
            <w:tcW w:w="8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41877c9f6b4423b83513f555592c74c_58">
              <w:r>
                <w:rPr>
                  <w:rStyle w:val="InternetLink"/>
                  <w:rFonts w:ascii="Times New Roman;sans-serif" w:hAnsi="Times New Roman;sans-serif"/>
                  <w:b w:val="false"/>
                  <w:color w:val="0000FF"/>
                  <w:sz w:val="20"/>
                  <w:u w:val="single"/>
                </w:rPr>
                <w:t>19</w:t>
              </w:r>
            </w:hyperlink>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1877c9f6b4423b83513f555592c74c_61">
              <w:r>
                <w:rPr>
                  <w:rStyle w:val="InternetLink"/>
                  <w:rFonts w:ascii="Times New Roman;sans-serif" w:hAnsi="Times New Roman;sans-serif"/>
                  <w:b w:val="false"/>
                  <w:color w:val="0000FF"/>
                  <w:sz w:val="20"/>
                  <w:u w:val="single"/>
                </w:rPr>
                <w:t>Note 9. Debt</w:t>
              </w:r>
            </w:hyperlink>
          </w:p>
        </w:tc>
        <w:tc>
          <w:tcPr>
            <w:tcW w:w="8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41877c9f6b4423b83513f555592c74c_61">
              <w:r>
                <w:rPr>
                  <w:rStyle w:val="InternetLink"/>
                  <w:rFonts w:ascii="Times New Roman;sans-serif" w:hAnsi="Times New Roman;sans-serif"/>
                  <w:b w:val="false"/>
                  <w:color w:val="0000FF"/>
                  <w:sz w:val="20"/>
                  <w:u w:val="single"/>
                </w:rPr>
                <w:t>22</w:t>
              </w:r>
            </w:hyperlink>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1877c9f6b4423b83513f555592c74c_64">
              <w:r>
                <w:rPr>
                  <w:rStyle w:val="InternetLink"/>
                  <w:rFonts w:ascii="Times New Roman;sans-serif" w:hAnsi="Times New Roman;sans-serif"/>
                  <w:b w:val="false"/>
                  <w:color w:val="0000FF"/>
                  <w:sz w:val="20"/>
                  <w:u w:val="single"/>
                </w:rPr>
                <w:t>Note 10. Accumulated Other Comprehensive Income</w:t>
              </w:r>
            </w:hyperlink>
          </w:p>
        </w:tc>
        <w:tc>
          <w:tcPr>
            <w:tcW w:w="8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41877c9f6b4423b83513f555592c74c_64">
              <w:r>
                <w:rPr>
                  <w:rStyle w:val="InternetLink"/>
                  <w:rFonts w:ascii="Times New Roman;sans-serif" w:hAnsi="Times New Roman;sans-serif"/>
                  <w:b w:val="false"/>
                  <w:color w:val="0000FF"/>
                  <w:sz w:val="20"/>
                  <w:u w:val="single"/>
                </w:rPr>
                <w:t>26</w:t>
              </w:r>
            </w:hyperlink>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1877c9f6b4423b83513f555592c74c_67">
              <w:r>
                <w:rPr>
                  <w:rStyle w:val="InternetLink"/>
                  <w:rFonts w:ascii="Times New Roman;sans-serif" w:hAnsi="Times New Roman;sans-serif"/>
                  <w:b w:val="false"/>
                  <w:color w:val="0000FF"/>
                  <w:sz w:val="20"/>
                  <w:u w:val="single"/>
                </w:rPr>
                <w:t>Note 11. Capital Structure</w:t>
              </w:r>
            </w:hyperlink>
          </w:p>
        </w:tc>
        <w:tc>
          <w:tcPr>
            <w:tcW w:w="8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41877c9f6b4423b83513f555592c74c_67">
              <w:r>
                <w:rPr>
                  <w:rStyle w:val="InternetLink"/>
                  <w:rFonts w:ascii="Times New Roman;sans-serif" w:hAnsi="Times New Roman;sans-serif"/>
                  <w:b w:val="false"/>
                  <w:color w:val="0000FF"/>
                  <w:sz w:val="20"/>
                  <w:u w:val="single"/>
                </w:rPr>
                <w:t>26</w:t>
              </w:r>
            </w:hyperlink>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1877c9f6b4423b83513f555592c74c_73">
              <w:r>
                <w:rPr>
                  <w:rStyle w:val="InternetLink"/>
                  <w:rFonts w:ascii="Times New Roman;sans-serif" w:hAnsi="Times New Roman;sans-serif"/>
                  <w:b w:val="false"/>
                  <w:color w:val="0000FF"/>
                  <w:sz w:val="20"/>
                  <w:u w:val="single"/>
                </w:rPr>
                <w:t>Note 12. Stock Plans</w:t>
              </w:r>
            </w:hyperlink>
          </w:p>
        </w:tc>
        <w:tc>
          <w:tcPr>
            <w:tcW w:w="8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41877c9f6b4423b83513f555592c74c_73">
              <w:r>
                <w:rPr>
                  <w:rStyle w:val="InternetLink"/>
                  <w:rFonts w:ascii="Times New Roman;sans-serif" w:hAnsi="Times New Roman;sans-serif"/>
                  <w:b w:val="false"/>
                  <w:color w:val="0000FF"/>
                  <w:sz w:val="20"/>
                  <w:u w:val="single"/>
                </w:rPr>
                <w:t>28</w:t>
              </w:r>
            </w:hyperlink>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1877c9f6b4423b83513f555592c74c_76">
              <w:r>
                <w:rPr>
                  <w:rStyle w:val="InternetLink"/>
                  <w:rFonts w:ascii="Times New Roman;sans-serif" w:hAnsi="Times New Roman;sans-serif"/>
                  <w:b w:val="false"/>
                  <w:color w:val="0000FF"/>
                  <w:sz w:val="20"/>
                  <w:u w:val="single"/>
                </w:rPr>
                <w:t>Note 13. Restructuring</w:t>
              </w:r>
            </w:hyperlink>
          </w:p>
        </w:tc>
        <w:tc>
          <w:tcPr>
            <w:tcW w:w="8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41877c9f6b4423b83513f555592c74c_76">
              <w:r>
                <w:rPr>
                  <w:rStyle w:val="InternetLink"/>
                  <w:rFonts w:ascii="Times New Roman;sans-serif" w:hAnsi="Times New Roman;sans-serif"/>
                  <w:b w:val="false"/>
                  <w:color w:val="0000FF"/>
                  <w:sz w:val="20"/>
                  <w:u w:val="single"/>
                </w:rPr>
                <w:t>29</w:t>
              </w:r>
            </w:hyperlink>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1877c9f6b4423b83513f555592c74c_79">
              <w:r>
                <w:rPr>
                  <w:rStyle w:val="InternetLink"/>
                  <w:rFonts w:ascii="Times New Roman;sans-serif" w:hAnsi="Times New Roman;sans-serif"/>
                  <w:b w:val="false"/>
                  <w:color w:val="0000FF"/>
                  <w:sz w:val="20"/>
                  <w:u w:val="single"/>
                </w:rPr>
                <w:t>Note 14. Income Taxes</w:t>
              </w:r>
            </w:hyperlink>
          </w:p>
        </w:tc>
        <w:tc>
          <w:tcPr>
            <w:tcW w:w="8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41877c9f6b4423b83513f555592c74c_79">
              <w:r>
                <w:rPr>
                  <w:rStyle w:val="InternetLink"/>
                  <w:rFonts w:ascii="Times New Roman;sans-serif" w:hAnsi="Times New Roman;sans-serif"/>
                  <w:b w:val="false"/>
                  <w:color w:val="0000FF"/>
                  <w:sz w:val="20"/>
                  <w:u w:val="single"/>
                </w:rPr>
                <w:t>29</w:t>
              </w:r>
            </w:hyperlink>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1877c9f6b4423b83513f555592c74c_82">
              <w:r>
                <w:rPr>
                  <w:rStyle w:val="InternetLink"/>
                  <w:rFonts w:ascii="Times New Roman;sans-serif" w:hAnsi="Times New Roman;sans-serif"/>
                  <w:b w:val="false"/>
                  <w:color w:val="0000FF"/>
                  <w:sz w:val="20"/>
                  <w:u w:val="single"/>
                </w:rPr>
                <w:t>Note 15. Earnings Per Common Share</w:t>
              </w:r>
            </w:hyperlink>
          </w:p>
        </w:tc>
        <w:tc>
          <w:tcPr>
            <w:tcW w:w="8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41877c9f6b4423b83513f555592c74c_82">
              <w:r>
                <w:rPr>
                  <w:rStyle w:val="InternetLink"/>
                  <w:rFonts w:ascii="Times New Roman;sans-serif" w:hAnsi="Times New Roman;sans-serif"/>
                  <w:b w:val="false"/>
                  <w:color w:val="0000FF"/>
                  <w:sz w:val="20"/>
                  <w:u w:val="single"/>
                </w:rPr>
                <w:t>30</w:t>
              </w:r>
            </w:hyperlink>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1877c9f6b4423b83513f555592c74c_85">
              <w:r>
                <w:rPr>
                  <w:rStyle w:val="InternetLink"/>
                  <w:rFonts w:ascii="Times New Roman;sans-serif" w:hAnsi="Times New Roman;sans-serif"/>
                  <w:b w:val="false"/>
                  <w:color w:val="0000FF"/>
                  <w:sz w:val="20"/>
                  <w:u w:val="single"/>
                </w:rPr>
                <w:t>Note 16. Commitments</w:t>
              </w:r>
            </w:hyperlink>
          </w:p>
        </w:tc>
        <w:tc>
          <w:tcPr>
            <w:tcW w:w="8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41877c9f6b4423b83513f555592c74c_85">
              <w:r>
                <w:rPr>
                  <w:rStyle w:val="InternetLink"/>
                  <w:rFonts w:ascii="Times New Roman;sans-serif" w:hAnsi="Times New Roman;sans-serif"/>
                  <w:b w:val="false"/>
                  <w:color w:val="0000FF"/>
                  <w:sz w:val="20"/>
                  <w:u w:val="single"/>
                </w:rPr>
                <w:t>32</w:t>
              </w:r>
            </w:hyperlink>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1877c9f6b4423b83513f555592c74c_88">
              <w:r>
                <w:rPr>
                  <w:rStyle w:val="InternetLink"/>
                  <w:rFonts w:ascii="Times New Roman;sans-serif" w:hAnsi="Times New Roman;sans-serif"/>
                  <w:b w:val="false"/>
                  <w:color w:val="0000FF"/>
                  <w:sz w:val="20"/>
                  <w:u w:val="single"/>
                </w:rPr>
                <w:t>Note 17. Legal Matters</w:t>
              </w:r>
            </w:hyperlink>
          </w:p>
        </w:tc>
        <w:tc>
          <w:tcPr>
            <w:tcW w:w="8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41877c9f6b4423b83513f555592c74c_88">
              <w:r>
                <w:rPr>
                  <w:rStyle w:val="InternetLink"/>
                  <w:rFonts w:ascii="Times New Roman;sans-serif" w:hAnsi="Times New Roman;sans-serif"/>
                  <w:b w:val="false"/>
                  <w:color w:val="0000FF"/>
                  <w:sz w:val="20"/>
                  <w:u w:val="single"/>
                </w:rPr>
                <w:t>32</w:t>
              </w:r>
            </w:hyperlink>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1877c9f6b4423b83513f555592c74c_91">
              <w:r>
                <w:rPr>
                  <w:rStyle w:val="InternetLink"/>
                  <w:rFonts w:ascii="Times New Roman;sans-serif" w:hAnsi="Times New Roman;sans-serif"/>
                  <w:b w:val="false"/>
                  <w:color w:val="0000FF"/>
                  <w:sz w:val="20"/>
                  <w:u w:val="single"/>
                </w:rPr>
                <w:t>Note 18. Additional Financial Information</w:t>
              </w:r>
            </w:hyperlink>
          </w:p>
        </w:tc>
        <w:tc>
          <w:tcPr>
            <w:tcW w:w="8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41877c9f6b4423b83513f555592c74c_91">
              <w:r>
                <w:rPr>
                  <w:rStyle w:val="InternetLink"/>
                  <w:rFonts w:ascii="Times New Roman;sans-serif" w:hAnsi="Times New Roman;sans-serif"/>
                  <w:b w:val="false"/>
                  <w:color w:val="0000FF"/>
                  <w:sz w:val="20"/>
                  <w:u w:val="single"/>
                </w:rPr>
                <w:t>33</w:t>
              </w:r>
            </w:hyperlink>
          </w:p>
        </w:tc>
      </w:tr>
      <w:tr>
        <w:trPr/>
        <w:tc>
          <w:tcPr>
            <w:tcW w:w="825" w:type="dxa"/>
            <w:gridSpan w:val="3"/>
            <w:tcBorders/>
            <w:vAlign w:val="center"/>
          </w:tcPr>
          <w:p>
            <w:pPr>
              <w:pStyle w:val="TableContents"/>
              <w:bidi w:val="0"/>
              <w:spacing w:before="0" w:after="283"/>
              <w:jc w:val="left"/>
              <w:rPr>
                <w:sz w:val="4"/>
                <w:szCs w:val="4"/>
              </w:rPr>
            </w:pPr>
            <w:r>
              <w:rPr>
                <w:sz w:val="4"/>
                <w:szCs w:val="4"/>
              </w:rPr>
            </w:r>
          </w:p>
        </w:tc>
        <w:tc>
          <w:tcPr>
            <w:tcW w:w="7365"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r>
      <w:tr>
        <w:trPr/>
        <w:tc>
          <w:tcPr>
            <w:tcW w:w="825" w:type="dxa"/>
            <w:gridSpan w:val="3"/>
            <w:tcBorders/>
            <w:vAlign w:val="center"/>
          </w:tcPr>
          <w:p>
            <w:pPr>
              <w:pStyle w:val="TableContents"/>
              <w:bidi w:val="0"/>
              <w:spacing w:before="0" w:after="283"/>
              <w:jc w:val="left"/>
              <w:rPr>
                <w:sz w:val="4"/>
                <w:szCs w:val="4"/>
              </w:rPr>
            </w:pPr>
            <w:r>
              <w:rPr>
                <w:sz w:val="4"/>
                <w:szCs w:val="4"/>
              </w:rPr>
            </w:r>
          </w:p>
        </w:tc>
        <w:tc>
          <w:tcPr>
            <w:tcW w:w="7365"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1877c9f6b4423b83513f555592c74c_97">
              <w:r>
                <w:rPr>
                  <w:rStyle w:val="InternetLink"/>
                  <w:rFonts w:ascii="Times New Roman;sans-serif" w:hAnsi="Times New Roman;sans-serif"/>
                  <w:b w:val="false"/>
                  <w:color w:val="0000FF"/>
                  <w:sz w:val="20"/>
                  <w:u w:val="single"/>
                </w:rPr>
                <w:t>Item 2.</w:t>
              </w:r>
            </w:hyperlink>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1877c9f6b4423b83513f555592c74c_97">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8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41877c9f6b4423b83513f555592c74c_97">
              <w:r>
                <w:rPr>
                  <w:rStyle w:val="InternetLink"/>
                  <w:rFonts w:ascii="Times New Roman;sans-serif" w:hAnsi="Times New Roman;sans-serif"/>
                  <w:b w:val="false"/>
                  <w:color w:val="0000FF"/>
                  <w:sz w:val="20"/>
                  <w:u w:val="single"/>
                </w:rPr>
                <w:t>34</w:t>
              </w:r>
            </w:hyperlink>
          </w:p>
        </w:tc>
      </w:tr>
      <w:tr>
        <w:trPr/>
        <w:tc>
          <w:tcPr>
            <w:tcW w:w="825" w:type="dxa"/>
            <w:gridSpan w:val="3"/>
            <w:tcBorders/>
            <w:vAlign w:val="center"/>
          </w:tcPr>
          <w:p>
            <w:pPr>
              <w:pStyle w:val="TableContents"/>
              <w:bidi w:val="0"/>
              <w:spacing w:before="0" w:after="283"/>
              <w:jc w:val="left"/>
              <w:rPr>
                <w:sz w:val="4"/>
                <w:szCs w:val="4"/>
              </w:rPr>
            </w:pPr>
            <w:r>
              <w:rPr>
                <w:sz w:val="4"/>
                <w:szCs w:val="4"/>
              </w:rPr>
            </w:r>
          </w:p>
        </w:tc>
        <w:tc>
          <w:tcPr>
            <w:tcW w:w="7365"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1877c9f6b4423b83513f555592c74c_136">
              <w:r>
                <w:rPr>
                  <w:rStyle w:val="InternetLink"/>
                  <w:rFonts w:ascii="Times New Roman;sans-serif" w:hAnsi="Times New Roman;sans-serif"/>
                  <w:b w:val="false"/>
                  <w:color w:val="0000FF"/>
                  <w:sz w:val="20"/>
                  <w:u w:val="single"/>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1877c9f6b4423b83513f555592c74c_136">
              <w:r>
                <w:rPr>
                  <w:rStyle w:val="InternetLink"/>
                  <w:rFonts w:ascii="Times New Roman;sans-serif" w:hAnsi="Times New Roman;sans-serif"/>
                  <w:b w:val="false"/>
                  <w:color w:val="0000FF"/>
                  <w:sz w:val="20"/>
                  <w:u w:val="single"/>
                </w:rPr>
                <w:t>Quantitative and Qualitative Disclosures About Market Risk</w:t>
              </w:r>
            </w:hyperlink>
          </w:p>
        </w:tc>
        <w:tc>
          <w:tcPr>
            <w:tcW w:w="8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41877c9f6b4423b83513f555592c74c_136">
              <w:r>
                <w:rPr>
                  <w:rStyle w:val="InternetLink"/>
                  <w:rFonts w:ascii="Times New Roman;sans-serif" w:hAnsi="Times New Roman;sans-serif"/>
                  <w:b w:val="false"/>
                  <w:color w:val="0000FF"/>
                  <w:sz w:val="20"/>
                  <w:u w:val="single"/>
                </w:rPr>
                <w:t>41</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1877c9f6b4423b83513f555592c74c_139">
              <w:r>
                <w:rPr>
                  <w:rStyle w:val="InternetLink"/>
                  <w:rFonts w:ascii="Times New Roman;sans-serif" w:hAnsi="Times New Roman;sans-serif"/>
                  <w:b w:val="false"/>
                  <w:color w:val="0000FF"/>
                  <w:sz w:val="20"/>
                  <w:u w:val="single"/>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1877c9f6b4423b83513f555592c74c_139">
              <w:r>
                <w:rPr>
                  <w:rStyle w:val="InternetLink"/>
                  <w:rFonts w:ascii="Times New Roman;sans-serif" w:hAnsi="Times New Roman;sans-serif"/>
                  <w:b w:val="false"/>
                  <w:color w:val="0000FF"/>
                  <w:sz w:val="20"/>
                  <w:u w:val="single"/>
                </w:rPr>
                <w:t>Controls and Procedures</w:t>
              </w:r>
            </w:hyperlink>
          </w:p>
        </w:tc>
        <w:tc>
          <w:tcPr>
            <w:tcW w:w="8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41877c9f6b4423b83513f555592c74c_139">
              <w:r>
                <w:rPr>
                  <w:rStyle w:val="InternetLink"/>
                  <w:rFonts w:ascii="Times New Roman;sans-serif" w:hAnsi="Times New Roman;sans-serif"/>
                  <w:b w:val="false"/>
                  <w:color w:val="0000FF"/>
                  <w:sz w:val="20"/>
                  <w:u w:val="single"/>
                </w:rPr>
                <w:t>42</w:t>
              </w:r>
            </w:hyperlink>
          </w:p>
        </w:tc>
      </w:tr>
      <w:tr>
        <w:trPr/>
        <w:tc>
          <w:tcPr>
            <w:tcW w:w="825" w:type="dxa"/>
            <w:gridSpan w:val="3"/>
            <w:tcBorders/>
            <w:vAlign w:val="center"/>
          </w:tcPr>
          <w:p>
            <w:pPr>
              <w:pStyle w:val="TableContents"/>
              <w:bidi w:val="0"/>
              <w:spacing w:before="0" w:after="283"/>
              <w:jc w:val="left"/>
              <w:rPr>
                <w:sz w:val="4"/>
                <w:szCs w:val="4"/>
              </w:rPr>
            </w:pPr>
            <w:r>
              <w:rPr>
                <w:sz w:val="4"/>
                <w:szCs w:val="4"/>
              </w:rPr>
            </w:r>
          </w:p>
        </w:tc>
        <w:tc>
          <w:tcPr>
            <w:tcW w:w="7365"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1877c9f6b4423b83513f555592c74c_142">
              <w:r>
                <w:rPr>
                  <w:rStyle w:val="InternetLink"/>
                  <w:rFonts w:ascii="Times New Roman;sans-serif" w:hAnsi="Times New Roman;sans-serif"/>
                  <w:b w:val="false"/>
                  <w:color w:val="0000FF"/>
                  <w:sz w:val="20"/>
                  <w:u w:val="single"/>
                </w:rPr>
                <w:t>PART II.</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1877c9f6b4423b83513f555592c74c_142">
              <w:r>
                <w:rPr>
                  <w:rStyle w:val="InternetLink"/>
                  <w:rFonts w:ascii="Times New Roman;sans-serif" w:hAnsi="Times New Roman;sans-serif"/>
                  <w:b w:val="false"/>
                  <w:color w:val="0000FF"/>
                  <w:sz w:val="20"/>
                  <w:u w:val="single"/>
                </w:rPr>
                <w:t>OTHER INFORMATION</w:t>
              </w:r>
            </w:hyperlink>
          </w:p>
        </w:tc>
        <w:tc>
          <w:tcPr>
            <w:tcW w:w="8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41877c9f6b4423b83513f555592c74c_142">
              <w:r>
                <w:rPr>
                  <w:rStyle w:val="InternetLink"/>
                  <w:rFonts w:ascii="Times New Roman;sans-serif" w:hAnsi="Times New Roman;sans-serif"/>
                  <w:b w:val="false"/>
                  <w:color w:val="0000FF"/>
                  <w:sz w:val="20"/>
                  <w:u w:val="single"/>
                </w:rPr>
                <w:t>43</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1877c9f6b4423b83513f555592c74c_145">
              <w:r>
                <w:rPr>
                  <w:rStyle w:val="InternetLink"/>
                  <w:rFonts w:ascii="Times New Roman;sans-serif" w:hAnsi="Times New Roman;sans-serif"/>
                  <w:b w:val="false"/>
                  <w:color w:val="0000FF"/>
                  <w:sz w:val="20"/>
                  <w:u w:val="singl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1877c9f6b4423b83513f555592c74c_145">
              <w:r>
                <w:rPr>
                  <w:rStyle w:val="InternetLink"/>
                  <w:rFonts w:ascii="Times New Roman;sans-serif" w:hAnsi="Times New Roman;sans-serif"/>
                  <w:b w:val="false"/>
                  <w:color w:val="0000FF"/>
                  <w:sz w:val="20"/>
                  <w:u w:val="single"/>
                </w:rPr>
                <w:t>Legal Proceedings</w:t>
              </w:r>
            </w:hyperlink>
          </w:p>
        </w:tc>
        <w:tc>
          <w:tcPr>
            <w:tcW w:w="8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41877c9f6b4423b83513f555592c74c_145">
              <w:r>
                <w:rPr>
                  <w:rStyle w:val="InternetLink"/>
                  <w:rFonts w:ascii="Times New Roman;sans-serif" w:hAnsi="Times New Roman;sans-serif"/>
                  <w:b w:val="false"/>
                  <w:color w:val="0000FF"/>
                  <w:sz w:val="20"/>
                  <w:u w:val="single"/>
                </w:rPr>
                <w:t>43</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1877c9f6b4423b83513f555592c74c_148">
              <w:r>
                <w:rPr>
                  <w:rStyle w:val="InternetLink"/>
                  <w:rFonts w:ascii="Times New Roman;sans-serif" w:hAnsi="Times New Roman;sans-serif"/>
                  <w:b w:val="false"/>
                  <w:color w:val="0000FF"/>
                  <w:sz w:val="20"/>
                  <w:u w:val="single"/>
                </w:rPr>
                <w:t>Item 1A.</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1877c9f6b4423b83513f555592c74c_148">
              <w:r>
                <w:rPr>
                  <w:rStyle w:val="InternetLink"/>
                  <w:rFonts w:ascii="Times New Roman;sans-serif" w:hAnsi="Times New Roman;sans-serif"/>
                  <w:b w:val="false"/>
                  <w:color w:val="0000FF"/>
                  <w:sz w:val="20"/>
                  <w:u w:val="single"/>
                </w:rPr>
                <w:t>Risk Factors</w:t>
              </w:r>
            </w:hyperlink>
          </w:p>
        </w:tc>
        <w:tc>
          <w:tcPr>
            <w:tcW w:w="8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41877c9f6b4423b83513f555592c74c_148">
              <w:r>
                <w:rPr>
                  <w:rStyle w:val="InternetLink"/>
                  <w:rFonts w:ascii="Times New Roman;sans-serif" w:hAnsi="Times New Roman;sans-serif"/>
                  <w:b w:val="false"/>
                  <w:color w:val="0000FF"/>
                  <w:sz w:val="20"/>
                  <w:u w:val="single"/>
                </w:rPr>
                <w:t>43</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1877c9f6b4423b83513f555592c74c_151">
              <w:r>
                <w:rPr>
                  <w:rStyle w:val="InternetLink"/>
                  <w:rFonts w:ascii="Times New Roman;sans-serif" w:hAnsi="Times New Roman;sans-serif"/>
                  <w:b w:val="false"/>
                  <w:color w:val="0000FF"/>
                  <w:sz w:val="20"/>
                  <w:u w:val="single"/>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1877c9f6b4423b83513f555592c74c_151">
              <w:r>
                <w:rPr>
                  <w:rStyle w:val="InternetLink"/>
                  <w:rFonts w:ascii="Times New Roman;sans-serif" w:hAnsi="Times New Roman;sans-serif"/>
                  <w:b w:val="false"/>
                  <w:color w:val="0000FF"/>
                  <w:sz w:val="20"/>
                  <w:u w:val="single"/>
                </w:rPr>
                <w:t>Unregistered Sales of Equity Securities and Use of Proceeds</w:t>
              </w:r>
            </w:hyperlink>
          </w:p>
        </w:tc>
        <w:tc>
          <w:tcPr>
            <w:tcW w:w="8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41877c9f6b4423b83513f555592c74c_151">
              <w:r>
                <w:rPr>
                  <w:rStyle w:val="InternetLink"/>
                  <w:rFonts w:ascii="Times New Roman;sans-serif" w:hAnsi="Times New Roman;sans-serif"/>
                  <w:b w:val="false"/>
                  <w:color w:val="0000FF"/>
                  <w:sz w:val="20"/>
                  <w:u w:val="single"/>
                </w:rPr>
                <w:t>45</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1877c9f6b4423b83513f555592c74c_154">
              <w:r>
                <w:rPr>
                  <w:rStyle w:val="InternetLink"/>
                  <w:rFonts w:ascii="Times New Roman;sans-serif" w:hAnsi="Times New Roman;sans-serif"/>
                  <w:b w:val="false"/>
                  <w:color w:val="0000FF"/>
                  <w:sz w:val="20"/>
                  <w:u w:val="single"/>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1877c9f6b4423b83513f555592c74c_154">
              <w:r>
                <w:rPr>
                  <w:rStyle w:val="InternetLink"/>
                  <w:rFonts w:ascii="Times New Roman;sans-serif" w:hAnsi="Times New Roman;sans-serif"/>
                  <w:b w:val="false"/>
                  <w:color w:val="0000FF"/>
                  <w:sz w:val="20"/>
                  <w:u w:val="single"/>
                </w:rPr>
                <w:t>Defaults Upon Senior Securities</w:t>
              </w:r>
            </w:hyperlink>
          </w:p>
        </w:tc>
        <w:tc>
          <w:tcPr>
            <w:tcW w:w="8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41877c9f6b4423b83513f555592c74c_154">
              <w:r>
                <w:rPr>
                  <w:rStyle w:val="InternetLink"/>
                  <w:rFonts w:ascii="Times New Roman;sans-serif" w:hAnsi="Times New Roman;sans-serif"/>
                  <w:b w:val="false"/>
                  <w:color w:val="0000FF"/>
                  <w:sz w:val="20"/>
                  <w:u w:val="single"/>
                </w:rPr>
                <w:t>45</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1877c9f6b4423b83513f555592c74c_157">
              <w:r>
                <w:rPr>
                  <w:rStyle w:val="InternetLink"/>
                  <w:rFonts w:ascii="Times New Roman;sans-serif" w:hAnsi="Times New Roman;sans-serif"/>
                  <w:b w:val="false"/>
                  <w:color w:val="0000FF"/>
                  <w:sz w:val="20"/>
                  <w:u w:val="single"/>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1877c9f6b4423b83513f555592c74c_157">
              <w:r>
                <w:rPr>
                  <w:rStyle w:val="InternetLink"/>
                  <w:rFonts w:ascii="Times New Roman;sans-serif" w:hAnsi="Times New Roman;sans-serif"/>
                  <w:b w:val="false"/>
                  <w:color w:val="0000FF"/>
                  <w:sz w:val="20"/>
                  <w:u w:val="single"/>
                </w:rPr>
                <w:t>Mine Safety Disclosures</w:t>
              </w:r>
            </w:hyperlink>
          </w:p>
        </w:tc>
        <w:tc>
          <w:tcPr>
            <w:tcW w:w="8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41877c9f6b4423b83513f555592c74c_157">
              <w:r>
                <w:rPr>
                  <w:rStyle w:val="InternetLink"/>
                  <w:rFonts w:ascii="Times New Roman;sans-serif" w:hAnsi="Times New Roman;sans-serif"/>
                  <w:b w:val="false"/>
                  <w:color w:val="0000FF"/>
                  <w:sz w:val="20"/>
                  <w:u w:val="single"/>
                </w:rPr>
                <w:t>45</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1877c9f6b4423b83513f555592c74c_160">
              <w:r>
                <w:rPr>
                  <w:rStyle w:val="InternetLink"/>
                  <w:rFonts w:ascii="Times New Roman;sans-serif" w:hAnsi="Times New Roman;sans-serif"/>
                  <w:b w:val="false"/>
                  <w:color w:val="0000FF"/>
                  <w:sz w:val="20"/>
                  <w:u w:val="single"/>
                </w:rPr>
                <w:t>Item 5.</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1877c9f6b4423b83513f555592c74c_160">
              <w:r>
                <w:rPr>
                  <w:rStyle w:val="InternetLink"/>
                  <w:rFonts w:ascii="Times New Roman;sans-serif" w:hAnsi="Times New Roman;sans-serif"/>
                  <w:b w:val="false"/>
                  <w:color w:val="0000FF"/>
                  <w:sz w:val="20"/>
                  <w:u w:val="single"/>
                </w:rPr>
                <w:t>Other Information</w:t>
              </w:r>
            </w:hyperlink>
          </w:p>
        </w:tc>
        <w:tc>
          <w:tcPr>
            <w:tcW w:w="8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41877c9f6b4423b83513f555592c74c_160">
              <w:r>
                <w:rPr>
                  <w:rStyle w:val="InternetLink"/>
                  <w:rFonts w:ascii="Times New Roman;sans-serif" w:hAnsi="Times New Roman;sans-serif"/>
                  <w:b w:val="false"/>
                  <w:color w:val="0000FF"/>
                  <w:sz w:val="20"/>
                  <w:u w:val="single"/>
                </w:rPr>
                <w:t>45</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1877c9f6b4423b83513f555592c74c_163">
              <w:r>
                <w:rPr>
                  <w:rStyle w:val="InternetLink"/>
                  <w:rFonts w:ascii="Times New Roman;sans-serif" w:hAnsi="Times New Roman;sans-serif"/>
                  <w:b w:val="false"/>
                  <w:color w:val="0000FF"/>
                  <w:sz w:val="20"/>
                  <w:u w:val="single"/>
                </w:rPr>
                <w:t>Item 6.</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1877c9f6b4423b83513f555592c74c_163">
              <w:r>
                <w:rPr>
                  <w:rStyle w:val="InternetLink"/>
                  <w:rFonts w:ascii="Times New Roman;sans-serif" w:hAnsi="Times New Roman;sans-serif"/>
                  <w:b w:val="false"/>
                  <w:color w:val="0000FF"/>
                  <w:sz w:val="20"/>
                  <w:u w:val="single"/>
                </w:rPr>
                <w:t>Exhibits</w:t>
              </w:r>
            </w:hyperlink>
          </w:p>
        </w:tc>
        <w:tc>
          <w:tcPr>
            <w:tcW w:w="8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41877c9f6b4423b83513f555592c74c_163">
              <w:r>
                <w:rPr>
                  <w:rStyle w:val="InternetLink"/>
                  <w:rFonts w:ascii="Times New Roman;sans-serif" w:hAnsi="Times New Roman;sans-serif"/>
                  <w:b w:val="false"/>
                  <w:color w:val="0000FF"/>
                  <w:sz w:val="20"/>
                  <w:u w:val="single"/>
                </w:rPr>
                <w:t>46</w:t>
              </w:r>
            </w:hyperlink>
          </w:p>
        </w:tc>
      </w:tr>
      <w:tr>
        <w:trPr/>
        <w:tc>
          <w:tcPr>
            <w:tcW w:w="819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b41877c9f6b4423b83513f555592c74c_166">
              <w:r>
                <w:rPr>
                  <w:rStyle w:val="InternetLink"/>
                  <w:rFonts w:ascii="Times New Roman;sans-serif" w:hAnsi="Times New Roman;sans-serif"/>
                  <w:b w:val="false"/>
                  <w:color w:val="0000FF"/>
                  <w:sz w:val="20"/>
                  <w:u w:val="single"/>
                </w:rPr>
                <w:t>SIGNATURES</w:t>
              </w:r>
            </w:hyperlink>
          </w:p>
        </w:tc>
        <w:tc>
          <w:tcPr>
            <w:tcW w:w="8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41877c9f6b4423b83513f555592c74c_166">
              <w:r>
                <w:rPr>
                  <w:rStyle w:val="InternetLink"/>
                  <w:rFonts w:ascii="Times New Roman;sans-serif" w:hAnsi="Times New Roman;sans-serif"/>
                  <w:b w:val="false"/>
                  <w:color w:val="0000FF"/>
                  <w:sz w:val="20"/>
                  <w:u w:val="single"/>
                </w:rPr>
                <w:t>47</w:t>
              </w:r>
            </w:hyperlink>
          </w:p>
        </w:tc>
      </w:tr>
    </w:tbl>
    <w:p>
      <w:pPr>
        <w:pStyle w:val="TextBody"/>
        <w:bidi w:val="0"/>
        <w:spacing w:before="0" w:after="60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b41877c9f6b4423b83513f555592c74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pStyle w:val="TextBody"/>
        <w:bidi w:val="0"/>
        <w:spacing w:lineRule="auto" w:line="288" w:before="0" w:after="0"/>
        <w:ind w:left="0" w:right="0" w:firstLine="72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CONDENSED CONSOLIDATED FINANCIAL STATEMENTS AND NOTES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SYNCHRONOSS TECHNOLOGIES,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BALANCE SHEETS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(In thousands)</w:t>
      </w:r>
    </w:p>
    <w:tbl>
      <w:tblPr>
        <w:tblW w:w="10205" w:type="dxa"/>
        <w:jc w:val="center"/>
        <w:tblInd w:w="0" w:type="dxa"/>
        <w:tblLayout w:type="fixed"/>
        <w:tblCellMar>
          <w:top w:w="28" w:type="dxa"/>
          <w:left w:w="28" w:type="dxa"/>
          <w:bottom w:w="28" w:type="dxa"/>
          <w:right w:w="28" w:type="dxa"/>
        </w:tblCellMar>
      </w:tblPr>
      <w:tblGrid>
        <w:gridCol w:w="2747"/>
        <w:gridCol w:w="2083"/>
        <w:gridCol w:w="2008"/>
        <w:gridCol w:w="109"/>
        <w:gridCol w:w="109"/>
        <w:gridCol w:w="109"/>
        <w:gridCol w:w="219"/>
        <w:gridCol w:w="860"/>
        <w:gridCol w:w="113"/>
        <w:gridCol w:w="109"/>
        <w:gridCol w:w="109"/>
        <w:gridCol w:w="109"/>
        <w:gridCol w:w="250"/>
        <w:gridCol w:w="983"/>
        <w:gridCol w:w="129"/>
        <w:gridCol w:w="159"/>
      </w:tblGrid>
      <w:tr>
        <w:trPr/>
        <w:tc>
          <w:tcPr>
            <w:tcW w:w="2747" w:type="dxa"/>
            <w:tcBorders/>
            <w:vAlign w:val="center"/>
          </w:tcPr>
          <w:p>
            <w:pPr>
              <w:pStyle w:val="TableContents"/>
              <w:bidi w:val="0"/>
              <w:spacing w:before="0" w:after="283"/>
              <w:jc w:val="left"/>
              <w:rPr>
                <w:sz w:val="4"/>
                <w:szCs w:val="4"/>
              </w:rPr>
            </w:pPr>
            <w:r>
              <w:rPr>
                <w:sz w:val="4"/>
                <w:szCs w:val="4"/>
              </w:rPr>
            </w:r>
          </w:p>
        </w:tc>
        <w:tc>
          <w:tcPr>
            <w:tcW w:w="2083" w:type="dxa"/>
            <w:tcBorders/>
            <w:vAlign w:val="center"/>
          </w:tcPr>
          <w:p>
            <w:pPr>
              <w:pStyle w:val="TableContents"/>
              <w:bidi w:val="0"/>
              <w:spacing w:before="0" w:after="283"/>
              <w:jc w:val="left"/>
              <w:rPr>
                <w:sz w:val="4"/>
                <w:szCs w:val="4"/>
              </w:rPr>
            </w:pPr>
            <w:r>
              <w:rPr>
                <w:sz w:val="4"/>
                <w:szCs w:val="4"/>
              </w:rPr>
            </w:r>
          </w:p>
        </w:tc>
        <w:tc>
          <w:tcPr>
            <w:tcW w:w="20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3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23,648 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24,572 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23,477 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&amp;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32,013 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33,953 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75,520 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82,002 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181,574 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183,908 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20,908 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22,214 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220,152 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228,335 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295,672 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310,337 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31,491 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39,127 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revenues,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42,401 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47,697 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 of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184,357 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136,215 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Leases,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20,255 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23,593 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liabilities, non-current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252,553 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212,403 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Commitments and contingencies: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Series B Non-Convertible Perpetual Preferred stock, $0.0001 par value; 150 shares authorized, 0 and 61 shares issued and outstanding at June 30, 2024 and December 31, 2023,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58,802 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Redeemable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$0.0001 par value; 16,667 shares authorized, 10,815 and 10,314 issued and outstanding at June 30, 2024 and December 31, 2023,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491,808 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483,527 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(34,007)</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(25,732)</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(427,183)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(431,164)</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30,619 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26,632 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295,672 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310,337 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b41877c9f6b4423b83513f555592c74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40"/>
        <w:jc w:val="center"/>
        <w:rPr>
          <w:rFonts w:ascii="Times New Roman;sans-serif" w:hAnsi="Times New Roman;sans-serif"/>
          <w:b/>
          <w:color w:val="000000"/>
          <w:sz w:val="20"/>
        </w:rPr>
      </w:pPr>
      <w:r>
        <w:rPr>
          <w:rFonts w:ascii="Times New Roman;sans-serif" w:hAnsi="Times New Roman;sans-serif"/>
          <w:b/>
          <w:color w:val="000000"/>
          <w:sz w:val="20"/>
        </w:rPr>
        <w:t>SYNCHRONOSS TECHNOLOGIES, INC.</w:t>
      </w:r>
    </w:p>
    <w:p>
      <w:pPr>
        <w:pStyle w:val="TextBody"/>
        <w:bidi w:val="0"/>
        <w:spacing w:lineRule="auto" w:line="288" w:before="0" w:after="4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(Unaudited) (In thousands, except per share data)</w:t>
      </w:r>
    </w:p>
    <w:tbl>
      <w:tblPr>
        <w:tblW w:w="10205" w:type="dxa"/>
        <w:jc w:val="center"/>
        <w:tblInd w:w="0" w:type="dxa"/>
        <w:tblLayout w:type="fixed"/>
        <w:tblCellMar>
          <w:top w:w="28" w:type="dxa"/>
          <w:left w:w="28" w:type="dxa"/>
          <w:bottom w:w="28" w:type="dxa"/>
          <w:right w:w="28" w:type="dxa"/>
        </w:tblCellMar>
      </w:tblPr>
      <w:tblGrid>
        <w:gridCol w:w="1661"/>
        <w:gridCol w:w="1240"/>
        <w:gridCol w:w="1241"/>
        <w:gridCol w:w="109"/>
        <w:gridCol w:w="109"/>
        <w:gridCol w:w="109"/>
        <w:gridCol w:w="211"/>
        <w:gridCol w:w="721"/>
        <w:gridCol w:w="109"/>
        <w:gridCol w:w="109"/>
        <w:gridCol w:w="109"/>
        <w:gridCol w:w="109"/>
        <w:gridCol w:w="211"/>
        <w:gridCol w:w="775"/>
        <w:gridCol w:w="109"/>
        <w:gridCol w:w="109"/>
        <w:gridCol w:w="109"/>
        <w:gridCol w:w="109"/>
        <w:gridCol w:w="109"/>
        <w:gridCol w:w="109"/>
        <w:gridCol w:w="211"/>
        <w:gridCol w:w="721"/>
        <w:gridCol w:w="109"/>
        <w:gridCol w:w="109"/>
        <w:gridCol w:w="109"/>
        <w:gridCol w:w="109"/>
        <w:gridCol w:w="211"/>
        <w:gridCol w:w="775"/>
        <w:gridCol w:w="109"/>
        <w:gridCol w:w="109"/>
        <w:gridCol w:w="156"/>
      </w:tblGrid>
      <w:tr>
        <w:trPr/>
        <w:tc>
          <w:tcPr>
            <w:tcW w:w="1661"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265" w:type="dxa"/>
            <w:gridSpan w:val="2"/>
            <w:tcBorders/>
          </w:tcPr>
          <w:p>
            <w:pPr>
              <w:pStyle w:val="TableContents"/>
              <w:bidi w:val="0"/>
              <w:spacing w:before="0" w:after="283"/>
              <w:jc w:val="left"/>
              <w:rPr>
                <w:sz w:val="4"/>
                <w:szCs w:val="4"/>
              </w:rPr>
            </w:pPr>
            <w:r>
              <w:rPr>
                <w:sz w:val="4"/>
                <w:szCs w:val="4"/>
              </w:rPr>
            </w:r>
          </w:p>
        </w:tc>
      </w:tr>
      <w:tr>
        <w:trPr/>
        <w:tc>
          <w:tcPr>
            <w:tcW w:w="4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Cost of revenues</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continuing operations, before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Discontinued operations (Note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discontinued operations, before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from 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dividend and gain on repurchase of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Synchronoss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from 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from 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Weighted-average common shares outstanding: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10,424 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9,685 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10,265 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9,669 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________________________________</w:t>
      </w:r>
    </w:p>
    <w:p>
      <w:pPr>
        <w:pStyle w:val="TextBody"/>
        <w:bidi w:val="0"/>
        <w:spacing w:lineRule="auto" w:line="288" w:before="0" w:after="0"/>
        <w:ind w:left="0" w:right="0" w:hanging="360"/>
        <w:jc w:val="both"/>
        <w:rPr/>
      </w:pPr>
      <w:r>
        <w:rPr>
          <w:rFonts w:ascii="Times New Roman;sans-serif" w:hAnsi="Times New Roman;sans-serif"/>
          <w:b w:val="false"/>
          <w:color w:val="000000"/>
          <w:sz w:val="12"/>
        </w:rPr>
        <w:t>1</w:t>
      </w:r>
      <w:r>
        <w:rPr>
          <w:color w:val="000000"/>
        </w:rPr>
        <w:t>    </w:t>
      </w:r>
      <w:r>
        <w:rPr>
          <w:rFonts w:ascii="Times New Roman;sans-serif" w:hAnsi="Times New Roman;sans-serif"/>
          <w:b w:val="false"/>
          <w:color w:val="000000"/>
          <w:sz w:val="18"/>
        </w:rPr>
        <w:t>Cost of revenues excludes depreciation and amortization which are shown separately.</w:t>
      </w:r>
    </w:p>
    <w:p>
      <w:pPr>
        <w:pStyle w:val="TextBody"/>
        <w:bidi w:val="0"/>
        <w:spacing w:before="0" w:after="0"/>
        <w:ind w:left="0" w:right="0" w:hanging="360"/>
        <w:jc w:val="both"/>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See accompanying notes to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b41877c9f6b4423b83513f555592c74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40"/>
        <w:jc w:val="center"/>
        <w:rPr>
          <w:rFonts w:ascii="Times New Roman;sans-serif" w:hAnsi="Times New Roman;sans-serif"/>
          <w:b/>
          <w:color w:val="000000"/>
          <w:sz w:val="20"/>
        </w:rPr>
      </w:pPr>
      <w:r>
        <w:rPr>
          <w:rFonts w:ascii="Times New Roman;sans-serif" w:hAnsi="Times New Roman;sans-serif"/>
          <w:b/>
          <w:color w:val="000000"/>
          <w:sz w:val="20"/>
        </w:rPr>
        <w:t>SYNCHRONOSS TECHNOLOGIES, INC.</w:t>
      </w:r>
    </w:p>
    <w:p>
      <w:pPr>
        <w:pStyle w:val="TextBody"/>
        <w:bidi w:val="0"/>
        <w:spacing w:lineRule="auto" w:line="288" w:before="0" w:after="4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(LOSS) INCOME</w:t>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 xml:space="preserve">(Unaudited) (In thousands) </w:t>
      </w:r>
    </w:p>
    <w:p>
      <w:pPr>
        <w:pStyle w:val="TextBody"/>
        <w:bidi w:val="0"/>
        <w:spacing w:before="0" w:after="0"/>
        <w:ind w:left="0" w:right="0" w:firstLine="720"/>
        <w:jc w:val="center"/>
        <w:rPr/>
      </w:pPr>
      <w:r>
        <w:rPr/>
      </w:r>
    </w:p>
    <w:tbl>
      <w:tblPr>
        <w:tblW w:w="10205" w:type="dxa"/>
        <w:jc w:val="center"/>
        <w:tblInd w:w="0" w:type="dxa"/>
        <w:tblLayout w:type="fixed"/>
        <w:tblCellMar>
          <w:top w:w="28" w:type="dxa"/>
          <w:left w:w="28" w:type="dxa"/>
          <w:bottom w:w="28" w:type="dxa"/>
          <w:right w:w="28" w:type="dxa"/>
        </w:tblCellMar>
      </w:tblPr>
      <w:tblGrid>
        <w:gridCol w:w="1608"/>
        <w:gridCol w:w="1394"/>
        <w:gridCol w:w="1306"/>
        <w:gridCol w:w="109"/>
        <w:gridCol w:w="109"/>
        <w:gridCol w:w="109"/>
        <w:gridCol w:w="215"/>
        <w:gridCol w:w="683"/>
        <w:gridCol w:w="111"/>
        <w:gridCol w:w="111"/>
        <w:gridCol w:w="111"/>
        <w:gridCol w:w="111"/>
        <w:gridCol w:w="215"/>
        <w:gridCol w:w="683"/>
        <w:gridCol w:w="111"/>
        <w:gridCol w:w="109"/>
        <w:gridCol w:w="109"/>
        <w:gridCol w:w="109"/>
        <w:gridCol w:w="109"/>
        <w:gridCol w:w="109"/>
        <w:gridCol w:w="211"/>
        <w:gridCol w:w="666"/>
        <w:gridCol w:w="109"/>
        <w:gridCol w:w="109"/>
        <w:gridCol w:w="109"/>
        <w:gridCol w:w="109"/>
        <w:gridCol w:w="211"/>
        <w:gridCol w:w="771"/>
        <w:gridCol w:w="109"/>
        <w:gridCol w:w="109"/>
        <w:gridCol w:w="161"/>
      </w:tblGrid>
      <w:tr>
        <w:trPr/>
        <w:tc>
          <w:tcPr>
            <w:tcW w:w="1608"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270" w:type="dxa"/>
            <w:gridSpan w:val="2"/>
            <w:tcBorders/>
          </w:tcPr>
          <w:p>
            <w:pPr>
              <w:pStyle w:val="TableContents"/>
              <w:bidi w:val="0"/>
              <w:spacing w:before="0" w:after="283"/>
              <w:jc w:val="left"/>
              <w:rPr>
                <w:sz w:val="4"/>
                <w:szCs w:val="4"/>
              </w:rPr>
            </w:pPr>
            <w:r>
              <w:rPr>
                <w:sz w:val="4"/>
                <w:szCs w:val="4"/>
              </w:rPr>
            </w:r>
          </w:p>
        </w:tc>
      </w:tr>
      <w:tr>
        <w:trPr/>
        <w:tc>
          <w:tcPr>
            <w:tcW w:w="4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(8,518)</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(2,660)</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(8,347)</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 attributable to Synchronoss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(2,655)</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(8,333)</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b41877c9f6b4423b83513f555592c74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SYNCHRONOSS TECHNOLOGIES,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(In thousands)</w:t>
      </w:r>
    </w:p>
    <w:tbl>
      <w:tblPr>
        <w:tblW w:w="10205" w:type="dxa"/>
        <w:jc w:val="center"/>
        <w:tblInd w:w="0" w:type="dxa"/>
        <w:tblLayout w:type="fixed"/>
        <w:tblCellMar>
          <w:top w:w="28" w:type="dxa"/>
          <w:left w:w="28" w:type="dxa"/>
          <w:bottom w:w="28" w:type="dxa"/>
          <w:right w:w="28" w:type="dxa"/>
        </w:tblCellMar>
      </w:tblPr>
      <w:tblGrid>
        <w:gridCol w:w="1021"/>
        <w:gridCol w:w="474"/>
        <w:gridCol w:w="476"/>
        <w:gridCol w:w="323"/>
        <w:gridCol w:w="323"/>
        <w:gridCol w:w="171"/>
        <w:gridCol w:w="109"/>
        <w:gridCol w:w="109"/>
        <w:gridCol w:w="109"/>
        <w:gridCol w:w="205"/>
        <w:gridCol w:w="252"/>
        <w:gridCol w:w="113"/>
        <w:gridCol w:w="109"/>
        <w:gridCol w:w="109"/>
        <w:gridCol w:w="109"/>
        <w:gridCol w:w="109"/>
        <w:gridCol w:w="109"/>
        <w:gridCol w:w="109"/>
        <w:gridCol w:w="109"/>
        <w:gridCol w:w="218"/>
        <w:gridCol w:w="820"/>
        <w:gridCol w:w="121"/>
        <w:gridCol w:w="109"/>
        <w:gridCol w:w="109"/>
        <w:gridCol w:w="109"/>
        <w:gridCol w:w="265"/>
        <w:gridCol w:w="971"/>
        <w:gridCol w:w="147"/>
        <w:gridCol w:w="109"/>
        <w:gridCol w:w="109"/>
        <w:gridCol w:w="109"/>
        <w:gridCol w:w="200"/>
        <w:gridCol w:w="782"/>
        <w:gridCol w:w="111"/>
        <w:gridCol w:w="109"/>
        <w:gridCol w:w="109"/>
        <w:gridCol w:w="109"/>
        <w:gridCol w:w="223"/>
        <w:gridCol w:w="735"/>
        <w:gridCol w:w="183"/>
      </w:tblGrid>
      <w:tr>
        <w:trPr/>
        <w:tc>
          <w:tcPr>
            <w:tcW w:w="102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1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6"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2024</w:t>
            </w:r>
          </w:p>
        </w:tc>
        <w:tc>
          <w:tcPr>
            <w:tcW w:w="2888" w:type="dxa"/>
            <w:gridSpan w:val="12"/>
            <w:tcBorders/>
          </w:tcPr>
          <w:p>
            <w:pPr>
              <w:pStyle w:val="TableContents"/>
              <w:bidi w:val="0"/>
              <w:spacing w:before="0" w:after="283"/>
              <w:jc w:val="left"/>
              <w:rPr>
                <w:sz w:val="4"/>
                <w:szCs w:val="4"/>
              </w:rPr>
            </w:pPr>
            <w:r>
              <w:rPr>
                <w:sz w:val="4"/>
                <w:szCs w:val="4"/>
              </w:rPr>
            </w:r>
          </w:p>
        </w:tc>
      </w:tr>
      <w:tr>
        <w:trPr/>
        <w:tc>
          <w:tcPr>
            <w:tcW w:w="1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6"/>
            <w:tcBorders/>
          </w:tcPr>
          <w:p>
            <w:pPr>
              <w:pStyle w:val="TableContents"/>
              <w:bidi w:val="0"/>
              <w:spacing w:before="0" w:after="283"/>
              <w:jc w:val="left"/>
              <w:rPr>
                <w:sz w:val="4"/>
                <w:szCs w:val="4"/>
              </w:rPr>
            </w:pPr>
            <w:r>
              <w:rPr>
                <w:sz w:val="4"/>
                <w:szCs w:val="4"/>
              </w:rPr>
            </w:r>
          </w:p>
        </w:tc>
      </w:tr>
      <w:tr>
        <w:trPr/>
        <w:tc>
          <w:tcPr>
            <w:tcW w:w="1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Par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3"/>
              </w:rPr>
            </w:pPr>
            <w:r>
              <w:rPr>
                <w:rFonts w:ascii="Times New Roman;sans-serif" w:hAnsi="Times New Roman;sans-serif"/>
                <w:b/>
                <w:color w:val="000000"/>
                <w:sz w:val="13"/>
              </w:rPr>
              <w:t>Accumulated Other Comprehensive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 Stockholders' Equity</w:t>
            </w:r>
          </w:p>
        </w:tc>
      </w:tr>
      <w:tr>
        <w:trPr/>
        <w:tc>
          <w:tcPr>
            <w:tcW w:w="1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March 31, 2024</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10,315 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482,492 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(31,841)</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(426,694)</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23,958 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restricted stock</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1"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dividend</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(2,129)</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(2,129)</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1"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971"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971"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971"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971"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971"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971"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971"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Shares withheld for taxes in connection with issuance of restricted stock </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1"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971"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971"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comprehensive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(2,166)</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(2,166)</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1"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Series B Preferred stock repurchase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Senior Notes repurchase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7,862 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7,862 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1"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971"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June 30, 2024</w:t>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10,815 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491,808 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(34,007)</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(427,183)</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30,619 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021"/>
        <w:gridCol w:w="474"/>
        <w:gridCol w:w="476"/>
        <w:gridCol w:w="323"/>
        <w:gridCol w:w="323"/>
        <w:gridCol w:w="171"/>
        <w:gridCol w:w="109"/>
        <w:gridCol w:w="109"/>
        <w:gridCol w:w="109"/>
        <w:gridCol w:w="205"/>
        <w:gridCol w:w="252"/>
        <w:gridCol w:w="113"/>
        <w:gridCol w:w="109"/>
        <w:gridCol w:w="109"/>
        <w:gridCol w:w="109"/>
        <w:gridCol w:w="109"/>
        <w:gridCol w:w="109"/>
        <w:gridCol w:w="109"/>
        <w:gridCol w:w="109"/>
        <w:gridCol w:w="218"/>
        <w:gridCol w:w="820"/>
        <w:gridCol w:w="121"/>
        <w:gridCol w:w="109"/>
        <w:gridCol w:w="109"/>
        <w:gridCol w:w="109"/>
        <w:gridCol w:w="265"/>
        <w:gridCol w:w="971"/>
        <w:gridCol w:w="147"/>
        <w:gridCol w:w="109"/>
        <w:gridCol w:w="109"/>
        <w:gridCol w:w="109"/>
        <w:gridCol w:w="200"/>
        <w:gridCol w:w="782"/>
        <w:gridCol w:w="111"/>
        <w:gridCol w:w="109"/>
        <w:gridCol w:w="109"/>
        <w:gridCol w:w="109"/>
        <w:gridCol w:w="223"/>
        <w:gridCol w:w="735"/>
        <w:gridCol w:w="183"/>
      </w:tblGrid>
      <w:tr>
        <w:trPr/>
        <w:tc>
          <w:tcPr>
            <w:tcW w:w="102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1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6"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2023</w:t>
            </w:r>
          </w:p>
        </w:tc>
        <w:tc>
          <w:tcPr>
            <w:tcW w:w="2888" w:type="dxa"/>
            <w:gridSpan w:val="12"/>
            <w:tcBorders/>
          </w:tcPr>
          <w:p>
            <w:pPr>
              <w:pStyle w:val="TableContents"/>
              <w:bidi w:val="0"/>
              <w:spacing w:before="0" w:after="283"/>
              <w:jc w:val="left"/>
              <w:rPr>
                <w:sz w:val="4"/>
                <w:szCs w:val="4"/>
              </w:rPr>
            </w:pPr>
            <w:r>
              <w:rPr>
                <w:sz w:val="4"/>
                <w:szCs w:val="4"/>
              </w:rPr>
            </w:r>
          </w:p>
        </w:tc>
      </w:tr>
      <w:tr>
        <w:trPr/>
        <w:tc>
          <w:tcPr>
            <w:tcW w:w="1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6"/>
            <w:tcBorders/>
          </w:tcPr>
          <w:p>
            <w:pPr>
              <w:pStyle w:val="TableContents"/>
              <w:bidi w:val="0"/>
              <w:spacing w:before="0" w:after="283"/>
              <w:jc w:val="left"/>
              <w:rPr>
                <w:sz w:val="4"/>
                <w:szCs w:val="4"/>
              </w:rPr>
            </w:pPr>
            <w:r>
              <w:rPr>
                <w:sz w:val="4"/>
                <w:szCs w:val="4"/>
              </w:rPr>
            </w:r>
          </w:p>
        </w:tc>
      </w:tr>
      <w:tr>
        <w:trPr/>
        <w:tc>
          <w:tcPr>
            <w:tcW w:w="1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Par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3"/>
              </w:rPr>
            </w:pPr>
            <w:r>
              <w:rPr>
                <w:rFonts w:ascii="Times New Roman;sans-serif" w:hAnsi="Times New Roman;sans-serif"/>
                <w:b/>
                <w:color w:val="000000"/>
                <w:sz w:val="13"/>
              </w:rPr>
              <w:t>Accumulated Other Comprehensive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 Stockholders' Equity</w:t>
            </w:r>
          </w:p>
        </w:tc>
      </w:tr>
      <w:tr>
        <w:trPr/>
        <w:tc>
          <w:tcPr>
            <w:tcW w:w="1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March 31, 2023</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10,436 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487,681 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(39,561)</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(387,546)</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60,575 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restricted stock</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1"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971"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971"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dividend</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(2,475)</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1"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971"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971"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971"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971"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971"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Shares withheld for taxes in connection with issuance of restricted stock </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1"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971"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971"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(8,518)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(8,518)</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comprehensive income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1"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971"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971"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971"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971"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June 30, 2023</w:t>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10,433 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486,587 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(39,390)</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(396,050)</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51,148 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See accompanying notes to condensed consolidated financial statements.</w:t>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b41877c9f6b4423b83513f555592c74c_7">
        <w:r>
          <w:rPr>
            <w:rStyle w:val="InternetLink"/>
            <w:rFonts w:ascii="Times New Roman;sans-serif" w:hAnsi="Times New Roman;sans-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881"/>
        <w:gridCol w:w="529"/>
        <w:gridCol w:w="531"/>
        <w:gridCol w:w="323"/>
        <w:gridCol w:w="323"/>
        <w:gridCol w:w="171"/>
        <w:gridCol w:w="109"/>
        <w:gridCol w:w="109"/>
        <w:gridCol w:w="109"/>
        <w:gridCol w:w="205"/>
        <w:gridCol w:w="252"/>
        <w:gridCol w:w="114"/>
        <w:gridCol w:w="109"/>
        <w:gridCol w:w="109"/>
        <w:gridCol w:w="109"/>
        <w:gridCol w:w="109"/>
        <w:gridCol w:w="109"/>
        <w:gridCol w:w="109"/>
        <w:gridCol w:w="109"/>
        <w:gridCol w:w="219"/>
        <w:gridCol w:w="823"/>
        <w:gridCol w:w="121"/>
        <w:gridCol w:w="109"/>
        <w:gridCol w:w="109"/>
        <w:gridCol w:w="109"/>
        <w:gridCol w:w="268"/>
        <w:gridCol w:w="982"/>
        <w:gridCol w:w="149"/>
        <w:gridCol w:w="109"/>
        <w:gridCol w:w="109"/>
        <w:gridCol w:w="109"/>
        <w:gridCol w:w="201"/>
        <w:gridCol w:w="783"/>
        <w:gridCol w:w="111"/>
        <w:gridCol w:w="109"/>
        <w:gridCol w:w="109"/>
        <w:gridCol w:w="109"/>
        <w:gridCol w:w="224"/>
        <w:gridCol w:w="739"/>
        <w:gridCol w:w="185"/>
      </w:tblGrid>
      <w:tr>
        <w:trPr/>
        <w:tc>
          <w:tcPr>
            <w:tcW w:w="881"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1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7"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2024</w:t>
            </w:r>
          </w:p>
        </w:tc>
        <w:tc>
          <w:tcPr>
            <w:tcW w:w="2897" w:type="dxa"/>
            <w:gridSpan w:val="12"/>
            <w:tcBorders/>
          </w:tcPr>
          <w:p>
            <w:pPr>
              <w:pStyle w:val="TableContents"/>
              <w:bidi w:val="0"/>
              <w:spacing w:before="0" w:after="283"/>
              <w:jc w:val="left"/>
              <w:rPr>
                <w:sz w:val="4"/>
                <w:szCs w:val="4"/>
              </w:rPr>
            </w:pPr>
            <w:r>
              <w:rPr>
                <w:sz w:val="4"/>
                <w:szCs w:val="4"/>
              </w:rPr>
            </w:r>
          </w:p>
        </w:tc>
      </w:tr>
      <w:tr>
        <w:trPr/>
        <w:tc>
          <w:tcPr>
            <w:tcW w:w="1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6"/>
            <w:tcBorders/>
          </w:tcPr>
          <w:p>
            <w:pPr>
              <w:pStyle w:val="TableContents"/>
              <w:bidi w:val="0"/>
              <w:spacing w:before="0" w:after="283"/>
              <w:jc w:val="left"/>
              <w:rPr>
                <w:sz w:val="4"/>
                <w:szCs w:val="4"/>
              </w:rPr>
            </w:pPr>
            <w:r>
              <w:rPr>
                <w:sz w:val="4"/>
                <w:szCs w:val="4"/>
              </w:rPr>
            </w:r>
          </w:p>
        </w:tc>
      </w:tr>
      <w:tr>
        <w:trPr/>
        <w:tc>
          <w:tcPr>
            <w:tcW w:w="1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Par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3"/>
              </w:rPr>
            </w:pPr>
            <w:r>
              <w:rPr>
                <w:rFonts w:ascii="Times New Roman;sans-serif" w:hAnsi="Times New Roman;sans-serif"/>
                <w:b/>
                <w:color w:val="000000"/>
                <w:sz w:val="13"/>
              </w:rPr>
              <w:t>Accumulated Other Comprehensive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 Stockholders' Equity</w:t>
            </w:r>
          </w:p>
        </w:tc>
      </w:tr>
      <w:tr>
        <w:trPr/>
        <w:tc>
          <w:tcPr>
            <w:tcW w:w="1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December 31, 2023</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10,314 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483,527 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(25,732)</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(431,164)</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26,632 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restricted stock</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1"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1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dividend</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(4,258)</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1"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1941"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1941"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1941"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1941"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1941"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1941"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1941"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1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Shares withheld for taxes in connection with issuance of restricted stock </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1"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1941"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1941"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1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1"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1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comprehensive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(8,275)</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(8,275)</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1"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1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Series B Preferred stock repurchase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Senior Notes repurchase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7,862 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7,862 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1"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1941"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1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June 30, 2024</w:t>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10,815 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491,808 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(34,007)</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(427,183)</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30,619 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933"/>
        <w:gridCol w:w="518"/>
        <w:gridCol w:w="520"/>
        <w:gridCol w:w="323"/>
        <w:gridCol w:w="323"/>
        <w:gridCol w:w="171"/>
        <w:gridCol w:w="109"/>
        <w:gridCol w:w="109"/>
        <w:gridCol w:w="109"/>
        <w:gridCol w:w="205"/>
        <w:gridCol w:w="252"/>
        <w:gridCol w:w="113"/>
        <w:gridCol w:w="109"/>
        <w:gridCol w:w="109"/>
        <w:gridCol w:w="109"/>
        <w:gridCol w:w="109"/>
        <w:gridCol w:w="109"/>
        <w:gridCol w:w="109"/>
        <w:gridCol w:w="109"/>
        <w:gridCol w:w="218"/>
        <w:gridCol w:w="820"/>
        <w:gridCol w:w="121"/>
        <w:gridCol w:w="109"/>
        <w:gridCol w:w="109"/>
        <w:gridCol w:w="109"/>
        <w:gridCol w:w="265"/>
        <w:gridCol w:w="971"/>
        <w:gridCol w:w="147"/>
        <w:gridCol w:w="109"/>
        <w:gridCol w:w="109"/>
        <w:gridCol w:w="109"/>
        <w:gridCol w:w="200"/>
        <w:gridCol w:w="782"/>
        <w:gridCol w:w="111"/>
        <w:gridCol w:w="109"/>
        <w:gridCol w:w="109"/>
        <w:gridCol w:w="109"/>
        <w:gridCol w:w="223"/>
        <w:gridCol w:w="735"/>
        <w:gridCol w:w="183"/>
      </w:tblGrid>
      <w:tr>
        <w:trPr/>
        <w:tc>
          <w:tcPr>
            <w:tcW w:w="93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1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6"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2023</w:t>
            </w:r>
          </w:p>
        </w:tc>
        <w:tc>
          <w:tcPr>
            <w:tcW w:w="2888" w:type="dxa"/>
            <w:gridSpan w:val="12"/>
            <w:tcBorders/>
          </w:tcPr>
          <w:p>
            <w:pPr>
              <w:pStyle w:val="TableContents"/>
              <w:bidi w:val="0"/>
              <w:spacing w:before="0" w:after="283"/>
              <w:jc w:val="left"/>
              <w:rPr>
                <w:sz w:val="4"/>
                <w:szCs w:val="4"/>
              </w:rPr>
            </w:pPr>
            <w:r>
              <w:rPr>
                <w:sz w:val="4"/>
                <w:szCs w:val="4"/>
              </w:rPr>
            </w:r>
          </w:p>
        </w:tc>
      </w:tr>
      <w:tr>
        <w:trPr/>
        <w:tc>
          <w:tcPr>
            <w:tcW w:w="1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6"/>
            <w:tcBorders/>
          </w:tcPr>
          <w:p>
            <w:pPr>
              <w:pStyle w:val="TableContents"/>
              <w:bidi w:val="0"/>
              <w:spacing w:before="0" w:after="283"/>
              <w:jc w:val="left"/>
              <w:rPr>
                <w:sz w:val="4"/>
                <w:szCs w:val="4"/>
              </w:rPr>
            </w:pPr>
            <w:r>
              <w:rPr>
                <w:sz w:val="4"/>
                <w:szCs w:val="4"/>
              </w:rPr>
            </w:r>
          </w:p>
        </w:tc>
      </w:tr>
      <w:tr>
        <w:trPr/>
        <w:tc>
          <w:tcPr>
            <w:tcW w:w="1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Par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3"/>
              </w:rPr>
            </w:pPr>
            <w:r>
              <w:rPr>
                <w:rFonts w:ascii="Times New Roman;sans-serif" w:hAnsi="Times New Roman;sans-serif"/>
                <w:b/>
                <w:color w:val="000000"/>
                <w:sz w:val="13"/>
              </w:rPr>
              <w:t>Accumulated Other Comprehensive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 Stockholders' Equity</w:t>
            </w:r>
          </w:p>
        </w:tc>
      </w:tr>
      <w:tr>
        <w:trPr/>
        <w:tc>
          <w:tcPr>
            <w:tcW w:w="1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December 31, 2022</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10,137 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488,856 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(44,131)</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(376,629)</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68,097 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restricted stock</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1"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dividend</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(4,949)</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(4,949)</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1"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971"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971"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971"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971"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971"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Shares withheld for taxes in connection with issuance of restricted stock </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1"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971"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971"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(19,449)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(19,449)</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comprehensive income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1"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971"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971"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971"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971"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971"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971"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June 30, 2023</w:t>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10,433 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486,587 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(39,390)</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(396,050)</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51,148 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b41877c9f6b4423b83513f555592c74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SYNCHRONOSS TECHNOLOGIES,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CASH FLOWS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(In thousands)</w:t>
      </w:r>
    </w:p>
    <w:tbl>
      <w:tblPr>
        <w:tblW w:w="9659" w:type="dxa"/>
        <w:jc w:val="center"/>
        <w:tblInd w:w="0" w:type="dxa"/>
        <w:tblLayout w:type="fixed"/>
        <w:tblCellMar>
          <w:top w:w="28" w:type="dxa"/>
          <w:left w:w="28" w:type="dxa"/>
          <w:bottom w:w="28" w:type="dxa"/>
          <w:right w:w="28" w:type="dxa"/>
        </w:tblCellMar>
      </w:tblPr>
      <w:tblGrid>
        <w:gridCol w:w="2385"/>
        <w:gridCol w:w="2093"/>
        <w:gridCol w:w="2107"/>
        <w:gridCol w:w="109"/>
        <w:gridCol w:w="109"/>
        <w:gridCol w:w="109"/>
        <w:gridCol w:w="211"/>
        <w:gridCol w:w="721"/>
        <w:gridCol w:w="109"/>
        <w:gridCol w:w="109"/>
        <w:gridCol w:w="109"/>
        <w:gridCol w:w="109"/>
        <w:gridCol w:w="211"/>
        <w:gridCol w:w="796"/>
        <w:gridCol w:w="109"/>
        <w:gridCol w:w="109"/>
        <w:gridCol w:w="154"/>
      </w:tblGrid>
      <w:tr>
        <w:trPr/>
        <w:tc>
          <w:tcPr>
            <w:tcW w:w="2385" w:type="dxa"/>
            <w:tcBorders/>
            <w:vAlign w:val="center"/>
          </w:tcPr>
          <w:p>
            <w:pPr>
              <w:pStyle w:val="TableContents"/>
              <w:bidi w:val="0"/>
              <w:spacing w:before="0" w:after="283"/>
              <w:jc w:val="left"/>
              <w:rPr>
                <w:sz w:val="4"/>
                <w:szCs w:val="4"/>
              </w:rPr>
            </w:pPr>
            <w:r>
              <w:rPr>
                <w:sz w:val="4"/>
                <w:szCs w:val="4"/>
              </w:rPr>
            </w:r>
          </w:p>
        </w:tc>
        <w:tc>
          <w:tcPr>
            <w:tcW w:w="2093" w:type="dxa"/>
            <w:tcBorders/>
            <w:vAlign w:val="center"/>
          </w:tcPr>
          <w:p>
            <w:pPr>
              <w:pStyle w:val="TableContents"/>
              <w:bidi w:val="0"/>
              <w:spacing w:before="0" w:after="283"/>
              <w:jc w:val="left"/>
              <w:rPr>
                <w:sz w:val="4"/>
                <w:szCs w:val="4"/>
              </w:rPr>
            </w:pPr>
            <w:r>
              <w:rPr>
                <w:sz w:val="4"/>
                <w:szCs w:val="4"/>
              </w:rPr>
            </w:r>
          </w:p>
        </w:tc>
        <w:tc>
          <w:tcPr>
            <w:tcW w:w="21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6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from 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(loss) to net cash from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discount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Sublease receivable impairment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impairment,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before="0" w:after="0"/>
        <w:ind w:left="0" w:right="0" w:hanging="36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b41877c9f6b4423b83513f555592c74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hanging="360"/>
        <w:jc w:val="center"/>
        <w:rPr>
          <w:rFonts w:ascii="Times New Roman;sans-serif" w:hAnsi="Times New Roman;sans-serif"/>
          <w:b/>
          <w:color w:val="000000"/>
          <w:sz w:val="20"/>
        </w:rPr>
      </w:pPr>
      <w:r>
        <w:rPr>
          <w:rFonts w:ascii="Times New Roman;sans-serif" w:hAnsi="Times New Roman;sans-serif"/>
          <w:b/>
          <w:color w:val="000000"/>
          <w:sz w:val="20"/>
        </w:rPr>
        <w:t>SYNCHRONOSS TECHNOLOGIES,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CASH FLOWS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(In thousands) (Continued)</w:t>
      </w:r>
    </w:p>
    <w:p>
      <w:pPr>
        <w:pStyle w:val="TextBody"/>
        <w:bidi w:val="0"/>
        <w:spacing w:before="0" w:after="0"/>
        <w:ind w:left="0" w:right="0" w:hanging="360"/>
        <w:jc w:val="center"/>
        <w:rPr/>
      </w:pPr>
      <w:r>
        <w:rPr/>
      </w:r>
    </w:p>
    <w:tbl>
      <w:tblPr>
        <w:tblW w:w="8354" w:type="dxa"/>
        <w:jc w:val="center"/>
        <w:tblInd w:w="0" w:type="dxa"/>
        <w:tblLayout w:type="fixed"/>
        <w:tblCellMar>
          <w:top w:w="28" w:type="dxa"/>
          <w:left w:w="28" w:type="dxa"/>
          <w:bottom w:w="28" w:type="dxa"/>
          <w:right w:w="28" w:type="dxa"/>
        </w:tblCellMar>
      </w:tblPr>
      <w:tblGrid>
        <w:gridCol w:w="1938"/>
        <w:gridCol w:w="1703"/>
        <w:gridCol w:w="1714"/>
        <w:gridCol w:w="109"/>
        <w:gridCol w:w="109"/>
        <w:gridCol w:w="109"/>
        <w:gridCol w:w="211"/>
        <w:gridCol w:w="721"/>
        <w:gridCol w:w="109"/>
        <w:gridCol w:w="109"/>
        <w:gridCol w:w="109"/>
        <w:gridCol w:w="109"/>
        <w:gridCol w:w="211"/>
        <w:gridCol w:w="721"/>
        <w:gridCol w:w="109"/>
        <w:gridCol w:w="109"/>
        <w:gridCol w:w="154"/>
      </w:tblGrid>
      <w:tr>
        <w:trPr/>
        <w:tc>
          <w:tcPr>
            <w:tcW w:w="1938"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5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fixed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to capitalized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paid on withholding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issuance costs related to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long 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Senior Notes and related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Drawdown on A/R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A/R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B Preferred dividend paid in the form of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Series B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cash and cash equivalents of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cash and cash equivalents of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cash and cash equivalents of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cash and cash equivalents of 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lineRule="auto" w:line="288" w:before="0" w:after="0"/>
        <w:ind w:left="0" w:right="0" w:hanging="360"/>
        <w:jc w:val="center"/>
        <w:rPr>
          <w:rFonts w:ascii="Times New Roman;sans-serif" w:hAnsi="Times New Roman;sans-serif"/>
          <w:b w:val="false"/>
          <w:color w:val="000000"/>
          <w:sz w:val="18"/>
        </w:rPr>
      </w:pPr>
      <w:r>
        <w:rPr>
          <w:rFonts w:ascii="Times New Roman;sans-serif" w:hAnsi="Times New Roman;sans-serif"/>
          <w:b w:val="false"/>
          <w:color w:val="000000"/>
          <w:sz w:val="18"/>
        </w:rPr>
        <w:t>See accompanying notes to condensed consolidated financial statements.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b41877c9f6b4423b83513f555592c74c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SYNCHRONOSS TECHNOLOGIES,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tables in thousands, except for per share data or unless otherwise noted)</w:t>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Note 1. Description of Business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General</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Synchronoss Technologies, Inc. (“Synchronoss” or the “Company”) is a leading provider of white label cloud software and services that enable our customers to keep subscribers, systems, networks and content in sync.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Synchronoss Personal CloudTM solution is designed to create an engaging and trusted customer experience through ongoing content management and engagement. The Synchronoss Personal CloudTM platform is a secure and highly scalable, white label platform that allows our customers’ subscribers to backup and protect, engage with, and manage their personal content and gives our operator customers the ability to increase average revenue per user (“ARPU”) and reduce churn.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Synchronoss Personal CloudTM platform is specifically designed to support smartphones, tablets, desktops computers, and laptops.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Synchronoss’ Messaging platform (Owned and operated through October 31, 2023) had powered mobile messaging and mailboxes for hundreds of millions of telecommunication subscribers. Our Advanced Messaging platform had been a powerful, secure, intelligent, white label messaging platform that expanded capabilities for communications service provider and multi-service providers to offer P2P messaging via Rich Communications Services (“RCS”). Our Mobile Messaging Platform (“MMP”) provided a single standard ecosystem for onboarding and management to brands, advertisers and message wholesalers.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Synchronoss NetworkX (Owned and operated through October 31, 2023) products had provided operators with the tools and software to design their physical network, streamlined their infrastructure purchases, and managed and optimized comprehensive network expenses for leading top tier carriers around the globe.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On October 31, 2023, Synchronoss Technologies, Inc. entered into an Asset Purchase Agreement with Lumine Group Software Solutions (Ireland) Limited, pursuant to which the Company sold its Messaging and NetworkX businesses. This transaction represented a strategic shift designed to maximize shareholder value and allow the Company to solely focus on providing cloud-centric solutions. In connection with the sale transaction, the Company determined its Messaging and NetworkX Businesses qualified for discontinued operations accounting treatment in accordance with ASC 205-20. Accordingly, the operating results of, and costs to separate the Messaging and NetworkX businesses are reported in Net income (loss) from discontinued operations, before taxes in the Consolidated Statements of Operations for prior periods presented. There were no assets and liabilities related to discontinued operations as of June 30, 2024 and December 31, 2023, as all balances were transferred to Lumine Group upon sale. The notes to the financial statements have been adjusted on a retrospective basis. For additional information, see Note 4. Divestitures and Discontinued Operations</w:t>
      </w:r>
      <w:r>
        <w:rPr>
          <w:color w:val="000000"/>
        </w:rPr>
        <w:t xml:space="preserve"> </w:t>
      </w:r>
      <w:r>
        <w:rPr>
          <w:rFonts w:ascii="Times New Roman;sans-serif" w:hAnsi="Times New Roman;sans-serif"/>
          <w:b w:val="false"/>
          <w:color w:val="000000"/>
          <w:sz w:val="20"/>
        </w:rPr>
        <w:t>of the Notes to Consolidated Financial Statements in Item 1 of this Form 10-Q.</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color w:val="000000"/>
          <w:sz w:val="20"/>
        </w:rPr>
        <w:t>Note 2</w:t>
      </w:r>
      <w:r>
        <w:rPr>
          <w:rFonts w:ascii="Times New Roman;sans-serif" w:hAnsi="Times New Roman;sans-serif"/>
          <w:b/>
          <w:i/>
          <w:color w:val="000000"/>
          <w:sz w:val="20"/>
        </w:rPr>
        <w:t>.</w:t>
      </w:r>
      <w:r>
        <w:rPr>
          <w:color w:val="000000"/>
        </w:rPr>
        <w:t> </w:t>
      </w:r>
      <w:r>
        <w:rPr>
          <w:rFonts w:ascii="Times New Roman;sans-serif" w:hAnsi="Times New Roman;sans-serif"/>
          <w:b/>
          <w:color w:val="000000"/>
          <w:sz w:val="20"/>
        </w:rPr>
        <w:t xml:space="preserve">Basis of Presentation and Consolidation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Basis of Presentation and Consolidation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interim unaudited condensed consolidated financial statements have been prepared by Synchronoss and in the opinion of management, include all adjustments necessary for a fair presentation of the Company’s financial position, results of operations and cash flows for the interim periods. They do not include all of the information and footnotes required by U.S. generally accepted accounting principles (“GAAP”) for complete financial statements and should be read in conjunction with the Company’s audited consolidated financial statements and related notes included in the Company’s Annual Report on Form 10-K for the year ended December 31, 2023. The results of operations for the three and six months ended June 30, 2024 are not necessarily indicative of the results to be expected for the year ending December 31, 2024.</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condensed consolidated financial statements include the accounts of the Company, its wholly-owned subsidiaries and variable interest entities (“VIE”) in which the Company is the primary beneficiary and entities in which the Company has a controlling interest. Investments in less than majority-owned companies in which the Company does not have a controlling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b41877c9f6b4423b83513f555592c74c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SYNCHRONOSS TECHNOLOGIES,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tables in thousands, except for per share data or unless otherwise noted)</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but does have significant influence, are accounted for as equity method investments. Investments in less than majority-owned companies in which the Company does not have the ability to exert significant influence over the operating and financial policies of the investee are accounted for using the cost method. All material intercompany transactions and accounts are eliminated in consolidation. </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pPr>
      <w:r>
        <w:rPr>
          <w:rFonts w:ascii="Times New Roman;sans-serif" w:hAnsi="Times New Roman;sans-serif"/>
          <w:b w:val="false"/>
          <w:color w:val="000000"/>
          <w:sz w:val="20"/>
        </w:rPr>
        <w:t>Unless otherwise noted, tables are presented in U.S. dollars in thousands. Certain columns and rows may not add due to the use of rounded numbers. Percentages presented are calculated from the underlying numbers in thousands. Earnings per share amounts are computed independently for earnings from continuing operations, earnings from discontinued operations and net earnings. As a result, the sum of per-share amounts may not equal the total. We have reclassified certain prior year amounts to conform with current year presentation. Unless otherwise noted, all amounts and disclosures included in the Notes to Consolidated Financial Statements reflect only the Company's continuing operations except for the Consolidated Statements of Cash Flows, which are presented for the whole company for the six months ended June 30, 2023. For supplemental cash flow disclosures, see Note 4. Divestitures and Discontinued Operations</w:t>
      </w:r>
      <w:r>
        <w:rPr>
          <w:color w:val="000000"/>
        </w:rPr>
        <w:t xml:space="preserve"> </w:t>
      </w:r>
      <w:r>
        <w:rPr>
          <w:rFonts w:ascii="Times New Roman;sans-serif" w:hAnsi="Times New Roman;sans-serif"/>
          <w:b w:val="false"/>
          <w:color w:val="000000"/>
          <w:sz w:val="20"/>
        </w:rPr>
        <w:t>of the Notes to Consolidated Financial Statements in Item 1 of this Form 10-Q.</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pPr>
      <w:r>
        <w:rPr>
          <w:rFonts w:ascii="Times New Roman;sans-serif" w:hAnsi="Times New Roman;sans-serif"/>
          <w:b w:val="false"/>
          <w:color w:val="000000"/>
          <w:sz w:val="20"/>
        </w:rPr>
        <w:t xml:space="preserve">During the fourth quarter of 2023 there was a change in the capital structure due to a reverse stock split, which decreased the number of common shares outstanding. The Company retroactively displayed the effect of the change in the Consolidated Balance Sheets, and retroactively adjusted the computations of basic and diluted Earnings Per Share (“EPS”) for all periods presented on the Consolidated Statement of Operations. For additional information, see </w:t>
      </w:r>
      <w:r>
        <w:rPr>
          <w:rFonts w:ascii="Times New Roman;sans-serif" w:hAnsi="Times New Roman;sans-serif"/>
          <w:b w:val="false"/>
          <w:color w:val="000000"/>
          <w:sz w:val="20"/>
          <w:shd w:fill="FFFFFF" w:val="clear"/>
        </w:rPr>
        <w:t>Note 11. Capital Structure</w:t>
      </w:r>
      <w:r>
        <w:rPr>
          <w:color w:val="000000"/>
          <w:shd w:fill="FFFFFF" w:val="clear"/>
        </w:rPr>
        <w:t xml:space="preserve"> </w:t>
      </w:r>
      <w:r>
        <w:rPr>
          <w:rFonts w:ascii="Times New Roman;sans-serif" w:hAnsi="Times New Roman;sans-serif"/>
          <w:b w:val="false"/>
          <w:color w:val="000000"/>
          <w:sz w:val="20"/>
        </w:rPr>
        <w:t>of the Notes to Consolidated Financial Statements in Item 1 of this Form 10-Q.</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further information about the Company’s basis of presentation and consolidation or its significant accounting policies, refer to the consolidated financial statements and footnotes thereto included in the Company’s Annual Report on Form 10-K for the year ended December 31, 2023.</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b41877c9f6b4423b83513f555592c74c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SYNCHRONOSS TECHNOLOGIES,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tables in thousands, except for per share data or unless otherwise noted)</w:t>
      </w:r>
    </w:p>
    <w:p>
      <w:pPr>
        <w:pStyle w:val="TextBody"/>
        <w:bidi w:val="0"/>
        <w:spacing w:before="0" w:after="0"/>
        <w:jc w:val="center"/>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Recently Issued Accounting Standards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Standards issued not yet adopted</w:t>
      </w:r>
    </w:p>
    <w:tbl>
      <w:tblPr>
        <w:tblW w:w="10205" w:type="dxa"/>
        <w:jc w:val="center"/>
        <w:tblInd w:w="0" w:type="dxa"/>
        <w:tblLayout w:type="fixed"/>
        <w:tblCellMar>
          <w:top w:w="28" w:type="dxa"/>
          <w:left w:w="28" w:type="dxa"/>
          <w:bottom w:w="28" w:type="dxa"/>
          <w:right w:w="28" w:type="dxa"/>
        </w:tblCellMar>
      </w:tblPr>
      <w:tblGrid>
        <w:gridCol w:w="755"/>
        <w:gridCol w:w="666"/>
        <w:gridCol w:w="670"/>
        <w:gridCol w:w="109"/>
        <w:gridCol w:w="109"/>
        <w:gridCol w:w="109"/>
        <w:gridCol w:w="1694"/>
        <w:gridCol w:w="1681"/>
        <w:gridCol w:w="1699"/>
        <w:gridCol w:w="109"/>
        <w:gridCol w:w="109"/>
        <w:gridCol w:w="109"/>
        <w:gridCol w:w="715"/>
        <w:gridCol w:w="688"/>
        <w:gridCol w:w="983"/>
      </w:tblGrid>
      <w:tr>
        <w:trPr/>
        <w:tc>
          <w:tcPr>
            <w:tcW w:w="755"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r>
      <w:tr>
        <w:trPr/>
        <w:tc>
          <w:tcPr>
            <w:tcW w:w="2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Standard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Description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on the financial statements</w:t>
            </w:r>
          </w:p>
        </w:tc>
      </w:tr>
      <w:tr>
        <w:trPr/>
        <w:tc>
          <w:tcPr>
            <w:tcW w:w="2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Update 2024-01 - Compensation—Stock Compensation</w:t>
              <w:br/>
              <w:t>(Topic 718) - Scope Application of Profits Interest and Similar Awards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The amendments in this Update related to the scope application issue apply to all reporting entities that account for profits interest awards as compensation to employees or nonemployees in return for goods or services. This Update provides specific examples to help stakeholders to determine whether a profits interest award should be accounted for as a share-based payment arrangement (Topic 718) or similar to a cash bonus or profit-sharing arrangement (Topic 710, Compensation—General, or other Topics).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The Company continues to evaluate these changes and does not anticipate any material impact on the Company’s consolidated financial position or results of operations upon adoption.</w:t>
            </w:r>
          </w:p>
        </w:tc>
      </w:tr>
      <w:tr>
        <w:trPr/>
        <w:tc>
          <w:tcPr>
            <w:tcW w:w="20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Planned date of adoption: January 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Update 2023-09 - Income Taxes (Topic 740) - Improvements to Income Tax Disclosures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The amendments in this Update related to the rate reconciliation and income taxes paid disclosures improve the transparency of income tax disclosures by requiring (1) consistent categories and greater disaggregation of information in the rate reconciliation and (2) income taxes paid disaggregated by jurisdiction.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The Company continues to evaluate these changes and does not anticipate any material impact on the Company’s consolidated financial position or results of operations upon adoption.</w:t>
            </w:r>
          </w:p>
        </w:tc>
      </w:tr>
      <w:tr>
        <w:trPr/>
        <w:tc>
          <w:tcPr>
            <w:tcW w:w="20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Planned date of adoption: January 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Update 2023-07 - Segment Reporting (Topic 280) - Improvements to Reportable Segment Disclosures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The amendments in this Update improve reportable segment disclosure requirements, primarily through enhanced disclosures about significant segment expenses. The amendments in this Update Requires that a public entity that has a single reportable segment provide all the disclosures required by the amendments in this Update and all existing segment disclosures in Topic 280.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The Company continues to evaluate these changes and does not anticipate any material impact on the Company’s consolidated financial position or results of operations upon adoption.</w:t>
            </w:r>
          </w:p>
        </w:tc>
      </w:tr>
      <w:tr>
        <w:trPr/>
        <w:tc>
          <w:tcPr>
            <w:tcW w:w="20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Planned date of adoption: January 1, 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07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8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firstLine="3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Note 3. Revenue </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Disaggregation of revenue</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disaggregates revenue from contracts with customers into the nature of the products and services and geographical regions. The Company’s geographic regions are the Americas, Europe, the Middle East and Africa (“EMEA”), and Asia Pacific (“APAC”). The majority of the Company’s revenue is from the technology, media, and telecom (“TMT”) sector.</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b41877c9f6b4423b83513f555592c74c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SYNCHRONOSS TECHNOLOGIES,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tables in thousands, except for per share data or unless otherwise noted)</w:t>
      </w:r>
    </w:p>
    <w:p>
      <w:pPr>
        <w:pStyle w:val="TextBody"/>
        <w:bidi w:val="0"/>
        <w:spacing w:before="0" w:after="0"/>
        <w:jc w:val="center"/>
        <w:rPr/>
      </w:pPr>
      <w:r>
        <w:rPr/>
      </w:r>
    </w:p>
    <w:tbl>
      <w:tblPr>
        <w:tblW w:w="11258" w:type="dxa"/>
        <w:jc w:val="left"/>
        <w:tblInd w:w="0" w:type="dxa"/>
        <w:tblLayout w:type="fixed"/>
        <w:tblCellMar>
          <w:top w:w="28" w:type="dxa"/>
          <w:left w:w="28" w:type="dxa"/>
          <w:bottom w:w="28" w:type="dxa"/>
          <w:right w:w="28" w:type="dxa"/>
        </w:tblCellMar>
      </w:tblPr>
      <w:tblGrid>
        <w:gridCol w:w="479"/>
        <w:gridCol w:w="351"/>
        <w:gridCol w:w="326"/>
        <w:gridCol w:w="211"/>
        <w:gridCol w:w="721"/>
        <w:gridCol w:w="109"/>
        <w:gridCol w:w="109"/>
        <w:gridCol w:w="109"/>
        <w:gridCol w:w="109"/>
        <w:gridCol w:w="248"/>
        <w:gridCol w:w="478"/>
        <w:gridCol w:w="130"/>
        <w:gridCol w:w="109"/>
        <w:gridCol w:w="109"/>
        <w:gridCol w:w="109"/>
        <w:gridCol w:w="266"/>
        <w:gridCol w:w="512"/>
        <w:gridCol w:w="138"/>
        <w:gridCol w:w="109"/>
        <w:gridCol w:w="109"/>
        <w:gridCol w:w="109"/>
        <w:gridCol w:w="211"/>
        <w:gridCol w:w="721"/>
        <w:gridCol w:w="109"/>
        <w:gridCol w:w="109"/>
        <w:gridCol w:w="109"/>
        <w:gridCol w:w="109"/>
        <w:gridCol w:w="211"/>
        <w:gridCol w:w="721"/>
        <w:gridCol w:w="109"/>
        <w:gridCol w:w="109"/>
        <w:gridCol w:w="109"/>
        <w:gridCol w:w="109"/>
        <w:gridCol w:w="245"/>
        <w:gridCol w:w="543"/>
        <w:gridCol w:w="128"/>
        <w:gridCol w:w="109"/>
        <w:gridCol w:w="109"/>
        <w:gridCol w:w="109"/>
        <w:gridCol w:w="245"/>
        <w:gridCol w:w="543"/>
        <w:gridCol w:w="128"/>
        <w:gridCol w:w="109"/>
        <w:gridCol w:w="109"/>
        <w:gridCol w:w="109"/>
        <w:gridCol w:w="211"/>
        <w:gridCol w:w="721"/>
        <w:gridCol w:w="154"/>
      </w:tblGrid>
      <w:tr>
        <w:trPr/>
        <w:tc>
          <w:tcPr>
            <w:tcW w:w="47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 2023</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Cloud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NetworkX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Messaging</w:t>
            </w:r>
            <w:r>
              <w:rPr>
                <w:rFonts w:ascii="Times New Roman;sans-serif" w:hAnsi="Times New Roman;sans-serif"/>
                <w:b/>
                <w:color w:val="000000"/>
                <w:sz w:val="10"/>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Cloud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NetworkX</w:t>
            </w:r>
            <w:r>
              <w:rPr>
                <w:rFonts w:ascii="Times New Roman;sans-serif" w:hAnsi="Times New Roman;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Messaging</w:t>
            </w:r>
            <w:r>
              <w:rPr>
                <w:rFonts w:ascii="Times New Roman;sans-serif" w:hAnsi="Times New Roman;sans-serif"/>
                <w:b/>
                <w:color w:val="000000"/>
                <w:sz w:val="10"/>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Geography:</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APAC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Line: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Services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41,019 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1258" w:type="dxa"/>
        <w:jc w:val="left"/>
        <w:tblInd w:w="0" w:type="dxa"/>
        <w:tblLayout w:type="fixed"/>
        <w:tblCellMar>
          <w:top w:w="28" w:type="dxa"/>
          <w:left w:w="28" w:type="dxa"/>
          <w:bottom w:w="28" w:type="dxa"/>
          <w:right w:w="28" w:type="dxa"/>
        </w:tblCellMar>
      </w:tblPr>
      <w:tblGrid>
        <w:gridCol w:w="479"/>
        <w:gridCol w:w="351"/>
        <w:gridCol w:w="326"/>
        <w:gridCol w:w="211"/>
        <w:gridCol w:w="721"/>
        <w:gridCol w:w="109"/>
        <w:gridCol w:w="109"/>
        <w:gridCol w:w="109"/>
        <w:gridCol w:w="109"/>
        <w:gridCol w:w="248"/>
        <w:gridCol w:w="478"/>
        <w:gridCol w:w="130"/>
        <w:gridCol w:w="109"/>
        <w:gridCol w:w="109"/>
        <w:gridCol w:w="109"/>
        <w:gridCol w:w="245"/>
        <w:gridCol w:w="543"/>
        <w:gridCol w:w="128"/>
        <w:gridCol w:w="109"/>
        <w:gridCol w:w="109"/>
        <w:gridCol w:w="109"/>
        <w:gridCol w:w="211"/>
        <w:gridCol w:w="721"/>
        <w:gridCol w:w="109"/>
        <w:gridCol w:w="109"/>
        <w:gridCol w:w="109"/>
        <w:gridCol w:w="109"/>
        <w:gridCol w:w="211"/>
        <w:gridCol w:w="721"/>
        <w:gridCol w:w="109"/>
        <w:gridCol w:w="109"/>
        <w:gridCol w:w="109"/>
        <w:gridCol w:w="109"/>
        <w:gridCol w:w="245"/>
        <w:gridCol w:w="543"/>
        <w:gridCol w:w="128"/>
        <w:gridCol w:w="109"/>
        <w:gridCol w:w="109"/>
        <w:gridCol w:w="109"/>
        <w:gridCol w:w="245"/>
        <w:gridCol w:w="543"/>
        <w:gridCol w:w="128"/>
        <w:gridCol w:w="109"/>
        <w:gridCol w:w="109"/>
        <w:gridCol w:w="109"/>
        <w:gridCol w:w="211"/>
        <w:gridCol w:w="721"/>
        <w:gridCol w:w="154"/>
      </w:tblGrid>
      <w:tr>
        <w:trPr/>
        <w:tc>
          <w:tcPr>
            <w:tcW w:w="47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 2023</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Cloud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NetworkX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Messaging</w:t>
            </w:r>
            <w:r>
              <w:rPr>
                <w:rFonts w:ascii="Times New Roman;sans-serif" w:hAnsi="Times New Roman;sans-serif"/>
                <w:b/>
                <w:color w:val="000000"/>
                <w:sz w:val="10"/>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Cloud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NetworkX</w:t>
            </w:r>
            <w:r>
              <w:rPr>
                <w:rFonts w:ascii="Times New Roman;sans-serif" w:hAnsi="Times New Roman;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Messaging</w:t>
            </w:r>
            <w:r>
              <w:rPr>
                <w:rFonts w:ascii="Times New Roman;sans-serif" w:hAnsi="Times New Roman;sans-serif"/>
                <w:b/>
                <w:color w:val="000000"/>
                <w:sz w:val="10"/>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Geography:</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APAC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Line: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Services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83,004 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w:t>
      </w:r>
    </w:p>
    <w:p>
      <w:pPr>
        <w:pStyle w:val="TextBody"/>
        <w:bidi w:val="0"/>
        <w:spacing w:lineRule="auto" w:line="288" w:before="0" w:after="0"/>
        <w:ind w:left="0" w:right="0" w:hanging="360"/>
        <w:jc w:val="both"/>
        <w:rPr/>
      </w:pPr>
      <w:r>
        <w:rPr>
          <w:rFonts w:ascii="Times New Roman;sans-serif" w:hAnsi="Times New Roman;sans-serif"/>
          <w:b w:val="false"/>
          <w:color w:val="000000"/>
          <w:sz w:val="12"/>
        </w:rPr>
        <w:t>1</w:t>
      </w:r>
      <w:r>
        <w:rPr>
          <w:color w:val="000000"/>
        </w:rPr>
        <w:t>    </w:t>
      </w:r>
      <w:r>
        <w:rPr>
          <w:rFonts w:ascii="Times New Roman;sans-serif" w:hAnsi="Times New Roman;sans-serif"/>
          <w:b w:val="false"/>
          <w:color w:val="000000"/>
          <w:sz w:val="18"/>
        </w:rPr>
        <w:t>Includes revenue recognized in prior periods associated with residual NetworkX contracts not included in the Asset Purchase Agreement with Lumine Group.</w:t>
      </w:r>
    </w:p>
    <w:p>
      <w:pPr>
        <w:pStyle w:val="TextBody"/>
        <w:bidi w:val="0"/>
        <w:spacing w:lineRule="auto" w:line="288" w:before="0" w:after="0"/>
        <w:ind w:left="0" w:right="0" w:hanging="360"/>
        <w:jc w:val="both"/>
        <w:rPr/>
      </w:pPr>
      <w:r>
        <w:rPr>
          <w:rFonts w:ascii="Times New Roman;sans-serif" w:hAnsi="Times New Roman;sans-serif"/>
          <w:b w:val="false"/>
          <w:color w:val="000000"/>
          <w:sz w:val="12"/>
        </w:rPr>
        <w:t>2</w:t>
      </w:r>
      <w:r>
        <w:rPr>
          <w:color w:val="000000"/>
        </w:rPr>
        <w:t>    </w:t>
      </w:r>
      <w:r>
        <w:rPr>
          <w:rFonts w:ascii="Times New Roman;sans-serif" w:hAnsi="Times New Roman;sans-serif"/>
          <w:b w:val="false"/>
          <w:color w:val="000000"/>
          <w:sz w:val="18"/>
        </w:rPr>
        <w:t>Includes revenue recognized in the current and prior periods associated with residual Messaging contracts not included in the Asset Purchase Agreement with Lumine Group.</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ans-serif" w:hAnsi="Times New Roman;sans-serif"/>
          <w:b/>
          <w:i/>
          <w:color w:val="000000"/>
          <w:sz w:val="20"/>
        </w:rPr>
      </w:pPr>
      <w:r>
        <w:rPr>
          <w:rFonts w:ascii="Times New Roman;sans-serif" w:hAnsi="Times New Roman;sans-serif"/>
          <w:b/>
          <w:i/>
          <w:color w:val="000000"/>
          <w:sz w:val="20"/>
        </w:rPr>
        <w:t>Trade Accounts Receivable and Contract balances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classifies its right to consideration in exchange for deliverables as either a receivable or a contract asset. A receivable is a right to consideration that is unconditional (i.e. only the passage of time is required before payment is due). For example, the Company recognizes a receivable for revenues related to its time and materials and transaction or volume-based contracts. The Company presents such receivables in Accounts receivable, net in its Consolidated Balance Sheets at their net estimated realizable value. The Company maintains an allowance for credit losses to provide for the estimated amount of receivables that may not be collected. The allowance is based upon an assessment of customer creditworthiness, historical payment experience, the age of outstanding receivables and other applicable factors.</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b41877c9f6b4423b83513f555592c74c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SYNCHRONOSS TECHNOLOGIES,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tables in thousands, except for per share data or unless otherwise noted)</w:t>
      </w:r>
    </w:p>
    <w:p>
      <w:pPr>
        <w:pStyle w:val="TextBody"/>
        <w:bidi w:val="0"/>
        <w:spacing w:before="0" w:after="0"/>
        <w:jc w:val="center"/>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A contract asset is a right to consideration that is conditional upon factors other than the passage of time. For example, the Company would record a contract asset if it records revenue on a professional services engagement but are not entitled to bill until the Company achieves specified milestones. Contract asset balance was $0.1 million and $1.2 million as of June 30, 2024 and December 31, 2023, respectively.</w:t>
      </w:r>
      <w:r>
        <w:rPr>
          <w:color w:val="000000"/>
          <w:shd w:fill="FFFFFF" w:val="clear"/>
        </w:rPr>
        <w:t xml:space="preserv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Amounts collected in advance of services being provided are accounted for as contract liabilities, which are presented as Deferred revenue, current on the accompanying Consolidated Balance Sheets and are realized with the associated revenue recognized under the contract. Nearly all of the Company's contract liabilities balance is related to services revenue, primarily subscription services contracts.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contract assets and liabilities are reported in a net position on a customer basis at the end of each reporting period.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Significant changes in the contract liabilities balance (current and non-current) during the period are as follows: </w:t>
      </w:r>
    </w:p>
    <w:tbl>
      <w:tblPr>
        <w:tblW w:w="6558" w:type="dxa"/>
        <w:jc w:val="left"/>
        <w:tblInd w:w="0" w:type="dxa"/>
        <w:tblLayout w:type="fixed"/>
        <w:tblCellMar>
          <w:top w:w="28" w:type="dxa"/>
          <w:left w:w="28" w:type="dxa"/>
          <w:bottom w:w="28" w:type="dxa"/>
          <w:right w:w="28" w:type="dxa"/>
        </w:tblCellMar>
      </w:tblPr>
      <w:tblGrid>
        <w:gridCol w:w="1650"/>
        <w:gridCol w:w="1450"/>
        <w:gridCol w:w="1459"/>
        <w:gridCol w:w="109"/>
        <w:gridCol w:w="405"/>
        <w:gridCol w:w="1187"/>
        <w:gridCol w:w="298"/>
      </w:tblGrid>
      <w:tr>
        <w:trPr/>
        <w:tc>
          <w:tcPr>
            <w:tcW w:w="1650"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Contract Liabilities</w:t>
            </w:r>
            <w:r>
              <w:rPr>
                <w:rFonts w:ascii="Times New Roman;sans-serif" w:hAnsi="Times New Roman;sans-serif"/>
                <w:b/>
                <w:color w:val="000000"/>
                <w:sz w:val="13"/>
              </w:rPr>
              <w:t>1</w:t>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recognized in the period</w:t>
            </w:r>
          </w:p>
        </w:tc>
        <w:tc>
          <w:tcPr>
            <w:tcW w:w="109" w:type="dxa"/>
            <w:tcBorders/>
            <w:vAlign w:val="center"/>
          </w:tcPr>
          <w:p>
            <w:pPr>
              <w:pStyle w:val="TableContents"/>
              <w:bidi w:val="0"/>
              <w:spacing w:before="0" w:after="283"/>
              <w:jc w:val="left"/>
              <w:rPr>
                <w:sz w:val="4"/>
                <w:szCs w:val="4"/>
              </w:rPr>
            </w:pPr>
            <w:r>
              <w:rPr>
                <w:sz w:val="4"/>
                <w:szCs w:val="4"/>
              </w:rPr>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(86,353)</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billed but not initially recognized as revenue</w:t>
            </w:r>
          </w:p>
        </w:tc>
        <w:tc>
          <w:tcPr>
            <w:tcW w:w="109" w:type="dxa"/>
            <w:tcBorders/>
            <w:vAlign w:val="center"/>
          </w:tcPr>
          <w:p>
            <w:pPr>
              <w:pStyle w:val="TableContents"/>
              <w:bidi w:val="0"/>
              <w:spacing w:before="0" w:after="283"/>
              <w:jc w:val="left"/>
              <w:rPr>
                <w:sz w:val="4"/>
                <w:szCs w:val="4"/>
              </w:rPr>
            </w:pPr>
            <w:r>
              <w:rPr>
                <w:sz w:val="4"/>
                <w:szCs w:val="4"/>
              </w:rPr>
            </w:r>
          </w:p>
        </w:tc>
        <w:tc>
          <w:tcPr>
            <w:tcW w:w="1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86,317 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r>
      <w:tr>
        <w:trPr/>
        <w:tc>
          <w:tcPr>
            <w:tcW w:w="45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June 30, 2024</w:t>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1,059 </w:t>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________________________________</w:t>
      </w:r>
    </w:p>
    <w:p>
      <w:pPr>
        <w:pStyle w:val="TextBody"/>
        <w:bidi w:val="0"/>
        <w:spacing w:lineRule="auto" w:line="288" w:before="0" w:after="0"/>
        <w:ind w:left="0" w:right="0" w:hanging="360"/>
        <w:jc w:val="both"/>
        <w:rPr/>
      </w:pPr>
      <w:r>
        <w:rPr>
          <w:rFonts w:ascii="Times New Roman;sans-serif" w:hAnsi="Times New Roman;sans-serif"/>
          <w:b w:val="false"/>
          <w:color w:val="000000"/>
          <w:sz w:val="12"/>
        </w:rPr>
        <w:t>1</w:t>
      </w:r>
      <w:r>
        <w:rPr>
          <w:color w:val="000000"/>
        </w:rPr>
        <w:t>    </w:t>
      </w:r>
      <w:r>
        <w:rPr>
          <w:rFonts w:ascii="Times New Roman;sans-serif" w:hAnsi="Times New Roman;sans-serif"/>
          <w:b w:val="false"/>
          <w:color w:val="000000"/>
          <w:sz w:val="18"/>
        </w:rPr>
        <w:t>Comprised of Deferred Revenue. $1.0 million of revenue recognized in the period was included in the contract liability balance at the beginning of the period.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Transaction price allocated to the remaining performance obligations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Topic 606 requires that the Company disclose the aggregate amount of transaction price that is allocated to performance obligations that have not yet been satisfied as of June 30, 2024. The Company has elected not to disclose transaction price allocated to remaining performance obligations for:</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1.Contracts with an original duration of one year or less, including contracts that can be terminated for convenience without a substantive penalty;</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2.Contracts for which the Company recognizes revenues based on the right to invoice for services performed;</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3.Variable consideration allocated entirely to a wholly unsatisfied performance obligation or to a wholly unsatisfied promise to transfer a distinct good or service that forms part of a single performance obligation in accordance with Topic 606 Section 10-25-14(b), for which the criteria in Topic 606 Section 10-32-40 have been met. This applies to a limited number of situations where the Company is dependent upon data from a third party or where fees are highly variable.</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Many of the Company’s performance obligations meet one or more of these exemptions. Specifically, the Company has excluded the following from the Company’s remaining performance obligations, all of which will be resolved in the period in which amounts are known: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color w:val="000000"/>
        </w:rPr>
        <w:t>•</w:t>
      </w:r>
      <w:r>
        <w:rPr>
          <w:rFonts w:ascii="Times New Roman;sans-serif" w:hAnsi="Times New Roman;sans-serif"/>
          <w:b w:val="false"/>
          <w:color w:val="000000"/>
          <w:sz w:val="20"/>
        </w:rPr>
        <w:t>consideration for future transactions, above any contractual minimums</w:t>
      </w:r>
    </w:p>
    <w:p>
      <w:pPr>
        <w:pStyle w:val="TextBody"/>
        <w:bidi w:val="0"/>
        <w:spacing w:lineRule="auto" w:line="288" w:before="0" w:after="0"/>
        <w:ind w:left="0" w:right="0" w:firstLine="360"/>
        <w:jc w:val="both"/>
        <w:rPr/>
      </w:pPr>
      <w:r>
        <w:rPr>
          <w:color w:val="000000"/>
        </w:rPr>
        <w:t>•</w:t>
      </w:r>
      <w:r>
        <w:rPr>
          <w:rFonts w:ascii="Times New Roman;sans-serif" w:hAnsi="Times New Roman;sans-serif"/>
          <w:b w:val="false"/>
          <w:color w:val="000000"/>
          <w:sz w:val="20"/>
        </w:rPr>
        <w:t>consideration for success-based transactions contingent on third party data</w:t>
      </w:r>
    </w:p>
    <w:p>
      <w:pPr>
        <w:pStyle w:val="TextBody"/>
        <w:bidi w:val="0"/>
        <w:spacing w:lineRule="auto" w:line="288" w:before="0" w:after="0"/>
        <w:ind w:left="0" w:right="0" w:firstLine="360"/>
        <w:jc w:val="both"/>
        <w:rPr/>
      </w:pPr>
      <w:r>
        <w:rPr>
          <w:color w:val="000000"/>
        </w:rPr>
        <w:t>•</w:t>
      </w:r>
      <w:r>
        <w:rPr>
          <w:rFonts w:ascii="Times New Roman;sans-serif" w:hAnsi="Times New Roman;sans-serif"/>
          <w:b w:val="false"/>
          <w:color w:val="000000"/>
          <w:sz w:val="20"/>
        </w:rPr>
        <w:t>credits for failure to meet future service level requirements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2024, the aggregate amount of transaction price allocated to remaining performance obligations, other than those meeting the exclusion criteria above, was $197.6 million, of which approximately 66.6% is expected to be recognized as revenues within 2 years, and the remainder thereafter. </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b41877c9f6b4423b83513f555592c74c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SYNCHRONOSS TECHNOLOGIES,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tables in thousands, except for per share data or unless otherwise noted)</w:t>
      </w:r>
    </w:p>
    <w:p>
      <w:pPr>
        <w:pStyle w:val="TextBody"/>
        <w:bidi w:val="0"/>
        <w:spacing w:before="0" w:after="0"/>
        <w:jc w:val="center"/>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Estimates of revenue expected to be recognized in future periods also exclude unexercised customer options to purchase services that do not represent material rights to the customer. Customer options that do not represent a material right are only accounted for in accordance with Topic 606 when the customer exercises its option to purchase additional goods or services.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Note 4. Divestitures and Discontinued Operations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Discontinued Operations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Messaging and NetworkX Businesses Sale</w:t>
      </w:r>
    </w:p>
    <w:p>
      <w:pPr>
        <w:pStyle w:val="TextBody"/>
        <w:bidi w:val="0"/>
        <w:spacing w:before="0" w:after="0"/>
        <w:jc w:val="both"/>
        <w:rPr/>
      </w:pPr>
      <w:r>
        <w:rPr/>
      </w:r>
    </w:p>
    <w:p>
      <w:pPr>
        <w:pStyle w:val="TextBody"/>
        <w:bidi w:val="0"/>
        <w:spacing w:lineRule="auto" w:line="27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31, 2023 (the “Lumine Closing Date”), Synchronoss Technologies, Inc. and certain of its affiliated entities (such entities, together with the Company, the “Company Group”) entered into an Asset Purchase Agreement (the “Agreement”) with Lumine Group Software Solutions (Ireland) Limited, a private limited company incorporated under the laws of Ireland, Lumine Group UK Holdco Ltd, Incognito Software Systems Inc., Lumine Group US Holdco, Inc., Lumine Group Australia Holdco Pty Ltd, Openwave Messaging (Ireland) Limited, Razersight Software Solutions Ireland Limited, Spatial Software Solutions Ireland Limited, Razorsight Software Solutions US Inc., and Openwave Messaging US Inc. (such entities, the “Buyer”), pursuant to which the Company Group sold its Messaging and NetworkX businesses (the “Messaging and NetworkX Businesses”) to Buyer (the “Transaction”) for a total purchase price of up to $41,800,000 (the “Purchase Price”), and Buyer assumed certain liabilities of the Messaging and Digital Businesses. Lumine Group Inc., the parent entity of Lumine Group Software Solutions (Ireland) Limited, guaranteed certain obligations of Buyer under the Agreement pursuant to a separate Limited Guaranty, by and between Lumine Group Inc. and the Company, dated as of the date of the Agreement. The Purchase Price, which is subject to set-off rights in certain circumstances and certain adjustments, is payable as follows: (i) $31,300,000 (as adjusted) was paid in cash to the Company on the Lumine Closing Date, (ii) an additional $7,200,000 was deposited by Buyer into an escrow account on the Lumine Closing Date (which amount will remain in escrow until reconciliation of a net tangible asset adjustment), with any amounts in such escrow account to be released from escrow to either Buyer or the Company, based on whether such reconciliation indicates a deficit or a surplus in net tangible assets relative to a negotiated target amount, following such reconciliation process, which could take in excess of 150 days following the Lumine Closing Date for the initial portion of the net tangible asset reconciliation and 300 days or more following the Lumine Closing Date for reconciliation of certain specified assets to be completed, (iii) an additional $300,000 in cash (which amount was not deposited into an escrow account) may become payable to the Company in accordance with the terms of the Agreement in the event that the voluntary disclosure process with respect to certain sales tax matters related to the Messaging and NetworkX Businesses are resolved by the Company within 9 months following the Lumine Closing Date, and (iv) an additional amount of up to $3,000,000 in cash (which amount was not deposited into an escrow account) may become payable to the Company as an earn-out based on the achievement of specified gross revenue targets for the Messaging and NetworkX Businesses in fiscal year 2023. Pursuant to the Certificate of Designations of the Series B Perpetual Non-Convertible Preferred Stock, on November 3, 2023 the Company redeemed 9,874 shares of its outstanding Series B Preferred Stock by using $10,000,000 of the Purchase Price, of which $9.9 million was related to principal and $0.1 million was related to accrued dividends.</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transaction represents a strategic shift designed to maximize shareholder value and allow the Company to solely focus on providing cloud-centric solutions. In connection with the sale transaction, the Company determined its Messaging and NetworkX Businesses qualified for discontinued operations accounting treatment in accordance with ASC 205-20. During the fourth quarter of 2023 the Company allocated $28.6 million goodwill to the transaction using level 3 estimates, and recognized a loss on divestiture of $16.4 million reported in Loss on divestiture in the Consolidated Statements of Operations. The Company received $31.3 million in cash proceeds from the sale of Messaging and NetworkX, which was offset by $0.4 million of assumed transaction expenses and $7.2 million of operating cash on the divested entities. Total consideration for the sale also included $1.5 million of estimated deferred consideration, in addition to the cash received in the fourth quarter of 2023.</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b41877c9f6b4423b83513f555592c74c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SYNCHRONOSS TECHNOLOGIES,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tables in thousands, except for per share data or unless otherwise noted)</w:t>
      </w:r>
    </w:p>
    <w:p>
      <w:pPr>
        <w:pStyle w:val="TextBody"/>
        <w:bidi w:val="0"/>
        <w:spacing w:before="0" w:after="0"/>
        <w:jc w:val="center"/>
        <w:rPr/>
      </w:pPr>
      <w:r>
        <w:rPr/>
      </w:r>
    </w:p>
    <w:p>
      <w:pPr>
        <w:pStyle w:val="TextBody"/>
        <w:bidi w:val="0"/>
        <w:spacing w:lineRule="auto" w:line="27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details of net income (loss) from discontinued operations for the three and six months ended June 30, 2024 and 2023, respectively, related to Messaging and NetworkX Businesses sale.</w:t>
      </w:r>
    </w:p>
    <w:tbl>
      <w:tblPr>
        <w:tblW w:w="9177" w:type="dxa"/>
        <w:jc w:val="center"/>
        <w:tblInd w:w="0" w:type="dxa"/>
        <w:tblLayout w:type="fixed"/>
        <w:tblCellMar>
          <w:top w:w="28" w:type="dxa"/>
          <w:left w:w="28" w:type="dxa"/>
          <w:bottom w:w="28" w:type="dxa"/>
          <w:right w:w="28" w:type="dxa"/>
        </w:tblCellMar>
      </w:tblPr>
      <w:tblGrid>
        <w:gridCol w:w="1296"/>
        <w:gridCol w:w="1142"/>
        <w:gridCol w:w="1147"/>
        <w:gridCol w:w="109"/>
        <w:gridCol w:w="109"/>
        <w:gridCol w:w="109"/>
        <w:gridCol w:w="246"/>
        <w:gridCol w:w="474"/>
        <w:gridCol w:w="127"/>
        <w:gridCol w:w="127"/>
        <w:gridCol w:w="127"/>
        <w:gridCol w:w="127"/>
        <w:gridCol w:w="246"/>
        <w:gridCol w:w="842"/>
        <w:gridCol w:w="127"/>
        <w:gridCol w:w="109"/>
        <w:gridCol w:w="109"/>
        <w:gridCol w:w="109"/>
        <w:gridCol w:w="225"/>
        <w:gridCol w:w="433"/>
        <w:gridCol w:w="116"/>
        <w:gridCol w:w="116"/>
        <w:gridCol w:w="116"/>
        <w:gridCol w:w="116"/>
        <w:gridCol w:w="225"/>
        <w:gridCol w:w="769"/>
        <w:gridCol w:w="116"/>
        <w:gridCol w:w="109"/>
        <w:gridCol w:w="154"/>
      </w:tblGrid>
      <w:tr>
        <w:trPr/>
        <w:tc>
          <w:tcPr>
            <w:tcW w:w="1296"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18,694 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34,417 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Cost of revenues</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19,715 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17,557 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34,903 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 before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(loss)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w:t>
      </w:r>
    </w:p>
    <w:p>
      <w:pPr>
        <w:pStyle w:val="TextBody"/>
        <w:bidi w:val="0"/>
        <w:spacing w:lineRule="auto" w:line="288" w:before="100" w:after="283"/>
        <w:ind w:left="0" w:right="0" w:hanging="360"/>
        <w:jc w:val="both"/>
        <w:rPr/>
      </w:pPr>
      <w:r>
        <w:rPr>
          <w:rFonts w:ascii="Times New Roman;sans-serif" w:hAnsi="Times New Roman;sans-serif"/>
          <w:b w:val="false"/>
          <w:color w:val="000000"/>
          <w:sz w:val="12"/>
        </w:rPr>
        <w:t>1</w:t>
      </w:r>
      <w:r>
        <w:rPr>
          <w:color w:val="000000"/>
        </w:rPr>
        <w:t>    </w:t>
      </w:r>
      <w:r>
        <w:rPr>
          <w:rFonts w:ascii="Times New Roman;sans-serif" w:hAnsi="Times New Roman;sans-serif"/>
          <w:b w:val="false"/>
          <w:color w:val="000000"/>
          <w:sz w:val="18"/>
        </w:rPr>
        <w:t>Cost of revenues excludes depreciation and amortization which are shown separately.</w:t>
      </w:r>
    </w:p>
    <w:p>
      <w:pPr>
        <w:pStyle w:val="TextBody"/>
        <w:bidi w:val="0"/>
        <w:spacing w:before="0" w:after="0"/>
        <w:jc w:val="both"/>
        <w:rPr/>
      </w:pPr>
      <w:r>
        <w:rPr/>
      </w:r>
    </w:p>
    <w:p>
      <w:pPr>
        <w:pStyle w:val="TextBody"/>
        <w:bidi w:val="0"/>
        <w:spacing w:lineRule="auto" w:line="27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assets and liabilities related to discontinued operations as of June 30, 2024 and December 31, 2023, as all balances were transferred to Lumine Group upon sale. </w:t>
      </w:r>
    </w:p>
    <w:p>
      <w:pPr>
        <w:pStyle w:val="TextBody"/>
        <w:bidi w:val="0"/>
        <w:spacing w:before="0" w:after="0"/>
        <w:jc w:val="both"/>
        <w:rPr/>
      </w:pPr>
      <w:r>
        <w:rPr/>
      </w:r>
    </w:p>
    <w:p>
      <w:pPr>
        <w:pStyle w:val="TextBody"/>
        <w:bidi w:val="0"/>
        <w:spacing w:lineRule="auto" w:line="27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significant non-cash items and capital expenditures of the discontinued operations that are included in the consolidated statements of cash flows for the six months ended June 30, 2024 and 2023:</w:t>
      </w:r>
    </w:p>
    <w:tbl>
      <w:tblPr>
        <w:tblW w:w="5301" w:type="dxa"/>
        <w:jc w:val="center"/>
        <w:tblInd w:w="0" w:type="dxa"/>
        <w:tblLayout w:type="fixed"/>
        <w:tblCellMar>
          <w:top w:w="28" w:type="dxa"/>
          <w:left w:w="28" w:type="dxa"/>
          <w:bottom w:w="28" w:type="dxa"/>
          <w:right w:w="28" w:type="dxa"/>
        </w:tblCellMar>
      </w:tblPr>
      <w:tblGrid>
        <w:gridCol w:w="1016"/>
        <w:gridCol w:w="892"/>
        <w:gridCol w:w="897"/>
        <w:gridCol w:w="228"/>
        <w:gridCol w:w="439"/>
        <w:gridCol w:w="118"/>
        <w:gridCol w:w="118"/>
        <w:gridCol w:w="118"/>
        <w:gridCol w:w="118"/>
        <w:gridCol w:w="228"/>
        <w:gridCol w:w="748"/>
        <w:gridCol w:w="118"/>
        <w:gridCol w:w="109"/>
        <w:gridCol w:w="154"/>
      </w:tblGrid>
      <w:tr>
        <w:trPr/>
        <w:tc>
          <w:tcPr>
            <w:tcW w:w="101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7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6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vAlign w:val="center"/>
          </w:tcPr>
          <w:p>
            <w:pPr>
              <w:pStyle w:val="TableContents"/>
              <w:bidi w:val="0"/>
              <w:spacing w:before="0" w:after="283"/>
              <w:jc w:val="left"/>
              <w:rPr>
                <w:sz w:val="4"/>
                <w:szCs w:val="4"/>
              </w:rPr>
            </w:pPr>
            <w:r>
              <w:rPr>
                <w:sz w:val="4"/>
                <w:szCs w:val="4"/>
              </w:rPr>
            </w:r>
          </w:p>
        </w:tc>
        <w:tc>
          <w:tcPr>
            <w:tcW w:w="785"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7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to capitalized software</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vAlign w:val="center"/>
          </w:tcPr>
          <w:p>
            <w:pPr>
              <w:pStyle w:val="TableContents"/>
              <w:bidi w:val="0"/>
              <w:spacing w:before="0" w:after="283"/>
              <w:jc w:val="left"/>
              <w:rPr>
                <w:sz w:val="4"/>
                <w:szCs w:val="4"/>
              </w:rPr>
            </w:pPr>
            <w:r>
              <w:rPr>
                <w:sz w:val="4"/>
                <w:szCs w:val="4"/>
              </w:rPr>
            </w:r>
          </w:p>
        </w:tc>
        <w:tc>
          <w:tcPr>
            <w:tcW w:w="785"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Divestitures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Digital Experience Platform and Activation Solutions Sale</w:t>
      </w:r>
    </w:p>
    <w:p>
      <w:pPr>
        <w:pStyle w:val="TextBody"/>
        <w:bidi w:val="0"/>
        <w:spacing w:before="0" w:after="0"/>
        <w:jc w:val="both"/>
        <w:rPr/>
      </w:pPr>
      <w:r>
        <w:rPr/>
      </w:r>
    </w:p>
    <w:p>
      <w:pPr>
        <w:pStyle w:val="TextBody"/>
        <w:bidi w:val="0"/>
        <w:spacing w:lineRule="auto" w:line="27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March 7, 2022, Synchronoss Technologies, Inc. and iQmetrix Global Ltd. (“iQmetrix ”), entered into an Asset Purchase Agreement, pursuant to which Synchronoss has agreed to sell its Digital Experience Platform and activation solutions (the “DXP Business”) to iQmetrix for up to a total purchase price of $14 million (the “iQmetrix Transaction”). The purchase price is payable as follows: (i) $7.5 million on the iQmetrix closing date of the iQmetrix Transaction, (ii) $0.5 million deposited into an escrow account on the iQmetrix Closing Date, (iii) $1 million paid twelve (12) months from the iQmetrix Closing Date, and (iv) $5 million that may be payable as an earn-out.</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transaction closed on May 11, 2022. The Company received the $7.5 million cash payment on the transaction close date. The Company received the $0.5 million payment in escrow during the third quarter of 2022 in accordance with the terms of the Asset Purchase Agreement. The remaining $1 million escrow payment has not been received by the Company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b41877c9f6b4423b83513f555592c74c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SYNCHRONOSS TECHNOLOGIES,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tables in thousands, except for per share data or unless otherwise noted)</w:t>
      </w:r>
    </w:p>
    <w:p>
      <w:pPr>
        <w:pStyle w:val="TextBody"/>
        <w:bidi w:val="0"/>
        <w:spacing w:before="0" w:after="0"/>
        <w:jc w:val="center"/>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accordance with the agreement. As of December 31, 2023 the Company fully reserved for the asset and related receivables recorded within the Selling, general and administrative expenses line item on the Consolidated Statements of Income, and is pursuing collection of the payment.</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Note 5. Accounts Receivable Securitization Facility</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23, 2022 (the “A/R Closing Date”), the Company and certain of its subsidiaries (together with the Company, the “Company Group”) entered into a $15 million accounts receivable securitization facility (the “A/R Facility”) with Norddeutsche Landesbank Girozentrale.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A/R Facility transaction includes (i) Receivables Purchase Agreements (the “Receivables Purchase Agreements”) dated as of the A/R Closing Date, among the Company, as initial servicer, SN Technologies, LLC, a wholly owned special purpose subsidiary of the Company (“SN Technologies”), as seller, Norddeutsche Landesbank Girozentrale, as administrative agent (the “Administrative Agent”), and the purchasers party thereto, the group agents party thereto and the originators party thereto; (ii) Purchase and Sale Agreements (the “Purchase and Sale Agreements”) dated as of the A/R Closing Date, between the Company Group, as originators (the “Originators”), and SN Technologies, as purchaser; (iii) the Administration Agreement (the “Administration Agreement”) dated as of the A/R Closing Date, between the Company, as servicer, and Finacity Corporation, as administrator; and (iv) the Performance Guaranty (the “Performance Guaranty”) dated as of the A/R Closing Date made by the Company in favor of the Administrative Agent.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Purchase and Sale Agreements, the Originators will sell existing and future accounts receivable (and related assets) (the “Receivables”) to SN Technologies in exchange for cash and/or subordinated notes. The Originators and SN Technologies intend the transactions contemplated by the Purchase and Sale Agreements to be true sales to SN Technologies by the respective Originators. Pursuant to the Receivables Purchase Agreement, SN Technologies will in turn grant an undivided security interest to the Administrative Agent in the Receivables in exchange for a credit facility permitting borrowings of up to $15 million outstanding from time to time. Yield is payable to the Administrative Agent under the Receivables Purchase Agreements at a variable rate based on the Norddeutsche Landesbank Girozentrale’s Hanover funding rate plus a 2.35% margin. The Company’s commitment fee shall equal 0.85% per annum on the average daily unused outstanding capital. Pursuant to the Performance Guaranty, the Company guarantees the performance of the Originators of their obligations under the Purchase and Sale Agreements.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not agreed to guarantee any obligations of SN Technologies or the collection of any of the receivables and will not be responsible for any obligations to the extent the failure to perform such obligations by the Company or any Originators results from receivables being uncollectible on account of the insolvency, bankruptcy or lack of creditworthiness or other financial inability to pay of the related obligor.</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Unless earlier terminated or subsequently extended pursuant to the terms of the Receivables Purchase Agreement, the A/R Facility will expire on June 23, 2025.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foregoing description of the A/R Facility and the respective transactions contemplated thereby does not purport to be complete and is qualified in its entirety by reference to the full text of the Receivables Purchase Agreements, Purchase and Sale Agreements, Administration Agreement and Performance Guaranty, copies of which are filed as Exhibits 10.1, 10.2, 10.3 and 10.4, respectively, on Form 8-K filed with Securities and Exchange Commission on June 23, 2022. </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2024 the Company drew $6.0 million on the A/R Facility, and had repaid the balance in full as of June 30, 2024. For the six months ended June 30, 2023 the Company drew $3.5 million on the A/R Facility, and had repaid the balance in full as of June 30, 2023. The interest associated with the draw and repayment was not material for the period. The drawdown and subsequent repayment of the A/R Facility represent financing activities, as reported in the Consolidated Statements of Cash Flows. As of June 30, 2024 approximately $4.9 million of the Company’s receivables are held by SN Technologies. As of June 30, 2024 there were no outstanding borrowings against the A/R facility and $5.3 million was available for the Company to draw under the A/R Facility.</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drew $3.0 million on the A/R Facility on July 3, 2024, and had repaid the balance in full on July 12, 2024.</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b41877c9f6b4423b83513f555592c74c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SYNCHRONOSS TECHNOLOGIES,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tables in thousands, except for per share data or unless otherwise noted)</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Note 6. Fair Value Measurements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accounting principles generally accepted in the United States, fair value is defined as the price that would be received to sell an asset or paid to transfer a liability in an orderly transaction between market participants at the measurement date. A three-level hierarchy prioritizes the inputs used to measure fair value as follows: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color w:val="000000"/>
        </w:rPr>
        <w:t>•</w:t>
      </w:r>
      <w:r>
        <w:rPr>
          <w:rFonts w:ascii="Times New Roman;sans-serif" w:hAnsi="Times New Roman;sans-serif"/>
          <w:b w:val="false"/>
          <w:color w:val="000000"/>
          <w:sz w:val="20"/>
        </w:rPr>
        <w:t>Level 1 - Observable inputs - quoted prices in active markets for identical assets and liabilities;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Level 2 - Observable inputs other than the quoted prices in active markets for identical assets and liabilities includes quoted prices for similar instruments, quoted prices for identical or similar instruments in inactive markets, and amounts derived from valuation models where all significant inputs are observable in active markets;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Level 3 - Unobservable inputs - includes amounts derived from valuation models where one or more significant inputs are unobservable and require the Company to develop relevant assumptions.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is a summary of assets and liabilities, and their related classifications under the fair value hierarchy: </w:t>
      </w:r>
    </w:p>
    <w:tbl>
      <w:tblPr>
        <w:tblW w:w="7186" w:type="dxa"/>
        <w:jc w:val="left"/>
        <w:tblInd w:w="0" w:type="dxa"/>
        <w:tblLayout w:type="fixed"/>
        <w:tblCellMar>
          <w:top w:w="28" w:type="dxa"/>
          <w:left w:w="28" w:type="dxa"/>
          <w:bottom w:w="28" w:type="dxa"/>
          <w:right w:w="28" w:type="dxa"/>
        </w:tblCellMar>
      </w:tblPr>
      <w:tblGrid>
        <w:gridCol w:w="930"/>
        <w:gridCol w:w="819"/>
        <w:gridCol w:w="831"/>
        <w:gridCol w:w="211"/>
        <w:gridCol w:w="616"/>
        <w:gridCol w:w="109"/>
        <w:gridCol w:w="109"/>
        <w:gridCol w:w="109"/>
        <w:gridCol w:w="109"/>
        <w:gridCol w:w="211"/>
        <w:gridCol w:w="616"/>
        <w:gridCol w:w="109"/>
        <w:gridCol w:w="109"/>
        <w:gridCol w:w="109"/>
        <w:gridCol w:w="109"/>
        <w:gridCol w:w="229"/>
        <w:gridCol w:w="507"/>
        <w:gridCol w:w="118"/>
        <w:gridCol w:w="109"/>
        <w:gridCol w:w="109"/>
        <w:gridCol w:w="109"/>
        <w:gridCol w:w="246"/>
        <w:gridCol w:w="474"/>
        <w:gridCol w:w="179"/>
      </w:tblGrid>
      <w:tr>
        <w:trPr/>
        <w:tc>
          <w:tcPr>
            <w:tcW w:w="93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Money market accounts</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Performance-based cash units</w:t>
            </w:r>
            <w:r>
              <w:rPr>
                <w:rFonts w:ascii="Times New Roman;sans-serif" w:hAnsi="Times New Roman;sans-serif"/>
                <w:b w:val="false"/>
                <w:color w:val="000000"/>
                <w:sz w:val="13"/>
              </w:rPr>
              <w:t>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r>
    </w:tbl>
    <w:tbl>
      <w:tblPr>
        <w:tblW w:w="7500" w:type="dxa"/>
        <w:jc w:val="center"/>
        <w:tblInd w:w="0" w:type="dxa"/>
        <w:tblLayout w:type="fixed"/>
        <w:tblCellMar>
          <w:top w:w="28" w:type="dxa"/>
          <w:left w:w="28" w:type="dxa"/>
          <w:bottom w:w="28" w:type="dxa"/>
          <w:right w:w="28" w:type="dxa"/>
        </w:tblCellMar>
      </w:tblPr>
      <w:tblGrid>
        <w:gridCol w:w="967"/>
        <w:gridCol w:w="852"/>
        <w:gridCol w:w="865"/>
        <w:gridCol w:w="211"/>
        <w:gridCol w:w="721"/>
        <w:gridCol w:w="109"/>
        <w:gridCol w:w="109"/>
        <w:gridCol w:w="109"/>
        <w:gridCol w:w="109"/>
        <w:gridCol w:w="211"/>
        <w:gridCol w:w="721"/>
        <w:gridCol w:w="109"/>
        <w:gridCol w:w="109"/>
        <w:gridCol w:w="109"/>
        <w:gridCol w:w="109"/>
        <w:gridCol w:w="229"/>
        <w:gridCol w:w="507"/>
        <w:gridCol w:w="118"/>
        <w:gridCol w:w="109"/>
        <w:gridCol w:w="109"/>
        <w:gridCol w:w="109"/>
        <w:gridCol w:w="246"/>
        <w:gridCol w:w="474"/>
        <w:gridCol w:w="179"/>
      </w:tblGrid>
      <w:tr>
        <w:trPr/>
        <w:tc>
          <w:tcPr>
            <w:tcW w:w="967"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Money market accounts</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Performance-based cash units</w:t>
            </w:r>
            <w:r>
              <w:rPr>
                <w:rFonts w:ascii="Times New Roman;sans-serif" w:hAnsi="Times New Roman;sans-serif"/>
                <w:b w:val="false"/>
                <w:color w:val="000000"/>
                <w:sz w:val="13"/>
              </w:rPr>
              <w:t>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________________________________</w:t>
      </w:r>
    </w:p>
    <w:p>
      <w:pPr>
        <w:pStyle w:val="TextBody"/>
        <w:bidi w:val="0"/>
        <w:spacing w:lineRule="auto" w:line="288" w:before="0" w:after="0"/>
        <w:ind w:left="0" w:right="0" w:hanging="360"/>
        <w:jc w:val="both"/>
        <w:rPr/>
      </w:pPr>
      <w:r>
        <w:rPr>
          <w:rFonts w:ascii="Times New Roman;sans-serif" w:hAnsi="Times New Roman;sans-serif"/>
          <w:b w:val="false"/>
          <w:color w:val="000000"/>
          <w:sz w:val="12"/>
        </w:rPr>
        <w:t>1    </w:t>
      </w:r>
      <w:r>
        <w:rPr>
          <w:rFonts w:ascii="Times New Roman;sans-serif" w:hAnsi="Times New Roman;sans-serif"/>
          <w:b w:val="false"/>
          <w:color w:val="000000"/>
          <w:sz w:val="18"/>
        </w:rPr>
        <w:t xml:space="preserve">Included in Cash and cash equivalents on the Consolidated Balance Sheets. </w:t>
      </w:r>
    </w:p>
    <w:p>
      <w:pPr>
        <w:pStyle w:val="TextBody"/>
        <w:bidi w:val="0"/>
        <w:spacing w:lineRule="auto" w:line="288" w:before="0" w:after="0"/>
        <w:ind w:left="0" w:right="0" w:hanging="360"/>
        <w:jc w:val="both"/>
        <w:rPr/>
      </w:pPr>
      <w:r>
        <w:rPr>
          <w:rFonts w:ascii="Times New Roman;sans-serif" w:hAnsi="Times New Roman;sans-serif"/>
          <w:b w:val="false"/>
          <w:color w:val="000000"/>
          <w:sz w:val="12"/>
        </w:rPr>
        <w:t>2    </w:t>
      </w:r>
      <w:r>
        <w:rPr>
          <w:rFonts w:ascii="Times New Roman;sans-serif" w:hAnsi="Times New Roman;sans-serif"/>
          <w:b w:val="false"/>
          <w:color w:val="000000"/>
          <w:sz w:val="18"/>
        </w:rPr>
        <w:t xml:space="preserve">Included in Accrued expenses on the Consolidated Balance Sheets. </w:t>
      </w:r>
    </w:p>
    <w:p>
      <w:pPr>
        <w:pStyle w:val="TextBody"/>
        <w:bidi w:val="0"/>
        <w:spacing w:lineRule="auto" w:line="288" w:before="0" w:after="0"/>
        <w:ind w:left="0" w:right="0" w:hanging="360"/>
        <w:jc w:val="both"/>
        <w:rPr/>
      </w:pPr>
      <w:r>
        <w:rPr>
          <w:rFonts w:ascii="Times New Roman;sans-serif" w:hAnsi="Times New Roman;sans-serif"/>
          <w:b w:val="false"/>
          <w:color w:val="000000"/>
          <w:sz w:val="12"/>
        </w:rPr>
        <w:t>3    </w:t>
      </w:r>
      <w:r>
        <w:rPr>
          <w:rFonts w:ascii="Times New Roman;sans-serif" w:hAnsi="Times New Roman;sans-serif"/>
          <w:b w:val="false"/>
          <w:color w:val="000000"/>
          <w:sz w:val="18"/>
        </w:rPr>
        <w:t>For a discussion of performance-based cash units see </w:t>
      </w:r>
      <w:r>
        <w:rPr>
          <w:rFonts w:ascii="Times New Roman;sans-serif" w:hAnsi="Times New Roman;sans-serif"/>
          <w:b w:val="false"/>
          <w:color w:val="000000"/>
          <w:sz w:val="18"/>
          <w:shd w:fill="FFFFFF" w:val="clear"/>
        </w:rPr>
        <w:t>Note 12. Stock Plans</w:t>
      </w:r>
      <w:r>
        <w:rPr>
          <w:color w:val="000000"/>
          <w:shd w:fill="FFFFFF" w:val="clear"/>
        </w:rPr>
        <w:t xml:space="preserve"> </w:t>
      </w:r>
      <w:r>
        <w:rPr>
          <w:rFonts w:ascii="Times New Roman;sans-serif" w:hAnsi="Times New Roman;sans-serif"/>
          <w:b w:val="false"/>
          <w:color w:val="000000"/>
          <w:sz w:val="18"/>
        </w:rPr>
        <w:t>of the Notes to Condensed Consolidated Financial Statements in Item 1 of this Form 10-Q.</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Refer to Note 9. Debt of the Notes to Condensed Consolidated Financial Statements in Item 1 of this Form 10-Q for presentation of Fair Value of Debt.</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7. Note Receivable</w:t>
      </w:r>
    </w:p>
    <w:p>
      <w:pPr>
        <w:pStyle w:val="TextBody"/>
        <w:bidi w:val="0"/>
        <w:spacing w:before="0" w:after="0"/>
        <w:ind w:left="0" w:right="0" w:firstLine="18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Sequential Technology International, LLC</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shd w:fill="FFFFFF" w:val="clear"/>
        </w:rPr>
        <w:t xml:space="preserve">During the second quarter of 2020, the Company entered into an agreement with </w:t>
      </w:r>
      <w:r>
        <w:rPr>
          <w:rFonts w:ascii="Times New Roman;sans-serif" w:hAnsi="Times New Roman;sans-serif"/>
          <w:b w:val="false"/>
          <w:color w:val="000000"/>
          <w:sz w:val="20"/>
        </w:rPr>
        <w:t>Sequential Technology International, LLC (“STIN”)</w:t>
      </w:r>
      <w:r>
        <w:rPr>
          <w:color w:val="000000"/>
        </w:rPr>
        <w:t xml:space="preserve"> </w:t>
      </w:r>
      <w:r>
        <w:rPr>
          <w:rFonts w:ascii="Times New Roman;sans-serif" w:hAnsi="Times New Roman;sans-serif"/>
          <w:b w:val="false"/>
          <w:color w:val="000000"/>
          <w:sz w:val="20"/>
          <w:shd w:fill="FFFFFF" w:val="clear"/>
        </w:rPr>
        <w:t xml:space="preserve">and AP Capital Holdings II, LLC (“APC”) to divest its remaining equity interest in STIN as well as settle its paid-in-kind purchase money note (“PIK note”) and certain amounts due as of December 31, 2019 in consideration for a $9.0 million secured promissory note (the </w:t>
      </w:r>
      <w:r>
        <w:rPr>
          <w:color w:val="000000"/>
        </w:rPr>
        <w:t>“</w:t>
      </w:r>
      <w:r>
        <w:rPr>
          <w:rFonts w:ascii="Times New Roman;sans-serif" w:hAnsi="Times New Roman;sans-serif"/>
          <w:b w:val="false"/>
          <w:color w:val="000000"/>
          <w:sz w:val="20"/>
        </w:rPr>
        <w:t xml:space="preserve">Note”). As of December 31, 2022, the carrying value of the Note after the consideration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b41877c9f6b4423b83513f555592c74c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SYNCHRONOSS TECHNOLOGIES,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tables in thousands, except for per share data or unless otherwise noted)</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 was approximately $4.8 million. The Company determined the allowance on the Note using a discounted cash flow analysis, which discounts the expected future cash flows of the asset to determine the collectible amount.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third quarter of 2023, the interest payment for the Note was not received by the Company from STIN. In the third quarter of 2023 the Company reassessed the collectability of the Note and determined that a full allowance for credit losses was required equal to the carrying value of the Note, recorded within the Selling, general and administrative expenses line item on the Consolidated Statements of Operations.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During the first quarter of 2024, the Company entered into an agreement with STIN</w:t>
      </w:r>
      <w:r>
        <w:rPr>
          <w:color w:val="000000"/>
        </w:rPr>
        <w:t xml:space="preserve"> </w:t>
      </w:r>
      <w:r>
        <w:rPr>
          <w:rFonts w:ascii="Times New Roman;sans-serif" w:hAnsi="Times New Roman;sans-serif"/>
          <w:b w:val="false"/>
          <w:color w:val="000000"/>
          <w:sz w:val="20"/>
        </w:rPr>
        <w:t>and APC to amend the aforementioned promissory note and reduce the principal balance to $3.0 million, forgive outstanding accrued interest and extend the maturity date of the Note to September 2027. Certain circumstances may enable the Company to receive consideration in excess of the amended principal balance. In the first quarter of 2024 the Company reassessed the collectability of the note and determined a full allowance for credit losses was required equal to the carrying value of the note. Accordingly, the modification of the terms of the Note had no net impact on the condensed consolidated financial statements for the quarter ended June 30, 2024.</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8. Leases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contracts with third parties to lease a variety of assets, including certain real estate, equipment, automobiles and other assets. The Company’s leases frequently allow for lease payments that could vary based on factors such as inflation or the degree of utilization of the underlying asset. For example, certain of the Company’s real estate leases could require us to make payments that vary based on common area maintenance charges, insurance and other charges. The Company’s lease agreements do not contain any material residual value guarantees or material restrictive covenants.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party to certain sublease arrangements, primarily related to the Company’s real estate leases, where it acts as the lessee and intermediate lessor.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Assets under operating leases are included in Operating lease right-of-use assets, with the related short term liabilities included in Accrued expenses and long term portion included in Leases, non-current on the Consolidated Balance Sheets.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Assets under finance leases are included in Property, plant and equipment, net, with the related short term liabilities included in Accrued Expenses and long term portion in Leases, non-current on the Consolidated Balance Sheets.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Operating lease costs are recognized on a straight-line basis over the lease terms. Finance lease assets are amortized on a straight-line basis over the shorter of the estimated useful lives of the assets or the lease terms.</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b41877c9f6b4423b83513f555592c74c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SYNCHRONOSS TECHNOLOGIES,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tables in thousands, except for per share data or unless otherwise noted)</w:t>
      </w:r>
    </w:p>
    <w:p>
      <w:pPr>
        <w:pStyle w:val="TextBody"/>
        <w:bidi w:val="0"/>
        <w:spacing w:before="0" w:after="0"/>
        <w:jc w:val="center"/>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information about the Company's Right of Use (“ROU”) assets and lease liabilities:</w:t>
      </w:r>
    </w:p>
    <w:tbl>
      <w:tblPr>
        <w:tblW w:w="6728" w:type="dxa"/>
        <w:jc w:val="left"/>
        <w:tblInd w:w="0" w:type="dxa"/>
        <w:tblLayout w:type="fixed"/>
        <w:tblCellMar>
          <w:top w:w="28" w:type="dxa"/>
          <w:left w:w="28" w:type="dxa"/>
          <w:bottom w:w="28" w:type="dxa"/>
          <w:right w:w="28" w:type="dxa"/>
        </w:tblCellMar>
      </w:tblPr>
      <w:tblGrid>
        <w:gridCol w:w="1205"/>
        <w:gridCol w:w="1059"/>
        <w:gridCol w:w="1065"/>
        <w:gridCol w:w="109"/>
        <w:gridCol w:w="109"/>
        <w:gridCol w:w="109"/>
        <w:gridCol w:w="234"/>
        <w:gridCol w:w="800"/>
        <w:gridCol w:w="121"/>
        <w:gridCol w:w="109"/>
        <w:gridCol w:w="109"/>
        <w:gridCol w:w="109"/>
        <w:gridCol w:w="309"/>
        <w:gridCol w:w="1056"/>
        <w:gridCol w:w="225"/>
      </w:tblGrid>
      <w:tr>
        <w:trPr/>
        <w:tc>
          <w:tcPr>
            <w:tcW w:w="120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Operating lease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operating lease ROU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14,791 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Finance lease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Lease liabilities, current</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5,838 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23,037 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25,923 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28,875 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finance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________________________________</w:t>
      </w:r>
    </w:p>
    <w:p>
      <w:pPr>
        <w:pStyle w:val="TextBody"/>
        <w:bidi w:val="0"/>
        <w:spacing w:lineRule="auto" w:line="288" w:before="0" w:after="0"/>
        <w:ind w:left="0" w:right="0" w:hanging="360"/>
        <w:jc w:val="left"/>
        <w:rPr/>
      </w:pPr>
      <w:r>
        <w:rPr>
          <w:rFonts w:ascii="Times New Roman;sans-serif" w:hAnsi="Times New Roman;sans-serif"/>
          <w:b w:val="false"/>
          <w:color w:val="000000"/>
          <w:sz w:val="12"/>
        </w:rPr>
        <w:t>1</w:t>
      </w:r>
      <w:r>
        <w:rPr>
          <w:color w:val="000000"/>
        </w:rPr>
        <w:t>    </w:t>
      </w:r>
      <w:r>
        <w:rPr>
          <w:rFonts w:ascii="Times New Roman;sans-serif" w:hAnsi="Times New Roman;sans-serif"/>
          <w:b w:val="false"/>
          <w:color w:val="000000"/>
          <w:sz w:val="18"/>
        </w:rPr>
        <w:t>Amounts are included in Accrued expenses on the Consolidated Balance Sheets.</w:t>
      </w:r>
    </w:p>
    <w:p>
      <w:pPr>
        <w:pStyle w:val="TextBody"/>
        <w:bidi w:val="0"/>
        <w:spacing w:before="0" w:after="0"/>
        <w:jc w:val="center"/>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information about lease expense and sublease income:</w:t>
      </w:r>
    </w:p>
    <w:tbl>
      <w:tblPr>
        <w:tblW w:w="7872" w:type="dxa"/>
        <w:jc w:val="left"/>
        <w:tblInd w:w="0" w:type="dxa"/>
        <w:tblLayout w:type="fixed"/>
        <w:tblCellMar>
          <w:top w:w="28" w:type="dxa"/>
          <w:left w:w="28" w:type="dxa"/>
          <w:bottom w:w="28" w:type="dxa"/>
          <w:right w:w="28" w:type="dxa"/>
        </w:tblCellMar>
      </w:tblPr>
      <w:tblGrid>
        <w:gridCol w:w="942"/>
        <w:gridCol w:w="831"/>
        <w:gridCol w:w="836"/>
        <w:gridCol w:w="234"/>
        <w:gridCol w:w="685"/>
        <w:gridCol w:w="121"/>
        <w:gridCol w:w="121"/>
        <w:gridCol w:w="121"/>
        <w:gridCol w:w="121"/>
        <w:gridCol w:w="234"/>
        <w:gridCol w:w="685"/>
        <w:gridCol w:w="121"/>
        <w:gridCol w:w="109"/>
        <w:gridCol w:w="109"/>
        <w:gridCol w:w="109"/>
        <w:gridCol w:w="214"/>
        <w:gridCol w:w="626"/>
        <w:gridCol w:w="110"/>
        <w:gridCol w:w="110"/>
        <w:gridCol w:w="110"/>
        <w:gridCol w:w="110"/>
        <w:gridCol w:w="214"/>
        <w:gridCol w:w="626"/>
        <w:gridCol w:w="110"/>
        <w:gridCol w:w="109"/>
        <w:gridCol w:w="154"/>
      </w:tblGrid>
      <w:tr>
        <w:trPr/>
        <w:tc>
          <w:tcPr>
            <w:tcW w:w="942"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10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finance leases</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Operating lease cost</w:t>
            </w:r>
            <w:r>
              <w:rPr>
                <w:rFonts w:ascii="Times New Roman;sans-serif" w:hAnsi="Times New Roman;sans-serif"/>
                <w:b w:val="false"/>
                <w:color w:val="000000"/>
                <w:sz w:val="13"/>
              </w:rPr>
              <w:t>1</w:t>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lease costs and income:</w:t>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Variable lease costs</w:t>
            </w:r>
            <w:r>
              <w:rPr>
                <w:rFonts w:ascii="Times New Roman;sans-serif" w:hAnsi="Times New Roman;sans-serif"/>
                <w:b w:val="false"/>
                <w:color w:val="000000"/>
                <w:sz w:val="13"/>
              </w:rPr>
              <w:t>1</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ROU assets impairments, net</w:t>
            </w:r>
            <w:r>
              <w:rPr>
                <w:rFonts w:ascii="Times New Roman;sans-serif" w:hAnsi="Times New Roman;sans-serif"/>
                <w:b w:val="false"/>
                <w:color w:val="000000"/>
                <w:sz w:val="13"/>
              </w:rPr>
              <w:t>1,2</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Sublease income</w:t>
            </w:r>
            <w:r>
              <w:rPr>
                <w:rFonts w:ascii="Times New Roman;sans-serif" w:hAnsi="Times New Roman;sans-serif"/>
                <w:b w:val="false"/>
                <w:color w:val="000000"/>
                <w:sz w:val="13"/>
              </w:rPr>
              <w:t>1</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leases</w:t>
            </w:r>
          </w:p>
        </w:tc>
        <w:tc>
          <w:tcPr>
            <w:tcW w:w="9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3,553 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3,193 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4,099 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4,302 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lease cost</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3,723 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3,358 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4,464 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4,597 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w:t>
      </w:r>
    </w:p>
    <w:p>
      <w:pPr>
        <w:pStyle w:val="TextBody"/>
        <w:bidi w:val="0"/>
        <w:spacing w:lineRule="auto" w:line="288" w:before="0" w:after="0"/>
        <w:ind w:left="0" w:right="0" w:hanging="360"/>
        <w:jc w:val="both"/>
        <w:rPr/>
      </w:pPr>
      <w:r>
        <w:rPr>
          <w:rFonts w:ascii="Times New Roman;sans-serif" w:hAnsi="Times New Roman;sans-serif"/>
          <w:b w:val="false"/>
          <w:color w:val="000000"/>
          <w:sz w:val="12"/>
        </w:rPr>
        <w:t>1</w:t>
      </w:r>
      <w:r>
        <w:rPr>
          <w:color w:val="000000"/>
        </w:rPr>
        <w:t>    </w:t>
      </w:r>
      <w:r>
        <w:rPr>
          <w:rFonts w:ascii="Times New Roman;sans-serif" w:hAnsi="Times New Roman;sans-serif"/>
          <w:b w:val="false"/>
          <w:color w:val="000000"/>
          <w:sz w:val="18"/>
        </w:rPr>
        <w:t xml:space="preserve">Amounts are included in Cost of revenues, Selling, general and administrative and/or Research and development based on the function that the underlying leased asset supports which are reflected in the Consolidated Statements of </w:t>
      </w:r>
      <w:r>
        <w:rPr>
          <w:rFonts w:ascii="Times New Roman;sans-serif" w:hAnsi="Times New Roman;sans-serif"/>
          <w:b w:val="false"/>
          <w:color w:val="000000"/>
          <w:sz w:val="18"/>
          <w:shd w:fill="FFFFFF" w:val="clear"/>
        </w:rPr>
        <w:t xml:space="preserve">Operations. </w:t>
      </w:r>
    </w:p>
    <w:p>
      <w:pPr>
        <w:pStyle w:val="TextBody"/>
        <w:bidi w:val="0"/>
        <w:spacing w:lineRule="auto" w:line="288" w:before="0" w:after="0"/>
        <w:ind w:left="0" w:right="0" w:hanging="360"/>
        <w:jc w:val="both"/>
        <w:rPr/>
      </w:pPr>
      <w:r>
        <w:rPr>
          <w:rFonts w:ascii="Times New Roman;sans-serif" w:hAnsi="Times New Roman;sans-serif"/>
          <w:b w:val="false"/>
          <w:color w:val="000000"/>
          <w:sz w:val="12"/>
        </w:rPr>
        <w:t>2</w:t>
      </w:r>
      <w:r>
        <w:rPr>
          <w:color w:val="000000"/>
        </w:rPr>
        <w:t>    </w:t>
      </w:r>
      <w:r>
        <w:rPr>
          <w:rFonts w:ascii="Times New Roman;sans-serif" w:hAnsi="Times New Roman;sans-serif"/>
          <w:b w:val="false"/>
          <w:color w:val="000000"/>
          <w:sz w:val="18"/>
        </w:rPr>
        <w:t xml:space="preserve">Reflects impairments recorded for Bethlehem, Pennsylvania and Bangalore, India office locations in the current and prior periods, respectively. </w:t>
      </w:r>
    </w:p>
    <w:p>
      <w:pPr>
        <w:pStyle w:val="TextBody"/>
        <w:bidi w:val="0"/>
        <w:spacing w:before="0" w:after="0"/>
        <w:ind w:left="0" w:right="0" w:hanging="360"/>
        <w:jc w:val="both"/>
        <w:rPr/>
      </w:pPr>
      <w:r>
        <w:rPr/>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b41877c9f6b4423b83513f555592c74c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SYNCHRONOSS TECHNOLOGIES,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tables in thousands, except for per share data or unless otherwise noted)</w:t>
      </w:r>
    </w:p>
    <w:p>
      <w:pPr>
        <w:pStyle w:val="TextBody"/>
        <w:bidi w:val="0"/>
        <w:spacing w:before="0" w:after="0"/>
        <w:jc w:val="center"/>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the undiscounted amount of future cash flows included in our lease liabilities at June 30, 2024 for each of the five years subsequent to December 31, 2023 and thereafter, as well as a reconciliation of such undiscounted cash flows to our lease liabilities at June 30, 2024:</w:t>
      </w:r>
    </w:p>
    <w:tbl>
      <w:tblPr>
        <w:tblW w:w="8018" w:type="dxa"/>
        <w:jc w:val="left"/>
        <w:tblInd w:w="0" w:type="dxa"/>
        <w:tblLayout w:type="fixed"/>
        <w:tblCellMar>
          <w:top w:w="28" w:type="dxa"/>
          <w:left w:w="28" w:type="dxa"/>
          <w:bottom w:w="28" w:type="dxa"/>
          <w:right w:w="28" w:type="dxa"/>
        </w:tblCellMar>
      </w:tblPr>
      <w:tblGrid>
        <w:gridCol w:w="1624"/>
        <w:gridCol w:w="1422"/>
        <w:gridCol w:w="1438"/>
        <w:gridCol w:w="109"/>
        <w:gridCol w:w="109"/>
        <w:gridCol w:w="109"/>
        <w:gridCol w:w="292"/>
        <w:gridCol w:w="998"/>
        <w:gridCol w:w="150"/>
        <w:gridCol w:w="109"/>
        <w:gridCol w:w="109"/>
        <w:gridCol w:w="109"/>
        <w:gridCol w:w="365"/>
        <w:gridCol w:w="808"/>
        <w:gridCol w:w="267"/>
      </w:tblGrid>
      <w:tr>
        <w:trPr/>
        <w:tc>
          <w:tcPr>
            <w:tcW w:w="1624"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Finance Leases</w:t>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3,933 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future lease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30,134 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amount representing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(4,211)</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future lease payments (lease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25,923 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923 </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the weighted-average remaining lease term and weighted-average discount rates for our leases:</w:t>
      </w:r>
    </w:p>
    <w:tbl>
      <w:tblPr>
        <w:tblW w:w="10205" w:type="dxa"/>
        <w:jc w:val="center"/>
        <w:tblInd w:w="0" w:type="dxa"/>
        <w:tblLayout w:type="fixed"/>
        <w:tblCellMar>
          <w:top w:w="28" w:type="dxa"/>
          <w:left w:w="28" w:type="dxa"/>
          <w:bottom w:w="28" w:type="dxa"/>
          <w:right w:w="28" w:type="dxa"/>
        </w:tblCellMar>
      </w:tblPr>
      <w:tblGrid>
        <w:gridCol w:w="2602"/>
        <w:gridCol w:w="2284"/>
        <w:gridCol w:w="2294"/>
        <w:gridCol w:w="366"/>
        <w:gridCol w:w="366"/>
        <w:gridCol w:w="368"/>
        <w:gridCol w:w="109"/>
        <w:gridCol w:w="109"/>
        <w:gridCol w:w="109"/>
        <w:gridCol w:w="466"/>
        <w:gridCol w:w="466"/>
        <w:gridCol w:w="666"/>
      </w:tblGrid>
      <w:tr>
        <w:trPr/>
        <w:tc>
          <w:tcPr>
            <w:tcW w:w="2602" w:type="dxa"/>
            <w:tcBorders/>
            <w:vAlign w:val="center"/>
          </w:tcPr>
          <w:p>
            <w:pPr>
              <w:pStyle w:val="TableContents"/>
              <w:bidi w:val="0"/>
              <w:spacing w:before="0" w:after="283"/>
              <w:jc w:val="left"/>
              <w:rPr>
                <w:sz w:val="4"/>
                <w:szCs w:val="4"/>
              </w:rPr>
            </w:pPr>
            <w:r>
              <w:rPr>
                <w:sz w:val="4"/>
                <w:szCs w:val="4"/>
              </w:rPr>
            </w:r>
          </w:p>
        </w:tc>
        <w:tc>
          <w:tcPr>
            <w:tcW w:w="2284" w:type="dxa"/>
            <w:tcBorders/>
            <w:vAlign w:val="center"/>
          </w:tcPr>
          <w:p>
            <w:pPr>
              <w:pStyle w:val="TableContents"/>
              <w:bidi w:val="0"/>
              <w:spacing w:before="0" w:after="283"/>
              <w:jc w:val="left"/>
              <w:rPr>
                <w:sz w:val="4"/>
                <w:szCs w:val="4"/>
              </w:rPr>
            </w:pPr>
            <w:r>
              <w:rPr>
                <w:sz w:val="4"/>
                <w:szCs w:val="4"/>
              </w:rPr>
            </w:r>
          </w:p>
        </w:tc>
        <w:tc>
          <w:tcPr>
            <w:tcW w:w="229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r>
      <w:tr>
        <w:trPr/>
        <w:tc>
          <w:tcPr>
            <w:tcW w:w="7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7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(years), weighted based on lease liability balances:</w:t>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1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w:t>
            </w:r>
          </w:p>
        </w:tc>
      </w:tr>
      <w:tr>
        <w:trPr/>
        <w:tc>
          <w:tcPr>
            <w:tcW w:w="7180"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r>
      <w:tr>
        <w:trPr/>
        <w:tc>
          <w:tcPr>
            <w:tcW w:w="7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1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w:t>
            </w:r>
          </w:p>
        </w:tc>
      </w:tr>
      <w:tr>
        <w:trPr/>
        <w:tc>
          <w:tcPr>
            <w:tcW w:w="7180"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r>
      <w:tr>
        <w:trPr/>
        <w:tc>
          <w:tcPr>
            <w:tcW w:w="7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 (percentages), weighted based on the remaining balance of lease payments:</w:t>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1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r>
      <w:tr>
        <w:trPr/>
        <w:tc>
          <w:tcPr>
            <w:tcW w:w="7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1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r>
    </w:tbl>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certain cash flow and supplemental noncash information related to our lease liabilities:</w:t>
      </w:r>
    </w:p>
    <w:tbl>
      <w:tblPr>
        <w:tblW w:w="10205" w:type="dxa"/>
        <w:jc w:val="center"/>
        <w:tblInd w:w="0" w:type="dxa"/>
        <w:tblLayout w:type="fixed"/>
        <w:tblCellMar>
          <w:top w:w="28" w:type="dxa"/>
          <w:left w:w="28" w:type="dxa"/>
          <w:bottom w:w="28" w:type="dxa"/>
          <w:right w:w="28" w:type="dxa"/>
        </w:tblCellMar>
      </w:tblPr>
      <w:tblGrid>
        <w:gridCol w:w="1898"/>
        <w:gridCol w:w="1664"/>
        <w:gridCol w:w="1673"/>
        <w:gridCol w:w="262"/>
        <w:gridCol w:w="582"/>
        <w:gridCol w:w="135"/>
        <w:gridCol w:w="135"/>
        <w:gridCol w:w="135"/>
        <w:gridCol w:w="135"/>
        <w:gridCol w:w="262"/>
        <w:gridCol w:w="582"/>
        <w:gridCol w:w="135"/>
        <w:gridCol w:w="109"/>
        <w:gridCol w:w="109"/>
        <w:gridCol w:w="109"/>
        <w:gridCol w:w="213"/>
        <w:gridCol w:w="624"/>
        <w:gridCol w:w="109"/>
        <w:gridCol w:w="109"/>
        <w:gridCol w:w="109"/>
        <w:gridCol w:w="109"/>
        <w:gridCol w:w="213"/>
        <w:gridCol w:w="624"/>
        <w:gridCol w:w="170"/>
      </w:tblGrid>
      <w:tr>
        <w:trPr/>
        <w:tc>
          <w:tcPr>
            <w:tcW w:w="1898"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5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9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arising from obtaining right-of-use assets:</w:t>
            </w:r>
          </w:p>
        </w:tc>
        <w:tc>
          <w:tcPr>
            <w:tcW w:w="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b41877c9f6b4423b83513f555592c74c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SYNCHRONOSS TECHNOLOGIES,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tables in thousands, except for per share data or unless otherwise noted)</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Note 9. Debt </w:t>
      </w:r>
    </w:p>
    <w:p>
      <w:pPr>
        <w:pStyle w:val="TextBody"/>
        <w:bidi w:val="0"/>
        <w:spacing w:before="0" w:after="0"/>
        <w:ind w:left="0" w:right="0" w:firstLine="180"/>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2024 Term Loan</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June 28, 2024 (the “Effective Date”), the Company entered into a Credit Agreement (the “Credit Agreement”) with BGC Lender Rep LLC, as administrative agent, and the lenders party thereto. The Credit Agreement established a senior secured term loan facility of up to $75.0 million (the “Term Loan”), all of which was funded on the Effective Date. The proceeds of the Term Loan were used to (i) fund the Senior Note Repurchase (as defined below), (ii) to fund the Series B Repurchase (as defined below) and (iii) to pay transaction fees and expenses associated with the closing of the transactions contemplated by the Credit Agreement.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Term Loan matures on June 28, 2028 (the “Maturity Date”); provided that if (i) the Company’s 8.375% Senior Notes due 2026 (the “Senior Notes”) are not refinanced, redeemed or repaid in full prior to March 31, 2026, the Maturity Date shall be March 31, 2026 and (ii) in the event of a refinancing, redemption or repayment of the Senior Notes in full prior to March 31, 2026, the Maturity Date shall be the earlier of (A) June 28, 2028 and (B) the date that is twelve (12) months prior to the final stated maturity date for the indebtedness resulting from such refinancing, redemption or repayment of the Senior Notes in full.</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Term Loan bears interest at a rate per annum equal to the Adjusted Term Secured Overnight Financing Rate (“SOFR”) (as defined in the Credit Agreement) for the applicable interest period, plus 5.50%, subject to a floor of 2.50%.</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Credit Agreement requires the Company to repay the outstanding principal amounts of the Term Loan in an amount of $468,750 on the last day of each fiscal quarter beginning on September 30, 2024 and ending on June 30, 2026. Starting on September 30, 2026, and on the last day of each fiscal quarter thereafter, such repayments of outstanding principal shall be $1,875,000. The final principal repayment of the Term Loan shall be repaid on the Maturity Date in an amount equal to the aggregate principal amount of the Term Loan outstanding on such date. The Company may at any time voluntarily prepay the Term Loan, in whole or in part subject to a variable prepayment fee if such prepayment is made prior to the third anniversary of the Effective Date. The Company is required to pay an exit fee of $1.5 million if, among other things, the Maturity Date is extended beyond March 31, 2026. The Credit Agreement also contains mandatory prepayment provisions that are customary for secured financings of this type from excess cash flow and with the proceeds of certain asset sales, tax refunds, equity sales or issuances, and debt issuances, each as more fully described in the Credit Agreement.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obligations under the Credit Agreement are secured by substantially all of the assets (other than existing real property) of Synchronoss. Other than an Irish Subsidiary (as defined in the Credit Agreement), none of the Company’s direct or indirect foreign subsidiaries or immaterial subsidiaries has guaranteed the loans under the Credit Agreement, but under certain circumstances, such subsidiaries may become guarantors. The Credit Agreement contains customary covenants that limit the Company’s ability and its restricted subsidiaries to, among other things, (i) incur additional indebtedness, (ii) pay dividends or make certain other restricted payments, (iii) sell assets, (iv) make certain investments, (v) grant liens and (vi) enter into transactions with affiliates. These covenants are subject to exceptions and qualifications set forth in the Credit Agreement. The financial covenants set forth in the Credit Agreement include (i) a maximum consolidated secured leverage ratio, which will be tested at the end of each of the Company’s fiscal quarter and (ii) an average liquidity requirement for any calendar month. All borrowings under the Credit Agreement are subject to the satisfaction of customary conditions, including the absence of a default and the accuracy of representations and warranties subject to certain exceptions. Upon the occurrence and continuance of an event of default, which, for example, could be triggered by a breach or violation of, or default under, certain material contracts of the Company, BGC Lender Rep may take either or both of the following actions: (i) terminate the commitments and (ii) declare all outstanding obligations immediately due and payable and take such other actions as set forth in the Credit Agreement.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description of the Credit Agreement and Term Loan does not purport to be complete and is qualified in its entirety by the full text of the Credit Agreement, a copy of which is filed as Exhibit 10.1 to this Quarterly Report on Form 10-Q and incorporated herein by reference.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in compliance with its debt covenants pertaining to the Term Loan as of June 30, 2024.</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b41877c9f6b4423b83513f555592c74c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SYNCHRONOSS TECHNOLOGIES,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tables in thousands, except for per share data or unless otherwise noted)</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Repurchase of Senior Notes and Series B Preferred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used $66.5 million of the proceeds from the Term Loan and $2.6 million non-interest-bearing deferred consideration, expected to be paid within the next 12 months, for a total consideration of $69.1 million (“the total consideration”) to repurchase 100% of its outstanding Series B Perpetual Non-Convertible Preferred Stock (the “Series B Preferred”) and 787,590 (14%) of its outstanding Senior Notes from B. Riley Principal Investments, LLC (“BRPI”), a related party.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The fair value of Series B Preferred stock of $57.6 million was determined using a discounted cash flow model using level two inputs. The carrying value of Series B Preferred was $58.2 million. The second quarter’s accrued dividend of $2.1 million was forgiven at the time of the repurchase. The Series B Preferred repurchase gain of $2.7 million was calculated as the fair value of consideration paid less the carrying value, less the second quarter’s accrued dividend forgiven. The $2.7 million gain was accounted for as capital transaction and reflected as an adjustment to additional paid-in capital (“APIC”). While the transaction was not reflected in the income statement, the gain was reflected in the adjustment to net income from common shareholders for purposes of calculating EPS, for the three and six</w:t>
      </w:r>
      <w:r>
        <w:rPr>
          <w:color w:val="000000"/>
          <w:shd w:fill="FFFFFF" w:val="clear"/>
        </w:rPr>
        <w:t xml:space="preserve"> </w:t>
      </w:r>
      <w:r>
        <w:rPr>
          <w:rFonts w:ascii="Times New Roman;sans-serif" w:hAnsi="Times New Roman;sans-serif"/>
          <w:b w:val="false"/>
          <w:color w:val="000000"/>
          <w:sz w:val="20"/>
          <w:shd w:fill="FFFFFF" w:val="clear"/>
        </w:rPr>
        <w:t xml:space="preserve">months ended </w:t>
      </w:r>
      <w:r>
        <w:rPr>
          <w:rFonts w:ascii="Times New Roman;sans-serif" w:hAnsi="Times New Roman;sans-serif"/>
          <w:b w:val="false"/>
          <w:color w:val="000000"/>
          <w:sz w:val="20"/>
        </w:rPr>
        <w:t>June 30, 2024.</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The Company allocated $57.6 million of the total consideration to the Series B Preferred based on the fair value and allocated the remaining consideration of $11.5 million to the Senior Notes repurchase. The carrying value of Senior notes repurchased was $19.1 million including $0.6 million of unamortized debt issuance costs. The second quarter’s accrued interest of $0.3 million was forgiven at the time of the repurchase. The Senior Note Repurchase gain of $7.9 million was calculated as the remaining consideration paid of $11.5 million less the carrying value, less the second quarter’s accrued interest forgiven. The Company accounted for the debt repurchase as a redemption with a related party. ASC 470-50-40-2 indicates that such an extinguishment transaction may be in essence a capital transaction. Therefore, the transaction was accounted for as a capital transaction and reflected as an adjustment to APIC, which resulted in a gain of $7.9 million for the three and six</w:t>
      </w:r>
      <w:r>
        <w:rPr>
          <w:color w:val="000000"/>
          <w:shd w:fill="FFFFFF" w:val="clear"/>
        </w:rPr>
        <w:t xml:space="preserve"> </w:t>
      </w:r>
      <w:r>
        <w:rPr>
          <w:rFonts w:ascii="Times New Roman;sans-serif" w:hAnsi="Times New Roman;sans-serif"/>
          <w:b w:val="false"/>
          <w:color w:val="000000"/>
          <w:sz w:val="20"/>
          <w:shd w:fill="FFFFFF" w:val="clear"/>
        </w:rPr>
        <w:t xml:space="preserve">months ended </w:t>
      </w:r>
      <w:r>
        <w:rPr>
          <w:rFonts w:ascii="Times New Roman;sans-serif" w:hAnsi="Times New Roman;sans-serif"/>
          <w:b w:val="false"/>
          <w:color w:val="000000"/>
          <w:sz w:val="20"/>
        </w:rPr>
        <w:t>June 30, 2024.</w:t>
      </w:r>
    </w:p>
    <w:p>
      <w:pPr>
        <w:pStyle w:val="TextBody"/>
        <w:bidi w:val="0"/>
        <w:spacing w:before="0" w:after="0"/>
        <w:ind w:left="0" w:right="0" w:firstLine="360"/>
        <w:jc w:val="both"/>
        <w:rPr/>
      </w:pPr>
      <w:r>
        <w:rPr/>
      </w:r>
    </w:p>
    <w:p>
      <w:pPr>
        <w:pStyle w:val="TextBody"/>
        <w:bidi w:val="0"/>
        <w:spacing w:lineRule="auto" w:line="256" w:before="0" w:after="0"/>
        <w:jc w:val="left"/>
        <w:rPr>
          <w:rFonts w:ascii="Times New Roman;sans-serif" w:hAnsi="Times New Roman;sans-serif"/>
          <w:b/>
          <w:i/>
          <w:color w:val="000000"/>
          <w:sz w:val="20"/>
        </w:rPr>
      </w:pPr>
      <w:r>
        <w:rPr>
          <w:rFonts w:ascii="Times New Roman;sans-serif" w:hAnsi="Times New Roman;sans-serif"/>
          <w:b/>
          <w:i/>
          <w:color w:val="000000"/>
          <w:sz w:val="20"/>
        </w:rPr>
        <w:t>Offering of Senior Notes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June 30, 2021, the Company closed its underwritten public offering of $120.0 million aggregate principal amount of 8.375% senior notes due 2026 at a par value of $25.00 per senior note (the “Senior Notes”). The offering was conducted pursuant to an underwriting agreement (the “Notes Underwriting Agreement”) dated June 25, 2021, by and among the Company and B. Riley Securities, Inc., as representative of the several underwriters (the “Notes Underwriters”). At the closing, the Company issued $125.0 million aggregate principal amount of Senior Notes, inclusive of $5.0 million aggregate principal amount of Senior Notes issued pursuant to the full exercise of the Notes Underwriters’ option to purchase additional Senior Notes.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Notes Underwriting Agreement contains customary representations, warranties and covenants of the Company, customary conditions to closing, indemnification obligations of the Company and the Notes Underwriters, including for liabilities under the Securities Act, other obligations of the parties and termination provisions.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June 30, 2021, the Company entered into an indenture (the “Base Indenture”) and a supplemental indenture (the “First Supplemental Indenture” and, together with the Base Indenture, the “Indenture”) with The Bank of New York Mellon Trust Company National Association, as trustee (the “Trustee”), between the Company and the Trustee. The Indenture establishes the form and provides for the issuance of the Senior Notes.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Senior Notes are senior unsecured obligations of the Company and rank equally in right of payment with all of the Company’s existing and future senior unsecured and unsubordinated indebtedness. The Senior Notes are effectively subordinated in right of payment to all of the Company’s existing and future secured indebtedness to the extent of the value of the assets securing such indebtedness and structurally subordinated to all existing and future indebtedness of the Company’s subsidiaries, including trade payables. The Senior Notes bear interest at the rate of 8.375% per annum. Interest on the Senior Notes is payable quarterly in arrears on January 31, April 30, July 31 and October 31 of each year, commencing on July 31, 2021. The Senior Notes will mature on June 30, 2026, unless redeemed prior to maturity.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b41877c9f6b4423b83513f555592c74c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SYNCHRONOSS TECHNOLOGIES,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tables in thousands, except for per share data or unless otherwise noted)</w:t>
      </w:r>
    </w:p>
    <w:p>
      <w:pPr>
        <w:pStyle w:val="TextBody"/>
        <w:bidi w:val="0"/>
        <w:spacing w:before="0" w:after="0"/>
        <w:jc w:val="center"/>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may, at its option, at any time and from time to time, redeem the Senior Notes for cash in whole or in part (i) on or after June 30, 2022 and prior to June 30, 2023, at a price equal to $25.75 per Senior Note, plus accrued and unpaid interest to, but excluding, the date of redemption, (ii) on or after June 30, 2023 and prior to June 30, 2024, at a price equal to $25.50 per Senior Note, plus accrued and unpaid interest to, but excluding, the date of redemption, (iii) on or after June 30, 2024 and prior to June 30, 2025, at a price equal to $25.25 per Senior Note, plus accrued and unpaid interest to, but excluding, the date of redemption, and (iv) on or after June 30, 2025 and prior to maturity, at a price equal to 100% of their principal amount, plus accrued and unpaid interest to, but excluding, the date of redemption. On and after any redemption date, interest will cease to accrue on the redeemed Senior Notes.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Indenture contains customary events of default and cure provisions. If an uncured default occurs and is continuing, the Trustee or the holders of at least 25% of the principal amount of the Senior Notes may declare the entire amount of the Senior Notes, together with accrued and unpaid interest, if any, to be immediately due and payable. In the case of an event of default involving the Company’s bankruptcy, insolvency or reorganization, the principal of, and accrued and unpaid interest on, the principal amount of the Senior Notes, together with accrued and unpaid interest, if any, will automatically, and without any declaration or other action on the part of the Trustee or the holders of the Senior Notes, become due and payable.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25, 2021, the Company entered into an At Market Issuance Sales Agreement (the “Sales Agreement”) between the Company and B. Riley Securities, Inc. (the “Agent”), a related party, pursuant to which the Company may offer and sell, from time to time, up to $18.0 million of the Company’s 8.375% Senior Notes due 2026. Sales of the additional Senior Notes pursuant to the Sales Agreement, if any, may be made in transactions that are deemed to be “at the market offerings” as defined in Rule 415 under the Securities Act of 1933, as amended (the “Securities Act”). Under the Sales Agreement, the Agent will be entitled to compensation of 2.0% of the gross proceeds of all notes sold through it as the Company’s agent.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shd w:fill="FFFFFF" w:val="clear"/>
        </w:rPr>
        <w:t xml:space="preserve">During the fourth quarter of 2021, the Company sold an additional $16.1 million aggregate principal amount of Senior Notes pursuant to the Sales Agreement. </w:t>
      </w:r>
      <w:r>
        <w:rPr>
          <w:rFonts w:ascii="Times New Roman;sans-serif" w:hAnsi="Times New Roman;sans-serif"/>
          <w:b w:val="false"/>
          <w:color w:val="000000"/>
          <w:sz w:val="20"/>
        </w:rPr>
        <w:t>The additional Senior Notes sold have terms identical to the initial Senior Notes and are fungible and vote together with, the initial Senior Notes. The Senior Notes are listed and trade on The Nasdaq Global Market under the symbol “SNCRL.”</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June 28, 2024, Synchronoss repurchased 787,590 of its Senior Notes from BRPI, as described above.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in compliance with its debt covenants pertaining to the Senior Notes as of June 30, 2024.</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b41877c9f6b4423b83513f555592c74c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SYNCHRONOSS TECHNOLOGIES,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tables in thousands, except for per share data or unless otherwise noted)</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Carrying Value of Debt</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amounts of the Company’s borrowings were as follows:</w:t>
      </w:r>
    </w:p>
    <w:tbl>
      <w:tblPr>
        <w:tblW w:w="7551" w:type="dxa"/>
        <w:jc w:val="left"/>
        <w:tblInd w:w="0" w:type="dxa"/>
        <w:tblLayout w:type="fixed"/>
        <w:tblCellMar>
          <w:top w:w="28" w:type="dxa"/>
          <w:left w:w="28" w:type="dxa"/>
          <w:bottom w:w="28" w:type="dxa"/>
          <w:right w:w="28" w:type="dxa"/>
        </w:tblCellMar>
      </w:tblPr>
      <w:tblGrid>
        <w:gridCol w:w="1396"/>
        <w:gridCol w:w="1227"/>
        <w:gridCol w:w="1231"/>
        <w:gridCol w:w="109"/>
        <w:gridCol w:w="109"/>
        <w:gridCol w:w="109"/>
        <w:gridCol w:w="234"/>
        <w:gridCol w:w="919"/>
        <w:gridCol w:w="121"/>
        <w:gridCol w:w="109"/>
        <w:gridCol w:w="109"/>
        <w:gridCol w:w="109"/>
        <w:gridCol w:w="313"/>
        <w:gridCol w:w="1228"/>
        <w:gridCol w:w="228"/>
      </w:tblGrid>
      <w:tr>
        <w:trPr/>
        <w:tc>
          <w:tcPr>
            <w:tcW w:w="1396"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8.375% Senior Notes due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121,387 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141,077 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Unamortized discount and debt issuance cost</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(4,862)</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Carrying value of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117,971 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136,215 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Unamortized debt issuance cost</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(6,739)</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Carrying value of 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68,261 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carrying value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186,232 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136,215 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1,875 </w:t>
            </w:r>
          </w:p>
        </w:tc>
        <w:tc>
          <w:tcPr>
            <w:tcW w:w="12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184,357 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136,215 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________________________________</w:t>
      </w:r>
    </w:p>
    <w:p>
      <w:pPr>
        <w:pStyle w:val="TextBody"/>
        <w:bidi w:val="0"/>
        <w:spacing w:lineRule="auto" w:line="288" w:before="0" w:after="0"/>
        <w:ind w:left="0" w:right="0" w:hanging="360"/>
        <w:jc w:val="both"/>
        <w:rPr/>
      </w:pPr>
      <w:r>
        <w:rPr>
          <w:rFonts w:ascii="Times New Roman;sans-serif" w:hAnsi="Times New Roman;sans-serif"/>
          <w:b w:val="false"/>
          <w:color w:val="000000"/>
          <w:sz w:val="12"/>
        </w:rPr>
        <w:t>1    </w:t>
      </w:r>
      <w:r>
        <w:rPr>
          <w:rFonts w:ascii="Times New Roman;sans-serif" w:hAnsi="Times New Roman;sans-serif"/>
          <w:b w:val="false"/>
          <w:color w:val="000000"/>
          <w:sz w:val="18"/>
        </w:rPr>
        <w:t>Debt issuance costs are deferred and amortized into interest expense using the effective interest method.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Fair Value of Debt</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Senior Notes was determined based on the closing trading price of the Senior Notes as of June 30, 2024 and is categorized accordingly as Level 2 in the fair value hierarchy. The fair value of the Term Loan approximates the carrying value as of the Term Loan Credit Agreement effective date and is categorized accordingly as Level 2 in the fair value hierarchy. The Company is in compliance with its debt covenants as of June 30, 2024.</w:t>
      </w:r>
    </w:p>
    <w:p>
      <w:pPr>
        <w:pStyle w:val="TextBody"/>
        <w:bidi w:val="0"/>
        <w:spacing w:before="0" w:after="0"/>
        <w:jc w:val="both"/>
        <w:rPr/>
      </w:pPr>
      <w:r>
        <w:rPr/>
      </w:r>
    </w:p>
    <w:tbl>
      <w:tblPr>
        <w:tblW w:w="8259" w:type="dxa"/>
        <w:jc w:val="left"/>
        <w:tblInd w:w="0" w:type="dxa"/>
        <w:tblLayout w:type="fixed"/>
        <w:tblCellMar>
          <w:top w:w="28" w:type="dxa"/>
          <w:left w:w="28" w:type="dxa"/>
          <w:bottom w:w="28" w:type="dxa"/>
          <w:right w:w="28" w:type="dxa"/>
        </w:tblCellMar>
      </w:tblPr>
      <w:tblGrid>
        <w:gridCol w:w="347"/>
        <w:gridCol w:w="305"/>
        <w:gridCol w:w="307"/>
        <w:gridCol w:w="109"/>
        <w:gridCol w:w="109"/>
        <w:gridCol w:w="109"/>
        <w:gridCol w:w="298"/>
        <w:gridCol w:w="1168"/>
        <w:gridCol w:w="154"/>
        <w:gridCol w:w="109"/>
        <w:gridCol w:w="109"/>
        <w:gridCol w:w="109"/>
        <w:gridCol w:w="248"/>
        <w:gridCol w:w="478"/>
        <w:gridCol w:w="128"/>
        <w:gridCol w:w="109"/>
        <w:gridCol w:w="109"/>
        <w:gridCol w:w="109"/>
        <w:gridCol w:w="211"/>
        <w:gridCol w:w="826"/>
        <w:gridCol w:w="109"/>
        <w:gridCol w:w="109"/>
        <w:gridCol w:w="109"/>
        <w:gridCol w:w="109"/>
        <w:gridCol w:w="248"/>
        <w:gridCol w:w="478"/>
        <w:gridCol w:w="128"/>
        <w:gridCol w:w="109"/>
        <w:gridCol w:w="109"/>
        <w:gridCol w:w="109"/>
        <w:gridCol w:w="211"/>
        <w:gridCol w:w="826"/>
        <w:gridCol w:w="154"/>
      </w:tblGrid>
      <w:tr>
        <w:trPr/>
        <w:tc>
          <w:tcPr>
            <w:tcW w:w="34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3"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Balance at June 30, 2024</w:t>
            </w:r>
          </w:p>
        </w:tc>
      </w:tr>
      <w:tr>
        <w:trPr/>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r>
      <w:tr>
        <w:trPr/>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186,232 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174,888 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174,888 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8259" w:type="dxa"/>
        <w:jc w:val="left"/>
        <w:tblInd w:w="0" w:type="dxa"/>
        <w:tblLayout w:type="fixed"/>
        <w:tblCellMar>
          <w:top w:w="28" w:type="dxa"/>
          <w:left w:w="28" w:type="dxa"/>
          <w:bottom w:w="28" w:type="dxa"/>
          <w:right w:w="28" w:type="dxa"/>
        </w:tblCellMar>
      </w:tblPr>
      <w:tblGrid>
        <w:gridCol w:w="347"/>
        <w:gridCol w:w="305"/>
        <w:gridCol w:w="307"/>
        <w:gridCol w:w="109"/>
        <w:gridCol w:w="109"/>
        <w:gridCol w:w="109"/>
        <w:gridCol w:w="298"/>
        <w:gridCol w:w="1168"/>
        <w:gridCol w:w="154"/>
        <w:gridCol w:w="109"/>
        <w:gridCol w:w="109"/>
        <w:gridCol w:w="109"/>
        <w:gridCol w:w="248"/>
        <w:gridCol w:w="478"/>
        <w:gridCol w:w="128"/>
        <w:gridCol w:w="109"/>
        <w:gridCol w:w="109"/>
        <w:gridCol w:w="109"/>
        <w:gridCol w:w="211"/>
        <w:gridCol w:w="826"/>
        <w:gridCol w:w="109"/>
        <w:gridCol w:w="109"/>
        <w:gridCol w:w="109"/>
        <w:gridCol w:w="109"/>
        <w:gridCol w:w="248"/>
        <w:gridCol w:w="478"/>
        <w:gridCol w:w="128"/>
        <w:gridCol w:w="109"/>
        <w:gridCol w:w="109"/>
        <w:gridCol w:w="109"/>
        <w:gridCol w:w="211"/>
        <w:gridCol w:w="826"/>
        <w:gridCol w:w="154"/>
      </w:tblGrid>
      <w:tr>
        <w:trPr/>
        <w:tc>
          <w:tcPr>
            <w:tcW w:w="34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3"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Balance at December 31, 2023</w:t>
            </w:r>
          </w:p>
        </w:tc>
      </w:tr>
      <w:tr>
        <w:trPr/>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r>
      <w:tr>
        <w:trPr/>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136,215 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107,557 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107,557 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b41877c9f6b4423b83513f555592c74c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SYNCHRONOSS TECHNOLOGIES,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tables in thousands, except for per share data or unless otherwise noted)</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Interest Expense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interest expense:</w:t>
      </w:r>
    </w:p>
    <w:tbl>
      <w:tblPr>
        <w:tblW w:w="9556" w:type="dxa"/>
        <w:jc w:val="left"/>
        <w:tblInd w:w="0" w:type="dxa"/>
        <w:tblLayout w:type="fixed"/>
        <w:tblCellMar>
          <w:top w:w="28" w:type="dxa"/>
          <w:left w:w="28" w:type="dxa"/>
          <w:bottom w:w="28" w:type="dxa"/>
          <w:right w:w="28" w:type="dxa"/>
        </w:tblCellMar>
      </w:tblPr>
      <w:tblGrid>
        <w:gridCol w:w="1146"/>
        <w:gridCol w:w="1007"/>
        <w:gridCol w:w="1011"/>
        <w:gridCol w:w="109"/>
        <w:gridCol w:w="109"/>
        <w:gridCol w:w="109"/>
        <w:gridCol w:w="211"/>
        <w:gridCol w:w="616"/>
        <w:gridCol w:w="109"/>
        <w:gridCol w:w="109"/>
        <w:gridCol w:w="109"/>
        <w:gridCol w:w="109"/>
        <w:gridCol w:w="211"/>
        <w:gridCol w:w="616"/>
        <w:gridCol w:w="109"/>
        <w:gridCol w:w="109"/>
        <w:gridCol w:w="109"/>
        <w:gridCol w:w="109"/>
        <w:gridCol w:w="109"/>
        <w:gridCol w:w="177"/>
        <w:gridCol w:w="343"/>
        <w:gridCol w:w="1003"/>
        <w:gridCol w:w="177"/>
        <w:gridCol w:w="177"/>
        <w:gridCol w:w="177"/>
        <w:gridCol w:w="177"/>
        <w:gridCol w:w="211"/>
        <w:gridCol w:w="616"/>
        <w:gridCol w:w="109"/>
        <w:gridCol w:w="109"/>
        <w:gridCol w:w="154"/>
      </w:tblGrid>
      <w:tr>
        <w:trPr/>
        <w:tc>
          <w:tcPr>
            <w:tcW w:w="114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2231"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1199" w:type="dxa"/>
            <w:gridSpan w:val="5"/>
            <w:tcBorders/>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2021 8.375% Senior Notes due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discount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7,003 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00" w:after="283"/>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________________________________</w:t>
      </w:r>
    </w:p>
    <w:p>
      <w:pPr>
        <w:pStyle w:val="TextBody"/>
        <w:bidi w:val="0"/>
        <w:spacing w:lineRule="auto" w:line="268" w:before="0" w:after="0"/>
        <w:ind w:left="0" w:right="0" w:hanging="360"/>
        <w:jc w:val="left"/>
        <w:rPr/>
      </w:pPr>
      <w:r>
        <w:rPr>
          <w:rFonts w:ascii="Times New Roman;sans-serif" w:hAnsi="Times New Roman;sans-serif"/>
          <w:b w:val="false"/>
          <w:color w:val="000000"/>
          <w:sz w:val="12"/>
        </w:rPr>
        <w:t>1    </w:t>
      </w:r>
      <w:r>
        <w:rPr>
          <w:rFonts w:ascii="Times New Roman;sans-serif" w:hAnsi="Times New Roman;sans-serif"/>
          <w:b w:val="false"/>
          <w:color w:val="000000"/>
          <w:sz w:val="18"/>
        </w:rPr>
        <w:t>Includes interest on uncertain tax provisions.</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Note 10. Accumulated Other Comprehensive (Loss) / Income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changes in accumulated other comprehensive (loss) income during the six months ended June 30, 2024 were as follows:</w:t>
      </w:r>
    </w:p>
    <w:tbl>
      <w:tblPr>
        <w:tblW w:w="10205" w:type="dxa"/>
        <w:jc w:val="left"/>
        <w:tblInd w:w="0" w:type="dxa"/>
        <w:tblLayout w:type="fixed"/>
        <w:tblCellMar>
          <w:top w:w="28" w:type="dxa"/>
          <w:left w:w="28" w:type="dxa"/>
          <w:bottom w:w="28" w:type="dxa"/>
          <w:right w:w="28" w:type="dxa"/>
        </w:tblCellMar>
      </w:tblPr>
      <w:tblGrid>
        <w:gridCol w:w="1261"/>
        <w:gridCol w:w="1090"/>
        <w:gridCol w:w="1013"/>
        <w:gridCol w:w="339"/>
        <w:gridCol w:w="1254"/>
        <w:gridCol w:w="175"/>
        <w:gridCol w:w="109"/>
        <w:gridCol w:w="109"/>
        <w:gridCol w:w="109"/>
        <w:gridCol w:w="373"/>
        <w:gridCol w:w="1119"/>
        <w:gridCol w:w="195"/>
        <w:gridCol w:w="109"/>
        <w:gridCol w:w="109"/>
        <w:gridCol w:w="109"/>
        <w:gridCol w:w="230"/>
        <w:gridCol w:w="444"/>
        <w:gridCol w:w="119"/>
        <w:gridCol w:w="109"/>
        <w:gridCol w:w="109"/>
        <w:gridCol w:w="109"/>
        <w:gridCol w:w="296"/>
        <w:gridCol w:w="1092"/>
        <w:gridCol w:w="224"/>
      </w:tblGrid>
      <w:tr>
        <w:trPr/>
        <w:tc>
          <w:tcPr>
            <w:tcW w:w="1261"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3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Balance at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Tax effect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Balance at June 30, 2024</w:t>
            </w:r>
          </w:p>
        </w:tc>
      </w:tr>
      <w:tr>
        <w:trPr/>
        <w:tc>
          <w:tcPr>
            <w:tcW w:w="3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(22,212)</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(8,275)</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(30,487)</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on intercompany foreign currency transactions</w:t>
            </w:r>
          </w:p>
        </w:tc>
        <w:tc>
          <w:tcPr>
            <w:tcW w:w="1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(3,520)</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(3,520)</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4" w:type="dxa"/>
            <w:gridSpan w:val="3"/>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2" w:type="dxa"/>
            <w:gridSpan w:val="3"/>
            <w:tcBorders/>
            <w:vAlign w:val="center"/>
          </w:tcPr>
          <w:p>
            <w:pPr>
              <w:pStyle w:val="TableContents"/>
              <w:bidi w:val="0"/>
              <w:spacing w:before="0" w:after="283"/>
              <w:jc w:val="left"/>
              <w:rPr>
                <w:sz w:val="4"/>
                <w:szCs w:val="4"/>
              </w:rPr>
            </w:pPr>
            <w:r>
              <w:rPr>
                <w:sz w:val="4"/>
                <w:szCs w:val="4"/>
              </w:rPr>
            </w:r>
          </w:p>
        </w:tc>
      </w:tr>
      <w:tr>
        <w:trPr/>
        <w:tc>
          <w:tcPr>
            <w:tcW w:w="3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(25,732)</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(8,275)</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(34,007)</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Note 11. Capital Structure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Reverse Stock Split</w:t>
      </w:r>
    </w:p>
    <w:p>
      <w:pPr>
        <w:pStyle w:val="TextBody"/>
        <w:bidi w:val="0"/>
        <w:spacing w:before="0" w:after="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4, 2023, the Company’s stockholders approved proposals at a special meeting of stockholders (the “Special Meeting”) amending the Company’s Restated Certificate of Incorporation (as amended, the “Certificate of Incorporation”), to effect a reverse stock split of the Company’s common stock, $0.0001 par value (“Common Stock”), at a ratio in the range of 1-to-5 to 1-to-20, and an associated reduction in the number of shares of Common Stock the Company is authorized to issue. On December 4, 2023, the Company’s Board of Directors (the “Board”) approved a final split ratio of 1-for-9 (the “Reverse Stock Split”) where each nine (9) shares of Common Stock issued and outstanding immediately prior to the Effective Time shall, automatically and without any action on the part of the respective holders thereof, be combined and converted into one (1) share of Common Stock. </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Following such approvals, the Company filed an amendment to the Certificate of Incorporation (the “Certificate of Amendment”) to effect the Reverse Stock Split with the Secretary of State of the State of Delaware on December 8, 2023 as of 4:01 p.m. Eastern Time. The Certificate of Amendment states that the Company is authorized to issue two classes of stock to be designated common stock (“Common Stock”) and preferred stock (“Preferred Stock”). The number of shares of Common Stock authorized to be issued is sixteen million six hundred sixty-six thousand six hundred sixty-seven (16,666,667), par value $0.0001 per share, and the number of shares of Preferred Stock authorized to be issued is ten million (10,000,000), par value $0.0001 per share.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b41877c9f6b4423b83513f555592c74c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SYNCHRONOSS TECHNOLOGIES,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tables in thousands, except for per share data or unless otherwise noted)</w:t>
      </w:r>
    </w:p>
    <w:p>
      <w:pPr>
        <w:pStyle w:val="TextBody"/>
        <w:bidi w:val="0"/>
        <w:spacing w:before="0" w:after="0"/>
        <w:jc w:val="center"/>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the opening of trading on December 11, 2023, the Company’s Common Stock began trading on a post-split basis under CUSIP number 87157B400. The Company’s Common Stock will continue to trade on the Nasdaq Capital Market under the symbol “SNCR”. </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Reverse Stock Split was effected simultaneously for all shares of Common Stock issued and outstanding, and affected all holders of the Company’s Common Stock uniformly and did not affect any stockholder’s percentage ownership interests in the Company, except with respect to the treatment of fractional shares. The Company did not issue fractional shares for post-Reverse Stock Split shares in connection with the Reverse Stock Split. Stockholders who otherwise were entitled to receive a fractional share of Common Stock had such fractional share rounded up to the nearest whole share. The Company retroactively displayed the effect of the Reverse Stock Split change in the Consolidated Balance Sheets, and retroactively adjusted the computations of basic and diluted EPS for all periods presented on the Consolidated Statement of Operations.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2024, the Company’s authorized capital stock was 26,666,667 shares of stock with a par value of $0.0001, of which 16,666,667 shares were designated as common stock and 10,000,000 shares were designated as preferred stock, 150,000 of which were designated Series B Perpetual Non-Convertible Preferred Stock.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Common Stock</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Each holder of common stock is entitled to vote on all matters and is entitled to one vote for each share held. Dividends on common stock will be paid when, and if, declared by the Company’s Board of Directors. No dividends have ever been declared or paid by the Company. </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Preferred Stock</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Board of Directors (the “Board”) is authorized to issue preferred shares and has the discretion to determine the rights, preferences, privileges and restrictions, including voting rights, dividend rights, conversion rights, redemption privileges and liquidation preferences of preferred stock.</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Investor Rights Agreement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June 30, 2021, the Company, B. Riley Financial and BRPI entered into an Investor Rights Agreement (the “Investor Rights Agreement”). Pursuant to the Investor Rights Agreement, for so long as affiliates of B. Riley Financial beneficially own at least 10% of the outstanding shares of common stock (unless such equity threshold percentage is not met due to dilution from equity issuances), B. Riley Financial is entitled to nominate one Class II director (the “B. Riley Nominee”) to the Company’s board of directors (the “Board”), who shall be an employee of B. Riley Financial or its affiliates and is approved by the Board, such approval not to be unreasonably withheld. For so long as affiliates of B. Riley Financial beneficially own 5% or more but less than 10% of the outstanding shares of common stock (unless such equity threshold percentage is not met due to dilution from equity issuances), B. Riley Financial is entitled to certain board observer rights.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Series B Non-Convertible Preferred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June 30, 2021, the Company closed a private placement of 75,000 shares of its Series B Perpetual Non-Convertible Preferred Stock, par value $0.0001 per share, with an initial liquidation preference of $1,000 per share (the “Series B Preferred”), for net proceeds of $72.5 million (the “Series B Transaction”). The sale of the Series B Preferred was pursuant to the Series B Preferred Stock Purchase Agreement, dated as of June 24, 2021 (the “Series B Purchase Agreement”), between the Company and BRPI. In connection with the closing of the Series B Transaction, the Company (i) filed a Certificate of Designation with the State of Delaware setting forth the rights, preferences, privileges, qualifications, restrictions and limitations on the Series B Preferred (the “Series B Certificate”) and (ii) entered into an Investor Rights Agreement with B. Riley Financial, Inc. (“B. Riley Financial”) and BRPI setting forth certain governance and registration rights of B. Riley Financial with respect to the Company.</w:t>
      </w:r>
    </w:p>
    <w:p>
      <w:pPr>
        <w:pStyle w:val="TextBody"/>
        <w:bidi w:val="0"/>
        <w:spacing w:before="0" w:after="0"/>
        <w:ind w:left="0" w:right="0" w:firstLine="360"/>
        <w:jc w:val="both"/>
        <w:rPr/>
      </w:pPr>
      <w:r>
        <w:rPr/>
      </w:r>
    </w:p>
    <w:p>
      <w:pPr>
        <w:pStyle w:val="TextBody"/>
        <w:bidi w:val="0"/>
        <w:spacing w:lineRule="auto" w:line="288" w:before="0" w:after="0"/>
        <w:jc w:val="both"/>
        <w:rPr/>
      </w:pPr>
      <w:r>
        <w:rPr>
          <w:rFonts w:ascii="Times New Roman;sans-serif" w:hAnsi="Times New Roman;sans-serif"/>
          <w:b w:val="false"/>
          <w:color w:val="000000"/>
          <w:sz w:val="20"/>
          <w:u w:val="single"/>
        </w:rPr>
        <w:t>Repurchase</w:t>
      </w:r>
      <w:r>
        <w:rPr>
          <w:color w:val="000000"/>
          <w:u w:val="single"/>
          <w:shd w:fill="FFFFFF" w:val="clear"/>
        </w:rPr>
        <w:t xml:space="preserve"> </w:t>
      </w:r>
      <w:r>
        <w:rPr>
          <w:rFonts w:ascii="Times New Roman;sans-serif" w:hAnsi="Times New Roman;sans-serif"/>
          <w:b w:val="false"/>
          <w:color w:val="000000"/>
          <w:sz w:val="20"/>
          <w:u w:val="single"/>
          <w:shd w:fill="FFFFFF" w:val="clear"/>
        </w:rPr>
        <w:t>of Series B Preferred</w:t>
      </w:r>
    </w:p>
    <w:p>
      <w:pPr>
        <w:pStyle w:val="TextBody"/>
        <w:bidi w:val="0"/>
        <w:spacing w:before="0" w:after="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28, 2024 the Company repurchased all outstanding shares of the Series B Preferred stock, as discussed in Note 9. Debt of the Notes to Condensed Consolidated Financial Statements in Item 1 of this Form 10-Q. As a result of the Series B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b41877c9f6b4423b83513f555592c74c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SYNCHRONOSS TECHNOLOGIES,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tables in thousands, except for per share data or unless otherwise noted)</w:t>
      </w:r>
    </w:p>
    <w:p>
      <w:pPr>
        <w:pStyle w:val="TextBody"/>
        <w:bidi w:val="0"/>
        <w:spacing w:before="0" w:after="0"/>
        <w:jc w:val="center"/>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Repurchase, no shares of the Series B Preferred remain outstanding as of </w:t>
      </w:r>
      <w:r>
        <w:rPr>
          <w:rFonts w:ascii="Times New Roman;sans-serif" w:hAnsi="Times New Roman;sans-serif"/>
          <w:b w:val="false"/>
          <w:color w:val="000000"/>
          <w:sz w:val="20"/>
          <w:shd w:fill="FFFFFF" w:val="clear"/>
        </w:rPr>
        <w:t>June 30, 2024. O</w:t>
      </w:r>
      <w:r>
        <w:rPr>
          <w:rFonts w:ascii="Times New Roman;sans-serif" w:hAnsi="Times New Roman;sans-serif"/>
          <w:b w:val="false"/>
          <w:color w:val="000000"/>
          <w:sz w:val="20"/>
        </w:rPr>
        <w:t>n July 1, 2024 the Company filed a certificate of elimination to the Series B Certificate with the Secretary of State of the State of Delaware.</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 summary of the Company’s Series B Perpetual Non-Convertible Preferred Stock balance at June 30, 2024 and changes during the six months ended June 30, 2024, are presented below:</w:t>
      </w:r>
    </w:p>
    <w:tbl>
      <w:tblPr>
        <w:tblW w:w="7772" w:type="dxa"/>
        <w:jc w:val="left"/>
        <w:tblInd w:w="0" w:type="dxa"/>
        <w:tblLayout w:type="fixed"/>
        <w:tblCellMar>
          <w:top w:w="28" w:type="dxa"/>
          <w:left w:w="28" w:type="dxa"/>
          <w:bottom w:w="28" w:type="dxa"/>
          <w:right w:w="28" w:type="dxa"/>
        </w:tblCellMar>
      </w:tblPr>
      <w:tblGrid>
        <w:gridCol w:w="1916"/>
        <w:gridCol w:w="1684"/>
        <w:gridCol w:w="1694"/>
        <w:gridCol w:w="225"/>
        <w:gridCol w:w="225"/>
        <w:gridCol w:w="226"/>
        <w:gridCol w:w="139"/>
        <w:gridCol w:w="139"/>
        <w:gridCol w:w="139"/>
        <w:gridCol w:w="269"/>
        <w:gridCol w:w="920"/>
        <w:gridCol w:w="196"/>
      </w:tblGrid>
      <w:tr>
        <w:trPr/>
        <w:tc>
          <w:tcPr>
            <w:tcW w:w="1916" w:type="dxa"/>
            <w:tcBorders/>
            <w:vAlign w:val="center"/>
          </w:tcPr>
          <w:p>
            <w:pPr>
              <w:pStyle w:val="TableContents"/>
              <w:bidi w:val="0"/>
              <w:spacing w:before="0" w:after="283"/>
              <w:jc w:val="left"/>
              <w:rPr>
                <w:sz w:val="4"/>
                <w:szCs w:val="4"/>
              </w:rPr>
            </w:pPr>
            <w:r>
              <w:rPr>
                <w:sz w:val="4"/>
                <w:szCs w:val="4"/>
              </w:rPr>
            </w:r>
          </w:p>
        </w:tc>
        <w:tc>
          <w:tcPr>
            <w:tcW w:w="1684"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Series B Preferred Stock</w:t>
            </w:r>
          </w:p>
        </w:tc>
      </w:tr>
      <w:tr>
        <w:trPr/>
        <w:tc>
          <w:tcPr>
            <w:tcW w:w="5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Balance at December 31, 2023</w:t>
            </w:r>
            <w:r>
              <w:rPr>
                <w:rFonts w:ascii="Times New Roman;sans-serif" w:hAnsi="Times New Roman;sans-serif"/>
                <w:b w:val="false"/>
                <w:color w:val="000000"/>
                <w:sz w:val="13"/>
              </w:rPr>
              <w:t>1</w:t>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58,802 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r>
      <w:tr>
        <w:trPr/>
        <w:tc>
          <w:tcPr>
            <w:tcW w:w="5294"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r>
      <w:tr>
        <w:trPr/>
        <w:tc>
          <w:tcPr>
            <w:tcW w:w="5294"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r>
      <w:tr>
        <w:trPr/>
        <w:tc>
          <w:tcPr>
            <w:tcW w:w="5294"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r>
      <w:tr>
        <w:trPr/>
        <w:tc>
          <w:tcPr>
            <w:tcW w:w="5294"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r>
      <w:tr>
        <w:trPr/>
        <w:tc>
          <w:tcPr>
            <w:tcW w:w="5294"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Excise tax on fair value of Series B Preferred stock at repurchase</w:t>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Series B Preferred stock</w:t>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(58,226)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June 30, 2024</w:t>
            </w:r>
          </w:p>
        </w:tc>
        <w:tc>
          <w:tcPr>
            <w:tcW w:w="45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________________________________</w:t>
      </w:r>
    </w:p>
    <w:p>
      <w:pPr>
        <w:pStyle w:val="TextBody"/>
        <w:bidi w:val="0"/>
        <w:spacing w:lineRule="auto" w:line="288" w:before="0" w:after="0"/>
        <w:ind w:left="0" w:right="0" w:hanging="360"/>
        <w:jc w:val="both"/>
        <w:rPr/>
      </w:pPr>
      <w:r>
        <w:rPr>
          <w:rFonts w:ascii="Times New Roman;sans-serif" w:hAnsi="Times New Roman;sans-serif"/>
          <w:b w:val="false"/>
          <w:color w:val="000000"/>
          <w:sz w:val="12"/>
        </w:rPr>
        <w:t>1    </w:t>
      </w:r>
      <w:r>
        <w:rPr>
          <w:rFonts w:ascii="Times New Roman;sans-serif" w:hAnsi="Times New Roman;sans-serif"/>
          <w:b w:val="false"/>
          <w:color w:val="000000"/>
          <w:sz w:val="18"/>
        </w:rPr>
        <w:t>Series B Preferred stock net principal balance of $58.8 million is presented as gross principal balance of $60.8 million net of $2.0 million unamortized issuance costs.</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The Company paid Series B Perpetual Preferred stock dividends of $4.3 million in cash for the </w:t>
      </w:r>
      <w:r>
        <w:rPr>
          <w:rFonts w:ascii="Times New Roman;sans-serif" w:hAnsi="Times New Roman;sans-serif"/>
          <w:b w:val="false"/>
          <w:color w:val="000000"/>
          <w:sz w:val="20"/>
          <w:shd w:fill="FFFFFF" w:val="clear"/>
        </w:rPr>
        <w:t>six months ended June 30, 2024</w:t>
      </w:r>
      <w:r>
        <w:rPr>
          <w:rFonts w:ascii="Times New Roman;sans-serif" w:hAnsi="Times New Roman;sans-serif"/>
          <w:b w:val="false"/>
          <w:color w:val="000000"/>
          <w:sz w:val="20"/>
        </w:rPr>
        <w:t xml:space="preserv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Note 12. Stock Plans </w:t>
      </w:r>
    </w:p>
    <w:p>
      <w:pPr>
        <w:pStyle w:val="TextBody"/>
        <w:bidi w:val="0"/>
        <w:spacing w:before="0" w:after="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8, 2023 the Company filed an amendment to the Certificate of Amendment to effect the Reverse Stock Split with the Secretary of State of the State of Delaware. The Certificate of Amendment states that the Company is authorized to issue 16,666,667 shares of Common Stock, par value $0.0001 per share, and 10,000,000 shares of Preferred Stock, par value $0.0001 per share, 150,000 of which were designated Series B Perpetual Non-Convertible Preferred Stock. </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pPr>
      <w:r>
        <w:rPr>
          <w:rFonts w:ascii="Times New Roman;sans-serif" w:hAnsi="Times New Roman;sans-serif"/>
          <w:b w:val="false"/>
          <w:color w:val="000000"/>
          <w:sz w:val="20"/>
          <w:shd w:fill="FFFFFF" w:val="clear"/>
        </w:rPr>
        <w:t xml:space="preserve">As of </w:t>
      </w:r>
      <w:r>
        <w:rPr>
          <w:rFonts w:ascii="Times New Roman;sans-serif" w:hAnsi="Times New Roman;sans-serif"/>
          <w:b w:val="false"/>
          <w:color w:val="000000"/>
          <w:sz w:val="20"/>
        </w:rPr>
        <w:t>June 30, 2024</w:t>
      </w:r>
      <w:r>
        <w:rPr>
          <w:rFonts w:ascii="Times New Roman;sans-serif" w:hAnsi="Times New Roman;sans-serif"/>
          <w:b w:val="false"/>
          <w:color w:val="000000"/>
          <w:sz w:val="20"/>
          <w:shd w:fill="FFFFFF" w:val="clear"/>
        </w:rPr>
        <w:t xml:space="preserve">, the Company maintains two stock-based compensation plans, </w:t>
      </w:r>
      <w:r>
        <w:rPr>
          <w:rFonts w:ascii="Times New Roman;sans-serif" w:hAnsi="Times New Roman;sans-serif"/>
          <w:b w:val="false"/>
          <w:color w:val="000000"/>
          <w:sz w:val="20"/>
        </w:rPr>
        <w:t xml:space="preserve">the 2015 Equity Incentive Plan (the “2015 Plan”) and the 2017 New Hire Equity Incentive Plan (“2017 Plan”).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the annual meeting of stockholders the Company held on June 5, 2024, the Company’s stockholders approved the amendment and restatement of the Company’s 2015 Equity Incentive Plan to increase the maximum total number of shares of common stock issuable under the Plan by 1,053,000 shares.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2024 the maximum number of shares of common stock authorized for issuance under the 2015 Plan and 2017 Plan was 5,741,576 shares and 229,635, respectively.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As of June 30, 2024, there were 1.1 million shares available for the grant or award under the Company’s 2015 Plan and 0.1 million shares available for the grant or award under the Company’s 2017 Plan.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shd w:fill="FFFFFF" w:val="clear"/>
        </w:rPr>
        <w:t>The Company’s performance-based cash unit (“PBCU”) awards granted to employees under the Long-Term Incentive (“LTI”) Plans have been accounted for as liability awards, due to the Company’s intent and ability to settle such awards in cash upon vesting</w:t>
      </w:r>
      <w:r>
        <w:rPr>
          <w:rFonts w:ascii="Times New Roman;sans-serif" w:hAnsi="Times New Roman;sans-serif"/>
          <w:b w:val="false"/>
          <w:color w:val="000000"/>
          <w:sz w:val="20"/>
        </w:rPr>
        <w:t xml:space="preserve">. Performance-based cash units are measured at the closing stock price and at the fair value obtained using the Monte-Carlo simulation at the reporting period end date. The expense is recognized straight line over the requisite service period. The Company has reflected such awards in accrued </w:t>
      </w:r>
      <w:r>
        <w:rPr>
          <w:rFonts w:ascii="Times New Roman;sans-serif" w:hAnsi="Times New Roman;sans-serif"/>
          <w:b w:val="false"/>
          <w:color w:val="000000"/>
          <w:sz w:val="20"/>
          <w:shd w:fill="FFFFFF" w:val="clear"/>
        </w:rPr>
        <w:t>expenses on the Condensed Consolidated Balance Sheets. As of June 30, 2024, the liability for such awards was $0.8 million.</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b41877c9f6b4423b83513f555592c74c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SYNCHRONOSS TECHNOLOGIES,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tables in thousands, except for per share data or unless otherwise noted)</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Stock-Based Compensation</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summarizes stock-based compensation expense related to all of the Company’s stock awards included by operating expense categories, as follows:</w:t>
      </w:r>
    </w:p>
    <w:tbl>
      <w:tblPr>
        <w:tblW w:w="9514" w:type="dxa"/>
        <w:jc w:val="left"/>
        <w:tblInd w:w="0" w:type="dxa"/>
        <w:tblLayout w:type="fixed"/>
        <w:tblCellMar>
          <w:top w:w="28" w:type="dxa"/>
          <w:left w:w="28" w:type="dxa"/>
          <w:bottom w:w="28" w:type="dxa"/>
          <w:right w:w="28" w:type="dxa"/>
        </w:tblCellMar>
      </w:tblPr>
      <w:tblGrid>
        <w:gridCol w:w="1247"/>
        <w:gridCol w:w="1099"/>
        <w:gridCol w:w="1103"/>
        <w:gridCol w:w="211"/>
        <w:gridCol w:w="616"/>
        <w:gridCol w:w="109"/>
        <w:gridCol w:w="109"/>
        <w:gridCol w:w="109"/>
        <w:gridCol w:w="109"/>
        <w:gridCol w:w="211"/>
        <w:gridCol w:w="616"/>
        <w:gridCol w:w="109"/>
        <w:gridCol w:w="109"/>
        <w:gridCol w:w="109"/>
        <w:gridCol w:w="109"/>
        <w:gridCol w:w="109"/>
        <w:gridCol w:w="177"/>
        <w:gridCol w:w="343"/>
        <w:gridCol w:w="1003"/>
        <w:gridCol w:w="177"/>
        <w:gridCol w:w="177"/>
        <w:gridCol w:w="177"/>
        <w:gridCol w:w="177"/>
        <w:gridCol w:w="211"/>
        <w:gridCol w:w="616"/>
        <w:gridCol w:w="109"/>
        <w:gridCol w:w="109"/>
        <w:gridCol w:w="154"/>
      </w:tblGrid>
      <w:tr>
        <w:trPr/>
        <w:tc>
          <w:tcPr>
            <w:tcW w:w="1247"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2231"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1199" w:type="dxa"/>
            <w:gridSpan w:val="5"/>
            <w:tcBorders/>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2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5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2,355 </w:t>
            </w:r>
          </w:p>
        </w:tc>
        <w:tc>
          <w:tcPr>
            <w:tcW w:w="17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stock-based compensation expense related to all of the Company’s stock awards included by award type, as follows:</w:t>
      </w:r>
    </w:p>
    <w:tbl>
      <w:tblPr>
        <w:tblW w:w="9830" w:type="dxa"/>
        <w:jc w:val="left"/>
        <w:tblInd w:w="0" w:type="dxa"/>
        <w:tblLayout w:type="fixed"/>
        <w:tblCellMar>
          <w:top w:w="28" w:type="dxa"/>
          <w:left w:w="28" w:type="dxa"/>
          <w:bottom w:w="28" w:type="dxa"/>
          <w:right w:w="28" w:type="dxa"/>
        </w:tblCellMar>
      </w:tblPr>
      <w:tblGrid>
        <w:gridCol w:w="1361"/>
        <w:gridCol w:w="1197"/>
        <w:gridCol w:w="1207"/>
        <w:gridCol w:w="211"/>
        <w:gridCol w:w="616"/>
        <w:gridCol w:w="109"/>
        <w:gridCol w:w="109"/>
        <w:gridCol w:w="109"/>
        <w:gridCol w:w="109"/>
        <w:gridCol w:w="211"/>
        <w:gridCol w:w="616"/>
        <w:gridCol w:w="109"/>
        <w:gridCol w:w="109"/>
        <w:gridCol w:w="109"/>
        <w:gridCol w:w="109"/>
        <w:gridCol w:w="109"/>
        <w:gridCol w:w="177"/>
        <w:gridCol w:w="343"/>
        <w:gridCol w:w="1003"/>
        <w:gridCol w:w="177"/>
        <w:gridCol w:w="177"/>
        <w:gridCol w:w="177"/>
        <w:gridCol w:w="177"/>
        <w:gridCol w:w="211"/>
        <w:gridCol w:w="616"/>
        <w:gridCol w:w="109"/>
        <w:gridCol w:w="109"/>
        <w:gridCol w:w="154"/>
      </w:tblGrid>
      <w:tr>
        <w:trPr/>
        <w:tc>
          <w:tcPr>
            <w:tcW w:w="1361"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2231"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1199" w:type="dxa"/>
            <w:gridSpan w:val="5"/>
            <w:tcBorders/>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awards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Performance-based cash units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before taxes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2,355 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Tax benefit </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4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524 </w:t>
            </w:r>
          </w:p>
        </w:tc>
        <w:tc>
          <w:tcPr>
            <w:tcW w:w="17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7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total unamortized stock-based compensation cost related to unvested equity awards as of June 30, 2024 was $5.9 million. The expense is expected to be recognized over a weighted-average period of approximately 2.2 years.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total unamortized stock-based compensation cost related to unvested performance-based cash units as of June 30, 2024 was $4.4 million. The expense is expected to be recognized over a weighted-average period of approximately 1.8 years.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Note 13. Restructuring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continues to identify workforce optimization opportunities to better align the Company’s resources with its key strategic priorities.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the Company’s restructuring accrual at June 30, 2024 and changes during the six months ended June 30, 2024, are presented below:</w:t>
      </w:r>
    </w:p>
    <w:tbl>
      <w:tblPr>
        <w:tblW w:w="5327" w:type="dxa"/>
        <w:jc w:val="left"/>
        <w:tblInd w:w="0" w:type="dxa"/>
        <w:tblLayout w:type="fixed"/>
        <w:tblCellMar>
          <w:top w:w="28" w:type="dxa"/>
          <w:left w:w="28" w:type="dxa"/>
          <w:bottom w:w="28" w:type="dxa"/>
          <w:right w:w="28" w:type="dxa"/>
        </w:tblCellMar>
      </w:tblPr>
      <w:tblGrid>
        <w:gridCol w:w="939"/>
        <w:gridCol w:w="825"/>
        <w:gridCol w:w="830"/>
        <w:gridCol w:w="109"/>
        <w:gridCol w:w="563"/>
        <w:gridCol w:w="1646"/>
        <w:gridCol w:w="415"/>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Employee Termination Costs</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2,388 </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Charges</w:t>
            </w:r>
          </w:p>
        </w:tc>
        <w:tc>
          <w:tcPr>
            <w:tcW w:w="109" w:type="dxa"/>
            <w:tcBorders/>
            <w:vAlign w:val="center"/>
          </w:tcPr>
          <w:p>
            <w:pPr>
              <w:pStyle w:val="TableContents"/>
              <w:bidi w:val="0"/>
              <w:spacing w:before="0" w:after="283"/>
              <w:jc w:val="left"/>
              <w:rPr>
                <w:sz w:val="4"/>
                <w:szCs w:val="4"/>
              </w:rPr>
            </w:pPr>
            <w:r>
              <w:rPr>
                <w:sz w:val="4"/>
                <w:szCs w:val="4"/>
              </w:rPr>
            </w:r>
          </w:p>
        </w:tc>
        <w:tc>
          <w:tcPr>
            <w:tcW w:w="2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w:t>
            </w:r>
          </w:p>
        </w:tc>
        <w:tc>
          <w:tcPr>
            <w:tcW w:w="109" w:type="dxa"/>
            <w:tcBorders/>
            <w:vAlign w:val="center"/>
          </w:tcPr>
          <w:p>
            <w:pPr>
              <w:pStyle w:val="TableContents"/>
              <w:bidi w:val="0"/>
              <w:spacing w:before="0" w:after="283"/>
              <w:jc w:val="left"/>
              <w:rPr>
                <w:sz w:val="4"/>
                <w:szCs w:val="4"/>
              </w:rPr>
            </w:pPr>
            <w:r>
              <w:rPr>
                <w:sz w:val="4"/>
                <w:szCs w:val="4"/>
              </w:rPr>
            </w:r>
          </w:p>
        </w:tc>
        <w:tc>
          <w:tcPr>
            <w:tcW w:w="2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adjustments</w:t>
            </w:r>
          </w:p>
        </w:tc>
        <w:tc>
          <w:tcPr>
            <w:tcW w:w="109" w:type="dxa"/>
            <w:tcBorders/>
            <w:vAlign w:val="center"/>
          </w:tcPr>
          <w:p>
            <w:pPr>
              <w:pStyle w:val="TableContents"/>
              <w:bidi w:val="0"/>
              <w:spacing w:before="0" w:after="283"/>
              <w:jc w:val="left"/>
              <w:rPr>
                <w:sz w:val="4"/>
                <w:szCs w:val="4"/>
              </w:rPr>
            </w:pPr>
            <w:r>
              <w:rPr>
                <w:sz w:val="4"/>
                <w:szCs w:val="4"/>
              </w:rPr>
            </w:r>
          </w:p>
        </w:tc>
        <w:tc>
          <w:tcPr>
            <w:tcW w:w="2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June 30, 2024</w:t>
            </w:r>
          </w:p>
        </w:tc>
        <w:tc>
          <w:tcPr>
            <w:tcW w:w="109" w:type="dxa"/>
            <w:tcBorders/>
            <w:vAlign w:val="center"/>
          </w:tcPr>
          <w:p>
            <w:pPr>
              <w:pStyle w:val="TableContents"/>
              <w:bidi w:val="0"/>
              <w:spacing w:before="0" w:after="283"/>
              <w:jc w:val="left"/>
              <w:rPr>
                <w:sz w:val="4"/>
                <w:szCs w:val="4"/>
              </w:rPr>
            </w:pPr>
            <w:r>
              <w:rPr>
                <w:sz w:val="4"/>
                <w:szCs w:val="4"/>
              </w:rPr>
            </w:r>
          </w:p>
        </w:tc>
        <w:tc>
          <w:tcPr>
            <w:tcW w:w="5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1,095 </w:t>
            </w:r>
          </w:p>
        </w:tc>
        <w:tc>
          <w:tcPr>
            <w:tcW w:w="4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Note 14. Income Taxes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recognized an income tax expense of approximately $2.7 million and $0.5 million during the three months ended June 30, 2024 and 2023, respectively. The Company recognized an income tax expense of approximately $3.3 million and $0.8 million during the six months ended June 30, 2024 and 2023, respectively. The effective tax rate was approximately 45.4% for the six months ended June 30, 2024, which was higher than the U.S. federal statutory rate primarily due to the impact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b41877c9f6b4423b83513f555592c74c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SYNCHRONOSS TECHNOLOGIES,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tables in thousands, except for per share data or unless otherwise noted)</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of permanent adjustments, most notably Global Intangible Low-Taxed Income, partially offset by foreign tax rate differential and adjustments to valuation allowances associated with current year activity. The Company’s projection of U.S. current income tax expense for the period is driven by the impact of Global Intangible Low-Taxed Income and enacted Internal Revenue Code Section 174 rules that require the Company to capitalize and amortize qualifying research and development expenses and by operating income generated in certain foreign jurisdictions. The Company’s effective tax rate was approximately (4.9)% for the six months ended June 30, 2023, which was lower than the U.S. federal statutory rate due to pre-tax losses in jurisdictions where full valuation allowances have been recorded, foreign tax rate differential and certain jurisdictions projecting current income tax expense. The Company continues to consider all available evidence, including historical profitability and projections of future taxable income together with new evidence, both positive and negative, that could affect the view of the future realization of deferred tax assets. As a result of this analysis, the Company continues to maintain a valuation allowance against the net deferred tax assets of the U.S. and most foreign jurisdictions as the realization of these assets is not more likely than not, given the uncertainty of future earnings in these jurisdictions.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Unrecognized tax benefits associated with uncertain tax positions are $4.4 million at June 30, 2024. We are not able to reasonably estimate when we would make any cash payments required to settle these liabilities, but we do not believe that the ultimate settlement of our obligations will materially affect our liquidity. We do not expect that the balance of unrecognized tax benefits will significantly increase or decrease over the next twelve months.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2021 the Internal Revenue Service commenced an audit of certain of the Company’s prior year U.S. federal income tax filings, including the 2013 through 2020 tax years. The audit is currently ongoing and while the receipt of the associated refunds would materially improve its financial position, the Company does not believe that the results of this audit will have a material effect on its results of operations.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Pillar Two Global Anti-Base Erosion rules issued by the Organization for Economic Co-operation and Development ("OECD"), a global policy forum, introduced a global minimum tax of 15% which would apply to multinational groups with consolidated financial statement revenue in excess of EUR 750 million. Nearly all OECD member jurisdictions have agreed in principle to adopt these provisions and numerous jurisdictions, including jurisdictions where the Company operates, have enacted these rules effective January 1, 2024. The Company is not currently subject to these rules but is continuing to evaluate the Pillar Two Framework and its potential impact on future periods.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Note 15. Earnings per Common Share (“EPS”)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Basic EPS is computed based upon the weighted average number of common shares outstanding for the year. Diluted EPS is computed based upon the weighted average number of common shares outstanding for the year plus the dilutive effect of common stock equivalents using the treasury stock method and the average market price of the Company’s common stock for the year. The Company includes participating securities (Redeemable Convertible Preferred Stock - Participation with Dividends on Common Stock that contain preferred dividend) in the computation of EPS pursuant to the two-class method. The two-class method of computing earnings per share is an allocation method that calculates earnings per share for common stock and participating securities. During periods of net loss, no effect is given to the participating securities because they do not share in the losses of the Company.</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b41877c9f6b4423b83513f555592c74c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SYNCHRONOSS TECHNOLOGIES,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tables in thousands, except for per share data or unless otherwise noted)</w:t>
      </w:r>
    </w:p>
    <w:p>
      <w:pPr>
        <w:pStyle w:val="TextBody"/>
        <w:bidi w:val="0"/>
        <w:spacing w:before="0" w:after="0"/>
        <w:jc w:val="center"/>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the numerator and denominator used in computing basic and diluted net income attributable to common stockholders per common share from operations.</w:t>
      </w:r>
    </w:p>
    <w:p>
      <w:pPr>
        <w:pStyle w:val="TextBody"/>
        <w:bidi w:val="0"/>
        <w:spacing w:before="0" w:after="0"/>
        <w:ind w:left="0" w:right="0" w:firstLine="360"/>
        <w:jc w:val="both"/>
        <w:rPr/>
      </w:pPr>
      <w:r>
        <w:rPr/>
      </w:r>
    </w:p>
    <w:tbl>
      <w:tblPr>
        <w:tblW w:w="10205" w:type="dxa"/>
        <w:jc w:val="center"/>
        <w:tblInd w:w="0" w:type="dxa"/>
        <w:tblLayout w:type="fixed"/>
        <w:tblCellMar>
          <w:top w:w="28" w:type="dxa"/>
          <w:left w:w="28" w:type="dxa"/>
          <w:bottom w:w="28" w:type="dxa"/>
          <w:right w:w="28" w:type="dxa"/>
        </w:tblCellMar>
      </w:tblPr>
      <w:tblGrid>
        <w:gridCol w:w="1784"/>
        <w:gridCol w:w="1153"/>
        <w:gridCol w:w="1155"/>
        <w:gridCol w:w="211"/>
        <w:gridCol w:w="721"/>
        <w:gridCol w:w="109"/>
        <w:gridCol w:w="109"/>
        <w:gridCol w:w="109"/>
        <w:gridCol w:w="109"/>
        <w:gridCol w:w="211"/>
        <w:gridCol w:w="767"/>
        <w:gridCol w:w="109"/>
        <w:gridCol w:w="109"/>
        <w:gridCol w:w="109"/>
        <w:gridCol w:w="109"/>
        <w:gridCol w:w="109"/>
        <w:gridCol w:w="138"/>
        <w:gridCol w:w="266"/>
        <w:gridCol w:w="912"/>
        <w:gridCol w:w="138"/>
        <w:gridCol w:w="138"/>
        <w:gridCol w:w="138"/>
        <w:gridCol w:w="138"/>
        <w:gridCol w:w="211"/>
        <w:gridCol w:w="767"/>
        <w:gridCol w:w="109"/>
        <w:gridCol w:w="109"/>
        <w:gridCol w:w="158"/>
      </w:tblGrid>
      <w:tr>
        <w:trPr/>
        <w:tc>
          <w:tcPr>
            <w:tcW w:w="1784"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868"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1354" w:type="dxa"/>
            <w:gridSpan w:val="5"/>
            <w:tcBorders/>
          </w:tcPr>
          <w:p>
            <w:pPr>
              <w:pStyle w:val="TableContents"/>
              <w:bidi w:val="0"/>
              <w:spacing w:before="0" w:after="283"/>
              <w:jc w:val="left"/>
              <w:rPr>
                <w:sz w:val="4"/>
                <w:szCs w:val="4"/>
              </w:rPr>
            </w:pPr>
            <w:r>
              <w:rPr>
                <w:sz w:val="4"/>
                <w:szCs w:val="4"/>
              </w:rPr>
            </w:r>
          </w:p>
        </w:tc>
      </w:tr>
      <w:tr>
        <w:trPr/>
        <w:tc>
          <w:tcPr>
            <w:tcW w:w="4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 - Basic:</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from 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redeemable non-controlling interests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dividend and gain on repurchase of preferred stock</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(1,562)</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Synchronoss from continuing operations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1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2,419 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9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from discontinued operations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Synchronoss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2,419 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 - Diluted:</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Synchronoss from continuing operations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9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9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9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from discontinued operations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Synchronoss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2,419 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 basic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9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9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from assumed conversion of PBCU</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and unvested restricted shares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 diluted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10,265 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9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(loss) per share: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EPS: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from continuing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from discontinued operations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EPS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EPS:</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from continuing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from discontinued operations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EPS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9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9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9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9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b41877c9f6b4423b83513f555592c74c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SYNCHRONOSS TECHNOLOGIES,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tables in thousands, except for per share data or unless otherwise noted)</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Note 16. Commitments </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Non-cancelable agreements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The Company has various non-cancelable arrangements such as services for hosting, support, and software that expire at various dates, with the latest expiration </w:t>
      </w:r>
      <w:r>
        <w:rPr>
          <w:rFonts w:ascii="Times New Roman;sans-serif" w:hAnsi="Times New Roman;sans-serif"/>
          <w:b w:val="false"/>
          <w:color w:val="000000"/>
          <w:sz w:val="20"/>
          <w:shd w:fill="FFFFFF" w:val="clear"/>
        </w:rPr>
        <w:t>in 2027.</w:t>
      </w:r>
    </w:p>
    <w:p>
      <w:pPr>
        <w:pStyle w:val="TextBody"/>
        <w:bidi w:val="0"/>
        <w:spacing w:before="0" w:after="0"/>
        <w:ind w:left="0" w:right="0" w:firstLine="360"/>
        <w:jc w:val="both"/>
        <w:rPr/>
      </w:pPr>
      <w:r>
        <w:rPr/>
      </w:r>
    </w:p>
    <w:p>
      <w:pPr>
        <w:pStyle w:val="TextBody"/>
        <w:bidi w:val="0"/>
        <w:spacing w:lineRule="auto" w:line="288" w:before="0" w:after="1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Aggregate annual future minimum payments under non-cancelable agreements as of June 30, 2024 for each year subsequent to December 31, 2023 and thereafter, are as follows:</w:t>
      </w:r>
    </w:p>
    <w:tbl>
      <w:tblPr>
        <w:tblW w:w="3838" w:type="dxa"/>
        <w:jc w:val="left"/>
        <w:tblInd w:w="0" w:type="dxa"/>
        <w:tblLayout w:type="fixed"/>
        <w:tblCellMar>
          <w:top w:w="28" w:type="dxa"/>
          <w:left w:w="28" w:type="dxa"/>
          <w:bottom w:w="28" w:type="dxa"/>
          <w:right w:w="28" w:type="dxa"/>
        </w:tblCellMar>
      </w:tblPr>
      <w:tblGrid>
        <w:gridCol w:w="217"/>
        <w:gridCol w:w="190"/>
        <w:gridCol w:w="193"/>
        <w:gridCol w:w="109"/>
        <w:gridCol w:w="109"/>
        <w:gridCol w:w="109"/>
        <w:gridCol w:w="491"/>
        <w:gridCol w:w="1683"/>
        <w:gridCol w:w="256"/>
        <w:gridCol w:w="109"/>
        <w:gridCol w:w="109"/>
        <w:gridCol w:w="109"/>
        <w:gridCol w:w="154"/>
      </w:tblGrid>
      <w:tr>
        <w:trPr/>
        <w:tc>
          <w:tcPr>
            <w:tcW w:w="21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Non-cancelable agreements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28,785 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Note 17. Legal Matters </w:t>
      </w:r>
    </w:p>
    <w:p>
      <w:pPr>
        <w:pStyle w:val="TextBody"/>
        <w:bidi w:val="0"/>
        <w:spacing w:before="0" w:after="0"/>
        <w:jc w:val="both"/>
        <w:rPr/>
      </w:pPr>
      <w:r>
        <w:rPr/>
      </w:r>
    </w:p>
    <w:p>
      <w:pPr>
        <w:pStyle w:val="TextBody"/>
        <w:bidi w:val="0"/>
        <w:spacing w:lineRule="auto" w:line="288" w:before="0" w:after="1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the Company is regularly subject to various claims, suits, regulatory inquiries and investigations. The Company records a liability for specific legal matters when it determines that the likelihood of an unfavorable outcome is probable, and the loss can be reasonably estimated. Management has also identified certain other legal matters where they believe an unfavorable outcome is not probable and, therefore, no reserve is established. Although management currently believes that resolving claims against the Company, including claims where an unfavorable outcome is reasonably possible, will not have a material impact on the Company’s business, financial position, results of operations, or cash flows, these matters are subject to inherent uncertainties and management’s view of these matters may change in the future. The Company also evaluates other contingent matters, including income and non-income tax contingencies, to assess the likelihood of an unfavorable outcome and estimated extent of potential loss. It is possible that an unfavorable outcome of one or more of these lawsuits or other contingencies could have a material impact on the liquidity, results of operations, or financial condition of the Company.</w:t>
      </w:r>
    </w:p>
    <w:p>
      <w:pPr>
        <w:pStyle w:val="TextBody"/>
        <w:bidi w:val="0"/>
        <w:spacing w:lineRule="auto" w:line="288" w:before="0" w:after="1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third quarter of 2017, the SEC and Department of Justice (the “DoJ”) initiated investigations in connection with certain financial transactions that the Company effected in 2015 and 2016 and its disclosure of and accounting for such transactions, which the Company restated in the third quarter of 2018 in its restated annual and quarterly financial statements for 2015 and 2016. On June 7, 2022 the SEC approved the Offer of Settlement and filed an Order Instituting Cease-And-Desist Proceedings pursuant to Section 21C of the Securities Exchange Act of 1934, Making Findings, and Imposing a Cease-And-Desist Order (the “SEC Order”). Pursuant to the terms of the SEC Order, the Company consented to pay a civil penalty in the amount of $12.5 million in equal quarterly installments over two years and to cease and desist from committing or causing any violations of Sections 10(b), 13(a), 13(b)(2)(A) and 13(b)(2)(B) of the Exchange Act and the associated rules thereunder. In addition, failure to comply with the provisions of the SEC Order could result in further actions by one or both governmental agencies which could have a material adverse effect on the Company’s results of operations. The penalties have been paid in full as of March 31, 2024. Also on June 7, 2022, the SEC filed a civil action against two former members of the Company’s management team (the “defendants”), alleging misconduct arising out of certain of the restated transactions that took place in 2015 and 2016 investigated by the SEC as set forth above. During the three months ended June 30, 2024, the Court entered final judgments in both of these civil actions pursuant to which the defendants agreed to pay civil penalties totaling an aggregate of $145,000 and one defendant agreed to disgorge incentive compensation received during the period of the restated transactions in the amount of $430,741. The Company has indemnified the defendants in these actions for certain costs and expenses, including reasonable attorney’s fees, as of June 30, 2024 the Company has accrued $2.8 million for such remaining claims.</w:t>
      </w:r>
    </w:p>
    <w:p>
      <w:pPr>
        <w:pStyle w:val="TextBody"/>
        <w:bidi w:val="0"/>
        <w:spacing w:lineRule="auto" w:line="288" w:before="0" w:after="1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or about July 12, 2023, the Company filed a complaint in the Superior Court of the State of Delaware against iQmetrix Global Ltd. (“iQmetrix") for breach of the asset purchase and transition services agreements by and between the Company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b41877c9f6b4423b83513f555592c74c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SYNCHRONOSS TECHNOLOGIES,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tables in thousands, except for per share data or unless otherwise noted)</w:t>
      </w:r>
    </w:p>
    <w:p>
      <w:pPr>
        <w:pStyle w:val="TextBody"/>
        <w:bidi w:val="0"/>
        <w:spacing w:before="0" w:after="0"/>
        <w:jc w:val="center"/>
        <w:rPr/>
      </w:pPr>
      <w:r>
        <w:rPr/>
      </w:r>
    </w:p>
    <w:p>
      <w:pPr>
        <w:pStyle w:val="TextBody"/>
        <w:bidi w:val="0"/>
        <w:spacing w:lineRule="auto" w:line="288" w:before="0" w:after="1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iQmetrix as a result of iQmetrix’s failure to pay amounts due under those agreements in excess of $1.2 million. On September 11, 2023, iQmetrix filed its “Answer Defenses and Counterclaims” against the Company, claiming the Company breached the asset purchase, transition services and software license agreements, committed fraud and breached the implied covenant of good faith and fair dealing entitling iQmetrix to an amount to be determined at trial. On October 10, 2023, the Company filed its “Answer to Defendant’s Counterclaims” denying all counts asserted by iQmetrix and asserting certain affirmative defenses thereto. The parties are currently engaged in discovery. The Company believes that the counterclaims are without merit, and the Company intends to defend all such counterclaims. </w:t>
      </w:r>
    </w:p>
    <w:p>
      <w:pPr>
        <w:pStyle w:val="TextBody"/>
        <w:bidi w:val="0"/>
        <w:spacing w:lineRule="auto" w:line="288" w:before="0" w:after="1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Due to the inherent uncertainty of litigation, the Company cannot predict the outcome of the litigation and can give no assurance that the asserted claims will not have a material adverse effect on its financial position, prospects, or results of operations.</w:t>
      </w:r>
    </w:p>
    <w:p>
      <w:pPr>
        <w:pStyle w:val="TextBody"/>
        <w:bidi w:val="0"/>
        <w:spacing w:lineRule="auto" w:line="288" w:before="0" w:after="1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Except as set forth above, the Company is not currently subject to any other legal proceedings that could have a material adverse effect on its operations; however, the Company may from time to time become a party to various legal proceedings arising in the ordinary course of our business.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Note 18. Additional Financial Information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Other Income (expense), net </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components of Other Income (expense), net included in the Condensed Consolidated Statements of Operations:</w:t>
      </w:r>
    </w:p>
    <w:tbl>
      <w:tblPr>
        <w:tblW w:w="8332" w:type="dxa"/>
        <w:jc w:val="left"/>
        <w:tblInd w:w="0" w:type="dxa"/>
        <w:tblLayout w:type="fixed"/>
        <w:tblCellMar>
          <w:top w:w="28" w:type="dxa"/>
          <w:left w:w="28" w:type="dxa"/>
          <w:bottom w:w="28" w:type="dxa"/>
          <w:right w:w="28" w:type="dxa"/>
        </w:tblCellMar>
      </w:tblPr>
      <w:tblGrid>
        <w:gridCol w:w="977"/>
        <w:gridCol w:w="860"/>
        <w:gridCol w:w="863"/>
        <w:gridCol w:w="109"/>
        <w:gridCol w:w="109"/>
        <w:gridCol w:w="109"/>
        <w:gridCol w:w="242"/>
        <w:gridCol w:w="709"/>
        <w:gridCol w:w="125"/>
        <w:gridCol w:w="125"/>
        <w:gridCol w:w="125"/>
        <w:gridCol w:w="125"/>
        <w:gridCol w:w="242"/>
        <w:gridCol w:w="623"/>
        <w:gridCol w:w="125"/>
        <w:gridCol w:w="109"/>
        <w:gridCol w:w="109"/>
        <w:gridCol w:w="109"/>
        <w:gridCol w:w="211"/>
        <w:gridCol w:w="616"/>
        <w:gridCol w:w="109"/>
        <w:gridCol w:w="109"/>
        <w:gridCol w:w="109"/>
        <w:gridCol w:w="109"/>
        <w:gridCol w:w="211"/>
        <w:gridCol w:w="691"/>
        <w:gridCol w:w="109"/>
        <w:gridCol w:w="109"/>
        <w:gridCol w:w="154"/>
      </w:tblGrid>
      <w:tr>
        <w:trPr/>
        <w:tc>
          <w:tcPr>
            <w:tcW w:w="977"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gains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________________________________</w:t>
      </w:r>
    </w:p>
    <w:p>
      <w:pPr>
        <w:pStyle w:val="TextBody"/>
        <w:bidi w:val="0"/>
        <w:spacing w:lineRule="auto" w:line="288" w:before="0" w:after="0"/>
        <w:ind w:left="0" w:right="0" w:hanging="360"/>
        <w:jc w:val="both"/>
        <w:rPr/>
      </w:pPr>
      <w:r>
        <w:rPr>
          <w:rFonts w:ascii="Times New Roman;sans-serif" w:hAnsi="Times New Roman;sans-serif"/>
          <w:b w:val="false"/>
          <w:color w:val="000000"/>
          <w:sz w:val="12"/>
        </w:rPr>
        <w:t>1    </w:t>
      </w:r>
      <w:r>
        <w:rPr>
          <w:rFonts w:ascii="Times New Roman;sans-serif" w:hAnsi="Times New Roman;sans-serif"/>
          <w:b w:val="false"/>
          <w:color w:val="000000"/>
          <w:sz w:val="18"/>
        </w:rPr>
        <w:t>Represents an aggregate of individually immaterial transactions.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non-cash impact of the foreign exchange gains and losses on intercompany payables and receivables is reflected as an adjustment to reconcile the Net income to cash within the Other, net line item in the operating activities, as reported in the Consolidated Statements of Cash Flows. </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b41877c9f6b4423b83513f555592c74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pPr>
      <w:r>
        <w:rPr>
          <w:rFonts w:ascii="Times New Roman;sans-serif" w:hAnsi="Times New Roman;sans-serif"/>
          <w:b/>
          <w:color w:val="000000"/>
          <w:sz w:val="20"/>
        </w:rPr>
        <w:t>ITEM 2.</w:t>
      </w:r>
      <w:r>
        <w:rPr>
          <w:color w:val="000000"/>
        </w:rPr>
        <w:t xml:space="preserve"> </w:t>
      </w:r>
      <w:r>
        <w:rPr>
          <w:rFonts w:ascii="Times New Roman;sans-serif" w:hAnsi="Times New Roman;sans-serif"/>
          <w:b/>
          <w:color w:val="000000"/>
          <w:sz w:val="20"/>
        </w:rPr>
        <w:t>MANAGEMENT’S</w:t>
      </w:r>
      <w:r>
        <w:rPr>
          <w:color w:val="000000"/>
        </w:rPr>
        <w:t xml:space="preserve"> </w:t>
      </w:r>
      <w:r>
        <w:rPr>
          <w:rFonts w:ascii="Times New Roman;sans-serif" w:hAnsi="Times New Roman;sans-serif"/>
          <w:b/>
          <w:color w:val="000000"/>
          <w:sz w:val="20"/>
        </w:rPr>
        <w:t>DISCUSSION AND ANALYSIS OF FINANCIAL</w:t>
      </w:r>
      <w:r>
        <w:rPr>
          <w:color w:val="000000"/>
        </w:rPr>
        <w:t xml:space="preserve"> </w:t>
      </w:r>
      <w:r>
        <w:rPr>
          <w:rFonts w:ascii="Times New Roman;sans-serif" w:hAnsi="Times New Roman;sans-serif"/>
          <w:b/>
          <w:color w:val="000000"/>
          <w:sz w:val="20"/>
        </w:rPr>
        <w:t>CONDITION AND RESULTS OF</w:t>
      </w:r>
      <w:r>
        <w:rPr>
          <w:color w:val="000000"/>
        </w:rPr>
        <w:t xml:space="preserve"> </w:t>
      </w:r>
      <w:r>
        <w:rPr>
          <w:rFonts w:ascii="Times New Roman;sans-serif" w:hAnsi="Times New Roman;sans-serif"/>
          <w:b/>
          <w:color w:val="000000"/>
          <w:sz w:val="20"/>
        </w:rPr>
        <w:t>OPERATIONS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Management’s Discussion and Analysis of Financial Condition and Results of Operations (“MD&amp;A”) is intended to provide a reader of our financial statements with a narrative from the perspective of our management on our financial condition, results of operations, liquidity and certain other factors that may affect our future results. The following discussion and analysis should be read in conjunction with our Condensed Consolidated Financial Statements and the related notes included in Item 1 “Financial Information” of this Form 10-Q.</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The words “Synchronoss,” “we,” “our,” “ours,” “us,” and the “Company” refer to Synchronoss Technologies, Inc. and its consolidated subsidiaries. This quarterly report contains “forward-looking statements” within the meaning of the Private Securities Litigation Reform Act of 1995. These forward-looking statements are subject to risks and uncertainties and are based on the beliefs and assumptions of our management based on information currently available to our management. Use of words such as “believes,” “expects,” “anticipates,” “intends,” “plans,” “hopes,” “should,” “continues,” “seeks,” “likely” or similar expressions, indicate a forward-looking statement. Forward-looking statements are not guarantees of future performance and involve risks, uncertainties and assumptions, including, but not limited to, risks, uncertainties and assumptions relating to the duration and severity of the geopolitical tensions and its impact on our business and financial performance. Actual results may differ materially from the forward-looking statements we make. We caution investors not to place substantial reliance on the forward-looking statements included in this quarterly report. These statements speak only as of the date of this quarterly report, and we undertake no obligation to update or revise the statements in light of future developments. All numbers are expressed in thousands unless otherwise stated.</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Overview </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Synchronoss Technologies, Inc. (“Synchronoss” or the “Company”) is a leading provider of white label cloud software and services that enable our customers to keep subscribers, systems, networks and content in sync.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Synchronoss Personal CloudTM solution is designed to create an engaging and trusted customer experience through ongoing content management and engagement. The Synchronoss Personal CloudTM platform is a secure and highly scalable, white label platform that allows our customers’ subscribers to backup and protect, engage with, and manage their personal content and gives our operator customers the ability to increase average revenue per user (“ARPU”) and reduce churn.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Synchronoss Personal CloudTM platform is specifically designed to support smartphones, tablets, desktops computers, and laptops.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Synchronoss’ Messaging platform (Owned and operated through October 31, 2023) had powered mobile messaging and mailboxes for hundreds of millions of telecommunication subscribers. Our Advanced Messaging platform had been a powerful, secure, intelligent, white label messaging platform that expanded capabilities for communications service provider and multi-service providers to offer P2P messaging via Rich Communications Services (“RCS”). Our Mobile Messaging Platform (“MMP”) provided a single standard ecosystem for onboarding and management to brands, advertisers and message wholesalers.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Synchronoss NetworkX (Owned and operated through October 31, 2023) products had provided operators with the tools and software to design their physical network, streamlined their infrastructure purchases, and managed and optimized comprehensive network expenses for leading top tier carriers around the globe.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market our solutions and services directly through our sales organizations in the Americas, Europe, Middle East and Africa (“EMEA”) and Asia-Pacific (“APAC”). </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Revenues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generate most of our revenues on a subscription basis, which is derived from contracts that extend up to 48 months from execution.</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b41877c9f6b4423b83513f555592c74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future success of our business depends on the continued growth of Business-to-Business and Business-to-Business-to-Consumer driving customer transactions, and continued expansion of our platforms into the TMT market globally through cloud markets. As such, the volume of subscribers and our ability to expand our footprint in TMT and globally may result in revenue fluctuations on a quarterly basis.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Most of our revenues are recorded in U.S. dollars but as we continue to expand our footprint with international carriers, we are subject to currency translation that could affect our future net sales as reported in U.S. dollars.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The Company’s top five customers accounted for</w:t>
      </w:r>
      <w:r>
        <w:rPr>
          <w:color w:val="000000"/>
          <w:shd w:fill="FFFFFF" w:val="clear"/>
        </w:rPr>
        <w:t xml:space="preserve"> </w:t>
      </w:r>
      <w:r>
        <w:rPr>
          <w:rFonts w:ascii="Times New Roman;sans-serif" w:hAnsi="Times New Roman;sans-serif"/>
          <w:b w:val="false"/>
          <w:color w:val="000000"/>
          <w:sz w:val="20"/>
          <w:shd w:fill="FFFFFF" w:val="clear"/>
        </w:rPr>
        <w:t xml:space="preserve">97.5% </w:t>
      </w:r>
      <w:r>
        <w:rPr>
          <w:rFonts w:ascii="Times New Roman;sans-serif" w:hAnsi="Times New Roman;sans-serif"/>
          <w:b w:val="false"/>
          <w:color w:val="000000"/>
          <w:sz w:val="20"/>
        </w:rPr>
        <w:t xml:space="preserve">and 96.4% of net revenues for the six months ended June 30, 2024 and June 30, 2023, respectively. Contracts with these customers typically run for three to five years. Of these customers, both Verizon and AT&amp;T accounted for more than 10% of our revenues in 2024 and 2023. The loss of Verizon or AT&amp;T as a customer would have a material negative impact on our company. However, we believe that the costs incurred and subscriber disruption by Verizon or AT&amp;T to replace Synchronoss’ solutions would be substantial.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Current Trends Affecting Our Results of Operations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Business from our Synchronoss Personal Cloud™ solution has been driven by the growth in mobile devices globally that are becoming content rich. As these devices replace other traditional devices like PCs, the ability to securely back up content from mobile devices, sync it with other devices and share it with family, friends and business associates have become an essential need and subscriber expectation. Such devices include smartphones, connected cars, personal health and wellness devices and connected home devices. The need for the content from these devices to be stored in a common cloud is also expected to drive our business in the longer term.</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 support our growth, which we expect to be driven by the favorable industry trends, we plan to leverage modular components from our existing software platforms to build new products. We believe that these opportunities will continue to provide future benefits and position us for future revenue growth. We have focused our product development efforts on expanding the functionality, scalability and security of our products and solutions. We expect to sustain our research and development investments as we intend to continue on an aggressive path to develop new features and functionality, upgrade and extend our product offerings and develop new technology. Our purchase of capital assets and equipment may increase based on aggressive deployment, subscriber growth and promotional offers for free or bundled storage by our major Tier 1 carrier customers.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continue to expand our platforms into the converging TMT market to enable connected devices to do more things across multiple networks, brands and communities. Our initiatives with our customers continue to grow both with regard to our current business as well as our new product offerings. We are also exploring additional opportunities to support our customer, product and geographic diversification strategies.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b41877c9f6b4423b83513f555592c74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Discussion of the Condensed Consolidated Statements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Three months ended June 30, 2024 compared to the three months ended June 30, 2023</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an overview of our results of operations for the three months ended June 30, 2024 and 2023 (in thousands):</w:t>
      </w:r>
    </w:p>
    <w:tbl>
      <w:tblPr>
        <w:tblW w:w="9592" w:type="dxa"/>
        <w:jc w:val="left"/>
        <w:tblInd w:w="0" w:type="dxa"/>
        <w:tblLayout w:type="fixed"/>
        <w:tblCellMar>
          <w:top w:w="28" w:type="dxa"/>
          <w:left w:w="28" w:type="dxa"/>
          <w:bottom w:w="28" w:type="dxa"/>
          <w:right w:w="28" w:type="dxa"/>
        </w:tblCellMar>
      </w:tblPr>
      <w:tblGrid>
        <w:gridCol w:w="1638"/>
        <w:gridCol w:w="1443"/>
        <w:gridCol w:w="1449"/>
        <w:gridCol w:w="214"/>
        <w:gridCol w:w="732"/>
        <w:gridCol w:w="110"/>
        <w:gridCol w:w="110"/>
        <w:gridCol w:w="110"/>
        <w:gridCol w:w="110"/>
        <w:gridCol w:w="214"/>
        <w:gridCol w:w="732"/>
        <w:gridCol w:w="110"/>
        <w:gridCol w:w="109"/>
        <w:gridCol w:w="841"/>
        <w:gridCol w:w="109"/>
        <w:gridCol w:w="109"/>
        <w:gridCol w:w="109"/>
        <w:gridCol w:w="219"/>
        <w:gridCol w:w="748"/>
        <w:gridCol w:w="113"/>
        <w:gridCol w:w="109"/>
        <w:gridCol w:w="154"/>
      </w:tblGrid>
      <w:tr>
        <w:trPr/>
        <w:tc>
          <w:tcPr>
            <w:tcW w:w="1638"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 vs 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revenues</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43,458 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41,019 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Cost of revenues</w:t>
            </w:r>
            <w:r>
              <w:rPr>
                <w:rFonts w:ascii="Times New Roman;sans-serif" w:hAnsi="Times New Roman;sans-serif"/>
                <w:b w:val="false"/>
                <w:color w:val="000000"/>
                <w:sz w:val="13"/>
              </w:rPr>
              <w:t>1</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charges</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39,161 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46,103 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(6,942)</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w:t>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4,297 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(5,084)</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9,381 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(3,486)</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continuing operations, before taxes</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2,214 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(8,686)</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10,900 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(2,708)</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(2,176)</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w:t>
      </w:r>
    </w:p>
    <w:p>
      <w:pPr>
        <w:pStyle w:val="TextBody"/>
        <w:bidi w:val="0"/>
        <w:spacing w:lineRule="auto" w:line="288" w:before="0" w:after="0"/>
        <w:ind w:left="0" w:right="0" w:hanging="360"/>
        <w:jc w:val="both"/>
        <w:rPr/>
      </w:pPr>
      <w:r>
        <w:rPr>
          <w:rFonts w:ascii="Times New Roman;sans-serif" w:hAnsi="Times New Roman;sans-serif"/>
          <w:b w:val="false"/>
          <w:color w:val="000000"/>
          <w:sz w:val="12"/>
        </w:rPr>
        <w:t>1</w:t>
      </w:r>
      <w:r>
        <w:rPr>
          <w:color w:val="000000"/>
        </w:rPr>
        <w:t>    </w:t>
      </w:r>
      <w:r>
        <w:rPr>
          <w:rFonts w:ascii="Times New Roman;sans-serif" w:hAnsi="Times New Roman;sans-serif"/>
          <w:b w:val="false"/>
          <w:color w:val="000000"/>
          <w:sz w:val="18"/>
        </w:rPr>
        <w:t>Cost of revenues excludes depreciation and amortization which are shown separately.</w:t>
      </w:r>
    </w:p>
    <w:p>
      <w:pPr>
        <w:pStyle w:val="TextBody"/>
        <w:bidi w:val="0"/>
        <w:spacing w:before="0" w:after="0"/>
        <w:jc w:val="left"/>
        <w:rPr/>
      </w:pPr>
      <w:r>
        <w:rPr/>
      </w:r>
    </w:p>
    <w:p>
      <w:pPr>
        <w:pStyle w:val="TextBody"/>
        <w:bidi w:val="0"/>
        <w:spacing w:lineRule="auto" w:line="268" w:before="0" w:after="0"/>
        <w:ind w:left="0" w:right="0" w:firstLine="360"/>
        <w:jc w:val="both"/>
        <w:rPr/>
      </w:pPr>
      <w:r>
        <w:rPr>
          <w:rFonts w:ascii="Times New Roman;sans-serif" w:hAnsi="Times New Roman;sans-serif"/>
          <w:b/>
          <w:color w:val="000000"/>
          <w:sz w:val="20"/>
          <w:shd w:fill="FFFFFF" w:val="clear"/>
        </w:rPr>
        <w:t>Net revenues</w:t>
      </w:r>
      <w:r>
        <w:rPr>
          <w:color w:val="000000"/>
          <w:shd w:fill="FFFFFF" w:val="clear"/>
        </w:rPr>
        <w:t xml:space="preserve"> </w:t>
      </w:r>
      <w:r>
        <w:rPr>
          <w:rFonts w:ascii="Times New Roman;sans-serif" w:hAnsi="Times New Roman;sans-serif"/>
          <w:b w:val="false"/>
          <w:color w:val="000000"/>
          <w:sz w:val="20"/>
          <w:shd w:fill="FFFFFF" w:val="clear"/>
        </w:rPr>
        <w:t>increased $2.4 million to $43.5 million for the three months ended June 30, 2024, compared to the same period in 2023.</w:t>
      </w:r>
      <w:r>
        <w:rPr>
          <w:color w:val="000000"/>
        </w:rPr>
        <w:t> </w:t>
      </w:r>
      <w:r>
        <w:rPr>
          <w:rFonts w:ascii="Times New Roman;sans-serif" w:hAnsi="Times New Roman;sans-serif"/>
          <w:b w:val="false"/>
          <w:color w:val="000000"/>
          <w:sz w:val="20"/>
        </w:rPr>
        <w:t>The overall increase in revenue was primarily due to continued cloud subscriber growth.</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pPr>
      <w:r>
        <w:rPr>
          <w:rFonts w:ascii="Times New Roman;sans-serif" w:hAnsi="Times New Roman;sans-serif"/>
          <w:b/>
          <w:color w:val="000000"/>
          <w:sz w:val="20"/>
        </w:rPr>
        <w:t>Cost of revenues</w:t>
      </w:r>
      <w:r>
        <w:rPr>
          <w:color w:val="000000"/>
        </w:rPr>
        <w:t xml:space="preserve"> </w:t>
      </w:r>
      <w:r>
        <w:rPr>
          <w:rFonts w:ascii="Times New Roman;sans-serif" w:hAnsi="Times New Roman;sans-serif"/>
          <w:b w:val="false"/>
          <w:color w:val="000000"/>
          <w:sz w:val="20"/>
        </w:rPr>
        <w:t>decreased $1.1 million to $10.4 million for the three months ended June 30, 2024, compared to the same period in 2023. The 2024 decrease was primarily attributable to the reduced employee costs due to restructuring measures taken in the fourth quarter of 2023..</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color w:val="000000"/>
          <w:sz w:val="20"/>
        </w:rPr>
        <w:t>Research and development</w:t>
      </w:r>
      <w:r>
        <w:rPr>
          <w:color w:val="000000"/>
        </w:rPr>
        <w:t xml:space="preserve"> </w:t>
      </w:r>
      <w:r>
        <w:rPr>
          <w:rFonts w:ascii="Times New Roman;sans-serif" w:hAnsi="Times New Roman;sans-serif"/>
          <w:b w:val="false"/>
          <w:color w:val="000000"/>
          <w:sz w:val="20"/>
        </w:rPr>
        <w:t>expense decreased $1.4 million to $11.9 million for the three months ended June 30, 2024, compared to the same period in 2023. The research and development costs decreased year over year mainly as a result of reduced employee costs due to restructuring measures taken in the fourth quarter of 2023 and executed cost savings initiatives to streamline our workforce and reduce vendor spend and overhead costs.</w:t>
      </w:r>
    </w:p>
    <w:p>
      <w:pPr>
        <w:pStyle w:val="TextBody"/>
        <w:bidi w:val="0"/>
        <w:spacing w:before="0" w:after="0"/>
        <w:ind w:left="0" w:right="0" w:firstLine="360"/>
        <w:jc w:val="both"/>
        <w:rPr/>
      </w:pPr>
      <w:r>
        <w:rPr/>
      </w:r>
    </w:p>
    <w:p>
      <w:pPr>
        <w:pStyle w:val="TextBody"/>
        <w:bidi w:val="0"/>
        <w:spacing w:lineRule="auto" w:line="256" w:before="0" w:after="0"/>
        <w:ind w:left="0" w:right="0" w:firstLine="360"/>
        <w:jc w:val="both"/>
        <w:rPr/>
      </w:pPr>
      <w:r>
        <w:rPr>
          <w:rFonts w:ascii="Times New Roman;sans-serif" w:hAnsi="Times New Roman;sans-serif"/>
          <w:b/>
          <w:color w:val="000000"/>
          <w:sz w:val="20"/>
        </w:rPr>
        <w:t>Selling, general and administrative</w:t>
      </w:r>
      <w:r>
        <w:rPr>
          <w:color w:val="000000"/>
        </w:rPr>
        <w:t xml:space="preserve"> </w:t>
      </w:r>
      <w:r>
        <w:rPr>
          <w:rFonts w:ascii="Times New Roman;sans-serif" w:hAnsi="Times New Roman;sans-serif"/>
          <w:b w:val="false"/>
          <w:color w:val="000000"/>
          <w:sz w:val="20"/>
        </w:rPr>
        <w:t xml:space="preserve">expense decreased $4.5 million to $12.8 million for the three months ended June 30, 2024, compared to the same period in 2023. The decrease in selling, general and administrative expense is mainly related to reduced employee costs due to restructuring measures taken in the fourth quarter of 2023 and lower non-recurring professional fees in the current period.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color w:val="000000"/>
          <w:sz w:val="20"/>
        </w:rPr>
        <w:t>Restructuring charges</w:t>
      </w:r>
      <w:r>
        <w:rPr>
          <w:color w:val="000000"/>
        </w:rPr>
        <w:t xml:space="preserve"> </w:t>
      </w:r>
      <w:r>
        <w:rPr>
          <w:rFonts w:ascii="Times New Roman;sans-serif" w:hAnsi="Times New Roman;sans-serif"/>
          <w:b w:val="false"/>
          <w:color w:val="000000"/>
          <w:sz w:val="20"/>
        </w:rPr>
        <w:t xml:space="preserve">were immaterial for the three months ended June 30, 2024 and immaterial for the three months ended June 30, 2023. Restructuring charges were primarily related to employment termination costs as a result of the work-force reductions initiated to reduce operating costs and align our resources with our key strategic priorities.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color w:val="000000"/>
          <w:sz w:val="20"/>
        </w:rPr>
        <w:t>Depreciation and amortization</w:t>
      </w:r>
      <w:r>
        <w:rPr>
          <w:color w:val="000000"/>
        </w:rPr>
        <w:t xml:space="preserve"> </w:t>
      </w:r>
      <w:r>
        <w:rPr>
          <w:rFonts w:ascii="Times New Roman;sans-serif" w:hAnsi="Times New Roman;sans-serif"/>
          <w:b w:val="false"/>
          <w:color w:val="000000"/>
          <w:sz w:val="20"/>
        </w:rPr>
        <w:t xml:space="preserve">expense decreased immaterially for the three months ended June 30, 2024, compared to the same period in 2023.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color w:val="000000"/>
          <w:sz w:val="20"/>
        </w:rPr>
        <w:t>Interest expense</w:t>
      </w:r>
      <w:r>
        <w:rPr>
          <w:color w:val="000000"/>
        </w:rPr>
        <w:t xml:space="preserve"> </w:t>
      </w:r>
      <w:r>
        <w:rPr>
          <w:rFonts w:ascii="Times New Roman;sans-serif" w:hAnsi="Times New Roman;sans-serif"/>
          <w:b w:val="false"/>
          <w:color w:val="000000"/>
          <w:sz w:val="20"/>
        </w:rPr>
        <w:t xml:space="preserve">increased immaterially for the three months ended June 30, 2024, compared to the same period in 2023. Interest expense in both periods is primarily comprised of interest related to the 2021 Senior Notes.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b41877c9f6b4423b83513f555592c74c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color w:val="000000"/>
          <w:sz w:val="20"/>
        </w:rPr>
        <w:t>Other income (expense), net</w:t>
      </w:r>
      <w:r>
        <w:rPr>
          <w:color w:val="000000"/>
        </w:rPr>
        <w:t xml:space="preserve"> </w:t>
      </w:r>
      <w:r>
        <w:rPr>
          <w:rFonts w:ascii="Times New Roman;sans-serif" w:hAnsi="Times New Roman;sans-serif"/>
          <w:b w:val="false"/>
          <w:color w:val="000000"/>
          <w:sz w:val="20"/>
        </w:rPr>
        <w:t>increased $1.5 million for the three months ended June 30, 2024, compared to the same period in 2023 primarily due to non-cash impact of the foreign exchange gains on intercompany payables and receivables.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both"/>
        <w:rPr/>
      </w:pPr>
      <w:r>
        <w:rPr>
          <w:rFonts w:ascii="Times New Roman;sans-serif" w:hAnsi="Times New Roman;sans-serif"/>
          <w:b/>
          <w:color w:val="000000"/>
          <w:sz w:val="20"/>
        </w:rPr>
        <w:t xml:space="preserve">Income tax. </w:t>
      </w:r>
      <w:r>
        <w:rPr>
          <w:rFonts w:ascii="Times New Roman;sans-serif" w:hAnsi="Times New Roman;sans-serif"/>
          <w:b w:val="false"/>
          <w:color w:val="000000"/>
          <w:sz w:val="20"/>
        </w:rPr>
        <w:t>The Company recognized an income tax expense of approximately $2.7 million and $0.5 million during the three months ended June 30, 2024 and 2023, respectively. The effective tax rate was approximately 122.3% for the three months ended June 30, 2024, which was higher than the U.S. federal statutory rate primarily due to changes in the mix of pre-tax income and losses in the U.S. and foreign jurisdictions, specifically the impact of permanent adjustments including Global Intangible Low-Taxes Income and adjustments to valuation allowances associated with current year activity, partially offset by foreign tax rate differential. The Company’s projection of U.S. current income tax expense for the period is driven by the impact of Global Intangible Low-Taxed Income and enacted Internal Revenue Code Section 174 rules that require the Company to capitalize and amortize qualifying research and development expenses and by operating income generated in certain foreign jurisdictions. The Company’s effective tax rate was approximately (6.1)% for the three months ended June 30, 2023, which was lower than the U.S. federal statutory rate due to pre-tax losses in jurisdictions where full valuation allowances have been recorded, foreign tax rate differential and certain jurisdictions projecting current income tax expense.</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Discussion of the Condensed Consolidated Statements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Six months ended June 30, 2024 compared to the six months ended June 30, 2023</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an overview of our results of operations for the six months ended June 30, 2024 and 2023 (in thousands):</w:t>
      </w:r>
    </w:p>
    <w:tbl>
      <w:tblPr>
        <w:tblW w:w="9634" w:type="dxa"/>
        <w:jc w:val="left"/>
        <w:tblInd w:w="0" w:type="dxa"/>
        <w:tblLayout w:type="fixed"/>
        <w:tblCellMar>
          <w:top w:w="28" w:type="dxa"/>
          <w:left w:w="28" w:type="dxa"/>
          <w:bottom w:w="28" w:type="dxa"/>
          <w:right w:w="28" w:type="dxa"/>
        </w:tblCellMar>
      </w:tblPr>
      <w:tblGrid>
        <w:gridCol w:w="1638"/>
        <w:gridCol w:w="1443"/>
        <w:gridCol w:w="1449"/>
        <w:gridCol w:w="211"/>
        <w:gridCol w:w="721"/>
        <w:gridCol w:w="109"/>
        <w:gridCol w:w="109"/>
        <w:gridCol w:w="109"/>
        <w:gridCol w:w="109"/>
        <w:gridCol w:w="211"/>
        <w:gridCol w:w="796"/>
        <w:gridCol w:w="109"/>
        <w:gridCol w:w="109"/>
        <w:gridCol w:w="841"/>
        <w:gridCol w:w="109"/>
        <w:gridCol w:w="109"/>
        <w:gridCol w:w="109"/>
        <w:gridCol w:w="219"/>
        <w:gridCol w:w="748"/>
        <w:gridCol w:w="113"/>
        <w:gridCol w:w="109"/>
        <w:gridCol w:w="154"/>
      </w:tblGrid>
      <w:tr>
        <w:trPr/>
        <w:tc>
          <w:tcPr>
            <w:tcW w:w="1638"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 vs 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Cost of revenues</w:t>
            </w:r>
            <w:r>
              <w:rPr>
                <w:rFonts w:ascii="Times New Roman;sans-serif" w:hAnsi="Times New Roman;sans-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(1,824)</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charges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(12,497)</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15,916 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continuing operations, before taxes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24,272 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(2,484)</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w:t>
      </w:r>
    </w:p>
    <w:p>
      <w:pPr>
        <w:pStyle w:val="TextBody"/>
        <w:bidi w:val="0"/>
        <w:spacing w:lineRule="auto" w:line="288" w:before="0" w:after="0"/>
        <w:ind w:left="0" w:right="0" w:hanging="360"/>
        <w:jc w:val="both"/>
        <w:rPr/>
      </w:pPr>
      <w:r>
        <w:rPr>
          <w:rFonts w:ascii="Times New Roman;sans-serif" w:hAnsi="Times New Roman;sans-serif"/>
          <w:b w:val="false"/>
          <w:color w:val="000000"/>
          <w:sz w:val="12"/>
        </w:rPr>
        <w:t>1</w:t>
      </w:r>
      <w:r>
        <w:rPr>
          <w:color w:val="000000"/>
        </w:rPr>
        <w:t>    </w:t>
      </w:r>
      <w:r>
        <w:rPr>
          <w:rFonts w:ascii="Times New Roman;sans-serif" w:hAnsi="Times New Roman;sans-serif"/>
          <w:b w:val="false"/>
          <w:color w:val="000000"/>
          <w:sz w:val="18"/>
        </w:rPr>
        <w:t>Cost of revenues excludes depreciation and amortization which are shown separately.</w:t>
      </w:r>
    </w:p>
    <w:p>
      <w:pPr>
        <w:pStyle w:val="TextBody"/>
        <w:bidi w:val="0"/>
        <w:spacing w:before="0" w:after="0"/>
        <w:jc w:val="left"/>
        <w:rPr/>
      </w:pPr>
      <w:r>
        <w:rPr/>
      </w:r>
    </w:p>
    <w:p>
      <w:pPr>
        <w:pStyle w:val="TextBody"/>
        <w:bidi w:val="0"/>
        <w:spacing w:lineRule="auto" w:line="268" w:before="0" w:after="0"/>
        <w:ind w:left="0" w:right="0" w:firstLine="360"/>
        <w:jc w:val="both"/>
        <w:rPr/>
      </w:pPr>
      <w:r>
        <w:rPr>
          <w:rFonts w:ascii="Times New Roman;sans-serif" w:hAnsi="Times New Roman;sans-serif"/>
          <w:b/>
          <w:color w:val="000000"/>
          <w:sz w:val="20"/>
        </w:rPr>
        <w:t>Net revenues</w:t>
      </w:r>
      <w:r>
        <w:rPr>
          <w:color w:val="000000"/>
        </w:rPr>
        <w:t xml:space="preserve"> </w:t>
      </w:r>
      <w:r>
        <w:rPr>
          <w:rFonts w:ascii="Times New Roman;sans-serif" w:hAnsi="Times New Roman;sans-serif"/>
          <w:b w:val="false"/>
          <w:color w:val="000000"/>
          <w:sz w:val="20"/>
        </w:rPr>
        <w:t>increased $3.4 million to $86.4 million for the six months ended June 30, 2024, compared to the same period in 2023. The overall increase in revenue was primarily due to continued cloud subscriber growth.</w:t>
      </w:r>
    </w:p>
    <w:p>
      <w:pPr>
        <w:pStyle w:val="TextBody"/>
        <w:bidi w:val="0"/>
        <w:spacing w:before="0" w:after="0"/>
        <w:jc w:val="left"/>
        <w:rPr/>
      </w:pPr>
      <w:r>
        <w:rPr/>
      </w:r>
    </w:p>
    <w:p>
      <w:pPr>
        <w:pStyle w:val="TextBody"/>
        <w:bidi w:val="0"/>
        <w:spacing w:lineRule="auto" w:line="276" w:before="0" w:after="0"/>
        <w:ind w:left="0" w:right="0" w:firstLine="360"/>
        <w:jc w:val="both"/>
        <w:rPr/>
      </w:pPr>
      <w:r>
        <w:rPr>
          <w:rFonts w:ascii="Times New Roman;sans-serif" w:hAnsi="Times New Roman;sans-serif"/>
          <w:b/>
          <w:color w:val="000000"/>
          <w:sz w:val="20"/>
        </w:rPr>
        <w:t>Cost of revenues</w:t>
      </w:r>
      <w:r>
        <w:rPr>
          <w:color w:val="000000"/>
        </w:rPr>
        <w:t xml:space="preserve"> </w:t>
      </w:r>
      <w:r>
        <w:rPr>
          <w:rFonts w:ascii="Times New Roman;sans-serif" w:hAnsi="Times New Roman;sans-serif"/>
          <w:b w:val="false"/>
          <w:color w:val="000000"/>
          <w:sz w:val="20"/>
        </w:rPr>
        <w:t>decreased $1.8 million to $20.6 million for the six months ended June 30, 2024, compared to the same period in 2023. The 2024 decrease was primarily attributable to the reduced employee costs due to restructuring measures taken in the fourth quarter of 2023.</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color w:val="000000"/>
          <w:sz w:val="20"/>
        </w:rPr>
        <w:t>Research and development</w:t>
      </w:r>
      <w:r>
        <w:rPr>
          <w:color w:val="000000"/>
        </w:rPr>
        <w:t xml:space="preserve"> </w:t>
      </w:r>
      <w:r>
        <w:rPr>
          <w:rFonts w:ascii="Times New Roman;sans-serif" w:hAnsi="Times New Roman;sans-serif"/>
          <w:b w:val="false"/>
          <w:color w:val="000000"/>
          <w:sz w:val="20"/>
        </w:rPr>
        <w:t xml:space="preserve">expense decreased $3.8 million to $22.2 million for the six months ended June 30, 2024, compared to the same period in 2023. The research and development costs decreased year over year mainly as a result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b41877c9f6b4423b83513f555592c74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reduced employee costs due to restructuring measures taken in the fourth quarter of 2023 and executed cost savings initiatives to streamline our workforce and reduce vendor spend and overhead costs.</w:t>
      </w:r>
    </w:p>
    <w:p>
      <w:pPr>
        <w:pStyle w:val="TextBody"/>
        <w:bidi w:val="0"/>
        <w:spacing w:before="0" w:after="0"/>
        <w:ind w:left="0" w:right="0" w:firstLine="360"/>
        <w:jc w:val="both"/>
        <w:rPr/>
      </w:pPr>
      <w:r>
        <w:rPr/>
      </w:r>
    </w:p>
    <w:p>
      <w:pPr>
        <w:pStyle w:val="TextBody"/>
        <w:bidi w:val="0"/>
        <w:spacing w:lineRule="auto" w:line="256" w:before="0" w:after="0"/>
        <w:ind w:left="0" w:right="0" w:firstLine="360"/>
        <w:jc w:val="both"/>
        <w:rPr/>
      </w:pPr>
      <w:r>
        <w:rPr>
          <w:rFonts w:ascii="Times New Roman;sans-serif" w:hAnsi="Times New Roman;sans-serif"/>
          <w:b/>
          <w:color w:val="000000"/>
          <w:sz w:val="20"/>
        </w:rPr>
        <w:t>Selling, general and administrative</w:t>
      </w:r>
      <w:r>
        <w:rPr>
          <w:color w:val="000000"/>
        </w:rPr>
        <w:t xml:space="preserve"> </w:t>
      </w:r>
      <w:r>
        <w:rPr>
          <w:rFonts w:ascii="Times New Roman;sans-serif" w:hAnsi="Times New Roman;sans-serif"/>
          <w:b w:val="false"/>
          <w:color w:val="000000"/>
          <w:sz w:val="20"/>
        </w:rPr>
        <w:t>expense decreased $7.2 million to $26.0 million for the six months ended June 30, 2024, compared to the same period in 2023. The decrease in selling, general and administrative expense is mainly related to reduced employee costs due to restructuring measures taken in the fourth quarter of 2023 and lower non-recurring professional fees incurred in the current period.</w:t>
      </w:r>
      <w:r>
        <w:rPr>
          <w:color w:val="000000"/>
          <w:shd w:fill="FFFFFF" w:val="clear"/>
        </w:rPr>
        <w:t xml:space="preserv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color w:val="000000"/>
          <w:sz w:val="20"/>
        </w:rPr>
        <w:t>Restructuring charges</w:t>
      </w:r>
      <w:r>
        <w:rPr>
          <w:color w:val="000000"/>
        </w:rPr>
        <w:t xml:space="preserve"> </w:t>
      </w:r>
      <w:r>
        <w:rPr>
          <w:rFonts w:ascii="Times New Roman;sans-serif" w:hAnsi="Times New Roman;sans-serif"/>
          <w:b w:val="false"/>
          <w:color w:val="000000"/>
          <w:sz w:val="20"/>
        </w:rPr>
        <w:t xml:space="preserve">were $0.3 million and $0.4 million for the six months ended June 30, 2024 and 2023, respectively, which primarily related to employment termination costs as a result of the work-force reductions initiated to reduce operating costs and align our resources with our key strategic priorities.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color w:val="000000"/>
          <w:sz w:val="20"/>
        </w:rPr>
        <w:t>Depreciation and amortization</w:t>
      </w:r>
      <w:r>
        <w:rPr>
          <w:color w:val="000000"/>
        </w:rPr>
        <w:t xml:space="preserve"> </w:t>
      </w:r>
      <w:r>
        <w:rPr>
          <w:rFonts w:ascii="Times New Roman;sans-serif" w:hAnsi="Times New Roman;sans-serif"/>
          <w:b w:val="false"/>
          <w:color w:val="000000"/>
          <w:sz w:val="20"/>
        </w:rPr>
        <w:t xml:space="preserve">expense increased $0.4 million to $8.4 million for the six months ended June 30, 2024, compared to the same period in 2023. The 2024 increase was primarily attributable increased amortization of capitalized software, partially offset by the expiration of amortizable acquired assets in combination with reduced capital expenditures mainly as a result of efforts to streamline business operations.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color w:val="000000"/>
          <w:sz w:val="20"/>
        </w:rPr>
        <w:t>Interest expense</w:t>
      </w:r>
      <w:r>
        <w:rPr>
          <w:color w:val="000000"/>
        </w:rPr>
        <w:t xml:space="preserve"> </w:t>
      </w:r>
      <w:r>
        <w:rPr>
          <w:rFonts w:ascii="Times New Roman;sans-serif" w:hAnsi="Times New Roman;sans-serif"/>
          <w:b w:val="false"/>
          <w:color w:val="000000"/>
          <w:sz w:val="20"/>
        </w:rPr>
        <w:t>increased immaterially for the six months ended June 30, 2024, compared to the same period in 2023. Interest expense in both periods is primarily comprised of interest related to the 2021 Senior Notes.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color w:val="000000"/>
          <w:sz w:val="20"/>
        </w:rPr>
        <w:t>Other income (expense), net</w:t>
      </w:r>
      <w:r>
        <w:rPr>
          <w:color w:val="000000"/>
        </w:rPr>
        <w:t xml:space="preserve"> </w:t>
      </w:r>
      <w:r>
        <w:rPr>
          <w:rFonts w:ascii="Times New Roman;sans-serif" w:hAnsi="Times New Roman;sans-serif"/>
          <w:b w:val="false"/>
          <w:color w:val="000000"/>
          <w:sz w:val="20"/>
        </w:rPr>
        <w:t>increased $8.3 million to $5.0 million for the six months ended June 30, 2024, compared to the same period in 2023. The 2024 increase is primarily due to non-cash impact of the foreign exchange gains on intercompany payables and receivables.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both"/>
        <w:rPr/>
      </w:pPr>
      <w:r>
        <w:rPr>
          <w:rFonts w:ascii="Times New Roman;sans-serif" w:hAnsi="Times New Roman;sans-serif"/>
          <w:b/>
          <w:color w:val="000000"/>
          <w:sz w:val="20"/>
        </w:rPr>
        <w:t xml:space="preserve">Income tax. </w:t>
      </w:r>
      <w:r>
        <w:rPr>
          <w:rFonts w:ascii="Times New Roman;sans-serif" w:hAnsi="Times New Roman;sans-serif"/>
          <w:b w:val="false"/>
          <w:color w:val="000000"/>
          <w:sz w:val="20"/>
        </w:rPr>
        <w:t>The Company recognized an income tax expense of approximately $3.3 million and $0.8 million during the six months ended June 30, 2024 and 2023, respectively. The effective tax rate was approximately 45.4% for the six months ended June 30, 2024, which was higher than the U.S. federal statutory rate primarily due to the impact of permanent adjustments including Global Intangible Low-Taxed Income, partially offset by foreign tax rate differential and adjustments to valuation allowances associated with current year activity. The Company’s projection of U.S. current income tax expense for the period is driven by the impact of Global Intangible Low-Taxed Income and enacted Internal Revenue Code Section 174 rules that require the Company to capitalize and amortize qualifying research and development expenses and by operating income generated in certain foreign jurisdictions. The Company’s effective tax rate was approximately (4.9)% for the six months ended June 30, 2023, which was lower than the U.S. federal statutory rate due to pre-tax losses in jurisdictions where full valuation allowances have been recorded, foreign tax rate differential and certain jurisdictions projecting current income tax expense.</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Liquidity and Capital Resources </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shd w:fill="FFFFFF" w:val="clear"/>
        </w:rPr>
        <w:t xml:space="preserve">On June 28, 2024, the Company entered into the Credit Agreement with BGC Lender Rep LLC, as administrative agent, and the lenders party thereto. The Credit Agreement established a senior secured term loan facility of up to $75.0 million, all of which was funded on the Effective Date. The proceeds of the Term Loan were used to (i) fund the Senior Note Repurchase, (ii) to fund the Series B Repurchase and (iii) to pay transaction fees and expenses associated with the closing of the transactions contemplated by the Credit Agreement, as discussed in </w:t>
      </w:r>
      <w:r>
        <w:rPr>
          <w:rFonts w:ascii="Times New Roman;sans-serif" w:hAnsi="Times New Roman;sans-serif"/>
          <w:b w:val="false"/>
          <w:color w:val="000000"/>
          <w:sz w:val="20"/>
        </w:rPr>
        <w:t xml:space="preserve">Note 9. Debt </w:t>
      </w:r>
      <w:r>
        <w:rPr>
          <w:rFonts w:ascii="Times New Roman;sans-serif" w:hAnsi="Times New Roman;sans-serif"/>
          <w:b w:val="false"/>
          <w:color w:val="000000"/>
          <w:sz w:val="20"/>
          <w:shd w:fill="FFFFFF" w:val="clear"/>
        </w:rPr>
        <w:t>of the Notes to Condensed Consolidated Financial Statements in Item 1 of this Form 10-Q.</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As of June 30, 2024, our principal sources of liquidity were cash provided by operations. Our cash and cash equivalents balance was </w:t>
      </w:r>
      <w:r>
        <w:rPr>
          <w:rFonts w:ascii="Times New Roman;sans-serif" w:hAnsi="Times New Roman;sans-serif"/>
          <w:b w:val="false"/>
          <w:color w:val="000000"/>
          <w:sz w:val="20"/>
          <w:shd w:fill="FFFFFF" w:val="clear"/>
        </w:rPr>
        <w:t>$23.6 million</w:t>
      </w:r>
      <w:r>
        <w:rPr>
          <w:color w:val="000000"/>
        </w:rPr>
        <w:t xml:space="preserve"> </w:t>
      </w:r>
      <w:r>
        <w:rPr>
          <w:rFonts w:ascii="Times New Roman;sans-serif" w:hAnsi="Times New Roman;sans-serif"/>
          <w:b w:val="false"/>
          <w:color w:val="000000"/>
          <w:sz w:val="20"/>
        </w:rPr>
        <w:t>at June 30, 2024. We anticipate that our principal uses of cash and cash equivalents will be sufficient to fund our business, including technology expansion and working capital.</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At June 30, 2024, our non-U.S. subsidiaries held approximately $14.2 million of cash and cash equivalents that are available for use by our operations around the world.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policy has been to leave our cumulative unremitted foreign earnings invested indefinitely outside the United States, and we intend to continue this policy for most of our foreign subsidiaries. During 2023, we changed our indefinite reinvestment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b41877c9f6b4423b83513f555592c74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assertion for our Indian subsidiary and recorded a deferred tax liability associated with the outside basis difference. The Company continues to assert permanent reinvestment of foreign earnings in all other foreign jurisdictions. Due to the timing and circumstances of repatriation of such earnings, if any, it is not practicable to determine the unrecognized deferred tax liability relating to such amounts.</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cash, cash equivalents, financing sources, and our ability to manage working capital and expected positive cash flows generated from operations in combination with continued expense reductions will be sufficient to fund our operations for the next twelve months from the filing date of this Form 10-Q based on our current business plans. Our liquidity plans are subject to a number of risks and uncertainties, including those described in the "Forward-Looking Statements" section of this MD&amp;A and Part I, Item 1A. “Risk Factors” in our Annual Report on Form 10-K for the year ended December 31, 2023, some of which are outside of our control.</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For further details, see Note 9. Debt and </w:t>
      </w:r>
      <w:r>
        <w:rPr>
          <w:rFonts w:ascii="Times New Roman;sans-serif" w:hAnsi="Times New Roman;sans-serif"/>
          <w:b w:val="false"/>
          <w:color w:val="000000"/>
          <w:sz w:val="20"/>
          <w:shd w:fill="FFFFFF" w:val="clear"/>
        </w:rPr>
        <w:t>Note 11. Capital Structure</w:t>
      </w:r>
      <w:r>
        <w:rPr>
          <w:color w:val="000000"/>
        </w:rPr>
        <w:t xml:space="preserve"> </w:t>
      </w:r>
      <w:r>
        <w:rPr>
          <w:rFonts w:ascii="Times New Roman;sans-serif" w:hAnsi="Times New Roman;sans-serif"/>
          <w:b w:val="false"/>
          <w:color w:val="000000"/>
          <w:sz w:val="20"/>
        </w:rPr>
        <w:t xml:space="preserve">of the Notes to Condensed Consolidated Financial Statements in Item 1 of this Form 10-Q. </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Discussion of Cash Flows</w:t>
      </w:r>
    </w:p>
    <w:p>
      <w:pPr>
        <w:pStyle w:val="TextBody"/>
        <w:bidi w:val="0"/>
        <w:spacing w:before="0" w:after="0"/>
        <w:jc w:val="both"/>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summary of net cash flows follows (in thousands): </w:t>
      </w:r>
    </w:p>
    <w:tbl>
      <w:tblPr>
        <w:tblW w:w="5762" w:type="dxa"/>
        <w:jc w:val="left"/>
        <w:tblInd w:w="0" w:type="dxa"/>
        <w:tblLayout w:type="fixed"/>
        <w:tblCellMar>
          <w:top w:w="28" w:type="dxa"/>
          <w:left w:w="28" w:type="dxa"/>
          <w:bottom w:w="28" w:type="dxa"/>
          <w:right w:w="28" w:type="dxa"/>
        </w:tblCellMar>
      </w:tblPr>
      <w:tblGrid>
        <w:gridCol w:w="961"/>
        <w:gridCol w:w="843"/>
        <w:gridCol w:w="850"/>
        <w:gridCol w:w="211"/>
        <w:gridCol w:w="721"/>
        <w:gridCol w:w="109"/>
        <w:gridCol w:w="109"/>
        <w:gridCol w:w="109"/>
        <w:gridCol w:w="109"/>
        <w:gridCol w:w="211"/>
        <w:gridCol w:w="721"/>
        <w:gridCol w:w="109"/>
        <w:gridCol w:w="109"/>
        <w:gridCol w:w="109"/>
        <w:gridCol w:w="109"/>
        <w:gridCol w:w="109"/>
        <w:gridCol w:w="109"/>
        <w:gridCol w:w="154"/>
      </w:tblGrid>
      <w:tr>
        <w:trPr/>
        <w:tc>
          <w:tcPr>
            <w:tcW w:w="96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primary source of cash is receipts from revenue. The primary uses of cash are personnel and related costs, telecommunications and facility costs related primarily to our cost of revenue and general operating expenses including professional service fees, consulting fees, building and equipment maintenance and marketing expense.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color w:val="000000"/>
          <w:sz w:val="20"/>
          <w:shd w:fill="FFFFFF" w:val="clear"/>
        </w:rPr>
        <w:t xml:space="preserve">Cash provided by operating activities </w:t>
      </w:r>
      <w:r>
        <w:rPr>
          <w:rFonts w:ascii="Times New Roman;sans-serif" w:hAnsi="Times New Roman;sans-serif"/>
          <w:b w:val="false"/>
          <w:color w:val="000000"/>
          <w:sz w:val="20"/>
          <w:shd w:fill="FFFFFF" w:val="clear"/>
        </w:rPr>
        <w:t>for the six months ended June 30, 2024 was $11.8 million as compared to $12.6 million of cash provided by operating activities for the same period in 2023</w:t>
      </w:r>
      <w:r>
        <w:rPr>
          <w:rFonts w:ascii="Times New Roman;sans-serif" w:hAnsi="Times New Roman;sans-serif"/>
          <w:b w:val="false"/>
          <w:color w:val="000000"/>
          <w:sz w:val="20"/>
        </w:rPr>
        <w:t>. In the current period, the Company generated cash from operations mainly driven by continued growth in cloud subscribers and reduced operating costs, offset by unfavorable movements in working capital compared to the second quarter of 2023.</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color w:val="000000"/>
          <w:sz w:val="20"/>
          <w:shd w:fill="FFFFFF" w:val="clear"/>
        </w:rPr>
        <w:t>Cash used in investing</w:t>
      </w:r>
      <w:r>
        <w:rPr>
          <w:color w:val="000000"/>
          <w:shd w:fill="FFFFFF" w:val="clear"/>
        </w:rPr>
        <w:t xml:space="preserve"> </w:t>
      </w:r>
      <w:r>
        <w:rPr>
          <w:rFonts w:ascii="Times New Roman;sans-serif" w:hAnsi="Times New Roman;sans-serif"/>
          <w:b/>
          <w:color w:val="000000"/>
          <w:sz w:val="20"/>
          <w:shd w:fill="FFFFFF" w:val="clear"/>
        </w:rPr>
        <w:t xml:space="preserve">activities </w:t>
      </w:r>
      <w:r>
        <w:rPr>
          <w:rFonts w:ascii="Times New Roman;sans-serif" w:hAnsi="Times New Roman;sans-serif"/>
          <w:b w:val="false"/>
          <w:color w:val="000000"/>
          <w:sz w:val="20"/>
          <w:shd w:fill="FFFFFF" w:val="clear"/>
        </w:rPr>
        <w:t>for the six months ended June 30, 2024 was $7.5 million as compared to $10.3 million of cash used in investing activities du</w:t>
      </w:r>
      <w:r>
        <w:rPr>
          <w:rFonts w:ascii="Times New Roman;sans-serif" w:hAnsi="Times New Roman;sans-serif"/>
          <w:b w:val="false"/>
          <w:color w:val="000000"/>
          <w:sz w:val="20"/>
        </w:rPr>
        <w:t>ring the same period in 2023. The cash used for investing activities in the current year and prior year was primarily related to continued investment in product development for our Cloud offering and capitalization of associated labor costs.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color w:val="000000"/>
          <w:sz w:val="20"/>
          <w:shd w:fill="FFFFFF" w:val="clear"/>
        </w:rPr>
        <w:t>Cash used in financing activities</w:t>
      </w:r>
      <w:r>
        <w:rPr>
          <w:color w:val="000000"/>
          <w:shd w:fill="FFFFFF" w:val="clear"/>
        </w:rPr>
        <w:t xml:space="preserve"> </w:t>
      </w:r>
      <w:r>
        <w:rPr>
          <w:rFonts w:ascii="Times New Roman;sans-serif" w:hAnsi="Times New Roman;sans-serif"/>
          <w:b w:val="false"/>
          <w:color w:val="000000"/>
          <w:sz w:val="20"/>
          <w:shd w:fill="FFFFFF" w:val="clear"/>
        </w:rPr>
        <w:t>for the six months ended June 30, 2024</w:t>
      </w:r>
      <w:r>
        <w:rPr>
          <w:color w:val="000000"/>
        </w:rPr>
        <w:t xml:space="preserve"> </w:t>
      </w:r>
      <w:r>
        <w:rPr>
          <w:rFonts w:ascii="Times New Roman;sans-serif" w:hAnsi="Times New Roman;sans-serif"/>
          <w:b w:val="false"/>
          <w:color w:val="000000"/>
          <w:sz w:val="20"/>
        </w:rPr>
        <w:t>was $5.1 million as compared to $4.9 million of cash used in financing activities during the same period in 2023. The cash used in investing activities in the current year was primarily related to $75 million funding of the Term Loan; offset by $6.7 million issuance costs related to the 2024 term loan, $57.6 million Series B Preferred Stock Repurchase, $11.5 million Senior Notes Repurchase and $4.3 million Series B Preferred dividend payments. Cash used in investing activities in the prior year was primarily related to Series B Preferred dividend payments.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Effect of Inflation</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Inflationary increases in certain input costs, such as occupancy, labor and benefits, and general administrative costs, have impacted our business. Management does not believe these impacts have had a material impact on our results of operations during the six months ended June 30, 2024 and 2023. We cannot assure you, however, that we will not be affected by general inflation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b41877c9f6b4423b83513f555592c74c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 xml:space="preserve">Contractual Obligations </w:t>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contractual obligations consist of office and laptop leases, term loan, notes payable and related interest as well as contractual commitments under third-party hosting, software licenses and maintenance agreements. The following table summarizes our long</w:t>
        <w:noBreakHyphen/>
        <w:t>term contractual obligations as of June 30, 2024 (in thousands):</w:t>
      </w:r>
    </w:p>
    <w:tbl>
      <w:tblPr>
        <w:tblW w:w="8300" w:type="dxa"/>
        <w:jc w:val="left"/>
        <w:tblInd w:w="0" w:type="dxa"/>
        <w:tblLayout w:type="fixed"/>
        <w:tblCellMar>
          <w:top w:w="28" w:type="dxa"/>
          <w:left w:w="28" w:type="dxa"/>
          <w:bottom w:w="28" w:type="dxa"/>
          <w:right w:w="28" w:type="dxa"/>
        </w:tblCellMar>
      </w:tblPr>
      <w:tblGrid>
        <w:gridCol w:w="854"/>
        <w:gridCol w:w="748"/>
        <w:gridCol w:w="753"/>
        <w:gridCol w:w="109"/>
        <w:gridCol w:w="109"/>
        <w:gridCol w:w="109"/>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721"/>
        <w:gridCol w:w="109"/>
        <w:gridCol w:w="109"/>
        <w:gridCol w:w="154"/>
      </w:tblGrid>
      <w:tr>
        <w:trPr/>
        <w:tc>
          <w:tcPr>
            <w:tcW w:w="854"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Payments Due by Period</w:t>
            </w:r>
          </w:p>
        </w:tc>
        <w:tc>
          <w:tcPr>
            <w:tcW w:w="263" w:type="dxa"/>
            <w:gridSpan w:val="2"/>
            <w:tcBorders/>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Purchase obligations</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308,003 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212,066 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w:t>
      </w:r>
    </w:p>
    <w:p>
      <w:pPr>
        <w:pStyle w:val="TextBody"/>
        <w:bidi w:val="0"/>
        <w:spacing w:lineRule="auto" w:line="288" w:before="0" w:after="0"/>
        <w:ind w:left="0" w:right="0" w:hanging="360"/>
        <w:jc w:val="both"/>
        <w:rPr/>
      </w:pPr>
      <w:r>
        <w:rPr>
          <w:rFonts w:ascii="Times New Roman;sans-serif" w:hAnsi="Times New Roman;sans-serif"/>
          <w:b w:val="false"/>
          <w:color w:val="000000"/>
          <w:sz w:val="12"/>
        </w:rPr>
        <w:t>1</w:t>
      </w:r>
      <w:r>
        <w:rPr>
          <w:color w:val="000000"/>
        </w:rPr>
        <w:t>    </w:t>
      </w:r>
      <w:r>
        <w:rPr>
          <w:rFonts w:ascii="Times New Roman;sans-serif" w:hAnsi="Times New Roman;sans-serif"/>
          <w:b w:val="false"/>
          <w:color w:val="000000"/>
          <w:sz w:val="18"/>
        </w:rPr>
        <w:t>Amount represents obligations associated with colocation agreements and other customer delivery related purchase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Uncertain Tax Positions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Unrecognized tax benefits associated with uncertain tax positions are $4.4 million at June 30, 2024. We are not able to reasonably estimate when we would make any cash payments required to settle these liabilities, but we do not believe that the ultimate settlement of our obligations will materially affect our liquidity. We do not expect that the balance of unrecognized tax benefits will significantly increase or decrease over the next twelve months.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condensed consolidated financial statements and accompanying notes have been prepared in accordance with U.S. GAAP. The preparation of these condensed consolidated financial statements in accordance with U.S. GAAP requires us to utilize accounting policies and make certain estimates and assumptions that affect the reported amounts of assets and liabilities, the disclosure of contingencies as of the date of the financial statements and the reported amounts of revenues and expenses during a fiscal period. The SEC considers an accounting policy to be critical if it is important to a company’s financial condition and results of operations, and if it requires significant judgment and estimates on the part of management in its application.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These estimates and assumptions take into account historical and forward looking factors that the Company believes are reasonable, including but not limited to the potential impacts from current geopolitical tensions. As the extent and duration of the impacts from geopolitical developments remain unclear, the Company’s estimates and assumptions may evolve as conditions change. Actual results could differ significantly from those estimates. If actual results or events differ materially from those contemplated by us in making these estimates, our reported financial condition and results of operations for future periods could be materially affected. See Part II, “Item 1A. Risk Factors” in this Form 10-Q for certain matters bearing risks on our future results of operations.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2024, there were no significant changes in our critical accounting policies and estimates discussed in our Form 10-K for the year ended December 31, 2023. Please refer to Management’s Discussion and Analysis of Financial Condition and Results of Operations contained in Part II, Item 7 of our Annual Report on Form 10-K for the year ended December 31, 2023 for a more complete discussion of our critical accounting policies and estimates.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b41877c9f6b4423b83513f555592c74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Recently Issued Accounting Standards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a discussion of recently issued accounting standards see Note 2. Basis of Presentation and Consolidation of the Notes to Condensed Consolidated Financial Statements in Item 1 of this Form 10-Q.</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had no off-balance sheet arrangements as of June 30, 2024 and December 31, 2023 that have, or are reasonably likely to have, a current or future effect on our financial condition, changes in financial condition, revenues or expenses, results of operations, liquidity, capital expenditures or capital resources that are material to investors.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Market Risk</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about market risk disclosures involves forward-looking statements. Actual results could differ materially from those projected in the forward-looking statements. We deposit our excess cash in what we believe are high-quality financial instruments, primarily money market funds and certificates of deposit and, we may be exposed to market risks related to changes in interest rates. These investments are denominated in United States dollars.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primary objective of our investment activities is to preserve our capital for the purpose of funding operations, while at the same time maximizing the income, we receive from our investments without significantly increasing risk. To achieve these objectives, our investment policy allows us to maintain a portfolio of cash equivalents and short- and long-term investments in a variety of securities, which could include commercial paper, money market funds and corporate and government debt securities. Our cash and cash equivalents at June 30, 2024 and December 31, 2023 were invested in liquid money market accounts and certificates of deposit. All market-risk sensitive instruments were entered into for non-trading purposes.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Foreign Currency Exchange Risk</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translation risk because certain of our foreign operations utilize the local currency as their functional currency and those financial results must be translated into U.S. dollars. As currency exchange rates fluctuate, translation of the financial statements of foreign businesses into U.S. dollars affects the comparability of financial results between years.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do not hold any derivative instruments and do not engage in any hedging activities. Although our reporting currency is the U.S. dollar, we may conduct business and incur costs in the local currencies of other countries in which we may operate, make sales and buy materials and services. As a result, we are subject to foreign currency transaction risk. Further, changes in exchange rates between foreign currencies and the U.S. dollar could affect our future net sales, cost of sales and expenses and could result in foreign currency transaction gains or losses.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cannot accurately predict future exchange rates or the overall impact of future exchange rate fluctuations on our business, results of operations and financial condition. To the extent that our international activities recorded in local currencies increase in the future, our exposure to fluctuations in currency exchange rates will correspondingly increase and hedging activities may be considered if appropriate.</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Interest Rate Risk</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the risk of interest rate fluctuations on the interest income earned on our cash and cash equivalents. A hypothetical 100 basis point movement in interest rates applicable to our cash and cash equivalents outstanding at June 30, 2024 would increase interest income by approximately $0.2 million on an annual basis.</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b41877c9f6b4423b83513f555592c74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Borrowings pursuant to the Credit Agreement bear interest at a rate per annum equal to the Adjusted Term SOFR (as defined in the Credit Agreement) for the applicable interest period, plus 5.50%, subject to a floor of 2.50%. As such, our net income is sensitive to movements in interest rates. If interest rates increase, our debt obligations pursuant to the Credit Agreement would increase even though the amount borrowed remained the same, and our net income would decrease. Such increases in interest rates could have a material adverse effect on our cash flow and financial condition. We do not hold any derivative instruments and do not engage in any hedging activities to mitigate interest rate risk.</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Based on our outstanding borrowings pursuant to the Credit Agreement as of June 30, 2024, a hypothetical 100 basis point movement in interest rates would have affected interest expense on the debt by $0.8 million on an annual basis.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ITEM 4. CONTROLS AND PROCEDURES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Chief Executive Officer and Chief Financial Officer have evaluated the effectiveness of the registrant’s disclosure controls and procedures (as defined in Rules 13a-15(e) and 15d-15(e) of the Securities Exchange Act of 1934), as of the end of the period covered by this quarterly report, that ensure that information relating to the registrant which is required to be disclosed in this report is recorded, processed, summarized and reported within required time periods using the criteria for effective internal control established in Internal Control-Integrated Framework issued by the Committee of Sponsoring Organizations of the Treadway Commission in 2013. Based on this evaluation, our Chief Executive Officer and Chief Financial Officer have concluded that the registrant’s disclosure controls and procedures were effective as of June 30, 2024.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identified in management's evaluation pursuant to Rules 13a-15(d) or 15d-15(d) of the Exchange Act during the period covered by this Quarterly Report on Form 10-Q that materially affected, or are reasonably likely to materially affect, our internal control over financial reporting.</w:t>
      </w:r>
    </w:p>
    <w:p>
      <w:pPr>
        <w:pStyle w:val="TextBody"/>
        <w:bidi w:val="0"/>
        <w:spacing w:before="0" w:after="0"/>
        <w:ind w:left="0" w:right="0" w:firstLine="36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Limitations on Effectiveness of Controls and Procedures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b41877c9f6b4423b83513f555592c74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a discussion of our material pending legal proceedings that could impact our results of operations, financial condition or cash flows see Note 17. Legal Matters of the Notes to Condensed Consolidated Financial Statements in Item 1 of this Form 10-Q.</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than set forth below, there have been no material changes to our risk factors as previously disclosed in Part I, Item 1A. included in our Annual Report on Form 10-K for the year ended December 31, 2023.</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may not be able to generate sufficient cash flows to meet our Senior Notes obligations and may be forced to take other actions to satisfy our Senior Notes obligations, which may not be successful.</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operations may not generate sufficient cash to enable us to service our Senior Notes, which mature on June 30, 2026. If we fail to generate sufficient cash flows to redeem or repay in full our Senior Notes prior to June 30, 2026, we may have to raise additional funds to pay such amounts on a timely basis. We cannot guarantee that any refinancing of the Senior Notes will be possible on a timely basis, on terms we find acceptable, or at all. </w:t>
      </w:r>
    </w:p>
    <w:p>
      <w:pPr>
        <w:pStyle w:val="TextBody"/>
        <w:bidi w:val="0"/>
        <w:spacing w:before="0" w:after="0"/>
        <w:ind w:left="0" w:right="0" w:firstLine="475"/>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We may fail to refinance, redeem or repay in full our Senior Notes prior to March 31, 2026, and in that event the maturity date of our Term Loan will be March 31, 2026. </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entered into the Credit Agreement with BGC Lender Rep LLC, as administrative agent (“BGC”), and the lenders party thereto on June 28, 2024 (the “Credit Agreement”). The Credit Agreement established a senior secured term loan facility of up to $75.0 million (the “Term Loan”), all of which was funded on June 28, 2024. The Term Loan matures on June 28, 2028 (the “Maturity Date”); provided that if (i) the Senior Notes are not refinanced, redeemed or repaid in full prior to March 31, 2026, the Maturity Date shall be March 31, 2026 and (ii) in the event of a refinancing, redemption or repayment of the Senior Notes in full prior to March 31, 2026, the Maturity Date shall be the earlier of (A) June 28, 2028 and (B) the date that is twelve (12) months prior to the final stated maturity date for the indebtedness resulting from such refinancing, redemption or repayment of the Senior Notes in full.</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we fail to refinance, redeem or repay in full our Senior Notes prior to March 31, 2026, then the Maturity Date will be March 31, 2026, and we will be required to pay all amounts outstanding under the Term Loan sooner than they would otherwise be due, we may not have sufficient funds available to pay such amounts at that time, and we may not be able to raise additional funds to pay such amounts on a timely basis, on terms we find acceptable, or at all.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The terms of our Credit Agreement restrict our operating and financial flexibility, and any breach of the covenants in that agreement, if the lenders elected to accelerate the due date of the loan, could significantly harm our business and prospects and lead to the liquidation of our business.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Credit Agreement contains certain operating covenants and restricts our operating and financial flexibility. Our obligations under the Credit Agreement are secured by substantially all of our assets (other than existing real property). The Credit Agreement contains customary covenants that limit our ability and our restricted subsidiaries to, among other things, (i) incur additional indebtedness, (ii) pay dividends or make certain other restricted payments, (iii) sell assets, (iv) make certain investments, (v) grant liens and (vi) enter into transactions with affiliates. These covenants are subject to exceptions and qualifications set forth in the Credit Agreement. The financial covenants set forth in the Credit Agreement include (i) a maximum consolidated secured leverage ratio, which will be tested at the end of each of Synchronoss’ fiscal quarter and (ii) an average liquidity requirement for any calendar month. We are currently in compliance with the Credit Agreement covenants, but we may fall out of compliance with these covenants. We may also enter into other debt agreements in the future which may contain similar or more restrictive terms.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b41877c9f6b4423b83513f555592c74c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Upon the occurrence and continuance of an event of default, which, for example, could be triggered by a breach or violation of, or default under, certain material contracts of the Company, BGC may take either or both of the following actions: (i) terminate the commitments and (ii) declare all outstanding obligations immediately due and payable and take such other actions as set forth in the Credit Agreement. Any declaration by BGC of an event of default could significantly harm our business and prospects and could cause the price of our common stock to decline significantly. Further, if we were liquidated, the lenders’ right to repayment would be senior to the rights of our stockholders.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have, and in the future may be, the target of stockholder derivative complaints or other securities related legal actions that could adversely affect our results of operations and our business.</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and in the future may be, the target of stockholder derivative complaints or other securities related legal actions. The existence of any litigation may have an adverse effect on our reputation with referral sources and our customers themselves, which could have an adverse effect on our results of operations and financial condition. The outcome and amount of resources needed to respond to, defend or resolve lawsuits is unpredictable and may remain unknown for long periods of time. Our exposure under these matters may also include our indemnification obligations, to the extent we have any, to current and former officers and directors and, in some cases former underwriters, against losses incurred in connection with these matters, including reimbursement of legal fees and other expenses. For instance, on June 7, 2022, the SEC filed a civil action against two former members of our management team (the “defendants”), alleging misconduct arising out of certain restated transactions that took place in 2015 and 2016 investigated by the SEC. We will be required to indemnify the defendants in these actions for certain costs and expenses, including reasonable attorney’s fees. As of June 30, 2024, we had paid approximately $6.7 million life to date for costs incurred in these actions. Additionally, as of June 30, 2024, the Company has accrued approximately $2.8 million relating to these actions for certain costs and expenses, including reasonable attorney’s fees to be paid in the future. Additional amounts may be subject to claims for indemnification for these actions and any future actions. Although we maintain insurance for claims of this nature, our insurance coverage does not apply in all circumstances and may be denied or insufficient to cover the costs related to the class action and stockholder derivative lawsuits. For instance, our insurance coverage was insufficient to cover our indemnification obligations to the defendants. Large indemnity payments, individually or in the aggregate, could have a material impact on our financial position. In addition, future lawsuits or legal claims involving us may increase our insurance premiums, deductibles or co-insurance requirements or otherwise make it more difficult for us to maintain or obtain adequate insurance coverage on acceptable terms, if at all. Moreover, adverse publicity associated with negative developments in any such legal proceedings could decrease customer demand for our services. As a result, future lawsuits involving us, or our officers or directors, could have a material adverse effect on our business, reputation, financial condition, results of operations, liquidity and the trading price of our common stock.</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 1% U.S. federal excise tax may be imposed upon us in connection with the redemptions or repurchases by us of our Series B Non-Convertible Perpetual Preferred Stock (“Series B Preferred Stock”) or other redemptions or repurchases of our equity.</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August 16, 2022, President Biden signed into law the IRA, which, among other things, imposes a new U.S. federal 1% excise tax on certain repurchases (including redemptions) of stock by publicly traded domestic corporations and certain domestic subsidiaries of publicly traded foreign corporations. This excise tax is imposed on the repurchasing corporation itself, not its stockholders from which shares are repurchased. Generally, the amount of the excise tax is 1% of the fair market value of the shares repurchased at the time of the repurchase. For the purposes of calculating the excise tax, the repurchasing corporation is permitted to net the fair market value of certain new stock issuances against the fair market value of the stock repurchases that occur in the same taxable year. On December 27, 2022, the U.S. Treasury Department issued a notice that provides interim guidance regarding the application of the 1% excise tax pending forthcoming proposed regulations. The IRA excise tax applies to repurchases and redemptions that occur after December 31, 2022.</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that each redemption or repurchase of our equity, such as Series B Preferred Stock repurchases, after December 31, 2022 will be subject to the 1% excise tax. Whether and to what extent we would be subject to the excise tax would depend on a number of factors, including (i) the fair market value of the redemptions and repurchase, (ii) the nature and amount of any equity issuances within the same taxable year and (iii) the regulations and other guidance issued by the U.S. Treasury Department and the IRS. For example, on November 3, 2023, we repurchased shares of our outstanding Series B Preferred Stock, pursuant to the Certificate of Designations of the Series B Preferred Stock, which, for the purposes of calculating the excise tax, were offset by the fair market value of new stock issuances in the same taxable year. Additionally, on June 28,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b41877c9f6b4423b83513f555592c74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repurchased all outstanding Series B Preferred Stock and following such repurchase filed a certificate of elimination of the Series B Preferred Stock with the Secretary of State of the State of Delaware. The 1% excise tax may increase our costs and impact our operations. This could have an adverse effect on our margins and financial position and would negatively affect our revenues and results of operations and/or trading price of our common stock. The company has accrued for potential exposure related to excise tax in the period.</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color w:val="000000"/>
          <w:sz w:val="20"/>
        </w:rPr>
        <w:t>ITEM 2. UNREGISTERED SALES OF EQUITY SECURITIES AND</w:t>
      </w:r>
      <w:r>
        <w:rPr>
          <w:color w:val="000000"/>
        </w:rPr>
        <w:t xml:space="preserve"> </w:t>
      </w:r>
      <w:r>
        <w:rPr>
          <w:rFonts w:ascii="Times New Roman;sans-serif" w:hAnsi="Times New Roman;sans-serif"/>
          <w:b/>
          <w:color w:val="000000"/>
          <w:sz w:val="20"/>
        </w:rPr>
        <w:t>USE OF PROCEEDS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180"/>
        <w:jc w:val="both"/>
        <w:rPr/>
      </w:pPr>
      <w:r>
        <w:rPr>
          <w:rFonts w:ascii="Times New Roman;sans-serif" w:hAnsi="Times New Roman;sans-serif"/>
          <w:b/>
          <w:color w:val="000000"/>
          <w:sz w:val="20"/>
        </w:rPr>
        <w:t>ITEM 5. OTHER INFORMATION</w:t>
      </w:r>
      <w:r>
        <w:rPr>
          <w:color w:val="000000"/>
        </w:rPr>
        <w:t xml:space="preserve"> </w:t>
      </w:r>
    </w:p>
    <w:p>
      <w:pPr>
        <w:pStyle w:val="TextBody"/>
        <w:bidi w:val="0"/>
        <w:spacing w:lineRule="auto" w:line="417" w:before="0" w:after="0"/>
        <w:jc w:val="both"/>
        <w:rPr>
          <w:rFonts w:ascii="Times New Roman;sans-serif" w:hAnsi="Times New Roman;sans-serif"/>
          <w:b/>
          <w:color w:val="000000"/>
          <w:sz w:val="20"/>
        </w:rPr>
      </w:pPr>
      <w:r>
        <w:rPr>
          <w:rFonts w:ascii="Times New Roman;sans-serif" w:hAnsi="Times New Roman;sans-serif"/>
          <w:b/>
          <w:color w:val="000000"/>
          <w:sz w:val="20"/>
        </w:rPr>
        <w:t>Rule 10b5-1 Trading Plans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period covered by this Quarterly Report on Form 10-Q, no director or officer of the Company “adopted” or terminated a “Rule 10b5-1 trading arrangement” or “non-Rule 10b5-1 trading arrangement” as each term is defined in Item 408(a) of Regulation S-K.</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b41877c9f6b4423b83513f555592c74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53"/>
        <w:gridCol w:w="221"/>
        <w:gridCol w:w="224"/>
        <w:gridCol w:w="109"/>
        <w:gridCol w:w="109"/>
        <w:gridCol w:w="109"/>
        <w:gridCol w:w="1404"/>
        <w:gridCol w:w="1231"/>
        <w:gridCol w:w="1245"/>
        <w:gridCol w:w="109"/>
        <w:gridCol w:w="109"/>
        <w:gridCol w:w="109"/>
        <w:gridCol w:w="170"/>
        <w:gridCol w:w="170"/>
        <w:gridCol w:w="171"/>
        <w:gridCol w:w="109"/>
        <w:gridCol w:w="109"/>
        <w:gridCol w:w="109"/>
        <w:gridCol w:w="299"/>
        <w:gridCol w:w="243"/>
        <w:gridCol w:w="161"/>
        <w:gridCol w:w="109"/>
        <w:gridCol w:w="109"/>
        <w:gridCol w:w="109"/>
        <w:gridCol w:w="210"/>
        <w:gridCol w:w="210"/>
        <w:gridCol w:w="211"/>
        <w:gridCol w:w="109"/>
        <w:gridCol w:w="109"/>
        <w:gridCol w:w="109"/>
        <w:gridCol w:w="461"/>
        <w:gridCol w:w="227"/>
        <w:gridCol w:w="228"/>
        <w:gridCol w:w="109"/>
        <w:gridCol w:w="109"/>
        <w:gridCol w:w="109"/>
        <w:gridCol w:w="263"/>
        <w:gridCol w:w="263"/>
        <w:gridCol w:w="378"/>
      </w:tblGrid>
      <w:tr>
        <w:trPr/>
        <w:tc>
          <w:tcPr>
            <w:tcW w:w="25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2" w:type="dxa"/>
            <w:gridSpan w:val="21"/>
            <w:tcBorders>
              <w:bottom w:val="single" w:sz="12"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 No.</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Filed Herewith</w:t>
            </w:r>
          </w:p>
        </w:tc>
      </w:tr>
      <w:tr>
        <w:trPr/>
        <w:tc>
          <w:tcPr>
            <w:tcW w:w="6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ans-serif" w:hAnsi="Times New Roman;sans-serif"/>
                  <w:b w:val="false"/>
                  <w:color w:val="0000FF"/>
                  <w:sz w:val="16"/>
                  <w:u w:val="single"/>
                </w:rPr>
                <w:t>Restated Certificate of Incorporation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001-40574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March 15,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3">
              <w:r>
                <w:rPr>
                  <w:rStyle w:val="InternetLink"/>
                  <w:rFonts w:ascii="Times New Roman;sans-serif" w:hAnsi="Times New Roman;sans-serif"/>
                  <w:b w:val="false"/>
                  <w:color w:val="0000FF"/>
                  <w:sz w:val="16"/>
                  <w:u w:val="single"/>
                </w:rPr>
                <w:t>Certificate of Amendment to the Restated Certificate of Incorporation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001-40574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June 23,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ans-serif" w:hAnsi="Times New Roman;sans-serif"/>
                  <w:b w:val="false"/>
                  <w:color w:val="0000FF"/>
                  <w:sz w:val="16"/>
                  <w:u w:val="single"/>
                </w:rPr>
                <w:t>Amended and Restated Bylaws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333-132080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May 9, 2006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Times New Roman;sans-serif" w:hAnsi="Times New Roman;sans-serif"/>
                  <w:b w:val="false"/>
                  <w:color w:val="0000FF"/>
                  <w:sz w:val="16"/>
                  <w:u w:val="single"/>
                </w:rPr>
                <w:t>Amendment No. 1 to Amended and Restated Bylaws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000-52049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February 20, 2018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0"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6">
              <w:r>
                <w:rPr>
                  <w:rStyle w:val="InternetLink"/>
                  <w:rFonts w:ascii="Times New Roman;sans-serif" w:hAnsi="Times New Roman;sans-serif"/>
                  <w:b w:val="false"/>
                  <w:color w:val="0000FF"/>
                  <w:sz w:val="16"/>
                  <w:u w:val="single"/>
                </w:rPr>
                <w:t>Amendment No. 2 to the Amended and Restated Bylaws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000-52049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June 30,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7">
              <w:r>
                <w:rPr>
                  <w:rStyle w:val="InternetLink"/>
                  <w:rFonts w:ascii="Times New Roman;sans-serif" w:hAnsi="Times New Roman;sans-serif"/>
                  <w:b w:val="false"/>
                  <w:color w:val="0000FF"/>
                  <w:sz w:val="16"/>
                  <w:u w:val="single"/>
                </w:rPr>
                <w:t>Certificate of Designations of the Series B Perpetual Non-Convertible Preferred Stock.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000-52049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June 30,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8">
              <w:r>
                <w:rPr>
                  <w:rStyle w:val="InternetLink"/>
                  <w:rFonts w:ascii="Times New Roman;sans-serif" w:hAnsi="Times New Roman;sans-serif"/>
                  <w:b w:val="false"/>
                  <w:color w:val="0000FF"/>
                  <w:sz w:val="16"/>
                  <w:u w:val="single"/>
                </w:rPr>
                <w:t>Certificate of Amendment of the Restated Certificate of Incorporation of Synchronoss Technologies,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001-40574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December 7,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9">
              <w:r>
                <w:rPr>
                  <w:rStyle w:val="InternetLink"/>
                  <w:rFonts w:ascii="Times New Roman;sans-serif" w:hAnsi="Times New Roman;sans-serif"/>
                  <w:b w:val="false"/>
                  <w:color w:val="0000FF"/>
                  <w:sz w:val="16"/>
                  <w:u w:val="single"/>
                </w:rPr>
                <w:t xml:space="preserve">Certificate of Elimination of the Series B Perpetual Non-Convertible Preferred Stock.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001-40574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July 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101creditagreement.htm">
              <w:r>
                <w:rPr>
                  <w:rStyle w:val="InternetLink"/>
                  <w:rFonts w:ascii="Times New Roman;sans-serif" w:hAnsi="Times New Roman;sans-serif"/>
                  <w:b w:val="false"/>
                  <w:color w:val="0000FF"/>
                  <w:sz w:val="16"/>
                  <w:u w:val="single"/>
                </w:rPr>
                <w:t>Credit Agreement dated as of June 28, 2024 among the Registrant as the Borrower, the Lenders Party hereto, and BGC Lender Rep LLC, as Administrative Agent, AS Birch Grove LP as Sole Lead Arranger and Sole Bookrunner.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102noterepurchaseagreeme.htm">
              <w:r>
                <w:rPr>
                  <w:rStyle w:val="InternetLink"/>
                  <w:rFonts w:ascii="Times New Roman;sans-serif" w:hAnsi="Times New Roman;sans-serif"/>
                  <w:b w:val="false"/>
                  <w:color w:val="0000FF"/>
                  <w:sz w:val="16"/>
                  <w:u w:val="single"/>
                </w:rPr>
                <w:t>Note Repurchase Agreement between the Registrant and BRF Investments, LLC &amp; B. Riley Securities,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103seriesbrepurchaseagre.htm">
              <w:r>
                <w:rPr>
                  <w:rStyle w:val="InternetLink"/>
                  <w:rFonts w:ascii="Times New Roman;sans-serif" w:hAnsi="Times New Roman;sans-serif"/>
                  <w:b w:val="false"/>
                  <w:color w:val="0000FF"/>
                  <w:sz w:val="16"/>
                  <w:u w:val="single"/>
                </w:rPr>
                <w:t>Series B Repurchase Agreement between the Registrant and BRF Investments,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1042015equityincentivepl.htm">
              <w:r>
                <w:rPr>
                  <w:rStyle w:val="InternetLink"/>
                  <w:rFonts w:ascii="Times New Roman;sans-serif" w:hAnsi="Times New Roman;sans-serif"/>
                  <w:b w:val="false"/>
                  <w:color w:val="0000FF"/>
                  <w:sz w:val="16"/>
                  <w:u w:val="single"/>
                </w:rPr>
                <w:t>Synchronoss Technologies, Inc. Amended and Restated 2015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311-sncrx06302410xq.htm">
              <w:r>
                <w:rPr>
                  <w:rStyle w:val="InternetLink"/>
                  <w:rFonts w:ascii="Times New Roman;sans-serif" w:hAnsi="Times New Roman;sans-serif"/>
                  <w:b w:val="false"/>
                  <w:color w:val="0000FF"/>
                  <w:sz w:val="16"/>
                  <w:u w:val="single"/>
                </w:rPr>
                <w:t>Certification of Principal Executive Officer pursuant to Rule 13a</w:t>
                <w:noBreakHyphen/>
                <w:t>14(a) of the Exchange Act, as adopted pursuant to section 302 of the Sarbanes</w:t>
                <w:noBreakHyphen/>
                <w:t>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312-sncrx06302410xq.htm">
              <w:r>
                <w:rPr>
                  <w:rStyle w:val="InternetLink"/>
                  <w:rFonts w:ascii="Times New Roman;sans-serif" w:hAnsi="Times New Roman;sans-serif"/>
                  <w:b w:val="false"/>
                  <w:color w:val="0000FF"/>
                  <w:sz w:val="16"/>
                  <w:u w:val="single"/>
                </w:rPr>
                <w:t>Certification of Principal Financial Officer pursuant to Rule 13a</w:t>
                <w:noBreakHyphen/>
                <w:t>14(a) of the Exchange Act, as adopted pursuant to section 302 of the Sarbanes</w:t>
                <w:noBreakHyphen/>
                <w:t>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321-sncrx06302410xq.htm">
              <w:r>
                <w:rPr>
                  <w:rStyle w:val="InternetLink"/>
                  <w:rFonts w:ascii="Times New Roman;sans-serif" w:hAnsi="Times New Roman;sans-serif"/>
                  <w:b w:val="false"/>
                  <w:color w:val="0000FF"/>
                  <w:sz w:val="16"/>
                  <w:u w:val="single"/>
                </w:rPr>
                <w:t>Certification of Principal Executive Officer pursuant to Rule 13a</w:t>
                <w:noBreakHyphen/>
                <w:t>14(b) of the Exchange Act and section 18 U.S.C. Section 1350, as adopted pursuant to section 906 of the Sarbanes</w:t>
                <w:noBreakHyphen/>
                <w:t>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322-sncrx06302410xq.htm">
              <w:r>
                <w:rPr>
                  <w:rStyle w:val="InternetLink"/>
                  <w:rFonts w:ascii="Times New Roman;sans-serif" w:hAnsi="Times New Roman;sans-serif"/>
                  <w:b w:val="false"/>
                  <w:color w:val="0000FF"/>
                  <w:sz w:val="16"/>
                  <w:u w:val="single"/>
                </w:rPr>
                <w:t>Certification of Principal Financial Officer pursuant to Rule 13a</w:t>
                <w:noBreakHyphen/>
                <w:t>14(b) of the Exchange Act and section 18 U.S.C. Section 1350, as adopted pursuant to section 906 of the Sarbanes</w:t>
                <w:noBreakHyphen/>
                <w:t>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XBRL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XBRL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XBRL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XBRL Taxonomy Extension Definition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XBRL Labels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XBRL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r>
      <w:tr>
        <w:trPr/>
        <w:tc>
          <w:tcPr>
            <w:tcW w:w="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b41877c9f6b4423b83513f555592c74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SIGNATURES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Securities Exchange Act of 1934, the registrant has caused this Report to be signed on its behalf by the undersigned, thereunto duly authorized.</w:t>
      </w:r>
    </w:p>
    <w:tbl>
      <w:tblPr>
        <w:tblW w:w="372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894"/>
        <w:gridCol w:w="894"/>
        <w:gridCol w:w="8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Synchronoss Technologies,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Jeff Miller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Jeff Miller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Louis Ferraro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Louis Ferraro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jc w:val="both"/>
        <w:rPr>
          <w:rFonts w:ascii="Times New Roman;sans-serif" w:hAnsi="Times New Roman;sans-serif"/>
          <w:b w:val="false"/>
          <w:color w:val="000000"/>
          <w:sz w:val="20"/>
        </w:rPr>
      </w:pPr>
      <w:r>
        <w:rPr>
          <w:rFonts w:ascii="Times New Roman;sans-serif" w:hAnsi="Times New Roman;sans-serif"/>
          <w:b w:val="false"/>
          <w:color w:val="000000"/>
          <w:sz w:val="20"/>
        </w:rPr>
        <w:t>August 9, 2024</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10.1</w:t>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center"/>
        <w:rPr/>
      </w:pPr>
      <w:r>
        <w:rPr>
          <w:rFonts w:ascii="Times New Roman;sans-serif" w:hAnsi="Times New Roman;sans-serif"/>
          <w:b w:val="false"/>
          <w:color w:val="000000"/>
          <w:sz w:val="22"/>
        </w:rPr>
        <w:br/>
      </w:r>
      <w:r>
        <w:rPr>
          <w:rFonts w:ascii="Times New Roman;sans-serif" w:hAnsi="Times New Roman;sans-serif"/>
          <w:b/>
          <w:color w:val="000000"/>
          <w:sz w:val="20"/>
        </w:rPr>
        <w:t>CERTAIN CONFIDENTIAL INFORMATION CONTAINED IN THIS DOCUMENT, MARKED BY [***], HAS BEEN OMITTED BECAUSE IT IS (I) NOT MATERIAL AND (II) OF THE TYPE THAT THE REGISTRANT TREATS AS PRIVATE OR CONFIDENTIAL.</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CREDIT AGREEMENT</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dated as of June 28, 2024</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among</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SYNCHRONOSS TECHNOLOGIES,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as the Borrower,</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THE LENDERS PARTY HERETO,</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and</w:t>
      </w:r>
    </w:p>
    <w:p>
      <w:pPr>
        <w:pStyle w:val="TextBody"/>
        <w:bidi w:val="0"/>
        <w:spacing w:before="0" w:after="0"/>
        <w:jc w:val="center"/>
        <w:rPr/>
      </w:pPr>
      <w:r>
        <w:rPr/>
      </w:r>
    </w:p>
    <w:p>
      <w:pPr>
        <w:pStyle w:val="TextBody"/>
        <w:bidi w:val="0"/>
        <w:spacing w:lineRule="auto" w:line="288" w:before="0" w:after="0"/>
        <w:jc w:val="center"/>
        <w:rPr/>
      </w:pPr>
      <w:r>
        <w:rPr>
          <w:rFonts w:ascii="Times New Roman;sans-serif" w:hAnsi="Times New Roman;sans-serif"/>
          <w:b/>
          <w:color w:val="000000"/>
          <w:sz w:val="22"/>
        </w:rPr>
        <w:t>BGC LENDER REP LLC,</w:t>
      </w:r>
      <w:r>
        <w:rPr>
          <w:color w:val="000000"/>
        </w:rPr>
        <w:t xml:space="preserve"> </w:t>
      </w:r>
      <w:r>
        <w:rPr>
          <w:rFonts w:ascii="Times New Roman;sans-serif" w:hAnsi="Times New Roman;sans-serif"/>
          <w:b/>
          <w:color w:val="000000"/>
          <w:sz w:val="22"/>
        </w:rPr>
        <w:br/>
        <w:t>as Administrative Agent</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AS BIRCH GROVE LP,</w:t>
        <w:br/>
        <w:t>as Sole Lead Arranger and Sole Bookrunner</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480" w:after="240"/>
        <w:jc w:val="center"/>
        <w:rPr>
          <w:rFonts w:ascii="Times New Roman;sans-serif" w:hAnsi="Times New Roman;sans-serif"/>
          <w:b/>
          <w:color w:val="000000"/>
          <w:sz w:val="22"/>
        </w:rPr>
      </w:pPr>
      <w:r>
        <w:rPr>
          <w:rFonts w:ascii="Times New Roman;sans-serif" w:hAnsi="Times New Roman;sans-serif"/>
          <w:b/>
          <w:color w:val="000000"/>
          <w:sz w:val="22"/>
        </w:rPr>
        <w:t>TABLE OF CONTENTS</w:t>
      </w:r>
    </w:p>
    <w:p>
      <w:pPr>
        <w:pStyle w:val="TextBody"/>
        <w:bidi w:val="0"/>
        <w:spacing w:lineRule="auto" w:line="288" w:before="0" w:after="240"/>
        <w:jc w:val="right"/>
        <w:rPr>
          <w:rFonts w:ascii="Times New Roman;sans-serif" w:hAnsi="Times New Roman;sans-serif"/>
          <w:b/>
          <w:color w:val="000000"/>
          <w:sz w:val="22"/>
          <w:u w:val="single"/>
        </w:rPr>
      </w:pPr>
      <w:r>
        <w:rPr>
          <w:rFonts w:ascii="Times New Roman;sans-serif" w:hAnsi="Times New Roman;sans-serif"/>
          <w:b/>
          <w:color w:val="000000"/>
          <w:sz w:val="22"/>
          <w:u w:val="single"/>
        </w:rPr>
        <w:t>Page</w:t>
      </w:r>
    </w:p>
    <w:p>
      <w:pPr>
        <w:pStyle w:val="TextBody"/>
        <w:bidi w:val="0"/>
        <w:spacing w:lineRule="auto" w:line="288" w:before="0" w:after="240"/>
        <w:ind w:left="0" w:right="0" w:firstLine="540"/>
        <w:jc w:val="left"/>
        <w:rPr/>
      </w:pPr>
      <w:r>
        <w:rPr>
          <w:rFonts w:ascii="Times New Roman;sans-serif" w:hAnsi="Times New Roman;sans-serif"/>
          <w:b w:val="false"/>
          <w:color w:val="000000"/>
          <w:sz w:val="22"/>
        </w:rPr>
        <w:t>Section 1.1</w:t>
      </w:r>
      <w:r>
        <w:rPr>
          <w:color w:val="000000"/>
        </w:rPr>
        <w:t>    </w:t>
      </w:r>
      <w:r>
        <w:rPr>
          <w:rFonts w:ascii="Times New Roman;sans-serif" w:hAnsi="Times New Roman;sans-serif"/>
          <w:b w:val="false"/>
          <w:color w:val="000000"/>
          <w:sz w:val="22"/>
          <w:u w:val="single"/>
        </w:rPr>
        <w:t>Definitions</w:t>
      </w:r>
      <w:r>
        <w:rPr>
          <w:color w:val="000000"/>
        </w:rPr>
        <w:t>    </w:t>
      </w:r>
      <w:hyperlink w:anchor="iad6c00f09d2947a1bb263cc540ec5621_7">
        <w:r>
          <w:rPr>
            <w:rStyle w:val="InternetLink"/>
            <w:rFonts w:ascii="Times New Roman;sans-serif" w:hAnsi="Times New Roman;sans-serif"/>
            <w:b w:val="false"/>
            <w:strike w:val="false"/>
            <w:dstrike w:val="false"/>
            <w:color w:val="000000"/>
            <w:sz w:val="22"/>
            <w:u w:val="none"/>
            <w:effect w:val="none"/>
          </w:rPr>
          <w:t>1</w:t>
        </w:r>
      </w:hyperlink>
    </w:p>
    <w:p>
      <w:pPr>
        <w:pStyle w:val="TextBody"/>
        <w:bidi w:val="0"/>
        <w:spacing w:lineRule="auto" w:line="288" w:before="0" w:after="240"/>
        <w:ind w:left="0" w:right="0" w:firstLine="540"/>
        <w:jc w:val="left"/>
        <w:rPr/>
      </w:pPr>
      <w:r>
        <w:rPr>
          <w:rFonts w:ascii="Times New Roman;sans-serif" w:hAnsi="Times New Roman;sans-serif"/>
          <w:b w:val="false"/>
          <w:color w:val="000000"/>
          <w:sz w:val="22"/>
        </w:rPr>
        <w:t>Section 1.2</w:t>
      </w:r>
      <w:r>
        <w:rPr>
          <w:color w:val="000000"/>
        </w:rPr>
        <w:t>    </w:t>
      </w:r>
      <w:r>
        <w:rPr>
          <w:rFonts w:ascii="Times New Roman;sans-serif" w:hAnsi="Times New Roman;sans-serif"/>
          <w:b w:val="false"/>
          <w:color w:val="000000"/>
          <w:sz w:val="22"/>
          <w:u w:val="single"/>
        </w:rPr>
        <w:t>Rates</w:t>
      </w:r>
      <w:r>
        <w:rPr>
          <w:color w:val="000000"/>
        </w:rPr>
        <w:t>    </w:t>
      </w:r>
      <w:hyperlink w:anchor="iad6c00f09d2947a1bb263cc540ec5621_7">
        <w:r>
          <w:rPr>
            <w:rStyle w:val="InternetLink"/>
            <w:rFonts w:ascii="Times New Roman;sans-serif" w:hAnsi="Times New Roman;sans-serif"/>
            <w:b w:val="false"/>
            <w:strike w:val="false"/>
            <w:dstrike w:val="false"/>
            <w:color w:val="000000"/>
            <w:sz w:val="22"/>
            <w:u w:val="none"/>
            <w:effect w:val="none"/>
          </w:rPr>
          <w:t>45</w:t>
        </w:r>
      </w:hyperlink>
    </w:p>
    <w:p>
      <w:pPr>
        <w:pStyle w:val="TextBody"/>
        <w:bidi w:val="0"/>
        <w:spacing w:lineRule="auto" w:line="288" w:before="0" w:after="240"/>
        <w:ind w:left="0" w:right="0" w:firstLine="540"/>
        <w:jc w:val="left"/>
        <w:rPr/>
      </w:pPr>
      <w:r>
        <w:rPr>
          <w:rFonts w:ascii="Times New Roman;sans-serif" w:hAnsi="Times New Roman;sans-serif"/>
          <w:b w:val="false"/>
          <w:color w:val="000000"/>
          <w:sz w:val="22"/>
        </w:rPr>
        <w:t>Section 1.3</w:t>
      </w:r>
      <w:r>
        <w:rPr>
          <w:color w:val="000000"/>
        </w:rPr>
        <w:t>    </w:t>
      </w:r>
      <w:r>
        <w:rPr>
          <w:rFonts w:ascii="Times New Roman;sans-serif" w:hAnsi="Times New Roman;sans-serif"/>
          <w:b w:val="false"/>
          <w:color w:val="000000"/>
          <w:sz w:val="22"/>
          <w:u w:val="single"/>
        </w:rPr>
        <w:t>Terms Generally</w:t>
      </w:r>
      <w:r>
        <w:rPr>
          <w:color w:val="000000"/>
        </w:rPr>
        <w:t>    </w:t>
      </w:r>
      <w:hyperlink w:anchor="iad6c00f09d2947a1bb263cc540ec5621_7">
        <w:r>
          <w:rPr>
            <w:rStyle w:val="InternetLink"/>
            <w:rFonts w:ascii="Times New Roman;sans-serif" w:hAnsi="Times New Roman;sans-serif"/>
            <w:b w:val="false"/>
            <w:strike w:val="false"/>
            <w:dstrike w:val="false"/>
            <w:color w:val="000000"/>
            <w:sz w:val="22"/>
            <w:u w:val="none"/>
            <w:effect w:val="none"/>
          </w:rPr>
          <w:t>45</w:t>
        </w:r>
      </w:hyperlink>
    </w:p>
    <w:p>
      <w:pPr>
        <w:pStyle w:val="TextBody"/>
        <w:bidi w:val="0"/>
        <w:spacing w:lineRule="auto" w:line="288" w:before="0" w:after="240"/>
        <w:ind w:left="0" w:right="0" w:firstLine="540"/>
        <w:jc w:val="left"/>
        <w:rPr/>
      </w:pPr>
      <w:r>
        <w:rPr>
          <w:rFonts w:ascii="Times New Roman;sans-serif" w:hAnsi="Times New Roman;sans-serif"/>
          <w:b w:val="false"/>
          <w:color w:val="000000"/>
          <w:sz w:val="22"/>
        </w:rPr>
        <w:t>Section 1.4</w:t>
      </w:r>
      <w:r>
        <w:rPr>
          <w:color w:val="000000"/>
        </w:rPr>
        <w:t>    </w:t>
      </w:r>
      <w:r>
        <w:rPr>
          <w:rFonts w:ascii="Times New Roman;sans-serif" w:hAnsi="Times New Roman;sans-serif"/>
          <w:b w:val="false"/>
          <w:color w:val="000000"/>
          <w:sz w:val="22"/>
          <w:u w:val="single"/>
        </w:rPr>
        <w:t>Accounting Terms; GAAP</w:t>
      </w:r>
      <w:r>
        <w:rPr>
          <w:rFonts w:ascii="Times New Roman;sans-serif" w:hAnsi="Times New Roman;sans-serif"/>
          <w:b w:val="false"/>
          <w:color w:val="000000"/>
          <w:sz w:val="22"/>
        </w:rPr>
        <w:t>.    </w:t>
      </w:r>
      <w:hyperlink w:anchor="iad6c00f09d2947a1bb263cc540ec5621_7">
        <w:r>
          <w:rPr>
            <w:rStyle w:val="InternetLink"/>
            <w:rFonts w:ascii="Times New Roman;sans-serif" w:hAnsi="Times New Roman;sans-serif"/>
            <w:b w:val="false"/>
            <w:strike w:val="false"/>
            <w:dstrike w:val="false"/>
            <w:color w:val="000000"/>
            <w:sz w:val="22"/>
            <w:u w:val="none"/>
            <w:effect w:val="none"/>
          </w:rPr>
          <w:t>45</w:t>
        </w:r>
      </w:hyperlink>
    </w:p>
    <w:p>
      <w:pPr>
        <w:pStyle w:val="TextBody"/>
        <w:bidi w:val="0"/>
        <w:spacing w:lineRule="auto" w:line="288" w:before="0" w:after="240"/>
        <w:ind w:left="0" w:right="0" w:firstLine="540"/>
        <w:jc w:val="left"/>
        <w:rPr/>
      </w:pPr>
      <w:r>
        <w:rPr>
          <w:rFonts w:ascii="Times New Roman;sans-serif" w:hAnsi="Times New Roman;sans-serif"/>
          <w:b w:val="false"/>
          <w:color w:val="000000"/>
          <w:sz w:val="22"/>
        </w:rPr>
        <w:t>Section 1.5</w:t>
      </w:r>
      <w:r>
        <w:rPr>
          <w:color w:val="000000"/>
        </w:rPr>
        <w:t>    </w:t>
      </w:r>
      <w:r>
        <w:rPr>
          <w:rFonts w:ascii="Times New Roman;sans-serif" w:hAnsi="Times New Roman;sans-serif"/>
          <w:b w:val="false"/>
          <w:color w:val="000000"/>
          <w:sz w:val="22"/>
          <w:u w:val="single"/>
        </w:rPr>
        <w:t>Rounding</w:t>
      </w:r>
      <w:r>
        <w:rPr>
          <w:color w:val="000000"/>
        </w:rPr>
        <w:t>    </w:t>
      </w:r>
      <w:hyperlink w:anchor="iad6c00f09d2947a1bb263cc540ec5621_7">
        <w:r>
          <w:rPr>
            <w:rStyle w:val="InternetLink"/>
            <w:rFonts w:ascii="Times New Roman;sans-serif" w:hAnsi="Times New Roman;sans-serif"/>
            <w:b w:val="false"/>
            <w:strike w:val="false"/>
            <w:dstrike w:val="false"/>
            <w:color w:val="000000"/>
            <w:sz w:val="22"/>
            <w:u w:val="none"/>
            <w:effect w:val="none"/>
          </w:rPr>
          <w:t>46</w:t>
        </w:r>
      </w:hyperlink>
    </w:p>
    <w:p>
      <w:pPr>
        <w:pStyle w:val="TextBody"/>
        <w:bidi w:val="0"/>
        <w:spacing w:lineRule="auto" w:line="288" w:before="0" w:after="240"/>
        <w:ind w:left="0" w:right="0" w:firstLine="540"/>
        <w:jc w:val="left"/>
        <w:rPr/>
      </w:pPr>
      <w:r>
        <w:rPr>
          <w:rFonts w:ascii="Times New Roman;sans-serif" w:hAnsi="Times New Roman;sans-serif"/>
          <w:b w:val="false"/>
          <w:color w:val="000000"/>
          <w:sz w:val="22"/>
        </w:rPr>
        <w:t>Section 1.6</w:t>
      </w:r>
      <w:r>
        <w:rPr>
          <w:color w:val="000000"/>
        </w:rPr>
        <w:t>    </w:t>
      </w:r>
      <w:r>
        <w:rPr>
          <w:rFonts w:ascii="Times New Roman;sans-serif" w:hAnsi="Times New Roman;sans-serif"/>
          <w:b w:val="false"/>
          <w:color w:val="000000"/>
          <w:sz w:val="22"/>
          <w:u w:val="single"/>
        </w:rPr>
        <w:t>References to Time</w:t>
      </w:r>
      <w:r>
        <w:rPr>
          <w:color w:val="000000"/>
        </w:rPr>
        <w:t>    </w:t>
      </w:r>
      <w:hyperlink w:anchor="iad6c00f09d2947a1bb263cc540ec5621_7">
        <w:r>
          <w:rPr>
            <w:rStyle w:val="InternetLink"/>
            <w:rFonts w:ascii="Times New Roman;sans-serif" w:hAnsi="Times New Roman;sans-serif"/>
            <w:b w:val="false"/>
            <w:strike w:val="false"/>
            <w:dstrike w:val="false"/>
            <w:color w:val="000000"/>
            <w:sz w:val="22"/>
            <w:u w:val="none"/>
            <w:effect w:val="none"/>
          </w:rPr>
          <w:t>46</w:t>
        </w:r>
      </w:hyperlink>
    </w:p>
    <w:p>
      <w:pPr>
        <w:pStyle w:val="TextBody"/>
        <w:bidi w:val="0"/>
        <w:spacing w:lineRule="auto" w:line="288" w:before="0" w:after="240"/>
        <w:ind w:left="0" w:right="0" w:firstLine="540"/>
        <w:jc w:val="left"/>
        <w:rPr/>
      </w:pPr>
      <w:r>
        <w:rPr>
          <w:rFonts w:ascii="Times New Roman;sans-serif" w:hAnsi="Times New Roman;sans-serif"/>
          <w:b w:val="false"/>
          <w:color w:val="000000"/>
          <w:sz w:val="22"/>
        </w:rPr>
        <w:t>Section 1.7</w:t>
      </w:r>
      <w:r>
        <w:rPr>
          <w:color w:val="000000"/>
        </w:rPr>
        <w:t>    </w:t>
      </w:r>
      <w:r>
        <w:rPr>
          <w:rFonts w:ascii="Times New Roman;sans-serif" w:hAnsi="Times New Roman;sans-serif"/>
          <w:b w:val="false"/>
          <w:color w:val="000000"/>
          <w:sz w:val="22"/>
          <w:u w:val="single"/>
        </w:rPr>
        <w:t>Resolution of Drafting Ambiguities</w:t>
      </w:r>
      <w:r>
        <w:rPr>
          <w:color w:val="000000"/>
        </w:rPr>
        <w:t>    </w:t>
      </w:r>
      <w:hyperlink w:anchor="iad6c00f09d2947a1bb263cc540ec5621_7">
        <w:r>
          <w:rPr>
            <w:rStyle w:val="InternetLink"/>
            <w:rFonts w:ascii="Times New Roman;sans-serif" w:hAnsi="Times New Roman;sans-serif"/>
            <w:b w:val="false"/>
            <w:strike w:val="false"/>
            <w:dstrike w:val="false"/>
            <w:color w:val="000000"/>
            <w:sz w:val="22"/>
            <w:u w:val="none"/>
            <w:effect w:val="none"/>
          </w:rPr>
          <w:t>46</w:t>
        </w:r>
      </w:hyperlink>
    </w:p>
    <w:p>
      <w:pPr>
        <w:pStyle w:val="TextBody"/>
        <w:bidi w:val="0"/>
        <w:spacing w:lineRule="auto" w:line="288" w:before="0" w:after="240"/>
        <w:ind w:left="0" w:right="0" w:firstLine="540"/>
        <w:jc w:val="left"/>
        <w:rPr/>
      </w:pPr>
      <w:r>
        <w:rPr>
          <w:rFonts w:ascii="Times New Roman;sans-serif" w:hAnsi="Times New Roman;sans-serif"/>
          <w:b w:val="false"/>
          <w:color w:val="000000"/>
          <w:sz w:val="22"/>
        </w:rPr>
        <w:t>Section 1.8</w:t>
      </w:r>
      <w:r>
        <w:rPr>
          <w:color w:val="000000"/>
        </w:rPr>
        <w:t>    </w:t>
      </w:r>
      <w:r>
        <w:rPr>
          <w:rFonts w:ascii="Times New Roman;sans-serif" w:hAnsi="Times New Roman;sans-serif"/>
          <w:b w:val="false"/>
          <w:color w:val="000000"/>
          <w:sz w:val="22"/>
          <w:u w:val="single"/>
        </w:rPr>
        <w:t>Status of Loan Document Obligations</w:t>
      </w:r>
      <w:r>
        <w:rPr>
          <w:color w:val="000000"/>
        </w:rPr>
        <w:t>    </w:t>
      </w:r>
      <w:hyperlink w:anchor="iad6c00f09d2947a1bb263cc540ec5621_7">
        <w:r>
          <w:rPr>
            <w:rStyle w:val="InternetLink"/>
            <w:rFonts w:ascii="Times New Roman;sans-serif" w:hAnsi="Times New Roman;sans-serif"/>
            <w:b w:val="false"/>
            <w:strike w:val="false"/>
            <w:dstrike w:val="false"/>
            <w:color w:val="000000"/>
            <w:sz w:val="22"/>
            <w:u w:val="none"/>
            <w:effect w:val="none"/>
          </w:rPr>
          <w:t>46</w:t>
        </w:r>
      </w:hyperlink>
    </w:p>
    <w:p>
      <w:pPr>
        <w:pStyle w:val="TextBody"/>
        <w:bidi w:val="0"/>
        <w:spacing w:lineRule="auto" w:line="288" w:before="0" w:after="240"/>
        <w:ind w:left="0" w:right="0" w:firstLine="540"/>
        <w:jc w:val="left"/>
        <w:rPr/>
      </w:pPr>
      <w:r>
        <w:rPr>
          <w:rFonts w:ascii="Times New Roman;sans-serif" w:hAnsi="Times New Roman;sans-serif"/>
          <w:b w:val="false"/>
          <w:color w:val="000000"/>
          <w:sz w:val="22"/>
        </w:rPr>
        <w:t>Section 1.9</w:t>
      </w:r>
      <w:r>
        <w:rPr>
          <w:color w:val="000000"/>
        </w:rPr>
        <w:t>    </w:t>
      </w:r>
      <w:r>
        <w:rPr>
          <w:rFonts w:ascii="Times New Roman;sans-serif" w:hAnsi="Times New Roman;sans-serif"/>
          <w:b w:val="false"/>
          <w:color w:val="000000"/>
          <w:sz w:val="22"/>
          <w:u w:val="single"/>
        </w:rPr>
        <w:t>LLC Divisions</w:t>
      </w:r>
      <w:r>
        <w:rPr>
          <w:color w:val="000000"/>
        </w:rPr>
        <w:t>    </w:t>
      </w:r>
      <w:hyperlink w:anchor="iad6c00f09d2947a1bb263cc540ec5621_7">
        <w:r>
          <w:rPr>
            <w:rStyle w:val="InternetLink"/>
            <w:rFonts w:ascii="Times New Roman;sans-serif" w:hAnsi="Times New Roman;sans-serif"/>
            <w:b w:val="false"/>
            <w:strike w:val="false"/>
            <w:dstrike w:val="false"/>
            <w:color w:val="000000"/>
            <w:sz w:val="22"/>
            <w:u w:val="none"/>
            <w:effect w:val="none"/>
          </w:rPr>
          <w:t>47</w:t>
        </w:r>
      </w:hyperlink>
    </w:p>
    <w:p>
      <w:pPr>
        <w:pStyle w:val="TextBody"/>
        <w:bidi w:val="0"/>
        <w:spacing w:lineRule="auto" w:line="288" w:before="0" w:after="240"/>
        <w:ind w:left="0" w:right="0" w:firstLine="540"/>
        <w:jc w:val="left"/>
        <w:rPr/>
      </w:pPr>
      <w:r>
        <w:rPr>
          <w:rFonts w:ascii="Times New Roman;sans-serif" w:hAnsi="Times New Roman;sans-serif"/>
          <w:b w:val="false"/>
          <w:color w:val="000000"/>
          <w:sz w:val="22"/>
        </w:rPr>
        <w:t>Section 1.10</w:t>
      </w:r>
      <w:r>
        <w:rPr>
          <w:color w:val="000000"/>
        </w:rPr>
        <w:t>    </w:t>
      </w:r>
      <w:r>
        <w:rPr>
          <w:rFonts w:ascii="Times New Roman;sans-serif" w:hAnsi="Times New Roman;sans-serif"/>
          <w:b w:val="false"/>
          <w:color w:val="000000"/>
          <w:sz w:val="22"/>
          <w:u w:val="single"/>
        </w:rPr>
        <w:t>Cashless Settlement</w:t>
      </w:r>
      <w:r>
        <w:rPr>
          <w:color w:val="000000"/>
        </w:rPr>
        <w:t>    </w:t>
      </w:r>
      <w:hyperlink w:anchor="iad6c00f09d2947a1bb263cc540ec5621_7">
        <w:r>
          <w:rPr>
            <w:rStyle w:val="InternetLink"/>
            <w:rFonts w:ascii="Times New Roman;sans-serif" w:hAnsi="Times New Roman;sans-serif"/>
            <w:b w:val="false"/>
            <w:strike w:val="false"/>
            <w:dstrike w:val="false"/>
            <w:color w:val="000000"/>
            <w:sz w:val="22"/>
            <w:u w:val="none"/>
            <w:effect w:val="none"/>
          </w:rPr>
          <w:t>47</w:t>
        </w:r>
      </w:hyperlink>
    </w:p>
    <w:p>
      <w:pPr>
        <w:pStyle w:val="TextBody"/>
        <w:bidi w:val="0"/>
        <w:spacing w:lineRule="auto" w:line="288" w:before="0" w:after="240"/>
        <w:jc w:val="left"/>
        <w:rPr/>
      </w:pPr>
      <w:r>
        <w:rPr>
          <w:rFonts w:ascii="Times New Roman;sans-serif" w:hAnsi="Times New Roman;sans-serif"/>
          <w:b w:val="false"/>
          <w:color w:val="000000"/>
          <w:sz w:val="22"/>
        </w:rPr>
        <w:t>ARTICLE 2</w:t>
        <w:br/>
        <w:br/>
        <w:t>THE CREDITS    </w:t>
      </w:r>
      <w:hyperlink w:anchor="iad6c00f09d2947a1bb263cc540ec5621_7">
        <w:r>
          <w:rPr>
            <w:rStyle w:val="InternetLink"/>
            <w:rFonts w:ascii="Times New Roman;sans-serif" w:hAnsi="Times New Roman;sans-serif"/>
            <w:b w:val="false"/>
            <w:strike w:val="false"/>
            <w:dstrike w:val="false"/>
            <w:color w:val="000000"/>
            <w:sz w:val="22"/>
            <w:u w:val="none"/>
            <w:effect w:val="none"/>
          </w:rPr>
          <w:t>47</w:t>
        </w:r>
      </w:hyperlink>
    </w:p>
    <w:p>
      <w:pPr>
        <w:pStyle w:val="TextBody"/>
        <w:bidi w:val="0"/>
        <w:spacing w:lineRule="auto" w:line="288" w:before="0" w:after="240"/>
        <w:ind w:left="0" w:right="0" w:firstLine="540"/>
        <w:jc w:val="left"/>
        <w:rPr/>
      </w:pPr>
      <w:r>
        <w:rPr>
          <w:rFonts w:ascii="Times New Roman;sans-serif" w:hAnsi="Times New Roman;sans-serif"/>
          <w:b w:val="false"/>
          <w:color w:val="000000"/>
          <w:sz w:val="22"/>
        </w:rPr>
        <w:t>Section 2.1</w:t>
      </w:r>
      <w:r>
        <w:rPr>
          <w:color w:val="000000"/>
        </w:rPr>
        <w:t>    </w:t>
      </w:r>
      <w:r>
        <w:rPr>
          <w:rFonts w:ascii="Times New Roman;sans-serif" w:hAnsi="Times New Roman;sans-serif"/>
          <w:b w:val="false"/>
          <w:color w:val="000000"/>
          <w:sz w:val="22"/>
          <w:u w:val="single"/>
        </w:rPr>
        <w:t>Commitments</w:t>
      </w:r>
      <w:r>
        <w:rPr>
          <w:color w:val="000000"/>
        </w:rPr>
        <w:t>    </w:t>
      </w:r>
      <w:hyperlink w:anchor="iad6c00f09d2947a1bb263cc540ec5621_7">
        <w:r>
          <w:rPr>
            <w:rStyle w:val="InternetLink"/>
            <w:rFonts w:ascii="Times New Roman;sans-serif" w:hAnsi="Times New Roman;sans-serif"/>
            <w:b w:val="false"/>
            <w:strike w:val="false"/>
            <w:dstrike w:val="false"/>
            <w:color w:val="000000"/>
            <w:sz w:val="22"/>
            <w:u w:val="none"/>
            <w:effect w:val="none"/>
          </w:rPr>
          <w:t>47</w:t>
        </w:r>
      </w:hyperlink>
    </w:p>
    <w:p>
      <w:pPr>
        <w:pStyle w:val="TextBody"/>
        <w:bidi w:val="0"/>
        <w:spacing w:lineRule="auto" w:line="288" w:before="0" w:after="240"/>
        <w:ind w:left="0" w:right="0" w:firstLine="540"/>
        <w:jc w:val="left"/>
        <w:rPr/>
      </w:pPr>
      <w:r>
        <w:rPr>
          <w:rFonts w:ascii="Times New Roman;sans-serif" w:hAnsi="Times New Roman;sans-serif"/>
          <w:b w:val="false"/>
          <w:color w:val="000000"/>
          <w:sz w:val="22"/>
        </w:rPr>
        <w:t>Section 2.2</w:t>
      </w:r>
      <w:r>
        <w:rPr>
          <w:color w:val="000000"/>
        </w:rPr>
        <w:t>    </w:t>
      </w:r>
      <w:r>
        <w:rPr>
          <w:rFonts w:ascii="Times New Roman;sans-serif" w:hAnsi="Times New Roman;sans-serif"/>
          <w:b w:val="false"/>
          <w:color w:val="000000"/>
          <w:sz w:val="22"/>
        </w:rPr>
        <w:t>Borrowings, Conversions and Continuations of Loans.    </w:t>
      </w:r>
      <w:hyperlink w:anchor="iad6c00f09d2947a1bb263cc540ec5621_7">
        <w:r>
          <w:rPr>
            <w:rStyle w:val="InternetLink"/>
            <w:rFonts w:ascii="Times New Roman;sans-serif" w:hAnsi="Times New Roman;sans-serif"/>
            <w:b w:val="false"/>
            <w:strike w:val="false"/>
            <w:dstrike w:val="false"/>
            <w:color w:val="000000"/>
            <w:sz w:val="22"/>
            <w:u w:val="none"/>
            <w:effect w:val="none"/>
          </w:rPr>
          <w:t>47</w:t>
        </w:r>
      </w:hyperlink>
    </w:p>
    <w:p>
      <w:pPr>
        <w:pStyle w:val="TextBody"/>
        <w:bidi w:val="0"/>
        <w:spacing w:lineRule="auto" w:line="288" w:before="0" w:after="240"/>
        <w:ind w:left="0" w:right="0" w:firstLine="540"/>
        <w:jc w:val="left"/>
        <w:rPr/>
      </w:pPr>
      <w:r>
        <w:rPr>
          <w:rFonts w:ascii="Times New Roman;sans-serif" w:hAnsi="Times New Roman;sans-serif"/>
          <w:b w:val="false"/>
          <w:color w:val="000000"/>
          <w:sz w:val="22"/>
        </w:rPr>
        <w:t>Section 2.3</w:t>
      </w:r>
      <w:r>
        <w:rPr>
          <w:color w:val="000000"/>
        </w:rPr>
        <w:t>    </w:t>
      </w:r>
      <w:r>
        <w:rPr>
          <w:rFonts w:ascii="Times New Roman;sans-serif" w:hAnsi="Times New Roman;sans-serif"/>
          <w:b w:val="false"/>
          <w:color w:val="000000"/>
          <w:sz w:val="22"/>
        </w:rPr>
        <w:t>[</w:t>
      </w:r>
      <w:r>
        <w:rPr>
          <w:rFonts w:ascii="Times New Roman;sans-serif" w:hAnsi="Times New Roman;sans-serif"/>
          <w:b w:val="false"/>
          <w:color w:val="000000"/>
          <w:sz w:val="22"/>
          <w:u w:val="single"/>
        </w:rPr>
        <w:t>Reserved</w:t>
      </w:r>
      <w:r>
        <w:rPr>
          <w:rFonts w:ascii="Times New Roman;sans-serif" w:hAnsi="Times New Roman;sans-serif"/>
          <w:b w:val="false"/>
          <w:color w:val="000000"/>
          <w:sz w:val="22"/>
        </w:rPr>
        <w:t>].    </w:t>
      </w:r>
      <w:hyperlink w:anchor="iad6c00f09d2947a1bb263cc540ec5621_7">
        <w:r>
          <w:rPr>
            <w:rStyle w:val="InternetLink"/>
            <w:rFonts w:ascii="Times New Roman;sans-serif" w:hAnsi="Times New Roman;sans-serif"/>
            <w:b w:val="false"/>
            <w:strike w:val="false"/>
            <w:dstrike w:val="false"/>
            <w:color w:val="000000"/>
            <w:sz w:val="22"/>
            <w:u w:val="none"/>
            <w:effect w:val="none"/>
          </w:rPr>
          <w:t>49</w:t>
        </w:r>
      </w:hyperlink>
    </w:p>
    <w:p>
      <w:pPr>
        <w:pStyle w:val="TextBody"/>
        <w:bidi w:val="0"/>
        <w:spacing w:lineRule="auto" w:line="288" w:before="0" w:after="240"/>
        <w:ind w:left="0" w:right="0" w:firstLine="540"/>
        <w:jc w:val="left"/>
        <w:rPr/>
      </w:pPr>
      <w:r>
        <w:rPr>
          <w:rFonts w:ascii="Times New Roman;sans-serif" w:hAnsi="Times New Roman;sans-serif"/>
          <w:b w:val="false"/>
          <w:color w:val="000000"/>
          <w:sz w:val="22"/>
        </w:rPr>
        <w:t>Section 2.4</w:t>
      </w:r>
      <w:r>
        <w:rPr>
          <w:color w:val="000000"/>
        </w:rPr>
        <w:t>    </w:t>
      </w:r>
      <w:r>
        <w:rPr>
          <w:rFonts w:ascii="Times New Roman;sans-serif" w:hAnsi="Times New Roman;sans-serif"/>
          <w:b w:val="false"/>
          <w:color w:val="000000"/>
          <w:sz w:val="22"/>
          <w:u w:val="single"/>
        </w:rPr>
        <w:t>[Reserved]</w:t>
      </w:r>
      <w:r>
        <w:rPr>
          <w:rFonts w:ascii="Times New Roman;sans-serif" w:hAnsi="Times New Roman;sans-serif"/>
          <w:b w:val="false"/>
          <w:color w:val="000000"/>
          <w:sz w:val="22"/>
        </w:rPr>
        <w:t>.    </w:t>
      </w:r>
      <w:hyperlink w:anchor="iad6c00f09d2947a1bb263cc540ec5621_7">
        <w:r>
          <w:rPr>
            <w:rStyle w:val="InternetLink"/>
            <w:rFonts w:ascii="Times New Roman;sans-serif" w:hAnsi="Times New Roman;sans-serif"/>
            <w:b w:val="false"/>
            <w:strike w:val="false"/>
            <w:dstrike w:val="false"/>
            <w:color w:val="000000"/>
            <w:sz w:val="22"/>
            <w:u w:val="none"/>
            <w:effect w:val="none"/>
          </w:rPr>
          <w:t>49</w:t>
        </w:r>
      </w:hyperlink>
    </w:p>
    <w:p>
      <w:pPr>
        <w:pStyle w:val="TextBody"/>
        <w:bidi w:val="0"/>
        <w:spacing w:lineRule="auto" w:line="288" w:before="0" w:after="240"/>
        <w:ind w:left="0" w:right="0" w:firstLine="540"/>
        <w:jc w:val="left"/>
        <w:rPr/>
      </w:pPr>
      <w:r>
        <w:rPr>
          <w:rFonts w:ascii="Times New Roman;sans-serif" w:hAnsi="Times New Roman;sans-serif"/>
          <w:b w:val="false"/>
          <w:color w:val="000000"/>
          <w:sz w:val="22"/>
        </w:rPr>
        <w:t>Section 2.5</w:t>
      </w:r>
      <w:r>
        <w:rPr>
          <w:color w:val="000000"/>
        </w:rPr>
        <w:t>    </w:t>
      </w:r>
      <w:r>
        <w:rPr>
          <w:rFonts w:ascii="Times New Roman;sans-serif" w:hAnsi="Times New Roman;sans-serif"/>
          <w:b w:val="false"/>
          <w:color w:val="000000"/>
          <w:sz w:val="22"/>
          <w:u w:val="single"/>
        </w:rPr>
        <w:t>Termination and Reduction of Commitments</w:t>
      </w:r>
      <w:r>
        <w:rPr>
          <w:color w:val="000000"/>
        </w:rPr>
        <w:t>    </w:t>
      </w:r>
      <w:hyperlink w:anchor="iad6c00f09d2947a1bb263cc540ec5621_7">
        <w:r>
          <w:rPr>
            <w:rStyle w:val="InternetLink"/>
            <w:rFonts w:ascii="Times New Roman;sans-serif" w:hAnsi="Times New Roman;sans-serif"/>
            <w:b w:val="false"/>
            <w:strike w:val="false"/>
            <w:dstrike w:val="false"/>
            <w:color w:val="000000"/>
            <w:sz w:val="22"/>
            <w:u w:val="none"/>
            <w:effect w:val="none"/>
          </w:rPr>
          <w:t>49</w:t>
        </w:r>
      </w:hyperlink>
    </w:p>
    <w:p>
      <w:pPr>
        <w:pStyle w:val="TextBody"/>
        <w:bidi w:val="0"/>
        <w:spacing w:lineRule="auto" w:line="288" w:before="0" w:after="240"/>
        <w:ind w:left="0" w:right="0" w:firstLine="540"/>
        <w:jc w:val="left"/>
        <w:rPr/>
      </w:pPr>
      <w:r>
        <w:rPr>
          <w:rFonts w:ascii="Times New Roman;sans-serif" w:hAnsi="Times New Roman;sans-serif"/>
          <w:b w:val="false"/>
          <w:color w:val="000000"/>
          <w:sz w:val="22"/>
        </w:rPr>
        <w:t>Section 2.6</w:t>
      </w:r>
      <w:r>
        <w:rPr>
          <w:color w:val="000000"/>
        </w:rPr>
        <w:t>    </w:t>
      </w:r>
      <w:r>
        <w:rPr>
          <w:rFonts w:ascii="Times New Roman;sans-serif" w:hAnsi="Times New Roman;sans-serif"/>
          <w:b w:val="false"/>
          <w:color w:val="000000"/>
          <w:sz w:val="22"/>
          <w:u w:val="single"/>
        </w:rPr>
        <w:t>Repayment of Loans; Evidence of Debt</w:t>
      </w:r>
      <w:r>
        <w:rPr>
          <w:rFonts w:ascii="Times New Roman;sans-serif" w:hAnsi="Times New Roman;sans-serif"/>
          <w:b w:val="false"/>
          <w:color w:val="000000"/>
          <w:sz w:val="22"/>
        </w:rPr>
        <w:t>.    </w:t>
      </w:r>
      <w:hyperlink w:anchor="iad6c00f09d2947a1bb263cc540ec5621_7">
        <w:r>
          <w:rPr>
            <w:rStyle w:val="InternetLink"/>
            <w:rFonts w:ascii="Times New Roman;sans-serif" w:hAnsi="Times New Roman;sans-serif"/>
            <w:b w:val="false"/>
            <w:strike w:val="false"/>
            <w:dstrike w:val="false"/>
            <w:color w:val="000000"/>
            <w:sz w:val="22"/>
            <w:u w:val="none"/>
            <w:effect w:val="none"/>
          </w:rPr>
          <w:t>49</w:t>
        </w:r>
      </w:hyperlink>
    </w:p>
    <w:p>
      <w:pPr>
        <w:pStyle w:val="TextBody"/>
        <w:bidi w:val="0"/>
        <w:spacing w:lineRule="auto" w:line="288" w:before="0" w:after="240"/>
        <w:ind w:left="0" w:right="0" w:firstLine="540"/>
        <w:jc w:val="left"/>
        <w:rPr/>
      </w:pPr>
      <w:r>
        <w:rPr>
          <w:rFonts w:ascii="Times New Roman;sans-serif" w:hAnsi="Times New Roman;sans-serif"/>
          <w:b w:val="false"/>
          <w:color w:val="000000"/>
          <w:sz w:val="22"/>
        </w:rPr>
        <w:t>Section 2.7</w:t>
      </w:r>
      <w:r>
        <w:rPr>
          <w:color w:val="000000"/>
        </w:rPr>
        <w:t>    </w:t>
      </w:r>
      <w:r>
        <w:rPr>
          <w:rFonts w:ascii="Times New Roman;sans-serif" w:hAnsi="Times New Roman;sans-serif"/>
          <w:b w:val="false"/>
          <w:color w:val="000000"/>
          <w:sz w:val="22"/>
          <w:u w:val="single"/>
        </w:rPr>
        <w:t>Prepayments</w:t>
      </w:r>
      <w:r>
        <w:rPr>
          <w:rFonts w:ascii="Times New Roman;sans-serif" w:hAnsi="Times New Roman;sans-serif"/>
          <w:b w:val="false"/>
          <w:color w:val="000000"/>
          <w:sz w:val="22"/>
        </w:rPr>
        <w:t>.    </w:t>
      </w:r>
      <w:hyperlink w:anchor="iad6c00f09d2947a1bb263cc540ec5621_7">
        <w:r>
          <w:rPr>
            <w:rStyle w:val="InternetLink"/>
            <w:rFonts w:ascii="Times New Roman;sans-serif" w:hAnsi="Times New Roman;sans-serif"/>
            <w:b w:val="false"/>
            <w:strike w:val="false"/>
            <w:dstrike w:val="false"/>
            <w:color w:val="000000"/>
            <w:sz w:val="22"/>
            <w:u w:val="none"/>
            <w:effect w:val="none"/>
          </w:rPr>
          <w:t>50</w:t>
        </w:r>
      </w:hyperlink>
    </w:p>
    <w:p>
      <w:pPr>
        <w:pStyle w:val="TextBody"/>
        <w:bidi w:val="0"/>
        <w:spacing w:lineRule="auto" w:line="288" w:before="0" w:after="240"/>
        <w:ind w:left="0" w:right="0" w:firstLine="540"/>
        <w:jc w:val="left"/>
        <w:rPr/>
      </w:pPr>
      <w:r>
        <w:rPr>
          <w:rFonts w:ascii="Times New Roman;sans-serif" w:hAnsi="Times New Roman;sans-serif"/>
          <w:b w:val="false"/>
          <w:color w:val="000000"/>
          <w:sz w:val="22"/>
        </w:rPr>
        <w:t>Section 2.8</w:t>
      </w:r>
      <w:r>
        <w:rPr>
          <w:color w:val="000000"/>
        </w:rPr>
        <w:t>    </w:t>
      </w:r>
      <w:r>
        <w:rPr>
          <w:rFonts w:ascii="Times New Roman;sans-serif" w:hAnsi="Times New Roman;sans-serif"/>
          <w:b w:val="false"/>
          <w:color w:val="000000"/>
          <w:sz w:val="22"/>
        </w:rPr>
        <w:t>Payments Generally; Administrative Agent’s Clawback.    </w:t>
      </w:r>
      <w:hyperlink w:anchor="iad6c00f09d2947a1bb263cc540ec5621_7">
        <w:r>
          <w:rPr>
            <w:rStyle w:val="InternetLink"/>
            <w:rFonts w:ascii="Times New Roman;sans-serif" w:hAnsi="Times New Roman;sans-serif"/>
            <w:b w:val="false"/>
            <w:strike w:val="false"/>
            <w:dstrike w:val="false"/>
            <w:color w:val="000000"/>
            <w:sz w:val="22"/>
            <w:u w:val="none"/>
            <w:effect w:val="none"/>
          </w:rPr>
          <w:t>52</w:t>
        </w:r>
      </w:hyperlink>
    </w:p>
    <w:p>
      <w:pPr>
        <w:pStyle w:val="TextBody"/>
        <w:bidi w:val="0"/>
        <w:spacing w:lineRule="auto" w:line="288" w:before="0" w:after="240"/>
        <w:ind w:left="0" w:right="0" w:firstLine="540"/>
        <w:jc w:val="left"/>
        <w:rPr/>
      </w:pPr>
      <w:r>
        <w:rPr>
          <w:rFonts w:ascii="Times New Roman;sans-serif" w:hAnsi="Times New Roman;sans-serif"/>
          <w:b w:val="false"/>
          <w:color w:val="000000"/>
          <w:sz w:val="22"/>
        </w:rPr>
        <w:t>Section 2.9</w:t>
      </w:r>
      <w:r>
        <w:rPr>
          <w:color w:val="000000"/>
        </w:rPr>
        <w:t>    </w:t>
      </w:r>
      <w:r>
        <w:rPr>
          <w:rFonts w:ascii="Times New Roman;sans-serif" w:hAnsi="Times New Roman;sans-serif"/>
          <w:b w:val="false"/>
          <w:color w:val="000000"/>
          <w:sz w:val="22"/>
          <w:u w:val="single"/>
        </w:rPr>
        <w:t>[Reserved]</w:t>
      </w:r>
      <w:r>
        <w:rPr>
          <w:rFonts w:ascii="Times New Roman;sans-serif" w:hAnsi="Times New Roman;sans-serif"/>
          <w:b w:val="false"/>
          <w:color w:val="000000"/>
          <w:sz w:val="22"/>
        </w:rPr>
        <w:t>.    </w:t>
      </w:r>
      <w:hyperlink w:anchor="iad6c00f09d2947a1bb263cc540ec5621_7">
        <w:r>
          <w:rPr>
            <w:rStyle w:val="InternetLink"/>
            <w:rFonts w:ascii="Times New Roman;sans-serif" w:hAnsi="Times New Roman;sans-serif"/>
            <w:b w:val="false"/>
            <w:strike w:val="false"/>
            <w:dstrike w:val="false"/>
            <w:color w:val="000000"/>
            <w:sz w:val="22"/>
            <w:u w:val="none"/>
            <w:effect w:val="none"/>
          </w:rPr>
          <w:t>55</w:t>
        </w:r>
      </w:hyperlink>
    </w:p>
    <w:p>
      <w:pPr>
        <w:pStyle w:val="TextBody"/>
        <w:bidi w:val="0"/>
        <w:spacing w:lineRule="auto" w:line="288" w:before="0" w:after="240"/>
        <w:ind w:left="0" w:right="0" w:firstLine="540"/>
        <w:jc w:val="left"/>
        <w:rPr/>
      </w:pPr>
      <w:r>
        <w:rPr>
          <w:rFonts w:ascii="Times New Roman;sans-serif" w:hAnsi="Times New Roman;sans-serif"/>
          <w:b w:val="false"/>
          <w:color w:val="000000"/>
          <w:sz w:val="22"/>
        </w:rPr>
        <w:t>Section 2.10</w:t>
      </w:r>
      <w:r>
        <w:rPr>
          <w:color w:val="000000"/>
        </w:rPr>
        <w:t>    </w:t>
      </w:r>
      <w:r>
        <w:rPr>
          <w:rFonts w:ascii="Times New Roman;sans-serif" w:hAnsi="Times New Roman;sans-serif"/>
          <w:b w:val="false"/>
          <w:color w:val="000000"/>
          <w:sz w:val="22"/>
          <w:u w:val="single"/>
        </w:rPr>
        <w:t>[Reserved]</w:t>
      </w:r>
      <w:r>
        <w:rPr>
          <w:rFonts w:ascii="Times New Roman;sans-serif" w:hAnsi="Times New Roman;sans-serif"/>
          <w:b w:val="false"/>
          <w:color w:val="000000"/>
          <w:sz w:val="22"/>
        </w:rPr>
        <w:t>.    </w:t>
      </w:r>
      <w:hyperlink w:anchor="iad6c00f09d2947a1bb263cc540ec5621_7">
        <w:r>
          <w:rPr>
            <w:rStyle w:val="InternetLink"/>
            <w:rFonts w:ascii="Times New Roman;sans-serif" w:hAnsi="Times New Roman;sans-serif"/>
            <w:b w:val="false"/>
            <w:strike w:val="false"/>
            <w:dstrike w:val="false"/>
            <w:color w:val="000000"/>
            <w:sz w:val="22"/>
            <w:u w:val="none"/>
            <w:effect w:val="none"/>
          </w:rPr>
          <w:t>55</w:t>
        </w:r>
      </w:hyperlink>
    </w:p>
    <w:p>
      <w:pPr>
        <w:pStyle w:val="TextBody"/>
        <w:bidi w:val="0"/>
        <w:spacing w:lineRule="auto" w:line="288" w:before="0" w:after="240"/>
        <w:ind w:left="0" w:right="0" w:firstLine="540"/>
        <w:jc w:val="left"/>
        <w:rPr/>
      </w:pPr>
      <w:r>
        <w:rPr>
          <w:rFonts w:ascii="Times New Roman;sans-serif" w:hAnsi="Times New Roman;sans-serif"/>
          <w:b w:val="false"/>
          <w:color w:val="000000"/>
          <w:sz w:val="22"/>
        </w:rPr>
        <w:t>Section 2.11</w:t>
      </w:r>
      <w:r>
        <w:rPr>
          <w:color w:val="000000"/>
        </w:rPr>
        <w:t>    </w:t>
      </w:r>
      <w:r>
        <w:rPr>
          <w:rFonts w:ascii="Times New Roman;sans-serif" w:hAnsi="Times New Roman;sans-serif"/>
          <w:b w:val="false"/>
          <w:color w:val="000000"/>
          <w:sz w:val="22"/>
          <w:u w:val="single"/>
        </w:rPr>
        <w:t>[Reserved]</w:t>
      </w:r>
      <w:r>
        <w:rPr>
          <w:rFonts w:ascii="Times New Roman;sans-serif" w:hAnsi="Times New Roman;sans-serif"/>
          <w:b w:val="false"/>
          <w:color w:val="000000"/>
          <w:sz w:val="22"/>
        </w:rPr>
        <w:t>.    </w:t>
      </w:r>
      <w:hyperlink w:anchor="iad6c00f09d2947a1bb263cc540ec5621_7">
        <w:r>
          <w:rPr>
            <w:rStyle w:val="InternetLink"/>
            <w:rFonts w:ascii="Times New Roman;sans-serif" w:hAnsi="Times New Roman;sans-serif"/>
            <w:b w:val="false"/>
            <w:strike w:val="false"/>
            <w:dstrike w:val="false"/>
            <w:color w:val="000000"/>
            <w:sz w:val="22"/>
            <w:u w:val="none"/>
            <w:effect w:val="none"/>
          </w:rPr>
          <w:t>55</w:t>
        </w:r>
      </w:hyperlink>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ans-serif" w:hAnsi="Times New Roman;sans-serif"/>
          <w:b w:val="false"/>
          <w:color w:val="000000"/>
          <w:sz w:val="22"/>
        </w:rPr>
        <w:t>ARTICLE 3</w:t>
      </w:r>
      <w:r>
        <w:rPr>
          <w:rFonts w:ascii="Times New Roman;sans-serif" w:hAnsi="Times New Roman;sans-serif"/>
          <w:b/>
          <w:color w:val="000000"/>
          <w:sz w:val="22"/>
          <w:u w:val="single"/>
        </w:rPr>
        <w:br/>
        <w:br/>
      </w:r>
      <w:r>
        <w:rPr>
          <w:rFonts w:ascii="Times New Roman;sans-serif" w:hAnsi="Times New Roman;sans-serif"/>
          <w:b w:val="false"/>
          <w:color w:val="000000"/>
          <w:sz w:val="22"/>
        </w:rPr>
        <w:t>INTEREST, FEES, YIELD PROTECTION, ETC.    </w:t>
      </w:r>
      <w:hyperlink w:anchor="iad6c00f09d2947a1bb263cc540ec5621_7">
        <w:r>
          <w:rPr>
            <w:rStyle w:val="InternetLink"/>
            <w:rFonts w:ascii="Times New Roman;sans-serif" w:hAnsi="Times New Roman;sans-serif"/>
            <w:b w:val="false"/>
            <w:strike w:val="false"/>
            <w:dstrike w:val="false"/>
            <w:color w:val="000000"/>
            <w:sz w:val="22"/>
            <w:u w:val="none"/>
            <w:effect w:val="none"/>
          </w:rPr>
          <w:t>55</w:t>
        </w:r>
      </w:hyperlink>
    </w:p>
    <w:p>
      <w:pPr>
        <w:pStyle w:val="TextBody"/>
        <w:bidi w:val="0"/>
        <w:spacing w:lineRule="auto" w:line="288" w:before="0" w:after="240"/>
        <w:ind w:left="0" w:right="0" w:firstLine="540"/>
        <w:jc w:val="left"/>
        <w:rPr/>
      </w:pPr>
      <w:r>
        <w:rPr>
          <w:rFonts w:ascii="Times New Roman;sans-serif" w:hAnsi="Times New Roman;sans-serif"/>
          <w:b w:val="false"/>
          <w:color w:val="000000"/>
          <w:sz w:val="22"/>
        </w:rPr>
        <w:t>Section 3.1</w:t>
      </w:r>
      <w:r>
        <w:rPr>
          <w:color w:val="000000"/>
        </w:rPr>
        <w:t>    </w:t>
      </w:r>
      <w:r>
        <w:rPr>
          <w:rFonts w:ascii="Times New Roman;sans-serif" w:hAnsi="Times New Roman;sans-serif"/>
          <w:b w:val="false"/>
          <w:color w:val="000000"/>
          <w:sz w:val="22"/>
          <w:u w:val="single"/>
        </w:rPr>
        <w:t>Interest</w:t>
      </w:r>
      <w:r>
        <w:rPr>
          <w:rFonts w:ascii="Times New Roman;sans-serif" w:hAnsi="Times New Roman;sans-serif"/>
          <w:b w:val="false"/>
          <w:color w:val="000000"/>
          <w:sz w:val="22"/>
        </w:rPr>
        <w:t>.    </w:t>
      </w:r>
      <w:hyperlink w:anchor="iad6c00f09d2947a1bb263cc540ec5621_7">
        <w:r>
          <w:rPr>
            <w:rStyle w:val="InternetLink"/>
            <w:rFonts w:ascii="Times New Roman;sans-serif" w:hAnsi="Times New Roman;sans-serif"/>
            <w:b w:val="false"/>
            <w:strike w:val="false"/>
            <w:dstrike w:val="false"/>
            <w:color w:val="000000"/>
            <w:sz w:val="22"/>
            <w:u w:val="none"/>
            <w:effect w:val="none"/>
          </w:rPr>
          <w:t>55</w:t>
        </w:r>
      </w:hyperlink>
    </w:p>
    <w:p>
      <w:pPr>
        <w:pStyle w:val="TextBody"/>
        <w:bidi w:val="0"/>
        <w:spacing w:lineRule="auto" w:line="288" w:before="0" w:after="240"/>
        <w:ind w:left="0" w:right="0" w:firstLine="540"/>
        <w:jc w:val="left"/>
        <w:rPr/>
      </w:pPr>
      <w:r>
        <w:rPr>
          <w:rFonts w:ascii="Times New Roman;sans-serif" w:hAnsi="Times New Roman;sans-serif"/>
          <w:b w:val="false"/>
          <w:color w:val="000000"/>
          <w:sz w:val="22"/>
        </w:rPr>
        <w:t>Section 3.2</w:t>
      </w:r>
      <w:r>
        <w:rPr>
          <w:color w:val="000000"/>
        </w:rPr>
        <w:t>    </w:t>
      </w:r>
      <w:r>
        <w:rPr>
          <w:rFonts w:ascii="Times New Roman;sans-serif" w:hAnsi="Times New Roman;sans-serif"/>
          <w:b w:val="false"/>
          <w:color w:val="000000"/>
          <w:sz w:val="22"/>
          <w:u w:val="single"/>
        </w:rPr>
        <w:t>Fees</w:t>
      </w:r>
      <w:r>
        <w:rPr>
          <w:rFonts w:ascii="Times New Roman;sans-serif" w:hAnsi="Times New Roman;sans-serif"/>
          <w:b w:val="false"/>
          <w:color w:val="000000"/>
          <w:sz w:val="22"/>
        </w:rPr>
        <w:t>.    </w:t>
      </w:r>
      <w:hyperlink w:anchor="iad6c00f09d2947a1bb263cc540ec5621_7">
        <w:r>
          <w:rPr>
            <w:rStyle w:val="InternetLink"/>
            <w:rFonts w:ascii="Times New Roman;sans-serif" w:hAnsi="Times New Roman;sans-serif"/>
            <w:b w:val="false"/>
            <w:strike w:val="false"/>
            <w:dstrike w:val="false"/>
            <w:color w:val="000000"/>
            <w:sz w:val="22"/>
            <w:u w:val="none"/>
            <w:effect w:val="none"/>
          </w:rPr>
          <w:t>56</w:t>
        </w:r>
      </w:hyperlink>
    </w:p>
    <w:p>
      <w:pPr>
        <w:pStyle w:val="TextBody"/>
        <w:bidi w:val="0"/>
        <w:spacing w:lineRule="auto" w:line="288" w:before="0" w:after="240"/>
        <w:ind w:left="0" w:right="0" w:firstLine="540"/>
        <w:jc w:val="left"/>
        <w:rPr/>
      </w:pPr>
      <w:r>
        <w:rPr>
          <w:rFonts w:ascii="Times New Roman;sans-serif" w:hAnsi="Times New Roman;sans-serif"/>
          <w:b w:val="false"/>
          <w:color w:val="000000"/>
          <w:sz w:val="22"/>
        </w:rPr>
        <w:t>Section 3.3</w:t>
      </w:r>
      <w:r>
        <w:rPr>
          <w:color w:val="000000"/>
        </w:rPr>
        <w:t>    </w:t>
      </w:r>
      <w:r>
        <w:rPr>
          <w:rFonts w:ascii="Times New Roman;sans-serif" w:hAnsi="Times New Roman;sans-serif"/>
          <w:b w:val="false"/>
          <w:color w:val="000000"/>
          <w:sz w:val="22"/>
          <w:u w:val="single"/>
        </w:rPr>
        <w:t>Alternate Rate of Interest</w:t>
      </w:r>
      <w:r>
        <w:rPr>
          <w:rFonts w:ascii="Times New Roman;sans-serif" w:hAnsi="Times New Roman;sans-serif"/>
          <w:b w:val="false"/>
          <w:color w:val="000000"/>
          <w:sz w:val="22"/>
        </w:rPr>
        <w:t>.    </w:t>
      </w:r>
      <w:hyperlink w:anchor="iad6c00f09d2947a1bb263cc540ec5621_7">
        <w:r>
          <w:rPr>
            <w:rStyle w:val="InternetLink"/>
            <w:rFonts w:ascii="Times New Roman;sans-serif" w:hAnsi="Times New Roman;sans-serif"/>
            <w:b w:val="false"/>
            <w:strike w:val="false"/>
            <w:dstrike w:val="false"/>
            <w:color w:val="000000"/>
            <w:sz w:val="22"/>
            <w:u w:val="none"/>
            <w:effect w:val="none"/>
          </w:rPr>
          <w:t>58</w:t>
        </w:r>
      </w:hyperlink>
    </w:p>
    <w:p>
      <w:pPr>
        <w:pStyle w:val="TextBody"/>
        <w:bidi w:val="0"/>
        <w:spacing w:lineRule="auto" w:line="288" w:before="0" w:after="240"/>
        <w:ind w:left="0" w:right="0" w:firstLine="540"/>
        <w:jc w:val="left"/>
        <w:rPr/>
      </w:pPr>
      <w:r>
        <w:rPr>
          <w:rFonts w:ascii="Times New Roman;sans-serif" w:hAnsi="Times New Roman;sans-serif"/>
          <w:b w:val="false"/>
          <w:color w:val="000000"/>
          <w:sz w:val="22"/>
        </w:rPr>
        <w:t>Section 3.4</w:t>
      </w:r>
      <w:r>
        <w:rPr>
          <w:color w:val="000000"/>
        </w:rPr>
        <w:t>    </w:t>
      </w:r>
      <w:r>
        <w:rPr>
          <w:rFonts w:ascii="Times New Roman;sans-serif" w:hAnsi="Times New Roman;sans-serif"/>
          <w:b w:val="false"/>
          <w:color w:val="000000"/>
          <w:sz w:val="22"/>
          <w:u w:val="single"/>
        </w:rPr>
        <w:t>Increased Costs; Illegality</w:t>
      </w:r>
      <w:r>
        <w:rPr>
          <w:rFonts w:ascii="Times New Roman;sans-serif" w:hAnsi="Times New Roman;sans-serif"/>
          <w:b w:val="false"/>
          <w:color w:val="000000"/>
          <w:sz w:val="22"/>
        </w:rPr>
        <w:t>.    </w:t>
      </w:r>
      <w:hyperlink w:anchor="iad6c00f09d2947a1bb263cc540ec5621_7">
        <w:r>
          <w:rPr>
            <w:rStyle w:val="InternetLink"/>
            <w:rFonts w:ascii="Times New Roman;sans-serif" w:hAnsi="Times New Roman;sans-serif"/>
            <w:b w:val="false"/>
            <w:strike w:val="false"/>
            <w:dstrike w:val="false"/>
            <w:color w:val="000000"/>
            <w:sz w:val="22"/>
            <w:u w:val="none"/>
            <w:effect w:val="none"/>
          </w:rPr>
          <w:t>60</w:t>
        </w:r>
      </w:hyperlink>
    </w:p>
    <w:p>
      <w:pPr>
        <w:pStyle w:val="TextBody"/>
        <w:bidi w:val="0"/>
        <w:spacing w:lineRule="auto" w:line="288" w:before="0" w:after="240"/>
        <w:ind w:left="0" w:right="0" w:firstLine="540"/>
        <w:jc w:val="left"/>
        <w:rPr/>
      </w:pPr>
      <w:r>
        <w:rPr>
          <w:rFonts w:ascii="Times New Roman;sans-serif" w:hAnsi="Times New Roman;sans-serif"/>
          <w:b w:val="false"/>
          <w:color w:val="000000"/>
          <w:sz w:val="22"/>
        </w:rPr>
        <w:t>Section 3.5</w:t>
      </w:r>
      <w:r>
        <w:rPr>
          <w:color w:val="000000"/>
        </w:rPr>
        <w:t>    </w:t>
      </w:r>
      <w:r>
        <w:rPr>
          <w:rFonts w:ascii="Times New Roman;sans-serif" w:hAnsi="Times New Roman;sans-serif"/>
          <w:b w:val="false"/>
          <w:color w:val="000000"/>
          <w:sz w:val="22"/>
          <w:u w:val="single"/>
        </w:rPr>
        <w:t>Break Funding Payments</w:t>
      </w:r>
      <w:r>
        <w:rPr>
          <w:color w:val="000000"/>
        </w:rPr>
        <w:t>    </w:t>
      </w:r>
      <w:hyperlink w:anchor="iad6c00f09d2947a1bb263cc540ec5621_7">
        <w:r>
          <w:rPr>
            <w:rStyle w:val="InternetLink"/>
            <w:rFonts w:ascii="Times New Roman;sans-serif" w:hAnsi="Times New Roman;sans-serif"/>
            <w:b w:val="false"/>
            <w:strike w:val="false"/>
            <w:dstrike w:val="false"/>
            <w:color w:val="000000"/>
            <w:sz w:val="22"/>
            <w:u w:val="none"/>
            <w:effect w:val="none"/>
          </w:rPr>
          <w:t>62</w:t>
        </w:r>
      </w:hyperlink>
    </w:p>
    <w:p>
      <w:pPr>
        <w:pStyle w:val="TextBody"/>
        <w:bidi w:val="0"/>
        <w:spacing w:lineRule="auto" w:line="288" w:before="0" w:after="240"/>
        <w:ind w:left="0" w:right="0" w:firstLine="540"/>
        <w:jc w:val="left"/>
        <w:rPr/>
      </w:pPr>
      <w:r>
        <w:rPr>
          <w:rFonts w:ascii="Times New Roman;sans-serif" w:hAnsi="Times New Roman;sans-serif"/>
          <w:b w:val="false"/>
          <w:color w:val="000000"/>
          <w:sz w:val="22"/>
        </w:rPr>
        <w:t>Section 3.6</w:t>
      </w:r>
      <w:r>
        <w:rPr>
          <w:color w:val="000000"/>
        </w:rPr>
        <w:t>    </w:t>
      </w:r>
      <w:r>
        <w:rPr>
          <w:rFonts w:ascii="Times New Roman;sans-serif" w:hAnsi="Times New Roman;sans-serif"/>
          <w:b w:val="false"/>
          <w:color w:val="000000"/>
          <w:sz w:val="22"/>
          <w:u w:val="single"/>
        </w:rPr>
        <w:t>Taxes</w:t>
      </w:r>
      <w:r>
        <w:rPr>
          <w:rFonts w:ascii="Times New Roman;sans-serif" w:hAnsi="Times New Roman;sans-serif"/>
          <w:b w:val="false"/>
          <w:color w:val="000000"/>
          <w:sz w:val="22"/>
        </w:rPr>
        <w:t>.    </w:t>
      </w:r>
      <w:hyperlink w:anchor="iad6c00f09d2947a1bb263cc540ec5621_7">
        <w:r>
          <w:rPr>
            <w:rStyle w:val="InternetLink"/>
            <w:rFonts w:ascii="Times New Roman;sans-serif" w:hAnsi="Times New Roman;sans-serif"/>
            <w:b w:val="false"/>
            <w:strike w:val="false"/>
            <w:dstrike w:val="false"/>
            <w:color w:val="000000"/>
            <w:sz w:val="22"/>
            <w:u w:val="none"/>
            <w:effect w:val="none"/>
          </w:rPr>
          <w:t>62</w:t>
        </w:r>
      </w:hyperlink>
    </w:p>
    <w:p>
      <w:pPr>
        <w:pStyle w:val="TextBody"/>
        <w:bidi w:val="0"/>
        <w:spacing w:lineRule="auto" w:line="288" w:before="0" w:after="240"/>
        <w:ind w:left="0" w:right="0" w:firstLine="540"/>
        <w:jc w:val="left"/>
        <w:rPr/>
      </w:pPr>
      <w:r>
        <w:rPr>
          <w:rFonts w:ascii="Times New Roman;sans-serif" w:hAnsi="Times New Roman;sans-serif"/>
          <w:b w:val="false"/>
          <w:color w:val="000000"/>
          <w:sz w:val="22"/>
        </w:rPr>
        <w:t>Section 3.7</w:t>
      </w:r>
      <w:r>
        <w:rPr>
          <w:color w:val="000000"/>
        </w:rPr>
        <w:t>    </w:t>
      </w:r>
      <w:r>
        <w:rPr>
          <w:rFonts w:ascii="Times New Roman;sans-serif" w:hAnsi="Times New Roman;sans-serif"/>
          <w:b w:val="false"/>
          <w:color w:val="000000"/>
          <w:sz w:val="22"/>
          <w:u w:val="single"/>
        </w:rPr>
        <w:t>Mitigation Obligations; Replacement of Lenders</w:t>
      </w:r>
      <w:r>
        <w:rPr>
          <w:rFonts w:ascii="Times New Roman;sans-serif" w:hAnsi="Times New Roman;sans-serif"/>
          <w:b w:val="false"/>
          <w:color w:val="000000"/>
          <w:sz w:val="22"/>
        </w:rPr>
        <w:t>.    </w:t>
      </w:r>
      <w:hyperlink w:anchor="iad6c00f09d2947a1bb263cc540ec5621_7">
        <w:r>
          <w:rPr>
            <w:rStyle w:val="InternetLink"/>
            <w:rFonts w:ascii="Times New Roman;sans-serif" w:hAnsi="Times New Roman;sans-serif"/>
            <w:b w:val="false"/>
            <w:strike w:val="false"/>
            <w:dstrike w:val="false"/>
            <w:color w:val="000000"/>
            <w:sz w:val="22"/>
            <w:u w:val="none"/>
            <w:effect w:val="none"/>
          </w:rPr>
          <w:t>65</w:t>
        </w:r>
      </w:hyperlink>
    </w:p>
    <w:p>
      <w:pPr>
        <w:pStyle w:val="TextBody"/>
        <w:bidi w:val="0"/>
        <w:spacing w:lineRule="auto" w:line="288" w:before="0" w:after="240"/>
        <w:jc w:val="left"/>
        <w:rPr/>
      </w:pPr>
      <w:r>
        <w:rPr>
          <w:rFonts w:ascii="Times New Roman;sans-serif" w:hAnsi="Times New Roman;sans-serif"/>
          <w:b w:val="false"/>
          <w:color w:val="000000"/>
          <w:sz w:val="22"/>
        </w:rPr>
        <w:t>ARTICLE 4</w:t>
        <w:br/>
        <w:br/>
        <w:t>CONDITIONS PRECEDENT TO CREDIT EXTENSIONS    </w:t>
      </w:r>
      <w:hyperlink w:anchor="iad6c00f09d2947a1bb263cc540ec5621_7">
        <w:r>
          <w:rPr>
            <w:rStyle w:val="InternetLink"/>
            <w:rFonts w:ascii="Times New Roman;sans-serif" w:hAnsi="Times New Roman;sans-serif"/>
            <w:b w:val="false"/>
            <w:strike w:val="false"/>
            <w:dstrike w:val="false"/>
            <w:color w:val="000000"/>
            <w:sz w:val="22"/>
            <w:u w:val="none"/>
            <w:effect w:val="none"/>
          </w:rPr>
          <w:t>66</w:t>
        </w:r>
      </w:hyperlink>
    </w:p>
    <w:p>
      <w:pPr>
        <w:pStyle w:val="TextBody"/>
        <w:bidi w:val="0"/>
        <w:spacing w:lineRule="auto" w:line="288" w:before="0" w:after="240"/>
        <w:ind w:left="0" w:right="0" w:firstLine="540"/>
        <w:jc w:val="left"/>
        <w:rPr/>
      </w:pPr>
      <w:r>
        <w:rPr>
          <w:rFonts w:ascii="Times New Roman;sans-serif" w:hAnsi="Times New Roman;sans-serif"/>
          <w:b w:val="false"/>
          <w:color w:val="000000"/>
          <w:sz w:val="22"/>
        </w:rPr>
        <w:t>Section 4.1</w:t>
      </w:r>
      <w:r>
        <w:rPr>
          <w:color w:val="000000"/>
        </w:rPr>
        <w:t>    </w:t>
      </w:r>
      <w:r>
        <w:rPr>
          <w:rFonts w:ascii="Times New Roman;sans-serif" w:hAnsi="Times New Roman;sans-serif"/>
          <w:b w:val="false"/>
          <w:color w:val="000000"/>
          <w:sz w:val="22"/>
          <w:u w:val="single"/>
        </w:rPr>
        <w:t>Conditions to Initial Credit Extensions</w:t>
      </w:r>
      <w:r>
        <w:rPr>
          <w:color w:val="000000"/>
        </w:rPr>
        <w:t>    </w:t>
      </w:r>
      <w:hyperlink w:anchor="iad6c00f09d2947a1bb263cc540ec5621_7">
        <w:r>
          <w:rPr>
            <w:rStyle w:val="InternetLink"/>
            <w:rFonts w:ascii="Times New Roman;sans-serif" w:hAnsi="Times New Roman;sans-serif"/>
            <w:b w:val="false"/>
            <w:strike w:val="false"/>
            <w:dstrike w:val="false"/>
            <w:color w:val="000000"/>
            <w:sz w:val="22"/>
            <w:u w:val="none"/>
            <w:effect w:val="none"/>
          </w:rPr>
          <w:t>66</w:t>
        </w:r>
      </w:hyperlink>
    </w:p>
    <w:p>
      <w:pPr>
        <w:pStyle w:val="TextBody"/>
        <w:bidi w:val="0"/>
        <w:spacing w:lineRule="auto" w:line="288" w:before="0" w:after="240"/>
        <w:jc w:val="left"/>
        <w:rPr/>
      </w:pPr>
      <w:r>
        <w:rPr>
          <w:rFonts w:ascii="Times New Roman;sans-serif" w:hAnsi="Times New Roman;sans-serif"/>
          <w:b w:val="false"/>
          <w:color w:val="000000"/>
          <w:sz w:val="22"/>
        </w:rPr>
        <w:t>ARTICLE 5</w:t>
        <w:br/>
        <w:br/>
        <w:t>REPRESENTATIONS AND WARRANTIES    </w:t>
      </w:r>
      <w:hyperlink w:anchor="iad6c00f09d2947a1bb263cc540ec5621_7">
        <w:r>
          <w:rPr>
            <w:rStyle w:val="InternetLink"/>
            <w:rFonts w:ascii="Times New Roman;sans-serif" w:hAnsi="Times New Roman;sans-serif"/>
            <w:b w:val="false"/>
            <w:strike w:val="false"/>
            <w:dstrike w:val="false"/>
            <w:color w:val="000000"/>
            <w:sz w:val="22"/>
            <w:u w:val="none"/>
            <w:effect w:val="none"/>
          </w:rPr>
          <w:t>69</w:t>
        </w:r>
      </w:hyperlink>
    </w:p>
    <w:p>
      <w:pPr>
        <w:pStyle w:val="TextBody"/>
        <w:bidi w:val="0"/>
        <w:spacing w:lineRule="auto" w:line="288" w:before="0" w:after="240"/>
        <w:ind w:left="0" w:right="0" w:firstLine="540"/>
        <w:jc w:val="left"/>
        <w:rPr/>
      </w:pPr>
      <w:r>
        <w:rPr>
          <w:rFonts w:ascii="Times New Roman;sans-serif" w:hAnsi="Times New Roman;sans-serif"/>
          <w:b w:val="false"/>
          <w:color w:val="000000"/>
          <w:sz w:val="22"/>
        </w:rPr>
        <w:t>Section 5.1</w:t>
      </w:r>
      <w:r>
        <w:rPr>
          <w:color w:val="000000"/>
        </w:rPr>
        <w:t>    </w:t>
      </w:r>
      <w:r>
        <w:rPr>
          <w:rFonts w:ascii="Times New Roman;sans-serif" w:hAnsi="Times New Roman;sans-serif"/>
          <w:b w:val="false"/>
          <w:color w:val="000000"/>
          <w:sz w:val="22"/>
        </w:rPr>
        <w:t>Existence, Qualification and Power; Compliance with Laws    </w:t>
      </w:r>
      <w:hyperlink w:anchor="iad6c00f09d2947a1bb263cc540ec5621_7">
        <w:r>
          <w:rPr>
            <w:rStyle w:val="InternetLink"/>
            <w:rFonts w:ascii="Times New Roman;sans-serif" w:hAnsi="Times New Roman;sans-serif"/>
            <w:b w:val="false"/>
            <w:strike w:val="false"/>
            <w:dstrike w:val="false"/>
            <w:color w:val="000000"/>
            <w:sz w:val="22"/>
            <w:u w:val="none"/>
            <w:effect w:val="none"/>
          </w:rPr>
          <w:t>69</w:t>
        </w:r>
      </w:hyperlink>
    </w:p>
    <w:p>
      <w:pPr>
        <w:pStyle w:val="TextBody"/>
        <w:bidi w:val="0"/>
        <w:spacing w:lineRule="auto" w:line="288" w:before="0" w:after="240"/>
        <w:ind w:left="0" w:right="0" w:firstLine="540"/>
        <w:jc w:val="left"/>
        <w:rPr/>
      </w:pPr>
      <w:r>
        <w:rPr>
          <w:rFonts w:ascii="Times New Roman;sans-serif" w:hAnsi="Times New Roman;sans-serif"/>
          <w:b w:val="false"/>
          <w:color w:val="000000"/>
          <w:sz w:val="22"/>
        </w:rPr>
        <w:t>Section 5.2</w:t>
      </w:r>
      <w:r>
        <w:rPr>
          <w:color w:val="000000"/>
        </w:rPr>
        <w:t>    </w:t>
      </w:r>
      <w:r>
        <w:rPr>
          <w:rFonts w:ascii="Times New Roman;sans-serif" w:hAnsi="Times New Roman;sans-serif"/>
          <w:b w:val="false"/>
          <w:color w:val="000000"/>
          <w:sz w:val="22"/>
          <w:u w:val="single"/>
        </w:rPr>
        <w:t>Authorization; No Contravention</w:t>
      </w:r>
      <w:r>
        <w:rPr>
          <w:color w:val="000000"/>
        </w:rPr>
        <w:t>    </w:t>
      </w:r>
      <w:hyperlink w:anchor="iad6c00f09d2947a1bb263cc540ec5621_7">
        <w:r>
          <w:rPr>
            <w:rStyle w:val="InternetLink"/>
            <w:rFonts w:ascii="Times New Roman;sans-serif" w:hAnsi="Times New Roman;sans-serif"/>
            <w:b w:val="false"/>
            <w:strike w:val="false"/>
            <w:dstrike w:val="false"/>
            <w:color w:val="000000"/>
            <w:sz w:val="22"/>
            <w:u w:val="none"/>
            <w:effect w:val="none"/>
          </w:rPr>
          <w:t>69</w:t>
        </w:r>
      </w:hyperlink>
    </w:p>
    <w:p>
      <w:pPr>
        <w:pStyle w:val="TextBody"/>
        <w:bidi w:val="0"/>
        <w:spacing w:lineRule="auto" w:line="288" w:before="0" w:after="240"/>
        <w:ind w:left="0" w:right="0" w:firstLine="540"/>
        <w:jc w:val="left"/>
        <w:rPr/>
      </w:pPr>
      <w:r>
        <w:rPr>
          <w:rFonts w:ascii="Times New Roman;sans-serif" w:hAnsi="Times New Roman;sans-serif"/>
          <w:b w:val="false"/>
          <w:color w:val="000000"/>
          <w:sz w:val="22"/>
        </w:rPr>
        <w:t>Section 5.3</w:t>
      </w:r>
      <w:r>
        <w:rPr>
          <w:color w:val="000000"/>
        </w:rPr>
        <w:t>    </w:t>
      </w:r>
      <w:r>
        <w:rPr>
          <w:rFonts w:ascii="Times New Roman;sans-serif" w:hAnsi="Times New Roman;sans-serif"/>
          <w:b w:val="false"/>
          <w:color w:val="000000"/>
          <w:sz w:val="22"/>
          <w:u w:val="single"/>
        </w:rPr>
        <w:t>Governmental Authorization; Other Consents</w:t>
      </w:r>
      <w:r>
        <w:rPr>
          <w:color w:val="000000"/>
        </w:rPr>
        <w:t>    </w:t>
      </w:r>
      <w:hyperlink w:anchor="iad6c00f09d2947a1bb263cc540ec5621_7">
        <w:r>
          <w:rPr>
            <w:rStyle w:val="InternetLink"/>
            <w:rFonts w:ascii="Times New Roman;sans-serif" w:hAnsi="Times New Roman;sans-serif"/>
            <w:b w:val="false"/>
            <w:strike w:val="false"/>
            <w:dstrike w:val="false"/>
            <w:color w:val="000000"/>
            <w:sz w:val="22"/>
            <w:u w:val="none"/>
            <w:effect w:val="none"/>
          </w:rPr>
          <w:t>70</w:t>
        </w:r>
      </w:hyperlink>
    </w:p>
    <w:p>
      <w:pPr>
        <w:pStyle w:val="TextBody"/>
        <w:bidi w:val="0"/>
        <w:spacing w:lineRule="auto" w:line="288" w:before="0" w:after="240"/>
        <w:ind w:left="0" w:right="0" w:firstLine="540"/>
        <w:jc w:val="left"/>
        <w:rPr/>
      </w:pPr>
      <w:r>
        <w:rPr>
          <w:rFonts w:ascii="Times New Roman;sans-serif" w:hAnsi="Times New Roman;sans-serif"/>
          <w:b w:val="false"/>
          <w:color w:val="000000"/>
          <w:sz w:val="22"/>
        </w:rPr>
        <w:t>Section 5.4</w:t>
      </w:r>
      <w:r>
        <w:rPr>
          <w:color w:val="000000"/>
        </w:rPr>
        <w:t>    </w:t>
      </w:r>
      <w:r>
        <w:rPr>
          <w:rFonts w:ascii="Times New Roman;sans-serif" w:hAnsi="Times New Roman;sans-serif"/>
          <w:b w:val="false"/>
          <w:color w:val="000000"/>
          <w:sz w:val="22"/>
          <w:u w:val="single"/>
        </w:rPr>
        <w:t>Binding Effect</w:t>
      </w:r>
      <w:r>
        <w:rPr>
          <w:color w:val="000000"/>
        </w:rPr>
        <w:t>    </w:t>
      </w:r>
      <w:hyperlink w:anchor="iad6c00f09d2947a1bb263cc540ec5621_7">
        <w:r>
          <w:rPr>
            <w:rStyle w:val="InternetLink"/>
            <w:rFonts w:ascii="Times New Roman;sans-serif" w:hAnsi="Times New Roman;sans-serif"/>
            <w:b w:val="false"/>
            <w:strike w:val="false"/>
            <w:dstrike w:val="false"/>
            <w:color w:val="000000"/>
            <w:sz w:val="22"/>
            <w:u w:val="none"/>
            <w:effect w:val="none"/>
          </w:rPr>
          <w:t>70</w:t>
        </w:r>
      </w:hyperlink>
    </w:p>
    <w:p>
      <w:pPr>
        <w:pStyle w:val="TextBody"/>
        <w:bidi w:val="0"/>
        <w:spacing w:lineRule="auto" w:line="288" w:before="0" w:after="240"/>
        <w:ind w:left="0" w:right="0" w:firstLine="540"/>
        <w:jc w:val="left"/>
        <w:rPr/>
      </w:pPr>
      <w:r>
        <w:rPr>
          <w:rFonts w:ascii="Times New Roman;sans-serif" w:hAnsi="Times New Roman;sans-serif"/>
          <w:b w:val="false"/>
          <w:color w:val="000000"/>
          <w:sz w:val="22"/>
        </w:rPr>
        <w:t>Section 5.5</w:t>
      </w:r>
      <w:r>
        <w:rPr>
          <w:color w:val="000000"/>
        </w:rPr>
        <w:t>    </w:t>
      </w:r>
      <w:r>
        <w:rPr>
          <w:rFonts w:ascii="Times New Roman;sans-serif" w:hAnsi="Times New Roman;sans-serif"/>
          <w:b w:val="false"/>
          <w:color w:val="000000"/>
          <w:sz w:val="22"/>
        </w:rPr>
        <w:t>Financial Statements; No Material Adverse Effect.    </w:t>
      </w:r>
      <w:hyperlink w:anchor="iad6c00f09d2947a1bb263cc540ec5621_7">
        <w:r>
          <w:rPr>
            <w:rStyle w:val="InternetLink"/>
            <w:rFonts w:ascii="Times New Roman;sans-serif" w:hAnsi="Times New Roman;sans-serif"/>
            <w:b w:val="false"/>
            <w:strike w:val="false"/>
            <w:dstrike w:val="false"/>
            <w:color w:val="000000"/>
            <w:sz w:val="22"/>
            <w:u w:val="none"/>
            <w:effect w:val="none"/>
          </w:rPr>
          <w:t>70</w:t>
        </w:r>
      </w:hyperlink>
    </w:p>
    <w:p>
      <w:pPr>
        <w:pStyle w:val="TextBody"/>
        <w:bidi w:val="0"/>
        <w:spacing w:lineRule="auto" w:line="288" w:before="0" w:after="240"/>
        <w:ind w:left="0" w:right="0" w:firstLine="540"/>
        <w:jc w:val="left"/>
        <w:rPr/>
      </w:pPr>
      <w:r>
        <w:rPr>
          <w:rFonts w:ascii="Times New Roman;sans-serif" w:hAnsi="Times New Roman;sans-serif"/>
          <w:b w:val="false"/>
          <w:color w:val="000000"/>
          <w:sz w:val="22"/>
        </w:rPr>
        <w:t>Section 5.6</w:t>
      </w:r>
      <w:r>
        <w:rPr>
          <w:color w:val="000000"/>
        </w:rPr>
        <w:t>    </w:t>
      </w:r>
      <w:r>
        <w:rPr>
          <w:rFonts w:ascii="Times New Roman;sans-serif" w:hAnsi="Times New Roman;sans-serif"/>
          <w:b w:val="false"/>
          <w:color w:val="000000"/>
          <w:sz w:val="22"/>
          <w:u w:val="single"/>
        </w:rPr>
        <w:t>Litigation</w:t>
      </w:r>
      <w:r>
        <w:rPr>
          <w:color w:val="000000"/>
        </w:rPr>
        <w:t>    </w:t>
      </w:r>
      <w:hyperlink w:anchor="iad6c00f09d2947a1bb263cc540ec5621_7">
        <w:r>
          <w:rPr>
            <w:rStyle w:val="InternetLink"/>
            <w:rFonts w:ascii="Times New Roman;sans-serif" w:hAnsi="Times New Roman;sans-serif"/>
            <w:b w:val="false"/>
            <w:strike w:val="false"/>
            <w:dstrike w:val="false"/>
            <w:color w:val="000000"/>
            <w:sz w:val="22"/>
            <w:u w:val="none"/>
            <w:effect w:val="none"/>
          </w:rPr>
          <w:t>70</w:t>
        </w:r>
      </w:hyperlink>
    </w:p>
    <w:p>
      <w:pPr>
        <w:pStyle w:val="TextBody"/>
        <w:bidi w:val="0"/>
        <w:spacing w:lineRule="auto" w:line="288" w:before="0" w:after="240"/>
        <w:ind w:left="0" w:right="0" w:firstLine="540"/>
        <w:jc w:val="left"/>
        <w:rPr/>
      </w:pPr>
      <w:r>
        <w:rPr>
          <w:rFonts w:ascii="Times New Roman;sans-serif" w:hAnsi="Times New Roman;sans-serif"/>
          <w:b w:val="false"/>
          <w:color w:val="000000"/>
          <w:sz w:val="22"/>
        </w:rPr>
        <w:t>Section 5.7</w:t>
      </w:r>
      <w:r>
        <w:rPr>
          <w:color w:val="000000"/>
        </w:rPr>
        <w:t>    </w:t>
      </w:r>
      <w:r>
        <w:rPr>
          <w:rFonts w:ascii="Times New Roman;sans-serif" w:hAnsi="Times New Roman;sans-serif"/>
          <w:b w:val="false"/>
          <w:color w:val="000000"/>
          <w:sz w:val="22"/>
          <w:u w:val="single"/>
        </w:rPr>
        <w:t>Environmental Matters</w:t>
      </w:r>
      <w:r>
        <w:rPr>
          <w:rFonts w:ascii="Times New Roman;sans-serif" w:hAnsi="Times New Roman;sans-serif"/>
          <w:b w:val="false"/>
          <w:color w:val="000000"/>
          <w:sz w:val="22"/>
        </w:rPr>
        <w:t>.    </w:t>
      </w:r>
      <w:hyperlink w:anchor="iad6c00f09d2947a1bb263cc540ec5621_7">
        <w:r>
          <w:rPr>
            <w:rStyle w:val="InternetLink"/>
            <w:rFonts w:ascii="Times New Roman;sans-serif" w:hAnsi="Times New Roman;sans-serif"/>
            <w:b w:val="false"/>
            <w:strike w:val="false"/>
            <w:dstrike w:val="false"/>
            <w:color w:val="000000"/>
            <w:sz w:val="22"/>
            <w:u w:val="none"/>
            <w:effect w:val="none"/>
          </w:rPr>
          <w:t>71</w:t>
        </w:r>
      </w:hyperlink>
    </w:p>
    <w:p>
      <w:pPr>
        <w:pStyle w:val="TextBody"/>
        <w:bidi w:val="0"/>
        <w:spacing w:lineRule="auto" w:line="288" w:before="0" w:after="240"/>
        <w:ind w:left="0" w:right="0" w:firstLine="540"/>
        <w:jc w:val="left"/>
        <w:rPr/>
      </w:pPr>
      <w:r>
        <w:rPr>
          <w:rFonts w:ascii="Times New Roman;sans-serif" w:hAnsi="Times New Roman;sans-serif"/>
          <w:b w:val="false"/>
          <w:color w:val="000000"/>
          <w:sz w:val="22"/>
        </w:rPr>
        <w:t>Section 5.8</w:t>
      </w:r>
      <w:r>
        <w:rPr>
          <w:color w:val="000000"/>
        </w:rPr>
        <w:t>    </w:t>
      </w:r>
      <w:r>
        <w:rPr>
          <w:rFonts w:ascii="Times New Roman;sans-serif" w:hAnsi="Times New Roman;sans-serif"/>
          <w:b w:val="false"/>
          <w:color w:val="000000"/>
          <w:sz w:val="22"/>
          <w:u w:val="single"/>
        </w:rPr>
        <w:t>Ownership of Properties; Liens</w:t>
      </w:r>
      <w:r>
        <w:rPr>
          <w:color w:val="000000"/>
        </w:rPr>
        <w:t>    </w:t>
      </w:r>
      <w:hyperlink w:anchor="iad6c00f09d2947a1bb263cc540ec5621_7">
        <w:r>
          <w:rPr>
            <w:rStyle w:val="InternetLink"/>
            <w:rFonts w:ascii="Times New Roman;sans-serif" w:hAnsi="Times New Roman;sans-serif"/>
            <w:b w:val="false"/>
            <w:strike w:val="false"/>
            <w:dstrike w:val="false"/>
            <w:color w:val="000000"/>
            <w:sz w:val="22"/>
            <w:u w:val="none"/>
            <w:effect w:val="none"/>
          </w:rPr>
          <w:t>72</w:t>
        </w:r>
      </w:hyperlink>
    </w:p>
    <w:p>
      <w:pPr>
        <w:pStyle w:val="TextBody"/>
        <w:bidi w:val="0"/>
        <w:spacing w:lineRule="auto" w:line="288" w:before="0" w:after="240"/>
        <w:ind w:left="0" w:right="0" w:firstLine="540"/>
        <w:jc w:val="left"/>
        <w:rPr/>
      </w:pPr>
      <w:r>
        <w:rPr>
          <w:rFonts w:ascii="Times New Roman;sans-serif" w:hAnsi="Times New Roman;sans-serif"/>
          <w:b w:val="false"/>
          <w:color w:val="000000"/>
          <w:sz w:val="22"/>
        </w:rPr>
        <w:t>Section 5.9</w:t>
      </w:r>
      <w:r>
        <w:rPr>
          <w:color w:val="000000"/>
        </w:rPr>
        <w:t>    </w:t>
      </w:r>
      <w:r>
        <w:rPr>
          <w:rFonts w:ascii="Times New Roman;sans-serif" w:hAnsi="Times New Roman;sans-serif"/>
          <w:b w:val="false"/>
          <w:color w:val="000000"/>
          <w:sz w:val="22"/>
          <w:u w:val="single"/>
        </w:rPr>
        <w:t>Casualty, Etc</w:t>
      </w:r>
      <w:r>
        <w:rPr>
          <w:color w:val="000000"/>
        </w:rPr>
        <w:t>    </w:t>
      </w:r>
      <w:hyperlink w:anchor="iad6c00f09d2947a1bb263cc540ec5621_7">
        <w:r>
          <w:rPr>
            <w:rStyle w:val="InternetLink"/>
            <w:rFonts w:ascii="Times New Roman;sans-serif" w:hAnsi="Times New Roman;sans-serif"/>
            <w:b w:val="false"/>
            <w:strike w:val="false"/>
            <w:dstrike w:val="false"/>
            <w:color w:val="000000"/>
            <w:sz w:val="22"/>
            <w:u w:val="none"/>
            <w:effect w:val="none"/>
          </w:rPr>
          <w:t>72</w:t>
        </w:r>
      </w:hyperlink>
    </w:p>
    <w:p>
      <w:pPr>
        <w:pStyle w:val="TextBody"/>
        <w:bidi w:val="0"/>
        <w:spacing w:lineRule="auto" w:line="288" w:before="0" w:after="240"/>
        <w:ind w:left="0" w:right="0" w:firstLine="540"/>
        <w:jc w:val="left"/>
        <w:rPr/>
      </w:pPr>
      <w:r>
        <w:rPr>
          <w:rFonts w:ascii="Times New Roman;sans-serif" w:hAnsi="Times New Roman;sans-serif"/>
          <w:b w:val="false"/>
          <w:color w:val="000000"/>
          <w:sz w:val="22"/>
        </w:rPr>
        <w:t>Section 5.10</w:t>
      </w:r>
      <w:r>
        <w:rPr>
          <w:color w:val="000000"/>
        </w:rPr>
        <w:t>    </w:t>
      </w:r>
      <w:r>
        <w:rPr>
          <w:rFonts w:ascii="Times New Roman;sans-serif" w:hAnsi="Times New Roman;sans-serif"/>
          <w:b w:val="false"/>
          <w:color w:val="000000"/>
          <w:sz w:val="22"/>
          <w:u w:val="single"/>
        </w:rPr>
        <w:t>Investment Company Status, Etc</w:t>
      </w:r>
      <w:r>
        <w:rPr>
          <w:color w:val="000000"/>
        </w:rPr>
        <w:t>    </w:t>
      </w:r>
      <w:hyperlink w:anchor="iad6c00f09d2947a1bb263cc540ec5621_7">
        <w:r>
          <w:rPr>
            <w:rStyle w:val="InternetLink"/>
            <w:rFonts w:ascii="Times New Roman;sans-serif" w:hAnsi="Times New Roman;sans-serif"/>
            <w:b w:val="false"/>
            <w:strike w:val="false"/>
            <w:dstrike w:val="false"/>
            <w:color w:val="000000"/>
            <w:sz w:val="22"/>
            <w:u w:val="none"/>
            <w:effect w:val="none"/>
          </w:rPr>
          <w:t>72</w:t>
        </w:r>
      </w:hyperlink>
    </w:p>
    <w:p>
      <w:pPr>
        <w:pStyle w:val="TextBody"/>
        <w:bidi w:val="0"/>
        <w:spacing w:lineRule="auto" w:line="288" w:before="0" w:after="240"/>
        <w:ind w:left="0" w:right="0" w:firstLine="540"/>
        <w:jc w:val="left"/>
        <w:rPr/>
      </w:pPr>
      <w:r>
        <w:rPr>
          <w:rFonts w:ascii="Times New Roman;sans-serif" w:hAnsi="Times New Roman;sans-serif"/>
          <w:b w:val="false"/>
          <w:color w:val="000000"/>
          <w:sz w:val="22"/>
        </w:rPr>
        <w:t>Section 5.11</w:t>
      </w:r>
      <w:r>
        <w:rPr>
          <w:color w:val="000000"/>
        </w:rPr>
        <w:t>    </w:t>
      </w:r>
      <w:r>
        <w:rPr>
          <w:rFonts w:ascii="Times New Roman;sans-serif" w:hAnsi="Times New Roman;sans-serif"/>
          <w:b w:val="false"/>
          <w:color w:val="000000"/>
          <w:sz w:val="22"/>
          <w:u w:val="single"/>
        </w:rPr>
        <w:t>Taxes</w:t>
      </w:r>
      <w:r>
        <w:rPr>
          <w:color w:val="000000"/>
        </w:rPr>
        <w:t>    </w:t>
      </w:r>
      <w:hyperlink w:anchor="iad6c00f09d2947a1bb263cc540ec5621_7">
        <w:r>
          <w:rPr>
            <w:rStyle w:val="InternetLink"/>
            <w:rFonts w:ascii="Times New Roman;sans-serif" w:hAnsi="Times New Roman;sans-serif"/>
            <w:b w:val="false"/>
            <w:strike w:val="false"/>
            <w:dstrike w:val="false"/>
            <w:color w:val="000000"/>
            <w:sz w:val="22"/>
            <w:u w:val="none"/>
            <w:effect w:val="none"/>
          </w:rPr>
          <w:t>73</w:t>
        </w:r>
      </w:hyperlink>
    </w:p>
    <w:p>
      <w:pPr>
        <w:pStyle w:val="TextBody"/>
        <w:bidi w:val="0"/>
        <w:spacing w:lineRule="auto" w:line="288" w:before="0" w:after="240"/>
        <w:ind w:left="0" w:right="0" w:firstLine="540"/>
        <w:jc w:val="left"/>
        <w:rPr/>
      </w:pPr>
      <w:r>
        <w:rPr>
          <w:rFonts w:ascii="Times New Roman;sans-serif" w:hAnsi="Times New Roman;sans-serif"/>
          <w:b w:val="false"/>
          <w:color w:val="000000"/>
          <w:sz w:val="22"/>
        </w:rPr>
        <w:t>Section 5.12</w:t>
      </w:r>
      <w:r>
        <w:rPr>
          <w:color w:val="000000"/>
        </w:rPr>
        <w:t>    </w:t>
      </w:r>
      <w:r>
        <w:rPr>
          <w:rFonts w:ascii="Times New Roman;sans-serif" w:hAnsi="Times New Roman;sans-serif"/>
          <w:b w:val="false"/>
          <w:color w:val="000000"/>
          <w:sz w:val="22"/>
          <w:u w:val="single"/>
        </w:rPr>
        <w:t>ERISA</w:t>
      </w:r>
      <w:r>
        <w:rPr>
          <w:rFonts w:ascii="Times New Roman;sans-serif" w:hAnsi="Times New Roman;sans-serif"/>
          <w:b w:val="false"/>
          <w:color w:val="000000"/>
          <w:sz w:val="22"/>
        </w:rPr>
        <w:t>.    </w:t>
      </w:r>
      <w:hyperlink w:anchor="iad6c00f09d2947a1bb263cc540ec5621_7">
        <w:r>
          <w:rPr>
            <w:rStyle w:val="InternetLink"/>
            <w:rFonts w:ascii="Times New Roman;sans-serif" w:hAnsi="Times New Roman;sans-serif"/>
            <w:b w:val="false"/>
            <w:strike w:val="false"/>
            <w:dstrike w:val="false"/>
            <w:color w:val="000000"/>
            <w:sz w:val="22"/>
            <w:u w:val="none"/>
            <w:effect w:val="none"/>
          </w:rPr>
          <w:t>73</w:t>
        </w:r>
      </w:hyperlink>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60655"/>
                <wp:effectExtent l="0" t="0" r="0" b="0"/>
                <wp:wrapNone/>
                <wp:docPr id="50" name="Frame5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ii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ii -</w:t>
                      </w:r>
                    </w:p>
                  </w:txbxContent>
                </v:textbox>
                <w10:wrap type="none"/>
              </v:rect>
            </w:pict>
          </mc:Fallback>
        </mc:AlternateContent>
      </w:r>
    </w:p>
    <w:p>
      <w:pPr>
        <w:pStyle w:val="TextBody"/>
        <w:bidi w:val="0"/>
        <w:spacing w:lineRule="auto" w:line="288" w:before="0" w:after="240"/>
        <w:ind w:left="0" w:right="0" w:firstLine="540"/>
        <w:jc w:val="left"/>
        <w:rPr/>
      </w:pPr>
      <w:r>
        <w:rPr>
          <w:rFonts w:ascii="Times New Roman;sans-serif" w:hAnsi="Times New Roman;sans-serif"/>
          <w:b w:val="false"/>
          <w:color w:val="000000"/>
          <w:sz w:val="22"/>
        </w:rPr>
        <w:t>Section 5.13</w:t>
      </w:r>
      <w:r>
        <w:rPr>
          <w:color w:val="000000"/>
        </w:rPr>
        <w:t>    </w:t>
      </w:r>
      <w:r>
        <w:rPr>
          <w:rFonts w:ascii="Times New Roman;sans-serif" w:hAnsi="Times New Roman;sans-serif"/>
          <w:b w:val="false"/>
          <w:color w:val="000000"/>
          <w:sz w:val="22"/>
          <w:u w:val="single"/>
        </w:rPr>
        <w:t>Subsidiaries; Equity Interests</w:t>
      </w:r>
      <w:r>
        <w:rPr>
          <w:color w:val="000000"/>
        </w:rPr>
        <w:t>    </w:t>
      </w:r>
      <w:hyperlink w:anchor="iad6c00f09d2947a1bb263cc540ec5621_7">
        <w:r>
          <w:rPr>
            <w:rStyle w:val="InternetLink"/>
            <w:rFonts w:ascii="Times New Roman;sans-serif" w:hAnsi="Times New Roman;sans-serif"/>
            <w:b w:val="false"/>
            <w:strike w:val="false"/>
            <w:dstrike w:val="false"/>
            <w:color w:val="000000"/>
            <w:sz w:val="22"/>
            <w:u w:val="none"/>
            <w:effect w:val="none"/>
          </w:rPr>
          <w:t>74</w:t>
        </w:r>
      </w:hyperlink>
    </w:p>
    <w:p>
      <w:pPr>
        <w:pStyle w:val="TextBody"/>
        <w:bidi w:val="0"/>
        <w:spacing w:lineRule="auto" w:line="288" w:before="0" w:after="240"/>
        <w:ind w:left="0" w:right="0" w:firstLine="540"/>
        <w:jc w:val="left"/>
        <w:rPr/>
      </w:pPr>
      <w:r>
        <w:rPr>
          <w:rFonts w:ascii="Times New Roman;sans-serif" w:hAnsi="Times New Roman;sans-serif"/>
          <w:b w:val="false"/>
          <w:color w:val="000000"/>
          <w:sz w:val="22"/>
        </w:rPr>
        <w:t>Section 5.14</w:t>
      </w:r>
      <w:r>
        <w:rPr>
          <w:color w:val="000000"/>
        </w:rPr>
        <w:t>    </w:t>
      </w:r>
      <w:r>
        <w:rPr>
          <w:rFonts w:ascii="Times New Roman;sans-serif" w:hAnsi="Times New Roman;sans-serif"/>
          <w:b w:val="false"/>
          <w:color w:val="000000"/>
          <w:sz w:val="22"/>
          <w:u w:val="single"/>
        </w:rPr>
        <w:t>Insurance</w:t>
      </w:r>
      <w:r>
        <w:rPr>
          <w:color w:val="000000"/>
        </w:rPr>
        <w:t>    </w:t>
      </w:r>
      <w:hyperlink w:anchor="iad6c00f09d2947a1bb263cc540ec5621_7">
        <w:r>
          <w:rPr>
            <w:rStyle w:val="InternetLink"/>
            <w:rFonts w:ascii="Times New Roman;sans-serif" w:hAnsi="Times New Roman;sans-serif"/>
            <w:b w:val="false"/>
            <w:strike w:val="false"/>
            <w:dstrike w:val="false"/>
            <w:color w:val="000000"/>
            <w:sz w:val="22"/>
            <w:u w:val="none"/>
            <w:effect w:val="none"/>
          </w:rPr>
          <w:t>74</w:t>
        </w:r>
      </w:hyperlink>
    </w:p>
    <w:p>
      <w:pPr>
        <w:pStyle w:val="TextBody"/>
        <w:bidi w:val="0"/>
        <w:spacing w:lineRule="auto" w:line="288" w:before="0" w:after="240"/>
        <w:ind w:left="0" w:right="0" w:firstLine="540"/>
        <w:jc w:val="left"/>
        <w:rPr/>
      </w:pPr>
      <w:r>
        <w:rPr>
          <w:rFonts w:ascii="Times New Roman;sans-serif" w:hAnsi="Times New Roman;sans-serif"/>
          <w:b w:val="false"/>
          <w:color w:val="000000"/>
          <w:sz w:val="22"/>
        </w:rPr>
        <w:t>Section 5.15</w:t>
      </w:r>
      <w:r>
        <w:rPr>
          <w:color w:val="000000"/>
        </w:rPr>
        <w:t>    </w:t>
      </w:r>
      <w:r>
        <w:rPr>
          <w:rFonts w:ascii="Times New Roman;sans-serif" w:hAnsi="Times New Roman;sans-serif"/>
          <w:b w:val="false"/>
          <w:color w:val="000000"/>
          <w:sz w:val="22"/>
          <w:u w:val="single"/>
        </w:rPr>
        <w:t>Federal Reserve Regulations, Etc</w:t>
      </w:r>
      <w:r>
        <w:rPr>
          <w:color w:val="000000"/>
        </w:rPr>
        <w:t>    </w:t>
      </w:r>
      <w:hyperlink w:anchor="iad6c00f09d2947a1bb263cc540ec5621_7">
        <w:r>
          <w:rPr>
            <w:rStyle w:val="InternetLink"/>
            <w:rFonts w:ascii="Times New Roman;sans-serif" w:hAnsi="Times New Roman;sans-serif"/>
            <w:b w:val="false"/>
            <w:strike w:val="false"/>
            <w:dstrike w:val="false"/>
            <w:color w:val="000000"/>
            <w:sz w:val="22"/>
            <w:u w:val="none"/>
            <w:effect w:val="none"/>
          </w:rPr>
          <w:t>74</w:t>
        </w:r>
      </w:hyperlink>
    </w:p>
    <w:p>
      <w:pPr>
        <w:pStyle w:val="TextBody"/>
        <w:bidi w:val="0"/>
        <w:spacing w:lineRule="auto" w:line="288" w:before="0" w:after="240"/>
        <w:ind w:left="0" w:right="0" w:firstLine="540"/>
        <w:jc w:val="left"/>
        <w:rPr/>
      </w:pPr>
      <w:r>
        <w:rPr>
          <w:rFonts w:ascii="Times New Roman;sans-serif" w:hAnsi="Times New Roman;sans-serif"/>
          <w:b w:val="false"/>
          <w:color w:val="000000"/>
          <w:sz w:val="22"/>
        </w:rPr>
        <w:t>Section 5.16</w:t>
      </w:r>
      <w:r>
        <w:rPr>
          <w:color w:val="000000"/>
        </w:rPr>
        <w:t>    </w:t>
      </w:r>
      <w:r>
        <w:rPr>
          <w:rFonts w:ascii="Times New Roman;sans-serif" w:hAnsi="Times New Roman;sans-serif"/>
          <w:b w:val="false"/>
          <w:color w:val="000000"/>
          <w:sz w:val="22"/>
          <w:u w:val="single"/>
        </w:rPr>
        <w:t>Collateral Documents</w:t>
      </w:r>
      <w:r>
        <w:rPr>
          <w:color w:val="000000"/>
        </w:rPr>
        <w:t>    </w:t>
      </w:r>
      <w:hyperlink w:anchor="iad6c00f09d2947a1bb263cc540ec5621_7">
        <w:r>
          <w:rPr>
            <w:rStyle w:val="InternetLink"/>
            <w:rFonts w:ascii="Times New Roman;sans-serif" w:hAnsi="Times New Roman;sans-serif"/>
            <w:b w:val="false"/>
            <w:strike w:val="false"/>
            <w:dstrike w:val="false"/>
            <w:color w:val="000000"/>
            <w:sz w:val="22"/>
            <w:u w:val="none"/>
            <w:effect w:val="none"/>
          </w:rPr>
          <w:t>74</w:t>
        </w:r>
      </w:hyperlink>
    </w:p>
    <w:p>
      <w:pPr>
        <w:pStyle w:val="TextBody"/>
        <w:bidi w:val="0"/>
        <w:spacing w:lineRule="auto" w:line="288" w:before="0" w:after="240"/>
        <w:ind w:left="0" w:right="0" w:firstLine="540"/>
        <w:jc w:val="left"/>
        <w:rPr/>
      </w:pPr>
      <w:r>
        <w:rPr>
          <w:rFonts w:ascii="Times New Roman;sans-serif" w:hAnsi="Times New Roman;sans-serif"/>
          <w:b w:val="false"/>
          <w:color w:val="000000"/>
          <w:sz w:val="22"/>
        </w:rPr>
        <w:t>Section 5.17</w:t>
      </w:r>
      <w:r>
        <w:rPr>
          <w:color w:val="000000"/>
        </w:rPr>
        <w:t>    </w:t>
      </w:r>
      <w:r>
        <w:rPr>
          <w:rFonts w:ascii="Times New Roman;sans-serif" w:hAnsi="Times New Roman;sans-serif"/>
          <w:b w:val="false"/>
          <w:color w:val="000000"/>
          <w:sz w:val="22"/>
          <w:u w:val="single"/>
        </w:rPr>
        <w:t>Solvency</w:t>
      </w:r>
      <w:r>
        <w:rPr>
          <w:color w:val="000000"/>
        </w:rPr>
        <w:t>    </w:t>
      </w:r>
      <w:hyperlink w:anchor="iad6c00f09d2947a1bb263cc540ec5621_7">
        <w:r>
          <w:rPr>
            <w:rStyle w:val="InternetLink"/>
            <w:rFonts w:ascii="Times New Roman;sans-serif" w:hAnsi="Times New Roman;sans-serif"/>
            <w:b w:val="false"/>
            <w:strike w:val="false"/>
            <w:dstrike w:val="false"/>
            <w:color w:val="000000"/>
            <w:sz w:val="22"/>
            <w:u w:val="none"/>
            <w:effect w:val="none"/>
          </w:rPr>
          <w:t>75</w:t>
        </w:r>
      </w:hyperlink>
    </w:p>
    <w:p>
      <w:pPr>
        <w:pStyle w:val="TextBody"/>
        <w:bidi w:val="0"/>
        <w:spacing w:lineRule="auto" w:line="288" w:before="0" w:after="240"/>
        <w:ind w:left="0" w:right="0" w:firstLine="540"/>
        <w:jc w:val="left"/>
        <w:rPr/>
      </w:pPr>
      <w:r>
        <w:rPr>
          <w:rFonts w:ascii="Times New Roman;sans-serif" w:hAnsi="Times New Roman;sans-serif"/>
          <w:b w:val="false"/>
          <w:color w:val="000000"/>
          <w:sz w:val="22"/>
        </w:rPr>
        <w:t>Section 5.18</w:t>
      </w:r>
      <w:r>
        <w:rPr>
          <w:color w:val="000000"/>
        </w:rPr>
        <w:t>    </w:t>
      </w:r>
      <w:r>
        <w:rPr>
          <w:rFonts w:ascii="Times New Roman;sans-serif" w:hAnsi="Times New Roman;sans-serif"/>
          <w:b w:val="false"/>
          <w:color w:val="000000"/>
          <w:sz w:val="22"/>
        </w:rPr>
        <w:t>Anti-Corruption Laws; Sanctions; Anti-Terrorism Laws.    </w:t>
      </w:r>
      <w:hyperlink w:anchor="iad6c00f09d2947a1bb263cc540ec5621_7">
        <w:r>
          <w:rPr>
            <w:rStyle w:val="InternetLink"/>
            <w:rFonts w:ascii="Times New Roman;sans-serif" w:hAnsi="Times New Roman;sans-serif"/>
            <w:b w:val="false"/>
            <w:strike w:val="false"/>
            <w:dstrike w:val="false"/>
            <w:color w:val="000000"/>
            <w:sz w:val="22"/>
            <w:u w:val="none"/>
            <w:effect w:val="none"/>
          </w:rPr>
          <w:t>75</w:t>
        </w:r>
      </w:hyperlink>
    </w:p>
    <w:p>
      <w:pPr>
        <w:pStyle w:val="TextBody"/>
        <w:bidi w:val="0"/>
        <w:spacing w:lineRule="auto" w:line="288" w:before="0" w:after="240"/>
        <w:ind w:left="0" w:right="0" w:firstLine="540"/>
        <w:jc w:val="left"/>
        <w:rPr/>
      </w:pPr>
      <w:r>
        <w:rPr>
          <w:rFonts w:ascii="Times New Roman;sans-serif" w:hAnsi="Times New Roman;sans-serif"/>
          <w:b w:val="false"/>
          <w:color w:val="000000"/>
          <w:sz w:val="22"/>
        </w:rPr>
        <w:t>Section 5.19</w:t>
      </w:r>
      <w:r>
        <w:rPr>
          <w:color w:val="000000"/>
        </w:rPr>
        <w:t>    </w:t>
      </w:r>
      <w:r>
        <w:rPr>
          <w:rFonts w:ascii="Times New Roman;sans-serif" w:hAnsi="Times New Roman;sans-serif"/>
          <w:b w:val="false"/>
          <w:color w:val="000000"/>
          <w:sz w:val="22"/>
          <w:u w:val="single"/>
        </w:rPr>
        <w:t>Accuracy of Information, Etc</w:t>
      </w:r>
      <w:r>
        <w:rPr>
          <w:rFonts w:ascii="Times New Roman;sans-serif" w:hAnsi="Times New Roman;sans-serif"/>
          <w:b w:val="false"/>
          <w:color w:val="000000"/>
          <w:sz w:val="22"/>
        </w:rPr>
        <w:t>.    </w:t>
      </w:r>
      <w:hyperlink w:anchor="iad6c00f09d2947a1bb263cc540ec5621_7">
        <w:r>
          <w:rPr>
            <w:rStyle w:val="InternetLink"/>
            <w:rFonts w:ascii="Times New Roman;sans-serif" w:hAnsi="Times New Roman;sans-serif"/>
            <w:b w:val="false"/>
            <w:strike w:val="false"/>
            <w:dstrike w:val="false"/>
            <w:color w:val="000000"/>
            <w:sz w:val="22"/>
            <w:u w:val="none"/>
            <w:effect w:val="none"/>
          </w:rPr>
          <w:t>76</w:t>
        </w:r>
      </w:hyperlink>
    </w:p>
    <w:p>
      <w:pPr>
        <w:pStyle w:val="TextBody"/>
        <w:bidi w:val="0"/>
        <w:spacing w:lineRule="auto" w:line="288" w:before="0" w:after="240"/>
        <w:ind w:left="0" w:right="0" w:firstLine="540"/>
        <w:jc w:val="left"/>
        <w:rPr/>
      </w:pPr>
      <w:r>
        <w:rPr>
          <w:rFonts w:ascii="Times New Roman;sans-serif" w:hAnsi="Times New Roman;sans-serif"/>
          <w:b w:val="false"/>
          <w:color w:val="000000"/>
          <w:sz w:val="22"/>
        </w:rPr>
        <w:t>Section 5.20</w:t>
      </w:r>
      <w:r>
        <w:rPr>
          <w:color w:val="000000"/>
        </w:rPr>
        <w:t>    </w:t>
      </w:r>
      <w:r>
        <w:rPr>
          <w:rFonts w:ascii="Times New Roman;sans-serif" w:hAnsi="Times New Roman;sans-serif"/>
          <w:b w:val="false"/>
          <w:color w:val="000000"/>
          <w:sz w:val="22"/>
          <w:u w:val="single"/>
        </w:rPr>
        <w:t>Labor Matters</w:t>
      </w:r>
      <w:r>
        <w:rPr>
          <w:color w:val="000000"/>
        </w:rPr>
        <w:t>    </w:t>
      </w:r>
      <w:hyperlink w:anchor="iad6c00f09d2947a1bb263cc540ec5621_7">
        <w:r>
          <w:rPr>
            <w:rStyle w:val="InternetLink"/>
            <w:rFonts w:ascii="Times New Roman;sans-serif" w:hAnsi="Times New Roman;sans-serif"/>
            <w:b w:val="false"/>
            <w:strike w:val="false"/>
            <w:dstrike w:val="false"/>
            <w:color w:val="000000"/>
            <w:sz w:val="22"/>
            <w:u w:val="none"/>
            <w:effect w:val="none"/>
          </w:rPr>
          <w:t>76</w:t>
        </w:r>
      </w:hyperlink>
    </w:p>
    <w:p>
      <w:pPr>
        <w:pStyle w:val="TextBody"/>
        <w:bidi w:val="0"/>
        <w:spacing w:lineRule="auto" w:line="288" w:before="0" w:after="240"/>
        <w:ind w:left="0" w:right="0" w:firstLine="540"/>
        <w:jc w:val="left"/>
        <w:rPr/>
      </w:pPr>
      <w:r>
        <w:rPr>
          <w:rFonts w:ascii="Times New Roman;sans-serif" w:hAnsi="Times New Roman;sans-serif"/>
          <w:b w:val="false"/>
          <w:color w:val="000000"/>
          <w:sz w:val="22"/>
        </w:rPr>
        <w:t>Section 5.21</w:t>
      </w:r>
      <w:r>
        <w:rPr>
          <w:color w:val="000000"/>
        </w:rPr>
        <w:t>    </w:t>
      </w:r>
      <w:r>
        <w:rPr>
          <w:rFonts w:ascii="Times New Roman;sans-serif" w:hAnsi="Times New Roman;sans-serif"/>
          <w:b w:val="false"/>
          <w:color w:val="000000"/>
          <w:sz w:val="22"/>
          <w:u w:val="single"/>
        </w:rPr>
        <w:t>Absence of Certain Restrictions</w:t>
      </w:r>
      <w:r>
        <w:rPr>
          <w:color w:val="000000"/>
        </w:rPr>
        <w:t>    </w:t>
      </w:r>
      <w:hyperlink w:anchor="iad6c00f09d2947a1bb263cc540ec5621_7">
        <w:r>
          <w:rPr>
            <w:rStyle w:val="InternetLink"/>
            <w:rFonts w:ascii="Times New Roman;sans-serif" w:hAnsi="Times New Roman;sans-serif"/>
            <w:b w:val="false"/>
            <w:strike w:val="false"/>
            <w:dstrike w:val="false"/>
            <w:color w:val="000000"/>
            <w:sz w:val="22"/>
            <w:u w:val="none"/>
            <w:effect w:val="none"/>
          </w:rPr>
          <w:t>76</w:t>
        </w:r>
      </w:hyperlink>
    </w:p>
    <w:p>
      <w:pPr>
        <w:pStyle w:val="TextBody"/>
        <w:bidi w:val="0"/>
        <w:spacing w:lineRule="auto" w:line="288" w:before="0" w:after="240"/>
        <w:ind w:left="0" w:right="0" w:firstLine="540"/>
        <w:jc w:val="left"/>
        <w:rPr/>
      </w:pPr>
      <w:r>
        <w:rPr>
          <w:rFonts w:ascii="Times New Roman;sans-serif" w:hAnsi="Times New Roman;sans-serif"/>
          <w:b w:val="false"/>
          <w:color w:val="000000"/>
          <w:sz w:val="22"/>
        </w:rPr>
        <w:t>Section 5.22</w:t>
      </w:r>
      <w:r>
        <w:rPr>
          <w:color w:val="000000"/>
        </w:rPr>
        <w:t>    </w:t>
      </w:r>
      <w:r>
        <w:rPr>
          <w:rFonts w:ascii="Times New Roman;sans-serif" w:hAnsi="Times New Roman;sans-serif"/>
          <w:b w:val="false"/>
          <w:color w:val="000000"/>
          <w:sz w:val="22"/>
          <w:u w:val="single"/>
        </w:rPr>
        <w:t>No Default</w:t>
      </w:r>
      <w:r>
        <w:rPr>
          <w:color w:val="000000"/>
        </w:rPr>
        <w:t>    </w:t>
      </w:r>
      <w:hyperlink w:anchor="iad6c00f09d2947a1bb263cc540ec5621_7">
        <w:r>
          <w:rPr>
            <w:rStyle w:val="InternetLink"/>
            <w:rFonts w:ascii="Times New Roman;sans-serif" w:hAnsi="Times New Roman;sans-serif"/>
            <w:b w:val="false"/>
            <w:strike w:val="false"/>
            <w:dstrike w:val="false"/>
            <w:color w:val="000000"/>
            <w:sz w:val="22"/>
            <w:u w:val="none"/>
            <w:effect w:val="none"/>
          </w:rPr>
          <w:t>76</w:t>
        </w:r>
      </w:hyperlink>
    </w:p>
    <w:p>
      <w:pPr>
        <w:pStyle w:val="TextBody"/>
        <w:bidi w:val="0"/>
        <w:spacing w:lineRule="auto" w:line="288" w:before="0" w:after="240"/>
        <w:ind w:left="0" w:right="0" w:firstLine="540"/>
        <w:jc w:val="left"/>
        <w:rPr/>
      </w:pPr>
      <w:r>
        <w:rPr>
          <w:rFonts w:ascii="Times New Roman;sans-serif" w:hAnsi="Times New Roman;sans-serif"/>
          <w:b w:val="false"/>
          <w:color w:val="000000"/>
          <w:sz w:val="22"/>
        </w:rPr>
        <w:t>Section 5.23</w:t>
      </w:r>
      <w:r>
        <w:rPr>
          <w:color w:val="000000"/>
        </w:rPr>
        <w:t>    </w:t>
      </w:r>
      <w:r>
        <w:rPr>
          <w:rFonts w:ascii="Times New Roman;sans-serif" w:hAnsi="Times New Roman;sans-serif"/>
          <w:b w:val="false"/>
          <w:color w:val="000000"/>
          <w:sz w:val="22"/>
          <w:u w:val="single"/>
        </w:rPr>
        <w:t>Common Enterprise</w:t>
      </w:r>
      <w:r>
        <w:rPr>
          <w:color w:val="000000"/>
        </w:rPr>
        <w:t>    </w:t>
      </w:r>
      <w:hyperlink w:anchor="iad6c00f09d2947a1bb263cc540ec5621_7">
        <w:r>
          <w:rPr>
            <w:rStyle w:val="InternetLink"/>
            <w:rFonts w:ascii="Times New Roman;sans-serif" w:hAnsi="Times New Roman;sans-serif"/>
            <w:b w:val="false"/>
            <w:strike w:val="false"/>
            <w:dstrike w:val="false"/>
            <w:color w:val="000000"/>
            <w:sz w:val="22"/>
            <w:u w:val="none"/>
            <w:effect w:val="none"/>
          </w:rPr>
          <w:t>77</w:t>
        </w:r>
      </w:hyperlink>
    </w:p>
    <w:p>
      <w:pPr>
        <w:pStyle w:val="TextBody"/>
        <w:bidi w:val="0"/>
        <w:spacing w:lineRule="auto" w:line="288" w:before="0" w:after="240"/>
        <w:ind w:left="0" w:right="0" w:firstLine="540"/>
        <w:jc w:val="left"/>
        <w:rPr/>
      </w:pPr>
      <w:r>
        <w:rPr>
          <w:rFonts w:ascii="Times New Roman;sans-serif" w:hAnsi="Times New Roman;sans-serif"/>
          <w:b w:val="false"/>
          <w:color w:val="000000"/>
          <w:sz w:val="22"/>
        </w:rPr>
        <w:t>Section 5.24</w:t>
      </w:r>
      <w:r>
        <w:rPr>
          <w:color w:val="000000"/>
        </w:rPr>
        <w:t>    </w:t>
      </w:r>
      <w:r>
        <w:rPr>
          <w:rFonts w:ascii="Times New Roman;sans-serif" w:hAnsi="Times New Roman;sans-serif"/>
          <w:b w:val="false"/>
          <w:color w:val="000000"/>
          <w:sz w:val="22"/>
          <w:u w:val="single"/>
        </w:rPr>
        <w:t>[Reserved]</w:t>
      </w:r>
      <w:r>
        <w:rPr>
          <w:color w:val="000000"/>
        </w:rPr>
        <w:t>    </w:t>
      </w:r>
      <w:hyperlink w:anchor="iad6c00f09d2947a1bb263cc540ec5621_7">
        <w:r>
          <w:rPr>
            <w:rStyle w:val="InternetLink"/>
            <w:rFonts w:ascii="Times New Roman;sans-serif" w:hAnsi="Times New Roman;sans-serif"/>
            <w:b w:val="false"/>
            <w:strike w:val="false"/>
            <w:dstrike w:val="false"/>
            <w:color w:val="000000"/>
            <w:sz w:val="22"/>
            <w:u w:val="none"/>
            <w:effect w:val="none"/>
          </w:rPr>
          <w:t>77</w:t>
        </w:r>
      </w:hyperlink>
    </w:p>
    <w:p>
      <w:pPr>
        <w:pStyle w:val="TextBody"/>
        <w:bidi w:val="0"/>
        <w:spacing w:lineRule="auto" w:line="288" w:before="0" w:after="240"/>
        <w:ind w:left="0" w:right="0" w:firstLine="540"/>
        <w:jc w:val="left"/>
        <w:rPr/>
      </w:pPr>
      <w:r>
        <w:rPr>
          <w:rFonts w:ascii="Times New Roman;sans-serif" w:hAnsi="Times New Roman;sans-serif"/>
          <w:b w:val="false"/>
          <w:color w:val="000000"/>
          <w:sz w:val="22"/>
        </w:rPr>
        <w:t>Section 5.25</w:t>
      </w:r>
      <w:r>
        <w:rPr>
          <w:color w:val="000000"/>
        </w:rPr>
        <w:t>    </w:t>
      </w:r>
      <w:r>
        <w:rPr>
          <w:rFonts w:ascii="Times New Roman;sans-serif" w:hAnsi="Times New Roman;sans-serif"/>
          <w:b w:val="false"/>
          <w:color w:val="000000"/>
          <w:sz w:val="22"/>
          <w:u w:val="single"/>
        </w:rPr>
        <w:t>EEA Financial Institutions</w:t>
      </w:r>
      <w:r>
        <w:rPr>
          <w:color w:val="000000"/>
        </w:rPr>
        <w:t>    </w:t>
      </w:r>
      <w:hyperlink w:anchor="iad6c00f09d2947a1bb263cc540ec5621_7">
        <w:r>
          <w:rPr>
            <w:rStyle w:val="InternetLink"/>
            <w:rFonts w:ascii="Times New Roman;sans-serif" w:hAnsi="Times New Roman;sans-serif"/>
            <w:b w:val="false"/>
            <w:strike w:val="false"/>
            <w:dstrike w:val="false"/>
            <w:color w:val="000000"/>
            <w:sz w:val="22"/>
            <w:u w:val="none"/>
            <w:effect w:val="none"/>
          </w:rPr>
          <w:t>77</w:t>
        </w:r>
      </w:hyperlink>
    </w:p>
    <w:p>
      <w:pPr>
        <w:pStyle w:val="TextBody"/>
        <w:bidi w:val="0"/>
        <w:spacing w:lineRule="auto" w:line="288" w:before="0" w:after="240"/>
        <w:ind w:left="0" w:right="0" w:firstLine="540"/>
        <w:jc w:val="left"/>
        <w:rPr/>
      </w:pPr>
      <w:r>
        <w:rPr>
          <w:rFonts w:ascii="Times New Roman;sans-serif" w:hAnsi="Times New Roman;sans-serif"/>
          <w:b w:val="false"/>
          <w:color w:val="000000"/>
          <w:sz w:val="22"/>
        </w:rPr>
        <w:t>Section 5.26</w:t>
      </w:r>
      <w:r>
        <w:rPr>
          <w:color w:val="000000"/>
        </w:rPr>
        <w:t>    </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Contracts</w:t>
      </w:r>
      <w:r>
        <w:rPr>
          <w:color w:val="000000"/>
        </w:rPr>
        <w:t>    </w:t>
      </w:r>
      <w:hyperlink w:anchor="iad6c00f09d2947a1bb263cc540ec5621_7">
        <w:r>
          <w:rPr>
            <w:rStyle w:val="InternetLink"/>
            <w:rFonts w:ascii="Times New Roman;sans-serif" w:hAnsi="Times New Roman;sans-serif"/>
            <w:b w:val="false"/>
            <w:strike w:val="false"/>
            <w:dstrike w:val="false"/>
            <w:color w:val="000000"/>
            <w:sz w:val="22"/>
            <w:u w:val="none"/>
            <w:effect w:val="none"/>
          </w:rPr>
          <w:t>77</w:t>
        </w:r>
      </w:hyperlink>
    </w:p>
    <w:p>
      <w:pPr>
        <w:pStyle w:val="TextBody"/>
        <w:bidi w:val="0"/>
        <w:spacing w:lineRule="auto" w:line="288" w:before="0" w:after="240"/>
        <w:jc w:val="left"/>
        <w:rPr/>
      </w:pPr>
      <w:r>
        <w:rPr>
          <w:rFonts w:ascii="Times New Roman;sans-serif" w:hAnsi="Times New Roman;sans-serif"/>
          <w:b w:val="false"/>
          <w:color w:val="000000"/>
          <w:sz w:val="22"/>
        </w:rPr>
        <w:t>ARTICLE 6</w:t>
        <w:br/>
        <w:br/>
        <w:t>AFFIRMATIVE COVENANTS    </w:t>
      </w:r>
      <w:hyperlink w:anchor="iad6c00f09d2947a1bb263cc540ec5621_7">
        <w:r>
          <w:rPr>
            <w:rStyle w:val="InternetLink"/>
            <w:rFonts w:ascii="Times New Roman;sans-serif" w:hAnsi="Times New Roman;sans-serif"/>
            <w:b w:val="false"/>
            <w:strike w:val="false"/>
            <w:dstrike w:val="false"/>
            <w:color w:val="000000"/>
            <w:sz w:val="22"/>
            <w:u w:val="none"/>
            <w:effect w:val="none"/>
          </w:rPr>
          <w:t>77</w:t>
        </w:r>
      </w:hyperlink>
    </w:p>
    <w:p>
      <w:pPr>
        <w:pStyle w:val="TextBody"/>
        <w:bidi w:val="0"/>
        <w:spacing w:lineRule="auto" w:line="288" w:before="0" w:after="240"/>
        <w:ind w:left="0" w:right="0" w:firstLine="540"/>
        <w:jc w:val="left"/>
        <w:rPr/>
      </w:pPr>
      <w:r>
        <w:rPr>
          <w:rFonts w:ascii="Times New Roman;sans-serif" w:hAnsi="Times New Roman;sans-serif"/>
          <w:b w:val="false"/>
          <w:color w:val="000000"/>
          <w:sz w:val="22"/>
        </w:rPr>
        <w:t>Section 6.1</w:t>
      </w:r>
      <w:r>
        <w:rPr>
          <w:color w:val="000000"/>
        </w:rPr>
        <w:t>    </w:t>
      </w:r>
      <w:r>
        <w:rPr>
          <w:rFonts w:ascii="Times New Roman;sans-serif" w:hAnsi="Times New Roman;sans-serif"/>
          <w:b w:val="false"/>
          <w:color w:val="000000"/>
          <w:sz w:val="22"/>
          <w:u w:val="single"/>
        </w:rPr>
        <w:t>Financial Statements and Other Information</w:t>
      </w:r>
      <w:r>
        <w:rPr>
          <w:color w:val="000000"/>
        </w:rPr>
        <w:t>    </w:t>
      </w:r>
      <w:hyperlink w:anchor="iad6c00f09d2947a1bb263cc540ec5621_7">
        <w:r>
          <w:rPr>
            <w:rStyle w:val="InternetLink"/>
            <w:rFonts w:ascii="Times New Roman;sans-serif" w:hAnsi="Times New Roman;sans-serif"/>
            <w:b w:val="false"/>
            <w:strike w:val="false"/>
            <w:dstrike w:val="false"/>
            <w:color w:val="000000"/>
            <w:sz w:val="22"/>
            <w:u w:val="none"/>
            <w:effect w:val="none"/>
          </w:rPr>
          <w:t>77</w:t>
        </w:r>
      </w:hyperlink>
    </w:p>
    <w:p>
      <w:pPr>
        <w:pStyle w:val="TextBody"/>
        <w:bidi w:val="0"/>
        <w:spacing w:lineRule="auto" w:line="288" w:before="0" w:after="240"/>
        <w:ind w:left="0" w:right="0" w:firstLine="540"/>
        <w:jc w:val="left"/>
        <w:rPr/>
      </w:pPr>
      <w:r>
        <w:rPr>
          <w:rFonts w:ascii="Times New Roman;sans-serif" w:hAnsi="Times New Roman;sans-serif"/>
          <w:b w:val="false"/>
          <w:color w:val="000000"/>
          <w:sz w:val="22"/>
        </w:rPr>
        <w:t>Section 6.2</w:t>
      </w:r>
      <w:r>
        <w:rPr>
          <w:color w:val="000000"/>
        </w:rPr>
        <w:t>    </w:t>
      </w:r>
      <w:r>
        <w:rPr>
          <w:rFonts w:ascii="Times New Roman;sans-serif" w:hAnsi="Times New Roman;sans-serif"/>
          <w:b w:val="false"/>
          <w:color w:val="000000"/>
          <w:sz w:val="22"/>
          <w:u w:val="single"/>
        </w:rPr>
        <w:t>Notices of Material Events</w:t>
      </w:r>
      <w:r>
        <w:rPr>
          <w:color w:val="000000"/>
        </w:rPr>
        <w:t>    </w:t>
      </w:r>
      <w:hyperlink w:anchor="iad6c00f09d2947a1bb263cc540ec5621_7">
        <w:r>
          <w:rPr>
            <w:rStyle w:val="InternetLink"/>
            <w:rFonts w:ascii="Times New Roman;sans-serif" w:hAnsi="Times New Roman;sans-serif"/>
            <w:b w:val="false"/>
            <w:strike w:val="false"/>
            <w:dstrike w:val="false"/>
            <w:color w:val="000000"/>
            <w:sz w:val="22"/>
            <w:u w:val="none"/>
            <w:effect w:val="none"/>
          </w:rPr>
          <w:t>79</w:t>
        </w:r>
      </w:hyperlink>
    </w:p>
    <w:p>
      <w:pPr>
        <w:pStyle w:val="TextBody"/>
        <w:bidi w:val="0"/>
        <w:spacing w:lineRule="auto" w:line="288" w:before="0" w:after="240"/>
        <w:ind w:left="0" w:right="0" w:firstLine="540"/>
        <w:jc w:val="left"/>
        <w:rPr/>
      </w:pPr>
      <w:r>
        <w:rPr>
          <w:rFonts w:ascii="Times New Roman;sans-serif" w:hAnsi="Times New Roman;sans-serif"/>
          <w:b w:val="false"/>
          <w:color w:val="000000"/>
          <w:sz w:val="22"/>
        </w:rPr>
        <w:t>Section 6.3</w:t>
      </w:r>
      <w:r>
        <w:rPr>
          <w:color w:val="000000"/>
        </w:rPr>
        <w:t>    </w:t>
      </w:r>
      <w:r>
        <w:rPr>
          <w:rFonts w:ascii="Times New Roman;sans-serif" w:hAnsi="Times New Roman;sans-serif"/>
          <w:b w:val="false"/>
          <w:color w:val="000000"/>
          <w:sz w:val="22"/>
          <w:u w:val="single"/>
        </w:rPr>
        <w:t>Existence; Conduct of Business</w:t>
      </w:r>
      <w:r>
        <w:rPr>
          <w:color w:val="000000"/>
        </w:rPr>
        <w:t>    </w:t>
      </w:r>
      <w:hyperlink w:anchor="iad6c00f09d2947a1bb263cc540ec5621_7">
        <w:r>
          <w:rPr>
            <w:rStyle w:val="InternetLink"/>
            <w:rFonts w:ascii="Times New Roman;sans-serif" w:hAnsi="Times New Roman;sans-serif"/>
            <w:b w:val="false"/>
            <w:strike w:val="false"/>
            <w:dstrike w:val="false"/>
            <w:color w:val="000000"/>
            <w:sz w:val="22"/>
            <w:u w:val="none"/>
            <w:effect w:val="none"/>
          </w:rPr>
          <w:t>81</w:t>
        </w:r>
      </w:hyperlink>
    </w:p>
    <w:p>
      <w:pPr>
        <w:pStyle w:val="TextBody"/>
        <w:bidi w:val="0"/>
        <w:spacing w:lineRule="auto" w:line="288" w:before="0" w:after="240"/>
        <w:ind w:left="0" w:right="0" w:firstLine="540"/>
        <w:jc w:val="left"/>
        <w:rPr/>
      </w:pPr>
      <w:r>
        <w:rPr>
          <w:rFonts w:ascii="Times New Roman;sans-serif" w:hAnsi="Times New Roman;sans-serif"/>
          <w:b w:val="false"/>
          <w:color w:val="000000"/>
          <w:sz w:val="22"/>
        </w:rPr>
        <w:t>Section 6.4</w:t>
      </w:r>
      <w:r>
        <w:rPr>
          <w:color w:val="000000"/>
        </w:rPr>
        <w:t>    </w:t>
      </w:r>
      <w:r>
        <w:rPr>
          <w:rFonts w:ascii="Times New Roman;sans-serif" w:hAnsi="Times New Roman;sans-serif"/>
          <w:b w:val="false"/>
          <w:color w:val="000000"/>
          <w:sz w:val="22"/>
          <w:u w:val="single"/>
        </w:rPr>
        <w:t>Payment and Performance of Obligations</w:t>
      </w:r>
      <w:r>
        <w:rPr>
          <w:color w:val="000000"/>
        </w:rPr>
        <w:t>    </w:t>
      </w:r>
      <w:hyperlink w:anchor="iad6c00f09d2947a1bb263cc540ec5621_7">
        <w:r>
          <w:rPr>
            <w:rStyle w:val="InternetLink"/>
            <w:rFonts w:ascii="Times New Roman;sans-serif" w:hAnsi="Times New Roman;sans-serif"/>
            <w:b w:val="false"/>
            <w:strike w:val="false"/>
            <w:dstrike w:val="false"/>
            <w:color w:val="000000"/>
            <w:sz w:val="22"/>
            <w:u w:val="none"/>
            <w:effect w:val="none"/>
          </w:rPr>
          <w:t>81</w:t>
        </w:r>
      </w:hyperlink>
    </w:p>
    <w:p>
      <w:pPr>
        <w:pStyle w:val="TextBody"/>
        <w:bidi w:val="0"/>
        <w:spacing w:lineRule="auto" w:line="288" w:before="0" w:after="240"/>
        <w:ind w:left="0" w:right="0" w:firstLine="540"/>
        <w:jc w:val="left"/>
        <w:rPr/>
      </w:pPr>
      <w:r>
        <w:rPr>
          <w:rFonts w:ascii="Times New Roman;sans-serif" w:hAnsi="Times New Roman;sans-serif"/>
          <w:b w:val="false"/>
          <w:color w:val="000000"/>
          <w:sz w:val="22"/>
        </w:rPr>
        <w:t>Section 6.5</w:t>
      </w:r>
      <w:r>
        <w:rPr>
          <w:color w:val="000000"/>
        </w:rPr>
        <w:t>    </w:t>
      </w:r>
      <w:r>
        <w:rPr>
          <w:rFonts w:ascii="Times New Roman;sans-serif" w:hAnsi="Times New Roman;sans-serif"/>
          <w:b w:val="false"/>
          <w:color w:val="000000"/>
          <w:sz w:val="22"/>
          <w:u w:val="single"/>
        </w:rPr>
        <w:t>Maintenance of Properties</w:t>
      </w:r>
      <w:r>
        <w:rPr>
          <w:color w:val="000000"/>
        </w:rPr>
        <w:t>    </w:t>
      </w:r>
      <w:hyperlink w:anchor="iad6c00f09d2947a1bb263cc540ec5621_7">
        <w:r>
          <w:rPr>
            <w:rStyle w:val="InternetLink"/>
            <w:rFonts w:ascii="Times New Roman;sans-serif" w:hAnsi="Times New Roman;sans-serif"/>
            <w:b w:val="false"/>
            <w:strike w:val="false"/>
            <w:dstrike w:val="false"/>
            <w:color w:val="000000"/>
            <w:sz w:val="22"/>
            <w:u w:val="none"/>
            <w:effect w:val="none"/>
          </w:rPr>
          <w:t>81</w:t>
        </w:r>
      </w:hyperlink>
    </w:p>
    <w:p>
      <w:pPr>
        <w:pStyle w:val="TextBody"/>
        <w:bidi w:val="0"/>
        <w:spacing w:lineRule="auto" w:line="288" w:before="0" w:after="240"/>
        <w:ind w:left="0" w:right="0" w:firstLine="540"/>
        <w:jc w:val="left"/>
        <w:rPr/>
      </w:pPr>
      <w:r>
        <w:rPr>
          <w:rFonts w:ascii="Times New Roman;sans-serif" w:hAnsi="Times New Roman;sans-serif"/>
          <w:b w:val="false"/>
          <w:color w:val="000000"/>
          <w:sz w:val="22"/>
        </w:rPr>
        <w:t>Section 6.6</w:t>
      </w:r>
      <w:r>
        <w:rPr>
          <w:color w:val="000000"/>
        </w:rPr>
        <w:t>    </w:t>
      </w:r>
      <w:r>
        <w:rPr>
          <w:rFonts w:ascii="Times New Roman;sans-serif" w:hAnsi="Times New Roman;sans-serif"/>
          <w:b w:val="false"/>
          <w:color w:val="000000"/>
          <w:sz w:val="22"/>
          <w:u w:val="single"/>
        </w:rPr>
        <w:t>Books and Records; Inspection Rights</w:t>
      </w:r>
      <w:r>
        <w:rPr>
          <w:color w:val="000000"/>
        </w:rPr>
        <w:t>    </w:t>
      </w:r>
      <w:hyperlink w:anchor="iad6c00f09d2947a1bb263cc540ec5621_7">
        <w:r>
          <w:rPr>
            <w:rStyle w:val="InternetLink"/>
            <w:rFonts w:ascii="Times New Roman;sans-serif" w:hAnsi="Times New Roman;sans-serif"/>
            <w:b w:val="false"/>
            <w:strike w:val="false"/>
            <w:dstrike w:val="false"/>
            <w:color w:val="000000"/>
            <w:sz w:val="22"/>
            <w:u w:val="none"/>
            <w:effect w:val="none"/>
          </w:rPr>
          <w:t>81</w:t>
        </w:r>
      </w:hyperlink>
    </w:p>
    <w:p>
      <w:pPr>
        <w:pStyle w:val="TextBody"/>
        <w:bidi w:val="0"/>
        <w:spacing w:lineRule="auto" w:line="288" w:before="0" w:after="240"/>
        <w:ind w:left="0" w:right="0" w:firstLine="540"/>
        <w:jc w:val="left"/>
        <w:rPr/>
      </w:pPr>
      <w:r>
        <w:rPr>
          <w:rFonts w:ascii="Times New Roman;sans-serif" w:hAnsi="Times New Roman;sans-serif"/>
          <w:b w:val="false"/>
          <w:color w:val="000000"/>
          <w:sz w:val="22"/>
        </w:rPr>
        <w:t>Section 6.7</w:t>
      </w:r>
      <w:r>
        <w:rPr>
          <w:color w:val="000000"/>
        </w:rPr>
        <w:t>    </w:t>
      </w:r>
      <w:r>
        <w:rPr>
          <w:rFonts w:ascii="Times New Roman;sans-serif" w:hAnsi="Times New Roman;sans-serif"/>
          <w:b w:val="false"/>
          <w:color w:val="000000"/>
          <w:sz w:val="22"/>
          <w:u w:val="single"/>
        </w:rPr>
        <w:t>Compliance with Laws</w:t>
      </w:r>
      <w:r>
        <w:rPr>
          <w:color w:val="000000"/>
        </w:rPr>
        <w:t>    </w:t>
      </w:r>
      <w:hyperlink w:anchor="iad6c00f09d2947a1bb263cc540ec5621_7">
        <w:r>
          <w:rPr>
            <w:rStyle w:val="InternetLink"/>
            <w:rFonts w:ascii="Times New Roman;sans-serif" w:hAnsi="Times New Roman;sans-serif"/>
            <w:b w:val="false"/>
            <w:strike w:val="false"/>
            <w:dstrike w:val="false"/>
            <w:color w:val="000000"/>
            <w:sz w:val="22"/>
            <w:u w:val="none"/>
            <w:effect w:val="none"/>
          </w:rPr>
          <w:t>82</w:t>
        </w:r>
      </w:hyperlink>
    </w:p>
    <w:p>
      <w:pPr>
        <w:pStyle w:val="TextBody"/>
        <w:bidi w:val="0"/>
        <w:spacing w:lineRule="auto" w:line="288" w:before="0" w:after="240"/>
        <w:ind w:left="0" w:right="0" w:firstLine="540"/>
        <w:jc w:val="left"/>
        <w:rPr/>
      </w:pPr>
      <w:r>
        <w:rPr>
          <w:rFonts w:ascii="Times New Roman;sans-serif" w:hAnsi="Times New Roman;sans-serif"/>
          <w:b w:val="false"/>
          <w:color w:val="000000"/>
          <w:sz w:val="22"/>
        </w:rPr>
        <w:t>Section 6.8</w:t>
      </w:r>
      <w:r>
        <w:rPr>
          <w:color w:val="000000"/>
        </w:rPr>
        <w:t>    </w:t>
      </w:r>
      <w:r>
        <w:rPr>
          <w:rFonts w:ascii="Times New Roman;sans-serif" w:hAnsi="Times New Roman;sans-serif"/>
          <w:b w:val="false"/>
          <w:color w:val="000000"/>
          <w:sz w:val="22"/>
          <w:u w:val="single"/>
        </w:rPr>
        <w:t>Use of Proceeds</w:t>
      </w:r>
      <w:r>
        <w:rPr>
          <w:rFonts w:ascii="Times New Roman;sans-serif" w:hAnsi="Times New Roman;sans-serif"/>
          <w:b w:val="false"/>
          <w:color w:val="000000"/>
          <w:sz w:val="22"/>
        </w:rPr>
        <w:t>.    </w:t>
      </w:r>
      <w:hyperlink w:anchor="iad6c00f09d2947a1bb263cc540ec5621_7">
        <w:r>
          <w:rPr>
            <w:rStyle w:val="InternetLink"/>
            <w:rFonts w:ascii="Times New Roman;sans-serif" w:hAnsi="Times New Roman;sans-serif"/>
            <w:b w:val="false"/>
            <w:strike w:val="false"/>
            <w:dstrike w:val="false"/>
            <w:color w:val="000000"/>
            <w:sz w:val="22"/>
            <w:u w:val="none"/>
            <w:effect w:val="none"/>
          </w:rPr>
          <w:t>82</w:t>
        </w:r>
      </w:hyperlink>
    </w:p>
    <w:p>
      <w:pPr>
        <w:pStyle w:val="TextBody"/>
        <w:bidi w:val="0"/>
        <w:spacing w:lineRule="auto" w:line="288" w:before="0" w:after="240"/>
        <w:ind w:left="0" w:right="0" w:firstLine="540"/>
        <w:jc w:val="left"/>
        <w:rPr/>
      </w:pPr>
      <w:r>
        <w:rPr>
          <w:rFonts w:ascii="Times New Roman;sans-serif" w:hAnsi="Times New Roman;sans-serif"/>
          <w:b w:val="false"/>
          <w:color w:val="000000"/>
          <w:sz w:val="22"/>
        </w:rPr>
        <w:t>Section 6.9</w:t>
      </w:r>
      <w:r>
        <w:rPr>
          <w:color w:val="000000"/>
        </w:rPr>
        <w:t>    </w:t>
      </w:r>
      <w:r>
        <w:rPr>
          <w:rFonts w:ascii="Times New Roman;sans-serif" w:hAnsi="Times New Roman;sans-serif"/>
          <w:b w:val="false"/>
          <w:color w:val="000000"/>
          <w:sz w:val="22"/>
          <w:u w:val="single"/>
        </w:rPr>
        <w:t>Information Concerning Collateral</w:t>
      </w:r>
      <w:r>
        <w:rPr>
          <w:color w:val="000000"/>
        </w:rPr>
        <w:t>    </w:t>
      </w:r>
      <w:hyperlink w:anchor="iad6c00f09d2947a1bb263cc540ec5621_7">
        <w:r>
          <w:rPr>
            <w:rStyle w:val="InternetLink"/>
            <w:rFonts w:ascii="Times New Roman;sans-serif" w:hAnsi="Times New Roman;sans-serif"/>
            <w:b w:val="false"/>
            <w:strike w:val="false"/>
            <w:dstrike w:val="false"/>
            <w:color w:val="000000"/>
            <w:sz w:val="22"/>
            <w:u w:val="none"/>
            <w:effect w:val="none"/>
          </w:rPr>
          <w:t>82</w:t>
        </w:r>
      </w:hyperlink>
    </w:p>
    <w:p>
      <w:pPr>
        <w:pStyle w:val="TextBody"/>
        <w:bidi w:val="0"/>
        <w:spacing w:lineRule="auto" w:line="288" w:before="0" w:after="240"/>
        <w:ind w:left="0" w:right="0" w:firstLine="540"/>
        <w:jc w:val="left"/>
        <w:rPr/>
      </w:pPr>
      <w:r>
        <w:rPr>
          <w:rFonts w:ascii="Times New Roman;sans-serif" w:hAnsi="Times New Roman;sans-serif"/>
          <w:b w:val="false"/>
          <w:color w:val="000000"/>
          <w:sz w:val="22"/>
        </w:rPr>
        <w:t>Section 6.10</w:t>
      </w:r>
      <w:r>
        <w:rPr>
          <w:color w:val="000000"/>
        </w:rPr>
        <w:t>    </w:t>
      </w:r>
      <w:r>
        <w:rPr>
          <w:rFonts w:ascii="Times New Roman;sans-serif" w:hAnsi="Times New Roman;sans-serif"/>
          <w:b w:val="false"/>
          <w:color w:val="000000"/>
          <w:sz w:val="22"/>
          <w:u w:val="single"/>
        </w:rPr>
        <w:t>Insurance</w:t>
      </w:r>
      <w:r>
        <w:rPr>
          <w:rFonts w:ascii="Times New Roman;sans-serif" w:hAnsi="Times New Roman;sans-serif"/>
          <w:b w:val="false"/>
          <w:color w:val="000000"/>
          <w:sz w:val="22"/>
        </w:rPr>
        <w:t>.    </w:t>
      </w:r>
      <w:hyperlink w:anchor="iad6c00f09d2947a1bb263cc540ec5621_7">
        <w:r>
          <w:rPr>
            <w:rStyle w:val="InternetLink"/>
            <w:rFonts w:ascii="Times New Roman;sans-serif" w:hAnsi="Times New Roman;sans-serif"/>
            <w:b w:val="false"/>
            <w:strike w:val="false"/>
            <w:dstrike w:val="false"/>
            <w:color w:val="000000"/>
            <w:sz w:val="22"/>
            <w:u w:val="none"/>
            <w:effect w:val="none"/>
          </w:rPr>
          <w:t>83</w:t>
        </w:r>
      </w:hyperlink>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60655"/>
                <wp:effectExtent l="0" t="0" r="0" b="0"/>
                <wp:wrapNone/>
                <wp:docPr id="51" name="Frame5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iii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iii -</w:t>
                      </w:r>
                    </w:p>
                  </w:txbxContent>
                </v:textbox>
                <w10:wrap type="none"/>
              </v:rect>
            </w:pict>
          </mc:Fallback>
        </mc:AlternateContent>
      </w:r>
    </w:p>
    <w:p>
      <w:pPr>
        <w:pStyle w:val="TextBody"/>
        <w:bidi w:val="0"/>
        <w:spacing w:lineRule="auto" w:line="288" w:before="0" w:after="240"/>
        <w:ind w:left="0" w:right="0" w:firstLine="540"/>
        <w:jc w:val="left"/>
        <w:rPr/>
      </w:pPr>
      <w:r>
        <w:rPr>
          <w:rFonts w:ascii="Times New Roman;sans-serif" w:hAnsi="Times New Roman;sans-serif"/>
          <w:b w:val="false"/>
          <w:color w:val="000000"/>
          <w:sz w:val="22"/>
        </w:rPr>
        <w:t>Section 6.11</w:t>
      </w:r>
      <w:r>
        <w:rPr>
          <w:color w:val="000000"/>
        </w:rPr>
        <w:t>    </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Contracts</w:t>
      </w:r>
      <w:r>
        <w:rPr>
          <w:color w:val="000000"/>
        </w:rPr>
        <w:t>    </w:t>
      </w:r>
      <w:hyperlink w:anchor="iad6c00f09d2947a1bb263cc540ec5621_7">
        <w:r>
          <w:rPr>
            <w:rStyle w:val="InternetLink"/>
            <w:rFonts w:ascii="Times New Roman;sans-serif" w:hAnsi="Times New Roman;sans-serif"/>
            <w:b w:val="false"/>
            <w:strike w:val="false"/>
            <w:dstrike w:val="false"/>
            <w:color w:val="000000"/>
            <w:sz w:val="22"/>
            <w:u w:val="none"/>
            <w:effect w:val="none"/>
          </w:rPr>
          <w:t>84</w:t>
        </w:r>
      </w:hyperlink>
    </w:p>
    <w:p>
      <w:pPr>
        <w:pStyle w:val="TextBody"/>
        <w:bidi w:val="0"/>
        <w:spacing w:lineRule="auto" w:line="288" w:before="0" w:after="240"/>
        <w:ind w:left="0" w:right="0" w:firstLine="540"/>
        <w:jc w:val="left"/>
        <w:rPr/>
      </w:pPr>
      <w:r>
        <w:rPr>
          <w:rFonts w:ascii="Times New Roman;sans-serif" w:hAnsi="Times New Roman;sans-serif"/>
          <w:b w:val="false"/>
          <w:color w:val="000000"/>
          <w:sz w:val="22"/>
        </w:rPr>
        <w:t>Section 6.12</w:t>
      </w:r>
      <w:r>
        <w:rPr>
          <w:color w:val="000000"/>
        </w:rPr>
        <w:t>    </w:t>
      </w:r>
      <w:r>
        <w:rPr>
          <w:rFonts w:ascii="Times New Roman;sans-serif" w:hAnsi="Times New Roman;sans-serif"/>
          <w:b w:val="false"/>
          <w:color w:val="000000"/>
          <w:sz w:val="22"/>
          <w:u w:val="single"/>
        </w:rPr>
        <w:t>Covenant to Guarantee and Provide Security</w:t>
      </w:r>
      <w:r>
        <w:rPr>
          <w:rFonts w:ascii="Times New Roman;sans-serif" w:hAnsi="Times New Roman;sans-serif"/>
          <w:b w:val="false"/>
          <w:color w:val="000000"/>
          <w:sz w:val="22"/>
        </w:rPr>
        <w:t>.    </w:t>
      </w:r>
      <w:hyperlink w:anchor="iad6c00f09d2947a1bb263cc540ec5621_7">
        <w:r>
          <w:rPr>
            <w:rStyle w:val="InternetLink"/>
            <w:rFonts w:ascii="Times New Roman;sans-serif" w:hAnsi="Times New Roman;sans-serif"/>
            <w:b w:val="false"/>
            <w:strike w:val="false"/>
            <w:dstrike w:val="false"/>
            <w:color w:val="000000"/>
            <w:sz w:val="22"/>
            <w:u w:val="none"/>
            <w:effect w:val="none"/>
          </w:rPr>
          <w:t>84</w:t>
        </w:r>
      </w:hyperlink>
    </w:p>
    <w:p>
      <w:pPr>
        <w:pStyle w:val="TextBody"/>
        <w:bidi w:val="0"/>
        <w:spacing w:lineRule="auto" w:line="288" w:before="0" w:after="240"/>
        <w:ind w:left="0" w:right="0" w:firstLine="540"/>
        <w:jc w:val="left"/>
        <w:rPr/>
      </w:pPr>
      <w:r>
        <w:rPr>
          <w:rFonts w:ascii="Times New Roman;sans-serif" w:hAnsi="Times New Roman;sans-serif"/>
          <w:b w:val="false"/>
          <w:color w:val="000000"/>
          <w:sz w:val="22"/>
        </w:rPr>
        <w:t>Section 6.13</w:t>
      </w:r>
      <w:r>
        <w:rPr>
          <w:color w:val="000000"/>
        </w:rPr>
        <w:t>    </w:t>
      </w:r>
      <w:r>
        <w:rPr>
          <w:rFonts w:ascii="Times New Roman;sans-serif" w:hAnsi="Times New Roman;sans-serif"/>
          <w:b w:val="false"/>
          <w:color w:val="000000"/>
          <w:sz w:val="22"/>
          <w:u w:val="single"/>
        </w:rPr>
        <w:t>Environmental Matters</w:t>
      </w:r>
      <w:r>
        <w:rPr>
          <w:color w:val="000000"/>
        </w:rPr>
        <w:t>    </w:t>
      </w:r>
      <w:hyperlink w:anchor="iad6c00f09d2947a1bb263cc540ec5621_7">
        <w:r>
          <w:rPr>
            <w:rStyle w:val="InternetLink"/>
            <w:rFonts w:ascii="Times New Roman;sans-serif" w:hAnsi="Times New Roman;sans-serif"/>
            <w:b w:val="false"/>
            <w:strike w:val="false"/>
            <w:dstrike w:val="false"/>
            <w:color w:val="000000"/>
            <w:sz w:val="22"/>
            <w:u w:val="none"/>
            <w:effect w:val="none"/>
          </w:rPr>
          <w:t>86</w:t>
        </w:r>
      </w:hyperlink>
    </w:p>
    <w:p>
      <w:pPr>
        <w:pStyle w:val="TextBody"/>
        <w:bidi w:val="0"/>
        <w:spacing w:lineRule="auto" w:line="288" w:before="0" w:after="240"/>
        <w:ind w:left="0" w:right="0" w:firstLine="540"/>
        <w:jc w:val="left"/>
        <w:rPr/>
      </w:pPr>
      <w:r>
        <w:rPr>
          <w:rFonts w:ascii="Times New Roman;sans-serif" w:hAnsi="Times New Roman;sans-serif"/>
          <w:b w:val="false"/>
          <w:color w:val="000000"/>
          <w:sz w:val="22"/>
        </w:rPr>
        <w:t>Section 6.14</w:t>
      </w:r>
      <w:r>
        <w:rPr>
          <w:color w:val="000000"/>
        </w:rPr>
        <w:t>    </w:t>
      </w:r>
      <w:r>
        <w:rPr>
          <w:rFonts w:ascii="Times New Roman;sans-serif" w:hAnsi="Times New Roman;sans-serif"/>
          <w:b w:val="false"/>
          <w:color w:val="000000"/>
          <w:sz w:val="22"/>
          <w:u w:val="single"/>
        </w:rPr>
        <w:t>Post-Closing Covenant</w:t>
      </w:r>
      <w:r>
        <w:rPr>
          <w:color w:val="000000"/>
        </w:rPr>
        <w:t>    </w:t>
      </w:r>
      <w:hyperlink w:anchor="iad6c00f09d2947a1bb263cc540ec5621_7">
        <w:r>
          <w:rPr>
            <w:rStyle w:val="InternetLink"/>
            <w:rFonts w:ascii="Times New Roman;sans-serif" w:hAnsi="Times New Roman;sans-serif"/>
            <w:b w:val="false"/>
            <w:strike w:val="false"/>
            <w:dstrike w:val="false"/>
            <w:color w:val="000000"/>
            <w:sz w:val="22"/>
            <w:u w:val="none"/>
            <w:effect w:val="none"/>
          </w:rPr>
          <w:t>87</w:t>
        </w:r>
      </w:hyperlink>
    </w:p>
    <w:p>
      <w:pPr>
        <w:pStyle w:val="TextBody"/>
        <w:bidi w:val="0"/>
        <w:spacing w:lineRule="auto" w:line="288" w:before="0" w:after="240"/>
        <w:jc w:val="left"/>
        <w:rPr/>
      </w:pPr>
      <w:r>
        <w:rPr>
          <w:rFonts w:ascii="Times New Roman;sans-serif" w:hAnsi="Times New Roman;sans-serif"/>
          <w:b w:val="false"/>
          <w:color w:val="000000"/>
          <w:sz w:val="22"/>
        </w:rPr>
        <w:t>ARTICLE 7 NEGATIVE COVENANTS    </w:t>
      </w:r>
      <w:hyperlink w:anchor="iad6c00f09d2947a1bb263cc540ec5621_7">
        <w:r>
          <w:rPr>
            <w:rStyle w:val="InternetLink"/>
            <w:rFonts w:ascii="Times New Roman;sans-serif" w:hAnsi="Times New Roman;sans-serif"/>
            <w:b w:val="false"/>
            <w:strike w:val="false"/>
            <w:dstrike w:val="false"/>
            <w:color w:val="000000"/>
            <w:sz w:val="22"/>
            <w:u w:val="none"/>
            <w:effect w:val="none"/>
          </w:rPr>
          <w:t>87</w:t>
        </w:r>
      </w:hyperlink>
    </w:p>
    <w:p>
      <w:pPr>
        <w:pStyle w:val="TextBody"/>
        <w:bidi w:val="0"/>
        <w:spacing w:lineRule="auto" w:line="288" w:before="0" w:after="240"/>
        <w:ind w:left="0" w:right="0" w:firstLine="540"/>
        <w:jc w:val="left"/>
        <w:rPr/>
      </w:pPr>
      <w:r>
        <w:rPr>
          <w:rFonts w:ascii="Times New Roman;sans-serif" w:hAnsi="Times New Roman;sans-serif"/>
          <w:b w:val="false"/>
          <w:color w:val="000000"/>
          <w:sz w:val="22"/>
        </w:rPr>
        <w:t>Section 7.1</w:t>
      </w:r>
      <w:r>
        <w:rPr>
          <w:color w:val="000000"/>
        </w:rPr>
        <w:t>    </w:t>
      </w:r>
      <w:r>
        <w:rPr>
          <w:rFonts w:ascii="Times New Roman;sans-serif" w:hAnsi="Times New Roman;sans-serif"/>
          <w:b w:val="false"/>
          <w:color w:val="000000"/>
          <w:sz w:val="22"/>
          <w:u w:val="single"/>
        </w:rPr>
        <w:t>Indebtedness; Equity Interests</w:t>
      </w:r>
      <w:r>
        <w:rPr>
          <w:rFonts w:ascii="Times New Roman;sans-serif" w:hAnsi="Times New Roman;sans-serif"/>
          <w:b w:val="false"/>
          <w:color w:val="000000"/>
          <w:sz w:val="22"/>
        </w:rPr>
        <w:t>.    </w:t>
      </w:r>
      <w:hyperlink w:anchor="iad6c00f09d2947a1bb263cc540ec5621_7">
        <w:r>
          <w:rPr>
            <w:rStyle w:val="InternetLink"/>
            <w:rFonts w:ascii="Times New Roman;sans-serif" w:hAnsi="Times New Roman;sans-serif"/>
            <w:b w:val="false"/>
            <w:strike w:val="false"/>
            <w:dstrike w:val="false"/>
            <w:color w:val="000000"/>
            <w:sz w:val="22"/>
            <w:u w:val="none"/>
            <w:effect w:val="none"/>
          </w:rPr>
          <w:t>87</w:t>
        </w:r>
      </w:hyperlink>
    </w:p>
    <w:p>
      <w:pPr>
        <w:pStyle w:val="TextBody"/>
        <w:bidi w:val="0"/>
        <w:spacing w:lineRule="auto" w:line="288" w:before="0" w:after="240"/>
        <w:ind w:left="0" w:right="0" w:firstLine="540"/>
        <w:jc w:val="left"/>
        <w:rPr/>
      </w:pPr>
      <w:r>
        <w:rPr>
          <w:rFonts w:ascii="Times New Roman;sans-serif" w:hAnsi="Times New Roman;sans-serif"/>
          <w:b w:val="false"/>
          <w:color w:val="000000"/>
          <w:sz w:val="22"/>
        </w:rPr>
        <w:t>Section 7.2</w:t>
      </w:r>
      <w:r>
        <w:rPr>
          <w:color w:val="000000"/>
        </w:rPr>
        <w:t>    </w:t>
      </w:r>
      <w:r>
        <w:rPr>
          <w:rFonts w:ascii="Times New Roman;sans-serif" w:hAnsi="Times New Roman;sans-serif"/>
          <w:b w:val="false"/>
          <w:color w:val="000000"/>
          <w:sz w:val="22"/>
          <w:u w:val="single"/>
        </w:rPr>
        <w:t>Liens</w:t>
      </w:r>
      <w:r>
        <w:rPr>
          <w:color w:val="000000"/>
        </w:rPr>
        <w:t>    </w:t>
      </w:r>
      <w:hyperlink w:anchor="iad6c00f09d2947a1bb263cc540ec5621_7">
        <w:r>
          <w:rPr>
            <w:rStyle w:val="InternetLink"/>
            <w:rFonts w:ascii="Times New Roman;sans-serif" w:hAnsi="Times New Roman;sans-serif"/>
            <w:b w:val="false"/>
            <w:strike w:val="false"/>
            <w:dstrike w:val="false"/>
            <w:color w:val="000000"/>
            <w:sz w:val="22"/>
            <w:u w:val="none"/>
            <w:effect w:val="none"/>
          </w:rPr>
          <w:t>89</w:t>
        </w:r>
      </w:hyperlink>
    </w:p>
    <w:p>
      <w:pPr>
        <w:pStyle w:val="TextBody"/>
        <w:bidi w:val="0"/>
        <w:spacing w:lineRule="auto" w:line="288" w:before="0" w:after="240"/>
        <w:ind w:left="0" w:right="0" w:firstLine="540"/>
        <w:jc w:val="left"/>
        <w:rPr/>
      </w:pPr>
      <w:r>
        <w:rPr>
          <w:rFonts w:ascii="Times New Roman;sans-serif" w:hAnsi="Times New Roman;sans-serif"/>
          <w:b w:val="false"/>
          <w:color w:val="000000"/>
          <w:sz w:val="22"/>
        </w:rPr>
        <w:t>Section 7.3</w:t>
      </w:r>
      <w:r>
        <w:rPr>
          <w:color w:val="000000"/>
        </w:rPr>
        <w:t>    </w:t>
      </w:r>
      <w:r>
        <w:rPr>
          <w:rFonts w:ascii="Times New Roman;sans-serif" w:hAnsi="Times New Roman;sans-serif"/>
          <w:b w:val="false"/>
          <w:color w:val="000000"/>
          <w:sz w:val="22"/>
          <w:u w:val="single"/>
        </w:rPr>
        <w:t>Fundamental Changes; Business; Fiscal Year</w:t>
      </w:r>
      <w:r>
        <w:rPr>
          <w:rFonts w:ascii="Times New Roman;sans-serif" w:hAnsi="Times New Roman;sans-serif"/>
          <w:b w:val="false"/>
          <w:color w:val="000000"/>
          <w:sz w:val="22"/>
        </w:rPr>
        <w:t>.    </w:t>
      </w:r>
      <w:hyperlink w:anchor="iad6c00f09d2947a1bb263cc540ec5621_7">
        <w:r>
          <w:rPr>
            <w:rStyle w:val="InternetLink"/>
            <w:rFonts w:ascii="Times New Roman;sans-serif" w:hAnsi="Times New Roman;sans-serif"/>
            <w:b w:val="false"/>
            <w:strike w:val="false"/>
            <w:dstrike w:val="false"/>
            <w:color w:val="000000"/>
            <w:sz w:val="22"/>
            <w:u w:val="none"/>
            <w:effect w:val="none"/>
          </w:rPr>
          <w:t>90</w:t>
        </w:r>
      </w:hyperlink>
    </w:p>
    <w:p>
      <w:pPr>
        <w:pStyle w:val="TextBody"/>
        <w:bidi w:val="0"/>
        <w:spacing w:lineRule="auto" w:line="288" w:before="0" w:after="240"/>
        <w:ind w:left="0" w:right="0" w:firstLine="540"/>
        <w:jc w:val="left"/>
        <w:rPr/>
      </w:pPr>
      <w:r>
        <w:rPr>
          <w:rFonts w:ascii="Times New Roman;sans-serif" w:hAnsi="Times New Roman;sans-serif"/>
          <w:b w:val="false"/>
          <w:color w:val="000000"/>
          <w:sz w:val="22"/>
        </w:rPr>
        <w:t>Section 7.4</w:t>
      </w:r>
      <w:r>
        <w:rPr>
          <w:color w:val="000000"/>
        </w:rPr>
        <w:t>    </w:t>
      </w:r>
      <w:r>
        <w:rPr>
          <w:rFonts w:ascii="Times New Roman;sans-serif" w:hAnsi="Times New Roman;sans-serif"/>
          <w:b w:val="false"/>
          <w:color w:val="000000"/>
          <w:sz w:val="22"/>
        </w:rPr>
        <w:t>Investments, Loans, Advances, Guarantees and Acquisitions    </w:t>
      </w:r>
      <w:hyperlink w:anchor="iad6c00f09d2947a1bb263cc540ec5621_7">
        <w:r>
          <w:rPr>
            <w:rStyle w:val="InternetLink"/>
            <w:rFonts w:ascii="Times New Roman;sans-serif" w:hAnsi="Times New Roman;sans-serif"/>
            <w:b w:val="false"/>
            <w:strike w:val="false"/>
            <w:dstrike w:val="false"/>
            <w:color w:val="000000"/>
            <w:sz w:val="22"/>
            <w:u w:val="none"/>
            <w:effect w:val="none"/>
          </w:rPr>
          <w:t>91</w:t>
        </w:r>
      </w:hyperlink>
    </w:p>
    <w:p>
      <w:pPr>
        <w:pStyle w:val="TextBody"/>
        <w:bidi w:val="0"/>
        <w:spacing w:lineRule="auto" w:line="288" w:before="0" w:after="240"/>
        <w:ind w:left="0" w:right="0" w:firstLine="540"/>
        <w:jc w:val="left"/>
        <w:rPr/>
      </w:pPr>
      <w:r>
        <w:rPr>
          <w:rFonts w:ascii="Times New Roman;sans-serif" w:hAnsi="Times New Roman;sans-serif"/>
          <w:b w:val="false"/>
          <w:color w:val="000000"/>
          <w:sz w:val="22"/>
        </w:rPr>
        <w:t>Section 7.5</w:t>
      </w:r>
      <w:r>
        <w:rPr>
          <w:color w:val="000000"/>
        </w:rPr>
        <w:t>    </w:t>
      </w:r>
      <w:r>
        <w:rPr>
          <w:rFonts w:ascii="Times New Roman;sans-serif" w:hAnsi="Times New Roman;sans-serif"/>
          <w:b w:val="false"/>
          <w:color w:val="000000"/>
          <w:sz w:val="22"/>
          <w:u w:val="single"/>
        </w:rPr>
        <w:t>Dispositions</w:t>
      </w:r>
      <w:r>
        <w:rPr>
          <w:color w:val="000000"/>
        </w:rPr>
        <w:t>    </w:t>
      </w:r>
      <w:hyperlink w:anchor="iad6c00f09d2947a1bb263cc540ec5621_7">
        <w:r>
          <w:rPr>
            <w:rStyle w:val="InternetLink"/>
            <w:rFonts w:ascii="Times New Roman;sans-serif" w:hAnsi="Times New Roman;sans-serif"/>
            <w:b w:val="false"/>
            <w:strike w:val="false"/>
            <w:dstrike w:val="false"/>
            <w:color w:val="000000"/>
            <w:sz w:val="22"/>
            <w:u w:val="none"/>
            <w:effect w:val="none"/>
          </w:rPr>
          <w:t>93</w:t>
        </w:r>
      </w:hyperlink>
    </w:p>
    <w:p>
      <w:pPr>
        <w:pStyle w:val="TextBody"/>
        <w:bidi w:val="0"/>
        <w:spacing w:lineRule="auto" w:line="288" w:before="0" w:after="240"/>
        <w:ind w:left="0" w:right="0" w:firstLine="540"/>
        <w:jc w:val="left"/>
        <w:rPr/>
      </w:pPr>
      <w:r>
        <w:rPr>
          <w:rFonts w:ascii="Times New Roman;sans-serif" w:hAnsi="Times New Roman;sans-serif"/>
          <w:b w:val="false"/>
          <w:color w:val="000000"/>
          <w:sz w:val="22"/>
        </w:rPr>
        <w:t>Section 7.6</w:t>
      </w:r>
      <w:r>
        <w:rPr>
          <w:color w:val="000000"/>
        </w:rPr>
        <w:t>    </w:t>
      </w:r>
      <w:r>
        <w:rPr>
          <w:rFonts w:ascii="Times New Roman;sans-serif" w:hAnsi="Times New Roman;sans-serif"/>
          <w:b w:val="false"/>
          <w:color w:val="000000"/>
          <w:sz w:val="22"/>
          <w:u w:val="single"/>
        </w:rPr>
        <w:t>Sale and Lease Back Transactions</w:t>
      </w:r>
      <w:r>
        <w:rPr>
          <w:color w:val="000000"/>
        </w:rPr>
        <w:t>    </w:t>
      </w:r>
      <w:hyperlink w:anchor="iad6c00f09d2947a1bb263cc540ec5621_7">
        <w:r>
          <w:rPr>
            <w:rStyle w:val="InternetLink"/>
            <w:rFonts w:ascii="Times New Roman;sans-serif" w:hAnsi="Times New Roman;sans-serif"/>
            <w:b w:val="false"/>
            <w:strike w:val="false"/>
            <w:dstrike w:val="false"/>
            <w:color w:val="000000"/>
            <w:sz w:val="22"/>
            <w:u w:val="none"/>
            <w:effect w:val="none"/>
          </w:rPr>
          <w:t>94</w:t>
        </w:r>
      </w:hyperlink>
    </w:p>
    <w:p>
      <w:pPr>
        <w:pStyle w:val="TextBody"/>
        <w:bidi w:val="0"/>
        <w:spacing w:lineRule="auto" w:line="288" w:before="0" w:after="240"/>
        <w:ind w:left="0" w:right="0" w:firstLine="540"/>
        <w:jc w:val="left"/>
        <w:rPr/>
      </w:pPr>
      <w:r>
        <w:rPr>
          <w:rFonts w:ascii="Times New Roman;sans-serif" w:hAnsi="Times New Roman;sans-serif"/>
          <w:b w:val="false"/>
          <w:color w:val="000000"/>
          <w:sz w:val="22"/>
        </w:rPr>
        <w:t>Section 7.7</w:t>
      </w:r>
      <w:r>
        <w:rPr>
          <w:color w:val="000000"/>
        </w:rPr>
        <w:t>    </w:t>
      </w:r>
      <w:r>
        <w:rPr>
          <w:rFonts w:ascii="Times New Roman;sans-serif" w:hAnsi="Times New Roman;sans-serif"/>
          <w:b w:val="false"/>
          <w:color w:val="000000"/>
          <w:sz w:val="22"/>
          <w:u w:val="single"/>
        </w:rPr>
        <w:t>[Reserved]</w:t>
      </w:r>
      <w:r>
        <w:rPr>
          <w:color w:val="000000"/>
        </w:rPr>
        <w:t>    </w:t>
      </w:r>
      <w:hyperlink w:anchor="iad6c00f09d2947a1bb263cc540ec5621_7">
        <w:r>
          <w:rPr>
            <w:rStyle w:val="InternetLink"/>
            <w:rFonts w:ascii="Times New Roman;sans-serif" w:hAnsi="Times New Roman;sans-serif"/>
            <w:b w:val="false"/>
            <w:strike w:val="false"/>
            <w:dstrike w:val="false"/>
            <w:color w:val="000000"/>
            <w:sz w:val="22"/>
            <w:u w:val="none"/>
            <w:effect w:val="none"/>
          </w:rPr>
          <w:t>94</w:t>
        </w:r>
      </w:hyperlink>
    </w:p>
    <w:p>
      <w:pPr>
        <w:pStyle w:val="TextBody"/>
        <w:bidi w:val="0"/>
        <w:spacing w:lineRule="auto" w:line="288" w:before="0" w:after="240"/>
        <w:ind w:left="0" w:right="0" w:firstLine="540"/>
        <w:jc w:val="left"/>
        <w:rPr/>
      </w:pPr>
      <w:r>
        <w:rPr>
          <w:rFonts w:ascii="Times New Roman;sans-serif" w:hAnsi="Times New Roman;sans-serif"/>
          <w:b w:val="false"/>
          <w:color w:val="000000"/>
          <w:sz w:val="22"/>
        </w:rPr>
        <w:t>Section 7.8</w:t>
      </w:r>
      <w:r>
        <w:rPr>
          <w:color w:val="000000"/>
        </w:rPr>
        <w:t>    </w:t>
      </w:r>
      <w:r>
        <w:rPr>
          <w:rFonts w:ascii="Times New Roman;sans-serif" w:hAnsi="Times New Roman;sans-serif"/>
          <w:b w:val="false"/>
          <w:color w:val="000000"/>
          <w:sz w:val="22"/>
          <w:u w:val="single"/>
        </w:rPr>
        <w:t>Restricted Payments</w:t>
      </w:r>
      <w:r>
        <w:rPr>
          <w:color w:val="000000"/>
        </w:rPr>
        <w:t>    </w:t>
      </w:r>
      <w:hyperlink w:anchor="iad6c00f09d2947a1bb263cc540ec5621_7">
        <w:r>
          <w:rPr>
            <w:rStyle w:val="InternetLink"/>
            <w:rFonts w:ascii="Times New Roman;sans-serif" w:hAnsi="Times New Roman;sans-serif"/>
            <w:b w:val="false"/>
            <w:strike w:val="false"/>
            <w:dstrike w:val="false"/>
            <w:color w:val="000000"/>
            <w:sz w:val="22"/>
            <w:u w:val="none"/>
            <w:effect w:val="none"/>
          </w:rPr>
          <w:t>94</w:t>
        </w:r>
      </w:hyperlink>
    </w:p>
    <w:p>
      <w:pPr>
        <w:pStyle w:val="TextBody"/>
        <w:bidi w:val="0"/>
        <w:spacing w:lineRule="auto" w:line="288" w:before="0" w:after="240"/>
        <w:ind w:left="0" w:right="0" w:firstLine="540"/>
        <w:jc w:val="left"/>
        <w:rPr/>
      </w:pPr>
      <w:r>
        <w:rPr>
          <w:rFonts w:ascii="Times New Roman;sans-serif" w:hAnsi="Times New Roman;sans-serif"/>
          <w:b w:val="false"/>
          <w:color w:val="000000"/>
          <w:sz w:val="22"/>
        </w:rPr>
        <w:t>Section 7.9</w:t>
      </w:r>
      <w:r>
        <w:rPr>
          <w:color w:val="000000"/>
        </w:rPr>
        <w:t>    </w:t>
      </w:r>
      <w:r>
        <w:rPr>
          <w:rFonts w:ascii="Times New Roman;sans-serif" w:hAnsi="Times New Roman;sans-serif"/>
          <w:b w:val="false"/>
          <w:color w:val="000000"/>
          <w:sz w:val="22"/>
          <w:u w:val="single"/>
        </w:rPr>
        <w:t>Transactions with Affiliates</w:t>
      </w:r>
      <w:r>
        <w:rPr>
          <w:color w:val="000000"/>
        </w:rPr>
        <w:t>    </w:t>
      </w:r>
      <w:hyperlink w:anchor="iad6c00f09d2947a1bb263cc540ec5621_7">
        <w:r>
          <w:rPr>
            <w:rStyle w:val="InternetLink"/>
            <w:rFonts w:ascii="Times New Roman;sans-serif" w:hAnsi="Times New Roman;sans-serif"/>
            <w:b w:val="false"/>
            <w:strike w:val="false"/>
            <w:dstrike w:val="false"/>
            <w:color w:val="000000"/>
            <w:sz w:val="22"/>
            <w:u w:val="none"/>
            <w:effect w:val="none"/>
          </w:rPr>
          <w:t>95</w:t>
        </w:r>
      </w:hyperlink>
    </w:p>
    <w:p>
      <w:pPr>
        <w:pStyle w:val="TextBody"/>
        <w:bidi w:val="0"/>
        <w:spacing w:lineRule="auto" w:line="288" w:before="0" w:after="240"/>
        <w:ind w:left="0" w:right="0" w:firstLine="540"/>
        <w:jc w:val="left"/>
        <w:rPr/>
      </w:pPr>
      <w:r>
        <w:rPr>
          <w:rFonts w:ascii="Times New Roman;sans-serif" w:hAnsi="Times New Roman;sans-serif"/>
          <w:b w:val="false"/>
          <w:color w:val="000000"/>
          <w:sz w:val="22"/>
        </w:rPr>
        <w:t>Section 7.10</w:t>
      </w:r>
      <w:r>
        <w:rPr>
          <w:color w:val="000000"/>
        </w:rPr>
        <w:t>    </w:t>
      </w:r>
      <w:r>
        <w:rPr>
          <w:rFonts w:ascii="Times New Roman;sans-serif" w:hAnsi="Times New Roman;sans-serif"/>
          <w:b w:val="false"/>
          <w:color w:val="000000"/>
          <w:sz w:val="22"/>
          <w:u w:val="single"/>
        </w:rPr>
        <w:t>Restrictive Agreements</w:t>
      </w:r>
      <w:r>
        <w:rPr>
          <w:color w:val="000000"/>
        </w:rPr>
        <w:t>    </w:t>
      </w:r>
      <w:hyperlink w:anchor="iad6c00f09d2947a1bb263cc540ec5621_7">
        <w:r>
          <w:rPr>
            <w:rStyle w:val="InternetLink"/>
            <w:rFonts w:ascii="Times New Roman;sans-serif" w:hAnsi="Times New Roman;sans-serif"/>
            <w:b w:val="false"/>
            <w:strike w:val="false"/>
            <w:dstrike w:val="false"/>
            <w:color w:val="000000"/>
            <w:sz w:val="22"/>
            <w:u w:val="none"/>
            <w:effect w:val="none"/>
          </w:rPr>
          <w:t>95</w:t>
        </w:r>
      </w:hyperlink>
    </w:p>
    <w:p>
      <w:pPr>
        <w:pStyle w:val="TextBody"/>
        <w:bidi w:val="0"/>
        <w:spacing w:lineRule="auto" w:line="288" w:before="0" w:after="240"/>
        <w:ind w:left="0" w:right="0" w:firstLine="540"/>
        <w:jc w:val="left"/>
        <w:rPr/>
      </w:pPr>
      <w:r>
        <w:rPr>
          <w:rFonts w:ascii="Times New Roman;sans-serif" w:hAnsi="Times New Roman;sans-serif"/>
          <w:b w:val="false"/>
          <w:color w:val="000000"/>
          <w:sz w:val="22"/>
        </w:rPr>
        <w:t>Section 7.11</w:t>
      </w:r>
      <w:r>
        <w:rPr>
          <w:color w:val="000000"/>
        </w:rPr>
        <w:t>    </w:t>
      </w:r>
      <w:r>
        <w:rPr>
          <w:rFonts w:ascii="Times New Roman;sans-serif" w:hAnsi="Times New Roman;sans-serif"/>
          <w:b w:val="false"/>
          <w:color w:val="000000"/>
          <w:sz w:val="22"/>
          <w:u w:val="single"/>
        </w:rPr>
        <w:t>Amendment of Material Documents</w:t>
      </w:r>
      <w:r>
        <w:rPr>
          <w:color w:val="000000"/>
        </w:rPr>
        <w:t>    </w:t>
      </w:r>
      <w:hyperlink w:anchor="iad6c00f09d2947a1bb263cc540ec5621_7">
        <w:r>
          <w:rPr>
            <w:rStyle w:val="InternetLink"/>
            <w:rFonts w:ascii="Times New Roman;sans-serif" w:hAnsi="Times New Roman;sans-serif"/>
            <w:b w:val="false"/>
            <w:strike w:val="false"/>
            <w:dstrike w:val="false"/>
            <w:color w:val="000000"/>
            <w:sz w:val="22"/>
            <w:u w:val="none"/>
            <w:effect w:val="none"/>
          </w:rPr>
          <w:t>96</w:t>
        </w:r>
      </w:hyperlink>
    </w:p>
    <w:p>
      <w:pPr>
        <w:pStyle w:val="TextBody"/>
        <w:bidi w:val="0"/>
        <w:spacing w:lineRule="auto" w:line="288" w:before="0" w:after="240"/>
        <w:ind w:left="0" w:right="0" w:firstLine="540"/>
        <w:jc w:val="left"/>
        <w:rPr/>
      </w:pPr>
      <w:r>
        <w:rPr>
          <w:rFonts w:ascii="Times New Roman;sans-serif" w:hAnsi="Times New Roman;sans-serif"/>
          <w:b w:val="false"/>
          <w:color w:val="000000"/>
          <w:sz w:val="22"/>
        </w:rPr>
        <w:t>Section 7.12</w:t>
      </w:r>
      <w:r>
        <w:rPr>
          <w:color w:val="000000"/>
        </w:rPr>
        <w:t>    </w:t>
      </w:r>
      <w:r>
        <w:rPr>
          <w:rFonts w:ascii="Times New Roman;sans-serif" w:hAnsi="Times New Roman;sans-serif"/>
          <w:b w:val="false"/>
          <w:color w:val="000000"/>
          <w:sz w:val="22"/>
          <w:u w:val="single"/>
        </w:rPr>
        <w:t>Financial Covenants</w:t>
      </w:r>
      <w:r>
        <w:rPr>
          <w:color w:val="000000"/>
        </w:rPr>
        <w:t>    </w:t>
      </w:r>
      <w:hyperlink w:anchor="iad6c00f09d2947a1bb263cc540ec5621_7">
        <w:r>
          <w:rPr>
            <w:rStyle w:val="InternetLink"/>
            <w:rFonts w:ascii="Times New Roman;sans-serif" w:hAnsi="Times New Roman;sans-serif"/>
            <w:b w:val="false"/>
            <w:strike w:val="false"/>
            <w:dstrike w:val="false"/>
            <w:color w:val="000000"/>
            <w:sz w:val="22"/>
            <w:u w:val="none"/>
            <w:effect w:val="none"/>
          </w:rPr>
          <w:t>96</w:t>
        </w:r>
      </w:hyperlink>
    </w:p>
    <w:p>
      <w:pPr>
        <w:pStyle w:val="TextBody"/>
        <w:bidi w:val="0"/>
        <w:spacing w:lineRule="auto" w:line="288" w:before="0" w:after="240"/>
        <w:ind w:left="0" w:right="0" w:firstLine="540"/>
        <w:jc w:val="left"/>
        <w:rPr/>
      </w:pPr>
      <w:r>
        <w:rPr>
          <w:rFonts w:ascii="Times New Roman;sans-serif" w:hAnsi="Times New Roman;sans-serif"/>
          <w:b w:val="false"/>
          <w:color w:val="000000"/>
          <w:sz w:val="22"/>
        </w:rPr>
        <w:t>Section 7.13</w:t>
      </w:r>
      <w:r>
        <w:rPr>
          <w:color w:val="000000"/>
        </w:rPr>
        <w:t>    </w:t>
      </w:r>
      <w:r>
        <w:rPr>
          <w:rFonts w:ascii="Times New Roman;sans-serif" w:hAnsi="Times New Roman;sans-serif"/>
          <w:b w:val="false"/>
          <w:color w:val="000000"/>
          <w:sz w:val="22"/>
          <w:u w:val="single"/>
        </w:rPr>
        <w:t>Payments on Restricted Junior Debt</w:t>
      </w:r>
      <w:r>
        <w:rPr>
          <w:color w:val="000000"/>
        </w:rPr>
        <w:t>    </w:t>
      </w:r>
      <w:hyperlink w:anchor="iad6c00f09d2947a1bb263cc540ec5621_7">
        <w:r>
          <w:rPr>
            <w:rStyle w:val="InternetLink"/>
            <w:rFonts w:ascii="Times New Roman;sans-serif" w:hAnsi="Times New Roman;sans-serif"/>
            <w:b w:val="false"/>
            <w:strike w:val="false"/>
            <w:dstrike w:val="false"/>
            <w:color w:val="000000"/>
            <w:sz w:val="22"/>
            <w:u w:val="none"/>
            <w:effect w:val="none"/>
          </w:rPr>
          <w:t>96</w:t>
        </w:r>
      </w:hyperlink>
    </w:p>
    <w:p>
      <w:pPr>
        <w:pStyle w:val="TextBody"/>
        <w:bidi w:val="0"/>
        <w:spacing w:lineRule="auto" w:line="288" w:before="0" w:after="240"/>
        <w:ind w:left="0" w:right="0" w:firstLine="540"/>
        <w:jc w:val="left"/>
        <w:rPr/>
      </w:pPr>
      <w:r>
        <w:rPr>
          <w:rFonts w:ascii="Times New Roman;sans-serif" w:hAnsi="Times New Roman;sans-serif"/>
          <w:b w:val="false"/>
          <w:color w:val="000000"/>
          <w:sz w:val="22"/>
        </w:rPr>
        <w:t>Section 7.14</w:t>
      </w:r>
      <w:r>
        <w:rPr>
          <w:color w:val="000000"/>
        </w:rPr>
        <w:t>    </w:t>
      </w:r>
      <w:r>
        <w:rPr>
          <w:rFonts w:ascii="Times New Roman;sans-serif" w:hAnsi="Times New Roman;sans-serif"/>
          <w:b w:val="false"/>
          <w:color w:val="000000"/>
          <w:sz w:val="22"/>
          <w:u w:val="single"/>
        </w:rPr>
        <w:t>Government Regulation</w:t>
      </w:r>
      <w:r>
        <w:rPr>
          <w:rFonts w:ascii="Times New Roman;sans-serif" w:hAnsi="Times New Roman;sans-serif"/>
          <w:b w:val="false"/>
          <w:color w:val="000000"/>
          <w:sz w:val="22"/>
        </w:rPr>
        <w:t>.    </w:t>
      </w:r>
      <w:hyperlink w:anchor="iad6c00f09d2947a1bb263cc540ec5621_7">
        <w:r>
          <w:rPr>
            <w:rStyle w:val="InternetLink"/>
            <w:rFonts w:ascii="Times New Roman;sans-serif" w:hAnsi="Times New Roman;sans-serif"/>
            <w:b w:val="false"/>
            <w:strike w:val="false"/>
            <w:dstrike w:val="false"/>
            <w:color w:val="000000"/>
            <w:sz w:val="22"/>
            <w:u w:val="none"/>
            <w:effect w:val="none"/>
          </w:rPr>
          <w:t>97</w:t>
        </w:r>
      </w:hyperlink>
    </w:p>
    <w:p>
      <w:pPr>
        <w:pStyle w:val="TextBody"/>
        <w:bidi w:val="0"/>
        <w:spacing w:lineRule="auto" w:line="288" w:before="0" w:after="240"/>
        <w:ind w:left="0" w:right="0" w:firstLine="540"/>
        <w:jc w:val="left"/>
        <w:rPr/>
      </w:pPr>
      <w:r>
        <w:rPr>
          <w:rFonts w:ascii="Times New Roman;sans-serif" w:hAnsi="Times New Roman;sans-serif"/>
          <w:b w:val="false"/>
          <w:color w:val="000000"/>
          <w:sz w:val="22"/>
        </w:rPr>
        <w:t>Section 7.15</w:t>
      </w:r>
      <w:r>
        <w:rPr>
          <w:color w:val="000000"/>
        </w:rPr>
        <w:t>    </w:t>
      </w:r>
      <w:r>
        <w:rPr>
          <w:rFonts w:ascii="Times New Roman;sans-serif" w:hAnsi="Times New Roman;sans-serif"/>
          <w:b w:val="false"/>
          <w:color w:val="000000"/>
          <w:sz w:val="22"/>
          <w:u w:val="single"/>
        </w:rPr>
        <w:t>Hazardous Materials</w:t>
      </w:r>
      <w:r>
        <w:rPr>
          <w:color w:val="000000"/>
        </w:rPr>
        <w:t>    </w:t>
      </w:r>
      <w:hyperlink w:anchor="iad6c00f09d2947a1bb263cc540ec5621_7">
        <w:r>
          <w:rPr>
            <w:rStyle w:val="InternetLink"/>
            <w:rFonts w:ascii="Times New Roman;sans-serif" w:hAnsi="Times New Roman;sans-serif"/>
            <w:b w:val="false"/>
            <w:strike w:val="false"/>
            <w:dstrike w:val="false"/>
            <w:color w:val="000000"/>
            <w:sz w:val="22"/>
            <w:u w:val="none"/>
            <w:effect w:val="none"/>
          </w:rPr>
          <w:t>97</w:t>
        </w:r>
      </w:hyperlink>
    </w:p>
    <w:p>
      <w:pPr>
        <w:pStyle w:val="TextBody"/>
        <w:bidi w:val="0"/>
        <w:spacing w:lineRule="auto" w:line="288" w:before="0" w:after="240"/>
        <w:ind w:left="0" w:right="0" w:firstLine="540"/>
        <w:jc w:val="left"/>
        <w:rPr/>
      </w:pPr>
      <w:r>
        <w:rPr>
          <w:rFonts w:ascii="Times New Roman;sans-serif" w:hAnsi="Times New Roman;sans-serif"/>
          <w:b w:val="false"/>
          <w:color w:val="000000"/>
          <w:sz w:val="22"/>
        </w:rPr>
        <w:t>Section 7.16</w:t>
      </w:r>
      <w:r>
        <w:rPr>
          <w:color w:val="000000"/>
        </w:rPr>
        <w:t>    </w:t>
      </w:r>
      <w:r>
        <w:rPr>
          <w:rFonts w:ascii="Times New Roman;sans-serif" w:hAnsi="Times New Roman;sans-serif"/>
          <w:b w:val="false"/>
          <w:color w:val="000000"/>
          <w:sz w:val="22"/>
          <w:u w:val="single"/>
        </w:rPr>
        <w:t>Material Intellectual Property</w:t>
      </w:r>
      <w:r>
        <w:rPr>
          <w:color w:val="000000"/>
        </w:rPr>
        <w:t>    </w:t>
      </w:r>
      <w:hyperlink w:anchor="iad6c00f09d2947a1bb263cc540ec5621_7">
        <w:r>
          <w:rPr>
            <w:rStyle w:val="InternetLink"/>
            <w:rFonts w:ascii="Times New Roman;sans-serif" w:hAnsi="Times New Roman;sans-serif"/>
            <w:b w:val="false"/>
            <w:strike w:val="false"/>
            <w:dstrike w:val="false"/>
            <w:color w:val="000000"/>
            <w:sz w:val="22"/>
            <w:u w:val="none"/>
            <w:effect w:val="none"/>
          </w:rPr>
          <w:t>97</w:t>
        </w:r>
      </w:hyperlink>
    </w:p>
    <w:p>
      <w:pPr>
        <w:pStyle w:val="TextBody"/>
        <w:bidi w:val="0"/>
        <w:spacing w:lineRule="auto" w:line="288" w:before="0" w:after="240"/>
        <w:jc w:val="left"/>
        <w:rPr/>
      </w:pPr>
      <w:r>
        <w:rPr>
          <w:rFonts w:ascii="Times New Roman;sans-serif" w:hAnsi="Times New Roman;sans-serif"/>
          <w:b w:val="false"/>
          <w:color w:val="000000"/>
          <w:sz w:val="22"/>
        </w:rPr>
        <w:t>ARTICLE 8</w:t>
      </w:r>
      <w:r>
        <w:rPr>
          <w:rFonts w:ascii="Times New Roman;sans-serif" w:hAnsi="Times New Roman;sans-serif"/>
          <w:b/>
          <w:color w:val="000000"/>
          <w:sz w:val="22"/>
          <w:u w:val="single"/>
        </w:rPr>
        <w:br/>
        <w:br/>
      </w:r>
      <w:r>
        <w:rPr>
          <w:rFonts w:ascii="Times New Roman;sans-serif" w:hAnsi="Times New Roman;sans-serif"/>
          <w:b w:val="false"/>
          <w:color w:val="000000"/>
          <w:sz w:val="22"/>
        </w:rPr>
        <w:t>EVENTS OF DEFAULT    </w:t>
      </w:r>
      <w:hyperlink w:anchor="iad6c00f09d2947a1bb263cc540ec5621_7">
        <w:r>
          <w:rPr>
            <w:rStyle w:val="InternetLink"/>
            <w:rFonts w:ascii="Times New Roman;sans-serif" w:hAnsi="Times New Roman;sans-serif"/>
            <w:b w:val="false"/>
            <w:strike w:val="false"/>
            <w:dstrike w:val="false"/>
            <w:color w:val="000000"/>
            <w:sz w:val="22"/>
            <w:u w:val="none"/>
            <w:effect w:val="none"/>
          </w:rPr>
          <w:t>97</w:t>
        </w:r>
      </w:hyperlink>
    </w:p>
    <w:p>
      <w:pPr>
        <w:pStyle w:val="TextBody"/>
        <w:bidi w:val="0"/>
        <w:spacing w:lineRule="auto" w:line="288" w:before="0" w:after="240"/>
        <w:ind w:left="0" w:right="0" w:firstLine="540"/>
        <w:jc w:val="left"/>
        <w:rPr/>
      </w:pPr>
      <w:r>
        <w:rPr>
          <w:rFonts w:ascii="Times New Roman;sans-serif" w:hAnsi="Times New Roman;sans-serif"/>
          <w:b w:val="false"/>
          <w:color w:val="000000"/>
          <w:sz w:val="22"/>
        </w:rPr>
        <w:t>Section 8.1</w:t>
      </w:r>
      <w:r>
        <w:rPr>
          <w:color w:val="000000"/>
        </w:rPr>
        <w:t>    </w:t>
      </w:r>
      <w:r>
        <w:rPr>
          <w:rFonts w:ascii="Times New Roman;sans-serif" w:hAnsi="Times New Roman;sans-serif"/>
          <w:b w:val="false"/>
          <w:color w:val="000000"/>
          <w:sz w:val="22"/>
          <w:u w:val="single"/>
        </w:rPr>
        <w:t>Events of Default</w:t>
      </w:r>
      <w:r>
        <w:rPr>
          <w:color w:val="000000"/>
        </w:rPr>
        <w:t>    </w:t>
      </w:r>
      <w:hyperlink w:anchor="iad6c00f09d2947a1bb263cc540ec5621_7">
        <w:r>
          <w:rPr>
            <w:rStyle w:val="InternetLink"/>
            <w:rFonts w:ascii="Times New Roman;sans-serif" w:hAnsi="Times New Roman;sans-serif"/>
            <w:b w:val="false"/>
            <w:strike w:val="false"/>
            <w:dstrike w:val="false"/>
            <w:color w:val="000000"/>
            <w:sz w:val="22"/>
            <w:u w:val="none"/>
            <w:effect w:val="none"/>
          </w:rPr>
          <w:t>97</w:t>
        </w:r>
      </w:hyperlink>
    </w:p>
    <w:p>
      <w:pPr>
        <w:pStyle w:val="TextBody"/>
        <w:bidi w:val="0"/>
        <w:spacing w:lineRule="auto" w:line="288" w:before="0" w:after="240"/>
        <w:ind w:left="0" w:right="0" w:firstLine="540"/>
        <w:jc w:val="left"/>
        <w:rPr/>
      </w:pPr>
      <w:r>
        <w:rPr>
          <w:rFonts w:ascii="Times New Roman;sans-serif" w:hAnsi="Times New Roman;sans-serif"/>
          <w:b w:val="false"/>
          <w:color w:val="000000"/>
          <w:sz w:val="22"/>
        </w:rPr>
        <w:t>Section 8.2</w:t>
      </w:r>
      <w:r>
        <w:rPr>
          <w:color w:val="000000"/>
        </w:rPr>
        <w:t>    </w:t>
      </w:r>
      <w:r>
        <w:rPr>
          <w:rFonts w:ascii="Times New Roman;sans-serif" w:hAnsi="Times New Roman;sans-serif"/>
          <w:b w:val="false"/>
          <w:color w:val="000000"/>
          <w:sz w:val="22"/>
          <w:u w:val="single"/>
        </w:rPr>
        <w:t>Remedies Upon Event of Default</w:t>
      </w:r>
      <w:r>
        <w:rPr>
          <w:color w:val="000000"/>
        </w:rPr>
        <w:t>    </w:t>
      </w:r>
      <w:hyperlink w:anchor="iad6c00f09d2947a1bb263cc540ec5621_7">
        <w:r>
          <w:rPr>
            <w:rStyle w:val="InternetLink"/>
            <w:rFonts w:ascii="Times New Roman;sans-serif" w:hAnsi="Times New Roman;sans-serif"/>
            <w:b w:val="false"/>
            <w:strike w:val="false"/>
            <w:dstrike w:val="false"/>
            <w:color w:val="000000"/>
            <w:sz w:val="22"/>
            <w:u w:val="none"/>
            <w:effect w:val="none"/>
          </w:rPr>
          <w:t>99</w:t>
        </w:r>
      </w:hyperlink>
    </w:p>
    <w:p>
      <w:pPr>
        <w:pStyle w:val="TextBody"/>
        <w:bidi w:val="0"/>
        <w:spacing w:lineRule="auto" w:line="288" w:before="0" w:after="240"/>
        <w:ind w:left="0" w:right="0" w:firstLine="540"/>
        <w:jc w:val="left"/>
        <w:rPr/>
      </w:pPr>
      <w:r>
        <w:rPr>
          <w:rFonts w:ascii="Times New Roman;sans-serif" w:hAnsi="Times New Roman;sans-serif"/>
          <w:b w:val="false"/>
          <w:color w:val="000000"/>
          <w:sz w:val="22"/>
        </w:rPr>
        <w:t>Section 8.3</w:t>
      </w:r>
      <w:r>
        <w:rPr>
          <w:color w:val="000000"/>
        </w:rPr>
        <w:t>    </w:t>
      </w:r>
      <w:r>
        <w:rPr>
          <w:rFonts w:ascii="Times New Roman;sans-serif" w:hAnsi="Times New Roman;sans-serif"/>
          <w:b w:val="false"/>
          <w:color w:val="000000"/>
          <w:sz w:val="22"/>
          <w:u w:val="single"/>
        </w:rPr>
        <w:t>Application of Funds</w:t>
      </w:r>
      <w:r>
        <w:rPr>
          <w:color w:val="000000"/>
        </w:rPr>
        <w:t>    </w:t>
      </w:r>
      <w:hyperlink w:anchor="iad6c00f09d2947a1bb263cc540ec5621_7">
        <w:r>
          <w:rPr>
            <w:rStyle w:val="InternetLink"/>
            <w:rFonts w:ascii="Times New Roman;sans-serif" w:hAnsi="Times New Roman;sans-serif"/>
            <w:b w:val="false"/>
            <w:strike w:val="false"/>
            <w:dstrike w:val="false"/>
            <w:color w:val="000000"/>
            <w:sz w:val="22"/>
            <w:u w:val="none"/>
            <w:effect w:val="none"/>
          </w:rPr>
          <w:t>100</w:t>
        </w:r>
      </w:hyperlink>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60655"/>
                <wp:effectExtent l="0" t="0" r="0" b="0"/>
                <wp:wrapNone/>
                <wp:docPr id="52" name="Frame5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iv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iv -</w:t>
                      </w:r>
                    </w:p>
                  </w:txbxContent>
                </v:textbox>
                <w10:wrap type="none"/>
              </v:rect>
            </w:pict>
          </mc:Fallback>
        </mc:AlternateContent>
      </w:r>
    </w:p>
    <w:p>
      <w:pPr>
        <w:pStyle w:val="TextBody"/>
        <w:bidi w:val="0"/>
        <w:spacing w:lineRule="auto" w:line="288" w:before="0" w:after="240"/>
        <w:ind w:left="0" w:right="0" w:firstLine="540"/>
        <w:jc w:val="left"/>
        <w:rPr/>
      </w:pPr>
      <w:r>
        <w:rPr>
          <w:rFonts w:ascii="Times New Roman;sans-serif" w:hAnsi="Times New Roman;sans-serif"/>
          <w:b w:val="false"/>
          <w:color w:val="000000"/>
          <w:sz w:val="22"/>
        </w:rPr>
        <w:t>Section 8.4</w:t>
      </w:r>
      <w:r>
        <w:rPr>
          <w:color w:val="000000"/>
        </w:rPr>
        <w:t>    </w:t>
      </w:r>
      <w:r>
        <w:rPr>
          <w:rFonts w:ascii="Times New Roman;sans-serif" w:hAnsi="Times New Roman;sans-serif"/>
          <w:b w:val="false"/>
          <w:color w:val="000000"/>
          <w:sz w:val="22"/>
          <w:u w:val="single"/>
        </w:rPr>
        <w:t>Equity Cure</w:t>
      </w:r>
      <w:r>
        <w:rPr>
          <w:color w:val="000000"/>
        </w:rPr>
        <w:t>    </w:t>
      </w:r>
      <w:hyperlink w:anchor="iad6c00f09d2947a1bb263cc540ec5621_7">
        <w:r>
          <w:rPr>
            <w:rStyle w:val="InternetLink"/>
            <w:rFonts w:ascii="Times New Roman;sans-serif" w:hAnsi="Times New Roman;sans-serif"/>
            <w:b w:val="false"/>
            <w:strike w:val="false"/>
            <w:dstrike w:val="false"/>
            <w:color w:val="000000"/>
            <w:sz w:val="22"/>
            <w:u w:val="none"/>
            <w:effect w:val="none"/>
          </w:rPr>
          <w:t>100</w:t>
        </w:r>
      </w:hyperlink>
    </w:p>
    <w:p>
      <w:pPr>
        <w:pStyle w:val="TextBody"/>
        <w:bidi w:val="0"/>
        <w:spacing w:lineRule="auto" w:line="288" w:before="0" w:after="240"/>
        <w:jc w:val="left"/>
        <w:rPr/>
      </w:pPr>
      <w:r>
        <w:rPr>
          <w:rFonts w:ascii="Times New Roman;sans-serif" w:hAnsi="Times New Roman;sans-serif"/>
          <w:b w:val="false"/>
          <w:color w:val="000000"/>
          <w:sz w:val="22"/>
        </w:rPr>
        <w:t>ARTICLE 9</w:t>
        <w:br/>
        <w:br/>
        <w:t>THE ADMINISTRATIVE AGENT    </w:t>
      </w:r>
      <w:hyperlink w:anchor="iad6c00f09d2947a1bb263cc540ec5621_7">
        <w:r>
          <w:rPr>
            <w:rStyle w:val="InternetLink"/>
            <w:rFonts w:ascii="Times New Roman;sans-serif" w:hAnsi="Times New Roman;sans-serif"/>
            <w:b w:val="false"/>
            <w:strike w:val="false"/>
            <w:dstrike w:val="false"/>
            <w:color w:val="000000"/>
            <w:sz w:val="22"/>
            <w:u w:val="none"/>
            <w:effect w:val="none"/>
          </w:rPr>
          <w:t>102</w:t>
        </w:r>
      </w:hyperlink>
    </w:p>
    <w:p>
      <w:pPr>
        <w:pStyle w:val="TextBody"/>
        <w:bidi w:val="0"/>
        <w:spacing w:lineRule="auto" w:line="288" w:before="0" w:after="240"/>
        <w:ind w:left="0" w:right="0" w:firstLine="540"/>
        <w:jc w:val="left"/>
        <w:rPr/>
      </w:pPr>
      <w:r>
        <w:rPr>
          <w:rFonts w:ascii="Times New Roman;sans-serif" w:hAnsi="Times New Roman;sans-serif"/>
          <w:b w:val="false"/>
          <w:color w:val="000000"/>
          <w:sz w:val="22"/>
        </w:rPr>
        <w:t>Section 9.1</w:t>
      </w:r>
      <w:r>
        <w:rPr>
          <w:color w:val="000000"/>
        </w:rPr>
        <w:t>    </w:t>
      </w:r>
      <w:r>
        <w:rPr>
          <w:rFonts w:ascii="Times New Roman;sans-serif" w:hAnsi="Times New Roman;sans-serif"/>
          <w:b w:val="false"/>
          <w:color w:val="000000"/>
          <w:sz w:val="22"/>
          <w:u w:val="single"/>
        </w:rPr>
        <w:t>Appointment and Authority</w:t>
      </w:r>
      <w:r>
        <w:rPr>
          <w:color w:val="000000"/>
        </w:rPr>
        <w:t>    </w:t>
      </w:r>
      <w:hyperlink w:anchor="iad6c00f09d2947a1bb263cc540ec5621_7">
        <w:r>
          <w:rPr>
            <w:rStyle w:val="InternetLink"/>
            <w:rFonts w:ascii="Times New Roman;sans-serif" w:hAnsi="Times New Roman;sans-serif"/>
            <w:b w:val="false"/>
            <w:strike w:val="false"/>
            <w:dstrike w:val="false"/>
            <w:color w:val="000000"/>
            <w:sz w:val="22"/>
            <w:u w:val="none"/>
            <w:effect w:val="none"/>
          </w:rPr>
          <w:t>102</w:t>
        </w:r>
      </w:hyperlink>
    </w:p>
    <w:p>
      <w:pPr>
        <w:pStyle w:val="TextBody"/>
        <w:bidi w:val="0"/>
        <w:spacing w:lineRule="auto" w:line="288" w:before="0" w:after="240"/>
        <w:ind w:left="0" w:right="0" w:firstLine="540"/>
        <w:jc w:val="left"/>
        <w:rPr/>
      </w:pPr>
      <w:r>
        <w:rPr>
          <w:rFonts w:ascii="Times New Roman;sans-serif" w:hAnsi="Times New Roman;sans-serif"/>
          <w:b w:val="false"/>
          <w:color w:val="000000"/>
          <w:sz w:val="22"/>
        </w:rPr>
        <w:t>Section 9.2</w:t>
      </w:r>
      <w:r>
        <w:rPr>
          <w:color w:val="000000"/>
        </w:rPr>
        <w:t>    </w:t>
      </w:r>
      <w:r>
        <w:rPr>
          <w:rFonts w:ascii="Times New Roman;sans-serif" w:hAnsi="Times New Roman;sans-serif"/>
          <w:b w:val="false"/>
          <w:color w:val="000000"/>
          <w:sz w:val="22"/>
          <w:u w:val="single"/>
        </w:rPr>
        <w:t>Rights as a Lender</w:t>
      </w:r>
      <w:r>
        <w:rPr>
          <w:color w:val="000000"/>
        </w:rPr>
        <w:t>    </w:t>
      </w:r>
      <w:hyperlink w:anchor="iad6c00f09d2947a1bb263cc540ec5621_7">
        <w:r>
          <w:rPr>
            <w:rStyle w:val="InternetLink"/>
            <w:rFonts w:ascii="Times New Roman;sans-serif" w:hAnsi="Times New Roman;sans-serif"/>
            <w:b w:val="false"/>
            <w:strike w:val="false"/>
            <w:dstrike w:val="false"/>
            <w:color w:val="000000"/>
            <w:sz w:val="22"/>
            <w:u w:val="none"/>
            <w:effect w:val="none"/>
          </w:rPr>
          <w:t>102</w:t>
        </w:r>
      </w:hyperlink>
    </w:p>
    <w:p>
      <w:pPr>
        <w:pStyle w:val="TextBody"/>
        <w:bidi w:val="0"/>
        <w:spacing w:lineRule="auto" w:line="288" w:before="0" w:after="240"/>
        <w:ind w:left="0" w:right="0" w:firstLine="540"/>
        <w:jc w:val="left"/>
        <w:rPr/>
      </w:pPr>
      <w:r>
        <w:rPr>
          <w:rFonts w:ascii="Times New Roman;sans-serif" w:hAnsi="Times New Roman;sans-serif"/>
          <w:b w:val="false"/>
          <w:color w:val="000000"/>
          <w:sz w:val="22"/>
        </w:rPr>
        <w:t>Section 9.3</w:t>
      </w:r>
      <w:r>
        <w:rPr>
          <w:color w:val="000000"/>
        </w:rPr>
        <w:t>    </w:t>
      </w:r>
      <w:r>
        <w:rPr>
          <w:rFonts w:ascii="Times New Roman;sans-serif" w:hAnsi="Times New Roman;sans-serif"/>
          <w:b w:val="false"/>
          <w:color w:val="000000"/>
          <w:sz w:val="22"/>
          <w:u w:val="single"/>
        </w:rPr>
        <w:t>Exculpatory Provisions</w:t>
      </w:r>
      <w:r>
        <w:rPr>
          <w:rFonts w:ascii="Times New Roman;sans-serif" w:hAnsi="Times New Roman;sans-serif"/>
          <w:b w:val="false"/>
          <w:color w:val="000000"/>
          <w:sz w:val="22"/>
        </w:rPr>
        <w:t>.    </w:t>
      </w:r>
      <w:hyperlink w:anchor="iad6c00f09d2947a1bb263cc540ec5621_7">
        <w:r>
          <w:rPr>
            <w:rStyle w:val="InternetLink"/>
            <w:rFonts w:ascii="Times New Roman;sans-serif" w:hAnsi="Times New Roman;sans-serif"/>
            <w:b w:val="false"/>
            <w:strike w:val="false"/>
            <w:dstrike w:val="false"/>
            <w:color w:val="000000"/>
            <w:sz w:val="22"/>
            <w:u w:val="none"/>
            <w:effect w:val="none"/>
          </w:rPr>
          <w:t>102</w:t>
        </w:r>
      </w:hyperlink>
    </w:p>
    <w:p>
      <w:pPr>
        <w:pStyle w:val="TextBody"/>
        <w:bidi w:val="0"/>
        <w:spacing w:lineRule="auto" w:line="288" w:before="0" w:after="240"/>
        <w:ind w:left="0" w:right="0" w:firstLine="540"/>
        <w:jc w:val="left"/>
        <w:rPr/>
      </w:pPr>
      <w:r>
        <w:rPr>
          <w:rFonts w:ascii="Times New Roman;sans-serif" w:hAnsi="Times New Roman;sans-serif"/>
          <w:b w:val="false"/>
          <w:color w:val="000000"/>
          <w:sz w:val="22"/>
        </w:rPr>
        <w:t>Section 9.4</w:t>
      </w:r>
      <w:r>
        <w:rPr>
          <w:color w:val="000000"/>
        </w:rPr>
        <w:t>    </w:t>
      </w:r>
      <w:r>
        <w:rPr>
          <w:rFonts w:ascii="Times New Roman;sans-serif" w:hAnsi="Times New Roman;sans-serif"/>
          <w:b w:val="false"/>
          <w:color w:val="000000"/>
          <w:sz w:val="22"/>
          <w:u w:val="single"/>
        </w:rPr>
        <w:t>Reliance by Administrative Agent</w:t>
      </w:r>
      <w:r>
        <w:rPr>
          <w:color w:val="000000"/>
        </w:rPr>
        <w:t>    </w:t>
      </w:r>
      <w:hyperlink w:anchor="iad6c00f09d2947a1bb263cc540ec5621_7">
        <w:r>
          <w:rPr>
            <w:rStyle w:val="InternetLink"/>
            <w:rFonts w:ascii="Times New Roman;sans-serif" w:hAnsi="Times New Roman;sans-serif"/>
            <w:b w:val="false"/>
            <w:strike w:val="false"/>
            <w:dstrike w:val="false"/>
            <w:color w:val="000000"/>
            <w:sz w:val="22"/>
            <w:u w:val="none"/>
            <w:effect w:val="none"/>
          </w:rPr>
          <w:t>103</w:t>
        </w:r>
      </w:hyperlink>
    </w:p>
    <w:p>
      <w:pPr>
        <w:pStyle w:val="TextBody"/>
        <w:bidi w:val="0"/>
        <w:spacing w:lineRule="auto" w:line="288" w:before="0" w:after="240"/>
        <w:ind w:left="0" w:right="0" w:firstLine="540"/>
        <w:jc w:val="left"/>
        <w:rPr/>
      </w:pPr>
      <w:r>
        <w:rPr>
          <w:rFonts w:ascii="Times New Roman;sans-serif" w:hAnsi="Times New Roman;sans-serif"/>
          <w:b w:val="false"/>
          <w:color w:val="000000"/>
          <w:sz w:val="22"/>
        </w:rPr>
        <w:t>Section 9.5</w:t>
      </w:r>
      <w:r>
        <w:rPr>
          <w:color w:val="000000"/>
        </w:rPr>
        <w:t>    </w:t>
      </w:r>
      <w:r>
        <w:rPr>
          <w:rFonts w:ascii="Times New Roman;sans-serif" w:hAnsi="Times New Roman;sans-serif"/>
          <w:b w:val="false"/>
          <w:color w:val="000000"/>
          <w:sz w:val="22"/>
          <w:u w:val="single"/>
        </w:rPr>
        <w:t>Delegation of Duties</w:t>
      </w:r>
      <w:r>
        <w:rPr>
          <w:color w:val="000000"/>
        </w:rPr>
        <w:t>    </w:t>
      </w:r>
      <w:hyperlink w:anchor="iad6c00f09d2947a1bb263cc540ec5621_7">
        <w:r>
          <w:rPr>
            <w:rStyle w:val="InternetLink"/>
            <w:rFonts w:ascii="Times New Roman;sans-serif" w:hAnsi="Times New Roman;sans-serif"/>
            <w:b w:val="false"/>
            <w:strike w:val="false"/>
            <w:dstrike w:val="false"/>
            <w:color w:val="000000"/>
            <w:sz w:val="22"/>
            <w:u w:val="none"/>
            <w:effect w:val="none"/>
          </w:rPr>
          <w:t>103</w:t>
        </w:r>
      </w:hyperlink>
    </w:p>
    <w:p>
      <w:pPr>
        <w:pStyle w:val="TextBody"/>
        <w:bidi w:val="0"/>
        <w:spacing w:lineRule="auto" w:line="288" w:before="0" w:after="240"/>
        <w:ind w:left="0" w:right="0" w:firstLine="540"/>
        <w:jc w:val="left"/>
        <w:rPr/>
      </w:pPr>
      <w:r>
        <w:rPr>
          <w:rFonts w:ascii="Times New Roman;sans-serif" w:hAnsi="Times New Roman;sans-serif"/>
          <w:b w:val="false"/>
          <w:color w:val="000000"/>
          <w:sz w:val="22"/>
        </w:rPr>
        <w:t>Section 9.6</w:t>
      </w:r>
      <w:r>
        <w:rPr>
          <w:color w:val="000000"/>
        </w:rPr>
        <w:t>    </w:t>
      </w:r>
      <w:r>
        <w:rPr>
          <w:rFonts w:ascii="Times New Roman;sans-serif" w:hAnsi="Times New Roman;sans-serif"/>
          <w:b w:val="false"/>
          <w:color w:val="000000"/>
          <w:sz w:val="22"/>
          <w:u w:val="single"/>
        </w:rPr>
        <w:t>Resignation of Administrative Agent</w:t>
      </w:r>
      <w:r>
        <w:rPr>
          <w:rFonts w:ascii="Times New Roman;sans-serif" w:hAnsi="Times New Roman;sans-serif"/>
          <w:b w:val="false"/>
          <w:color w:val="000000"/>
          <w:sz w:val="22"/>
        </w:rPr>
        <w:t>.    </w:t>
      </w:r>
      <w:hyperlink w:anchor="iad6c00f09d2947a1bb263cc540ec5621_7">
        <w:r>
          <w:rPr>
            <w:rStyle w:val="InternetLink"/>
            <w:rFonts w:ascii="Times New Roman;sans-serif" w:hAnsi="Times New Roman;sans-serif"/>
            <w:b w:val="false"/>
            <w:strike w:val="false"/>
            <w:dstrike w:val="false"/>
            <w:color w:val="000000"/>
            <w:sz w:val="22"/>
            <w:u w:val="none"/>
            <w:effect w:val="none"/>
          </w:rPr>
          <w:t>103</w:t>
        </w:r>
      </w:hyperlink>
    </w:p>
    <w:p>
      <w:pPr>
        <w:pStyle w:val="TextBody"/>
        <w:bidi w:val="0"/>
        <w:spacing w:lineRule="auto" w:line="288" w:before="0" w:after="240"/>
        <w:ind w:left="0" w:right="0" w:firstLine="540"/>
        <w:jc w:val="left"/>
        <w:rPr/>
      </w:pPr>
      <w:r>
        <w:rPr>
          <w:rFonts w:ascii="Times New Roman;sans-serif" w:hAnsi="Times New Roman;sans-serif"/>
          <w:b w:val="false"/>
          <w:color w:val="000000"/>
          <w:sz w:val="22"/>
        </w:rPr>
        <w:t>Section 9.7</w:t>
      </w:r>
      <w:r>
        <w:rPr>
          <w:color w:val="000000"/>
        </w:rPr>
        <w:t>    </w:t>
      </w:r>
      <w:r>
        <w:rPr>
          <w:rFonts w:ascii="Times New Roman;sans-serif" w:hAnsi="Times New Roman;sans-serif"/>
          <w:b w:val="false"/>
          <w:color w:val="000000"/>
          <w:sz w:val="22"/>
        </w:rPr>
        <w:t>Non-Reliance on Administrative Agent and Other Lenders    </w:t>
      </w:r>
      <w:hyperlink w:anchor="iad6c00f09d2947a1bb263cc540ec5621_7">
        <w:r>
          <w:rPr>
            <w:rStyle w:val="InternetLink"/>
            <w:rFonts w:ascii="Times New Roman;sans-serif" w:hAnsi="Times New Roman;sans-serif"/>
            <w:b w:val="false"/>
            <w:strike w:val="false"/>
            <w:dstrike w:val="false"/>
            <w:color w:val="000000"/>
            <w:sz w:val="22"/>
            <w:u w:val="none"/>
            <w:effect w:val="none"/>
          </w:rPr>
          <w:t>104</w:t>
        </w:r>
      </w:hyperlink>
    </w:p>
    <w:p>
      <w:pPr>
        <w:pStyle w:val="TextBody"/>
        <w:bidi w:val="0"/>
        <w:spacing w:lineRule="auto" w:line="288" w:before="0" w:after="240"/>
        <w:ind w:left="0" w:right="0" w:firstLine="540"/>
        <w:jc w:val="left"/>
        <w:rPr/>
      </w:pPr>
      <w:r>
        <w:rPr>
          <w:rFonts w:ascii="Times New Roman;sans-serif" w:hAnsi="Times New Roman;sans-serif"/>
          <w:b w:val="false"/>
          <w:color w:val="000000"/>
          <w:sz w:val="22"/>
        </w:rPr>
        <w:t>Section 9.8</w:t>
      </w:r>
      <w:r>
        <w:rPr>
          <w:color w:val="000000"/>
        </w:rPr>
        <w:t>    </w:t>
      </w:r>
      <w:r>
        <w:rPr>
          <w:rFonts w:ascii="Times New Roman;sans-serif" w:hAnsi="Times New Roman;sans-serif"/>
          <w:b w:val="false"/>
          <w:color w:val="000000"/>
          <w:sz w:val="22"/>
          <w:u w:val="single"/>
        </w:rPr>
        <w:t>No Other Duties, Etc</w:t>
      </w:r>
      <w:r>
        <w:rPr>
          <w:color w:val="000000"/>
        </w:rPr>
        <w:t>    </w:t>
      </w:r>
      <w:hyperlink w:anchor="iad6c00f09d2947a1bb263cc540ec5621_7">
        <w:r>
          <w:rPr>
            <w:rStyle w:val="InternetLink"/>
            <w:rFonts w:ascii="Times New Roman;sans-serif" w:hAnsi="Times New Roman;sans-serif"/>
            <w:b w:val="false"/>
            <w:strike w:val="false"/>
            <w:dstrike w:val="false"/>
            <w:color w:val="000000"/>
            <w:sz w:val="22"/>
            <w:u w:val="none"/>
            <w:effect w:val="none"/>
          </w:rPr>
          <w:t>105</w:t>
        </w:r>
      </w:hyperlink>
    </w:p>
    <w:p>
      <w:pPr>
        <w:pStyle w:val="TextBody"/>
        <w:bidi w:val="0"/>
        <w:spacing w:lineRule="auto" w:line="288" w:before="0" w:after="240"/>
        <w:ind w:left="0" w:right="0" w:firstLine="540"/>
        <w:jc w:val="left"/>
        <w:rPr/>
      </w:pPr>
      <w:r>
        <w:rPr>
          <w:rFonts w:ascii="Times New Roman;sans-serif" w:hAnsi="Times New Roman;sans-serif"/>
          <w:b w:val="false"/>
          <w:color w:val="000000"/>
          <w:sz w:val="22"/>
        </w:rPr>
        <w:t>Section 9.9</w:t>
      </w:r>
      <w:r>
        <w:rPr>
          <w:color w:val="000000"/>
        </w:rPr>
        <w:t>    </w:t>
      </w:r>
      <w:r>
        <w:rPr>
          <w:rFonts w:ascii="Times New Roman;sans-serif" w:hAnsi="Times New Roman;sans-serif"/>
          <w:b w:val="false"/>
          <w:color w:val="000000"/>
          <w:sz w:val="22"/>
          <w:u w:val="single"/>
        </w:rPr>
        <w:t>Administrative Agent May File Proofs of Claim</w:t>
      </w:r>
      <w:r>
        <w:rPr>
          <w:color w:val="000000"/>
        </w:rPr>
        <w:t>    </w:t>
      </w:r>
      <w:hyperlink w:anchor="iad6c00f09d2947a1bb263cc540ec5621_7">
        <w:r>
          <w:rPr>
            <w:rStyle w:val="InternetLink"/>
            <w:rFonts w:ascii="Times New Roman;sans-serif" w:hAnsi="Times New Roman;sans-serif"/>
            <w:b w:val="false"/>
            <w:strike w:val="false"/>
            <w:dstrike w:val="false"/>
            <w:color w:val="000000"/>
            <w:sz w:val="22"/>
            <w:u w:val="none"/>
            <w:effect w:val="none"/>
          </w:rPr>
          <w:t>105</w:t>
        </w:r>
      </w:hyperlink>
    </w:p>
    <w:p>
      <w:pPr>
        <w:pStyle w:val="TextBody"/>
        <w:bidi w:val="0"/>
        <w:spacing w:lineRule="auto" w:line="288" w:before="0" w:after="240"/>
        <w:ind w:left="0" w:right="0" w:firstLine="540"/>
        <w:jc w:val="left"/>
        <w:rPr/>
      </w:pPr>
      <w:r>
        <w:rPr>
          <w:rFonts w:ascii="Times New Roman;sans-serif" w:hAnsi="Times New Roman;sans-serif"/>
          <w:b w:val="false"/>
          <w:color w:val="000000"/>
          <w:sz w:val="22"/>
        </w:rPr>
        <w:t>Section 9.10</w:t>
      </w:r>
      <w:r>
        <w:rPr>
          <w:color w:val="000000"/>
        </w:rPr>
        <w:t>    </w:t>
      </w:r>
      <w:r>
        <w:rPr>
          <w:rFonts w:ascii="Times New Roman;sans-serif" w:hAnsi="Times New Roman;sans-serif"/>
          <w:b w:val="false"/>
          <w:color w:val="000000"/>
          <w:sz w:val="22"/>
        </w:rPr>
        <w:t>Collateral and Guarantee Matters; Exercise of Remedies.    </w:t>
      </w:r>
      <w:hyperlink w:anchor="iad6c00f09d2947a1bb263cc540ec5621_7">
        <w:r>
          <w:rPr>
            <w:rStyle w:val="InternetLink"/>
            <w:rFonts w:ascii="Times New Roman;sans-serif" w:hAnsi="Times New Roman;sans-serif"/>
            <w:b w:val="false"/>
            <w:strike w:val="false"/>
            <w:dstrike w:val="false"/>
            <w:color w:val="000000"/>
            <w:sz w:val="22"/>
            <w:u w:val="none"/>
            <w:effect w:val="none"/>
          </w:rPr>
          <w:t>105</w:t>
        </w:r>
      </w:hyperlink>
    </w:p>
    <w:p>
      <w:pPr>
        <w:pStyle w:val="TextBody"/>
        <w:bidi w:val="0"/>
        <w:spacing w:lineRule="auto" w:line="288" w:before="0" w:after="240"/>
        <w:ind w:left="0" w:right="0" w:firstLine="540"/>
        <w:jc w:val="left"/>
        <w:rPr/>
      </w:pPr>
      <w:r>
        <w:rPr>
          <w:rFonts w:ascii="Times New Roman;sans-serif" w:hAnsi="Times New Roman;sans-serif"/>
          <w:b w:val="false"/>
          <w:color w:val="000000"/>
          <w:sz w:val="22"/>
        </w:rPr>
        <w:t>Section 9.11</w:t>
      </w:r>
      <w:r>
        <w:rPr>
          <w:color w:val="000000"/>
        </w:rPr>
        <w:t>    </w:t>
      </w:r>
      <w:r>
        <w:rPr>
          <w:rFonts w:ascii="Times New Roman;sans-serif" w:hAnsi="Times New Roman;sans-serif"/>
          <w:b w:val="false"/>
          <w:color w:val="000000"/>
          <w:sz w:val="22"/>
          <w:u w:val="single"/>
        </w:rPr>
        <w:t>Erroneous Payments</w:t>
      </w:r>
      <w:r>
        <w:rPr>
          <w:rFonts w:ascii="Times New Roman;sans-serif" w:hAnsi="Times New Roman;sans-serif"/>
          <w:b w:val="false"/>
          <w:color w:val="000000"/>
          <w:sz w:val="22"/>
        </w:rPr>
        <w:t>.    </w:t>
      </w:r>
      <w:hyperlink w:anchor="iad6c00f09d2947a1bb263cc540ec5621_7">
        <w:r>
          <w:rPr>
            <w:rStyle w:val="InternetLink"/>
            <w:rFonts w:ascii="Times New Roman;sans-serif" w:hAnsi="Times New Roman;sans-serif"/>
            <w:b w:val="false"/>
            <w:strike w:val="false"/>
            <w:dstrike w:val="false"/>
            <w:color w:val="000000"/>
            <w:sz w:val="22"/>
            <w:u w:val="none"/>
            <w:effect w:val="none"/>
          </w:rPr>
          <w:t>106</w:t>
        </w:r>
      </w:hyperlink>
    </w:p>
    <w:p>
      <w:pPr>
        <w:pStyle w:val="TextBody"/>
        <w:bidi w:val="0"/>
        <w:spacing w:lineRule="auto" w:line="288" w:before="0" w:after="240"/>
        <w:jc w:val="left"/>
        <w:rPr/>
      </w:pPr>
      <w:r>
        <w:rPr>
          <w:rFonts w:ascii="Times New Roman;sans-serif" w:hAnsi="Times New Roman;sans-serif"/>
          <w:b w:val="false"/>
          <w:color w:val="000000"/>
          <w:sz w:val="22"/>
        </w:rPr>
        <w:t>ARTICLE 10</w:t>
        <w:br/>
        <w:br/>
        <w:t>MISCELLANEOUS    </w:t>
      </w:r>
      <w:hyperlink w:anchor="iad6c00f09d2947a1bb263cc540ec5621_7">
        <w:r>
          <w:rPr>
            <w:rStyle w:val="InternetLink"/>
            <w:rFonts w:ascii="Times New Roman;sans-serif" w:hAnsi="Times New Roman;sans-serif"/>
            <w:b w:val="false"/>
            <w:strike w:val="false"/>
            <w:dstrike w:val="false"/>
            <w:color w:val="000000"/>
            <w:sz w:val="22"/>
            <w:u w:val="none"/>
            <w:effect w:val="none"/>
          </w:rPr>
          <w:t>109</w:t>
        </w:r>
      </w:hyperlink>
    </w:p>
    <w:p>
      <w:pPr>
        <w:pStyle w:val="TextBody"/>
        <w:bidi w:val="0"/>
        <w:spacing w:lineRule="auto" w:line="288" w:before="0" w:after="240"/>
        <w:ind w:left="0" w:right="0" w:firstLine="540"/>
        <w:jc w:val="left"/>
        <w:rPr/>
      </w:pPr>
      <w:r>
        <w:rPr>
          <w:rFonts w:ascii="Times New Roman;sans-serif" w:hAnsi="Times New Roman;sans-serif"/>
          <w:b w:val="false"/>
          <w:color w:val="000000"/>
          <w:sz w:val="22"/>
        </w:rPr>
        <w:t>Section 10.1</w:t>
      </w:r>
      <w:r>
        <w:rPr>
          <w:color w:val="000000"/>
        </w:rPr>
        <w:t>    </w:t>
      </w:r>
      <w:r>
        <w:rPr>
          <w:rFonts w:ascii="Times New Roman;sans-serif" w:hAnsi="Times New Roman;sans-serif"/>
          <w:b w:val="false"/>
          <w:color w:val="000000"/>
          <w:sz w:val="22"/>
          <w:u w:val="single"/>
        </w:rPr>
        <w:t>Notices</w:t>
      </w:r>
      <w:r>
        <w:rPr>
          <w:rFonts w:ascii="Times New Roman;sans-serif" w:hAnsi="Times New Roman;sans-serif"/>
          <w:b w:val="false"/>
          <w:color w:val="000000"/>
          <w:sz w:val="22"/>
        </w:rPr>
        <w:t>.    </w:t>
      </w:r>
      <w:hyperlink w:anchor="iad6c00f09d2947a1bb263cc540ec5621_7">
        <w:r>
          <w:rPr>
            <w:rStyle w:val="InternetLink"/>
            <w:rFonts w:ascii="Times New Roman;sans-serif" w:hAnsi="Times New Roman;sans-serif"/>
            <w:b w:val="false"/>
            <w:strike w:val="false"/>
            <w:dstrike w:val="false"/>
            <w:color w:val="000000"/>
            <w:sz w:val="22"/>
            <w:u w:val="none"/>
            <w:effect w:val="none"/>
          </w:rPr>
          <w:t>109</w:t>
        </w:r>
      </w:hyperlink>
    </w:p>
    <w:p>
      <w:pPr>
        <w:pStyle w:val="TextBody"/>
        <w:bidi w:val="0"/>
        <w:spacing w:lineRule="auto" w:line="288" w:before="0" w:after="240"/>
        <w:ind w:left="0" w:right="0" w:firstLine="540"/>
        <w:jc w:val="left"/>
        <w:rPr/>
      </w:pPr>
      <w:r>
        <w:rPr>
          <w:rFonts w:ascii="Times New Roman;sans-serif" w:hAnsi="Times New Roman;sans-serif"/>
          <w:b w:val="false"/>
          <w:color w:val="000000"/>
          <w:sz w:val="22"/>
        </w:rPr>
        <w:t>Section 10.2</w:t>
      </w:r>
      <w:r>
        <w:rPr>
          <w:color w:val="000000"/>
        </w:rPr>
        <w:t>    </w:t>
      </w:r>
      <w:r>
        <w:rPr>
          <w:rFonts w:ascii="Times New Roman;sans-serif" w:hAnsi="Times New Roman;sans-serif"/>
          <w:b w:val="false"/>
          <w:color w:val="000000"/>
          <w:sz w:val="22"/>
          <w:u w:val="single"/>
        </w:rPr>
        <w:t>Waivers; Amendments</w:t>
      </w:r>
      <w:r>
        <w:rPr>
          <w:rFonts w:ascii="Times New Roman;sans-serif" w:hAnsi="Times New Roman;sans-serif"/>
          <w:b w:val="false"/>
          <w:color w:val="000000"/>
          <w:sz w:val="22"/>
        </w:rPr>
        <w:t>.    </w:t>
      </w:r>
      <w:hyperlink w:anchor="iad6c00f09d2947a1bb263cc540ec5621_7">
        <w:r>
          <w:rPr>
            <w:rStyle w:val="InternetLink"/>
            <w:rFonts w:ascii="Times New Roman;sans-serif" w:hAnsi="Times New Roman;sans-serif"/>
            <w:b w:val="false"/>
            <w:strike w:val="false"/>
            <w:dstrike w:val="false"/>
            <w:color w:val="000000"/>
            <w:sz w:val="22"/>
            <w:u w:val="none"/>
            <w:effect w:val="none"/>
          </w:rPr>
          <w:t>111</w:t>
        </w:r>
      </w:hyperlink>
    </w:p>
    <w:p>
      <w:pPr>
        <w:pStyle w:val="TextBody"/>
        <w:bidi w:val="0"/>
        <w:spacing w:lineRule="auto" w:line="288" w:before="0" w:after="240"/>
        <w:ind w:left="0" w:right="0" w:firstLine="540"/>
        <w:jc w:val="left"/>
        <w:rPr/>
      </w:pPr>
      <w:r>
        <w:rPr>
          <w:rFonts w:ascii="Times New Roman;sans-serif" w:hAnsi="Times New Roman;sans-serif"/>
          <w:b w:val="false"/>
          <w:color w:val="000000"/>
          <w:sz w:val="22"/>
        </w:rPr>
        <w:t>Section 10.3</w:t>
      </w:r>
      <w:r>
        <w:rPr>
          <w:color w:val="000000"/>
        </w:rPr>
        <w:t>    </w:t>
      </w:r>
      <w:r>
        <w:rPr>
          <w:rFonts w:ascii="Times New Roman;sans-serif" w:hAnsi="Times New Roman;sans-serif"/>
          <w:b w:val="false"/>
          <w:color w:val="000000"/>
          <w:sz w:val="22"/>
          <w:u w:val="single"/>
        </w:rPr>
        <w:t>Expenses; Indemnity; Damage Waiver</w:t>
      </w:r>
      <w:r>
        <w:rPr>
          <w:rFonts w:ascii="Times New Roman;sans-serif" w:hAnsi="Times New Roman;sans-serif"/>
          <w:b w:val="false"/>
          <w:color w:val="000000"/>
          <w:sz w:val="22"/>
        </w:rPr>
        <w:t>.    </w:t>
      </w:r>
      <w:hyperlink w:anchor="iad6c00f09d2947a1bb263cc540ec5621_7">
        <w:r>
          <w:rPr>
            <w:rStyle w:val="InternetLink"/>
            <w:rFonts w:ascii="Times New Roman;sans-serif" w:hAnsi="Times New Roman;sans-serif"/>
            <w:b w:val="false"/>
            <w:strike w:val="false"/>
            <w:dstrike w:val="false"/>
            <w:color w:val="000000"/>
            <w:sz w:val="22"/>
            <w:u w:val="none"/>
            <w:effect w:val="none"/>
          </w:rPr>
          <w:t>113</w:t>
        </w:r>
      </w:hyperlink>
    </w:p>
    <w:p>
      <w:pPr>
        <w:pStyle w:val="TextBody"/>
        <w:bidi w:val="0"/>
        <w:spacing w:lineRule="auto" w:line="288" w:before="0" w:after="240"/>
        <w:ind w:left="0" w:right="0" w:firstLine="540"/>
        <w:jc w:val="left"/>
        <w:rPr/>
      </w:pPr>
      <w:r>
        <w:rPr>
          <w:rFonts w:ascii="Times New Roman;sans-serif" w:hAnsi="Times New Roman;sans-serif"/>
          <w:b w:val="false"/>
          <w:color w:val="000000"/>
          <w:sz w:val="22"/>
        </w:rPr>
        <w:t>Section 10.4</w:t>
      </w:r>
      <w:r>
        <w:rPr>
          <w:color w:val="000000"/>
        </w:rPr>
        <w:t>    </w:t>
      </w:r>
      <w:r>
        <w:rPr>
          <w:rFonts w:ascii="Times New Roman;sans-serif" w:hAnsi="Times New Roman;sans-serif"/>
          <w:b w:val="false"/>
          <w:color w:val="000000"/>
          <w:sz w:val="22"/>
          <w:u w:val="single"/>
        </w:rPr>
        <w:t>Successors and Assigns</w:t>
      </w:r>
      <w:r>
        <w:rPr>
          <w:rFonts w:ascii="Times New Roman;sans-serif" w:hAnsi="Times New Roman;sans-serif"/>
          <w:b w:val="false"/>
          <w:color w:val="000000"/>
          <w:sz w:val="22"/>
        </w:rPr>
        <w:t>.    </w:t>
      </w:r>
      <w:hyperlink w:anchor="iad6c00f09d2947a1bb263cc540ec5621_7">
        <w:r>
          <w:rPr>
            <w:rStyle w:val="InternetLink"/>
            <w:rFonts w:ascii="Times New Roman;sans-serif" w:hAnsi="Times New Roman;sans-serif"/>
            <w:b w:val="false"/>
            <w:strike w:val="false"/>
            <w:dstrike w:val="false"/>
            <w:color w:val="000000"/>
            <w:sz w:val="22"/>
            <w:u w:val="none"/>
            <w:effect w:val="none"/>
          </w:rPr>
          <w:t>114</w:t>
        </w:r>
      </w:hyperlink>
    </w:p>
    <w:p>
      <w:pPr>
        <w:pStyle w:val="TextBody"/>
        <w:bidi w:val="0"/>
        <w:spacing w:lineRule="auto" w:line="288" w:before="0" w:after="240"/>
        <w:ind w:left="0" w:right="0" w:firstLine="540"/>
        <w:jc w:val="left"/>
        <w:rPr/>
      </w:pPr>
      <w:r>
        <w:rPr>
          <w:rFonts w:ascii="Times New Roman;sans-serif" w:hAnsi="Times New Roman;sans-serif"/>
          <w:b w:val="false"/>
          <w:color w:val="000000"/>
          <w:sz w:val="22"/>
        </w:rPr>
        <w:t>Section 10.5</w:t>
      </w:r>
      <w:r>
        <w:rPr>
          <w:color w:val="000000"/>
        </w:rPr>
        <w:t>    </w:t>
      </w:r>
      <w:r>
        <w:rPr>
          <w:rFonts w:ascii="Times New Roman;sans-serif" w:hAnsi="Times New Roman;sans-serif"/>
          <w:b w:val="false"/>
          <w:color w:val="000000"/>
          <w:sz w:val="22"/>
          <w:u w:val="single"/>
        </w:rPr>
        <w:t>Survival</w:t>
      </w:r>
      <w:r>
        <w:rPr>
          <w:color w:val="000000"/>
        </w:rPr>
        <w:t>    </w:t>
      </w:r>
      <w:hyperlink w:anchor="iad6c00f09d2947a1bb263cc540ec5621_7">
        <w:r>
          <w:rPr>
            <w:rStyle w:val="InternetLink"/>
            <w:rFonts w:ascii="Times New Roman;sans-serif" w:hAnsi="Times New Roman;sans-serif"/>
            <w:b w:val="false"/>
            <w:strike w:val="false"/>
            <w:dstrike w:val="false"/>
            <w:color w:val="000000"/>
            <w:sz w:val="22"/>
            <w:u w:val="none"/>
            <w:effect w:val="none"/>
          </w:rPr>
          <w:t>117</w:t>
        </w:r>
      </w:hyperlink>
    </w:p>
    <w:p>
      <w:pPr>
        <w:pStyle w:val="TextBody"/>
        <w:bidi w:val="0"/>
        <w:spacing w:lineRule="auto" w:line="288" w:before="0" w:after="240"/>
        <w:ind w:left="0" w:right="0" w:firstLine="540"/>
        <w:jc w:val="left"/>
        <w:rPr/>
      </w:pPr>
      <w:r>
        <w:rPr>
          <w:rFonts w:ascii="Times New Roman;sans-serif" w:hAnsi="Times New Roman;sans-serif"/>
          <w:b w:val="false"/>
          <w:color w:val="000000"/>
          <w:sz w:val="22"/>
        </w:rPr>
        <w:t>Section 10.6</w:t>
      </w:r>
      <w:r>
        <w:rPr>
          <w:color w:val="000000"/>
        </w:rPr>
        <w:t>    </w:t>
      </w:r>
      <w:r>
        <w:rPr>
          <w:rFonts w:ascii="Times New Roman;sans-serif" w:hAnsi="Times New Roman;sans-serif"/>
          <w:b w:val="false"/>
          <w:color w:val="000000"/>
          <w:sz w:val="22"/>
        </w:rPr>
        <w:t>Counterparts; Integration; Effectiveness; Electronic Execution.    </w:t>
      </w:r>
      <w:hyperlink w:anchor="iad6c00f09d2947a1bb263cc540ec5621_7">
        <w:r>
          <w:rPr>
            <w:rStyle w:val="InternetLink"/>
            <w:rFonts w:ascii="Times New Roman;sans-serif" w:hAnsi="Times New Roman;sans-serif"/>
            <w:b w:val="false"/>
            <w:strike w:val="false"/>
            <w:dstrike w:val="false"/>
            <w:color w:val="000000"/>
            <w:sz w:val="22"/>
            <w:u w:val="none"/>
            <w:effect w:val="none"/>
          </w:rPr>
          <w:t>117</w:t>
        </w:r>
      </w:hyperlink>
    </w:p>
    <w:p>
      <w:pPr>
        <w:pStyle w:val="TextBody"/>
        <w:bidi w:val="0"/>
        <w:spacing w:lineRule="auto" w:line="288" w:before="0" w:after="240"/>
        <w:ind w:left="0" w:right="0" w:firstLine="540"/>
        <w:jc w:val="left"/>
        <w:rPr/>
      </w:pPr>
      <w:r>
        <w:rPr>
          <w:rFonts w:ascii="Times New Roman;sans-serif" w:hAnsi="Times New Roman;sans-serif"/>
          <w:b w:val="false"/>
          <w:color w:val="000000"/>
          <w:sz w:val="22"/>
        </w:rPr>
        <w:t>Section 10.7</w:t>
      </w:r>
      <w:r>
        <w:rPr>
          <w:color w:val="000000"/>
        </w:rPr>
        <w:t>    </w:t>
      </w:r>
      <w:r>
        <w:rPr>
          <w:rFonts w:ascii="Times New Roman;sans-serif" w:hAnsi="Times New Roman;sans-serif"/>
          <w:b w:val="false"/>
          <w:color w:val="000000"/>
          <w:sz w:val="22"/>
          <w:u w:val="single"/>
        </w:rPr>
        <w:t>Severability</w:t>
      </w:r>
      <w:r>
        <w:rPr>
          <w:color w:val="000000"/>
        </w:rPr>
        <w:t>    </w:t>
      </w:r>
      <w:hyperlink w:anchor="iad6c00f09d2947a1bb263cc540ec5621_7">
        <w:r>
          <w:rPr>
            <w:rStyle w:val="InternetLink"/>
            <w:rFonts w:ascii="Times New Roman;sans-serif" w:hAnsi="Times New Roman;sans-serif"/>
            <w:b w:val="false"/>
            <w:strike w:val="false"/>
            <w:dstrike w:val="false"/>
            <w:color w:val="000000"/>
            <w:sz w:val="22"/>
            <w:u w:val="none"/>
            <w:effect w:val="none"/>
          </w:rPr>
          <w:t>118</w:t>
        </w:r>
      </w:hyperlink>
    </w:p>
    <w:p>
      <w:pPr>
        <w:pStyle w:val="TextBody"/>
        <w:bidi w:val="0"/>
        <w:spacing w:lineRule="auto" w:line="288" w:before="0" w:after="240"/>
        <w:ind w:left="0" w:right="0" w:firstLine="540"/>
        <w:jc w:val="left"/>
        <w:rPr/>
      </w:pPr>
      <w:r>
        <w:rPr>
          <w:rFonts w:ascii="Times New Roman;sans-serif" w:hAnsi="Times New Roman;sans-serif"/>
          <w:b w:val="false"/>
          <w:color w:val="000000"/>
          <w:sz w:val="22"/>
        </w:rPr>
        <w:t>Section 10.8</w:t>
      </w:r>
      <w:r>
        <w:rPr>
          <w:color w:val="000000"/>
        </w:rPr>
        <w:t>    </w:t>
      </w:r>
      <w:r>
        <w:rPr>
          <w:rFonts w:ascii="Times New Roman;sans-serif" w:hAnsi="Times New Roman;sans-serif"/>
          <w:b w:val="false"/>
          <w:color w:val="000000"/>
          <w:sz w:val="22"/>
          <w:u w:val="single"/>
        </w:rPr>
        <w:t>Right of Setoff</w:t>
      </w:r>
      <w:r>
        <w:rPr>
          <w:color w:val="000000"/>
        </w:rPr>
        <w:t>    </w:t>
      </w:r>
      <w:hyperlink w:anchor="iad6c00f09d2947a1bb263cc540ec5621_7">
        <w:r>
          <w:rPr>
            <w:rStyle w:val="InternetLink"/>
            <w:rFonts w:ascii="Times New Roman;sans-serif" w:hAnsi="Times New Roman;sans-serif"/>
            <w:b w:val="false"/>
            <w:strike w:val="false"/>
            <w:dstrike w:val="false"/>
            <w:color w:val="000000"/>
            <w:sz w:val="22"/>
            <w:u w:val="none"/>
            <w:effect w:val="none"/>
          </w:rPr>
          <w:t>118</w:t>
        </w:r>
      </w:hyperlink>
    </w:p>
    <w:p>
      <w:pPr>
        <w:pStyle w:val="TextBody"/>
        <w:bidi w:val="0"/>
        <w:spacing w:lineRule="auto" w:line="288" w:before="0" w:after="240"/>
        <w:ind w:left="0" w:right="0" w:firstLine="540"/>
        <w:jc w:val="left"/>
        <w:rPr/>
      </w:pPr>
      <w:r>
        <w:rPr>
          <w:rFonts w:ascii="Times New Roman;sans-serif" w:hAnsi="Times New Roman;sans-serif"/>
          <w:b w:val="false"/>
          <w:color w:val="000000"/>
          <w:sz w:val="22"/>
        </w:rPr>
        <w:t>Section 10.9</w:t>
      </w:r>
      <w:r>
        <w:rPr>
          <w:color w:val="000000"/>
        </w:rPr>
        <w:t>    </w:t>
      </w:r>
      <w:r>
        <w:rPr>
          <w:rFonts w:ascii="Times New Roman;sans-serif" w:hAnsi="Times New Roman;sans-serif"/>
          <w:b w:val="false"/>
          <w:color w:val="000000"/>
          <w:sz w:val="22"/>
        </w:rPr>
        <w:t>Governing Law; Jurisdiction; Consent to Service of Process.    </w:t>
      </w:r>
      <w:hyperlink w:anchor="iad6c00f09d2947a1bb263cc540ec5621_7">
        <w:r>
          <w:rPr>
            <w:rStyle w:val="InternetLink"/>
            <w:rFonts w:ascii="Times New Roman;sans-serif" w:hAnsi="Times New Roman;sans-serif"/>
            <w:b w:val="false"/>
            <w:strike w:val="false"/>
            <w:dstrike w:val="false"/>
            <w:color w:val="000000"/>
            <w:sz w:val="22"/>
            <w:u w:val="none"/>
            <w:effect w:val="none"/>
          </w:rPr>
          <w:t>118</w:t>
        </w:r>
      </w:hyperlink>
    </w:p>
    <w:p>
      <w:pPr>
        <w:pStyle w:val="TextBody"/>
        <w:bidi w:val="0"/>
        <w:spacing w:lineRule="auto" w:line="288" w:before="0" w:after="240"/>
        <w:ind w:left="0" w:right="0" w:firstLine="540"/>
        <w:jc w:val="left"/>
        <w:rPr/>
      </w:pPr>
      <w:r>
        <w:rPr>
          <w:rFonts w:ascii="Times New Roman;sans-serif" w:hAnsi="Times New Roman;sans-serif"/>
          <w:b w:val="false"/>
          <w:color w:val="000000"/>
          <w:sz w:val="22"/>
        </w:rPr>
        <w:t>Section 10.10</w:t>
      </w:r>
      <w:r>
        <w:rPr>
          <w:color w:val="000000"/>
        </w:rPr>
        <w:t>    </w:t>
      </w:r>
      <w:r>
        <w:rPr>
          <w:rFonts w:ascii="Times New Roman;sans-serif" w:hAnsi="Times New Roman;sans-serif"/>
          <w:b w:val="false"/>
          <w:color w:val="000000"/>
          <w:sz w:val="22"/>
          <w:u w:val="single"/>
        </w:rPr>
        <w:t>WAIVER OF JURY TRIAL</w:t>
      </w:r>
      <w:r>
        <w:rPr>
          <w:color w:val="000000"/>
        </w:rPr>
        <w:t>    </w:t>
      </w:r>
      <w:hyperlink w:anchor="iad6c00f09d2947a1bb263cc540ec5621_7">
        <w:r>
          <w:rPr>
            <w:rStyle w:val="InternetLink"/>
            <w:rFonts w:ascii="Times New Roman;sans-serif" w:hAnsi="Times New Roman;sans-serif"/>
            <w:b w:val="false"/>
            <w:strike w:val="false"/>
            <w:dstrike w:val="false"/>
            <w:color w:val="000000"/>
            <w:sz w:val="22"/>
            <w:u w:val="none"/>
            <w:effect w:val="none"/>
          </w:rPr>
          <w:t>119</w:t>
        </w:r>
      </w:hyperlink>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60655"/>
                <wp:effectExtent l="0" t="0" r="0" b="0"/>
                <wp:wrapNone/>
                <wp:docPr id="53" name="Frame5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v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v -</w:t>
                      </w:r>
                    </w:p>
                  </w:txbxContent>
                </v:textbox>
                <w10:wrap type="none"/>
              </v:rect>
            </w:pict>
          </mc:Fallback>
        </mc:AlternateContent>
      </w:r>
    </w:p>
    <w:p>
      <w:pPr>
        <w:pStyle w:val="TextBody"/>
        <w:bidi w:val="0"/>
        <w:spacing w:lineRule="auto" w:line="288" w:before="0" w:after="240"/>
        <w:ind w:left="0" w:right="0" w:firstLine="540"/>
        <w:jc w:val="left"/>
        <w:rPr/>
      </w:pPr>
      <w:r>
        <w:rPr>
          <w:rFonts w:ascii="Times New Roman;sans-serif" w:hAnsi="Times New Roman;sans-serif"/>
          <w:b w:val="false"/>
          <w:color w:val="000000"/>
          <w:sz w:val="22"/>
        </w:rPr>
        <w:t>Section 10.11</w:t>
      </w:r>
      <w:r>
        <w:rPr>
          <w:color w:val="000000"/>
        </w:rPr>
        <w:t>    </w:t>
      </w:r>
      <w:r>
        <w:rPr>
          <w:rFonts w:ascii="Times New Roman;sans-serif" w:hAnsi="Times New Roman;sans-serif"/>
          <w:b w:val="false"/>
          <w:color w:val="000000"/>
          <w:sz w:val="22"/>
          <w:u w:val="single"/>
        </w:rPr>
        <w:t>Payments Set Aside</w:t>
      </w:r>
      <w:r>
        <w:rPr>
          <w:color w:val="000000"/>
        </w:rPr>
        <w:t>    </w:t>
      </w:r>
      <w:hyperlink w:anchor="iad6c00f09d2947a1bb263cc540ec5621_7">
        <w:r>
          <w:rPr>
            <w:rStyle w:val="InternetLink"/>
            <w:rFonts w:ascii="Times New Roman;sans-serif" w:hAnsi="Times New Roman;sans-serif"/>
            <w:b w:val="false"/>
            <w:strike w:val="false"/>
            <w:dstrike w:val="false"/>
            <w:color w:val="000000"/>
            <w:sz w:val="22"/>
            <w:u w:val="none"/>
            <w:effect w:val="none"/>
          </w:rPr>
          <w:t>119</w:t>
        </w:r>
      </w:hyperlink>
    </w:p>
    <w:p>
      <w:pPr>
        <w:pStyle w:val="TextBody"/>
        <w:bidi w:val="0"/>
        <w:spacing w:lineRule="auto" w:line="288" w:before="0" w:after="240"/>
        <w:ind w:left="0" w:right="0" w:firstLine="540"/>
        <w:jc w:val="left"/>
        <w:rPr/>
      </w:pPr>
      <w:r>
        <w:rPr>
          <w:rFonts w:ascii="Times New Roman;sans-serif" w:hAnsi="Times New Roman;sans-serif"/>
          <w:b w:val="false"/>
          <w:color w:val="000000"/>
          <w:sz w:val="22"/>
        </w:rPr>
        <w:t>Section 10.12</w:t>
      </w:r>
      <w:r>
        <w:rPr>
          <w:color w:val="000000"/>
        </w:rPr>
        <w:t>    </w:t>
      </w:r>
      <w:r>
        <w:rPr>
          <w:rFonts w:ascii="Times New Roman;sans-serif" w:hAnsi="Times New Roman;sans-serif"/>
          <w:b w:val="false"/>
          <w:color w:val="000000"/>
          <w:sz w:val="22"/>
          <w:u w:val="single"/>
        </w:rPr>
        <w:t>Headings</w:t>
      </w:r>
      <w:r>
        <w:rPr>
          <w:color w:val="000000"/>
        </w:rPr>
        <w:t>    </w:t>
      </w:r>
      <w:hyperlink w:anchor="iad6c00f09d2947a1bb263cc540ec5621_7">
        <w:r>
          <w:rPr>
            <w:rStyle w:val="InternetLink"/>
            <w:rFonts w:ascii="Times New Roman;sans-serif" w:hAnsi="Times New Roman;sans-serif"/>
            <w:b w:val="false"/>
            <w:strike w:val="false"/>
            <w:dstrike w:val="false"/>
            <w:color w:val="000000"/>
            <w:sz w:val="22"/>
            <w:u w:val="none"/>
            <w:effect w:val="none"/>
          </w:rPr>
          <w:t>120</w:t>
        </w:r>
      </w:hyperlink>
    </w:p>
    <w:p>
      <w:pPr>
        <w:pStyle w:val="TextBody"/>
        <w:bidi w:val="0"/>
        <w:spacing w:lineRule="auto" w:line="288" w:before="0" w:after="240"/>
        <w:ind w:left="0" w:right="0" w:firstLine="540"/>
        <w:jc w:val="left"/>
        <w:rPr/>
      </w:pPr>
      <w:r>
        <w:rPr>
          <w:rFonts w:ascii="Times New Roman;sans-serif" w:hAnsi="Times New Roman;sans-serif"/>
          <w:b w:val="false"/>
          <w:color w:val="000000"/>
          <w:sz w:val="22"/>
        </w:rPr>
        <w:t>Section 10.13</w:t>
      </w:r>
      <w:r>
        <w:rPr>
          <w:color w:val="000000"/>
        </w:rPr>
        <w:t>    </w:t>
      </w:r>
      <w:r>
        <w:rPr>
          <w:rFonts w:ascii="Times New Roman;sans-serif" w:hAnsi="Times New Roman;sans-serif"/>
          <w:b w:val="false"/>
          <w:color w:val="000000"/>
          <w:sz w:val="22"/>
          <w:u w:val="single"/>
        </w:rPr>
        <w:t>Interest Rate Limitation</w:t>
      </w:r>
      <w:r>
        <w:rPr>
          <w:color w:val="000000"/>
        </w:rPr>
        <w:t>    </w:t>
      </w:r>
      <w:hyperlink w:anchor="iad6c00f09d2947a1bb263cc540ec5621_7">
        <w:r>
          <w:rPr>
            <w:rStyle w:val="InternetLink"/>
            <w:rFonts w:ascii="Times New Roman;sans-serif" w:hAnsi="Times New Roman;sans-serif"/>
            <w:b w:val="false"/>
            <w:strike w:val="false"/>
            <w:dstrike w:val="false"/>
            <w:color w:val="000000"/>
            <w:sz w:val="22"/>
            <w:u w:val="none"/>
            <w:effect w:val="none"/>
          </w:rPr>
          <w:t>120</w:t>
        </w:r>
      </w:hyperlink>
    </w:p>
    <w:p>
      <w:pPr>
        <w:pStyle w:val="TextBody"/>
        <w:bidi w:val="0"/>
        <w:spacing w:lineRule="auto" w:line="288" w:before="0" w:after="240"/>
        <w:ind w:left="0" w:right="0" w:firstLine="540"/>
        <w:jc w:val="left"/>
        <w:rPr/>
      </w:pPr>
      <w:r>
        <w:rPr>
          <w:rFonts w:ascii="Times New Roman;sans-serif" w:hAnsi="Times New Roman;sans-serif"/>
          <w:b w:val="false"/>
          <w:color w:val="000000"/>
          <w:sz w:val="22"/>
        </w:rPr>
        <w:t>Section 10.14</w:t>
      </w:r>
      <w:r>
        <w:rPr>
          <w:color w:val="000000"/>
        </w:rPr>
        <w:t>    </w:t>
      </w:r>
      <w:r>
        <w:rPr>
          <w:rFonts w:ascii="Times New Roman;sans-serif" w:hAnsi="Times New Roman;sans-serif"/>
          <w:b w:val="false"/>
          <w:color w:val="000000"/>
          <w:sz w:val="22"/>
          <w:u w:val="single"/>
        </w:rPr>
        <w:t>Treatment of Certain Information; Confidentiality</w:t>
      </w:r>
      <w:r>
        <w:rPr>
          <w:rFonts w:ascii="Times New Roman;sans-serif" w:hAnsi="Times New Roman;sans-serif"/>
          <w:b w:val="false"/>
          <w:color w:val="000000"/>
          <w:sz w:val="22"/>
        </w:rPr>
        <w:t>.    </w:t>
      </w:r>
      <w:hyperlink w:anchor="iad6c00f09d2947a1bb263cc540ec5621_7">
        <w:r>
          <w:rPr>
            <w:rStyle w:val="InternetLink"/>
            <w:rFonts w:ascii="Times New Roman;sans-serif" w:hAnsi="Times New Roman;sans-serif"/>
            <w:b w:val="false"/>
            <w:strike w:val="false"/>
            <w:dstrike w:val="false"/>
            <w:color w:val="000000"/>
            <w:sz w:val="22"/>
            <w:u w:val="none"/>
            <w:effect w:val="none"/>
          </w:rPr>
          <w:t>120</w:t>
        </w:r>
      </w:hyperlink>
    </w:p>
    <w:p>
      <w:pPr>
        <w:pStyle w:val="TextBody"/>
        <w:bidi w:val="0"/>
        <w:spacing w:lineRule="auto" w:line="288" w:before="0" w:after="240"/>
        <w:ind w:left="0" w:right="0" w:firstLine="540"/>
        <w:jc w:val="left"/>
        <w:rPr/>
      </w:pPr>
      <w:r>
        <w:rPr>
          <w:rFonts w:ascii="Times New Roman;sans-serif" w:hAnsi="Times New Roman;sans-serif"/>
          <w:b w:val="false"/>
          <w:color w:val="000000"/>
          <w:sz w:val="22"/>
        </w:rPr>
        <w:t>Section 10.15</w:t>
      </w:r>
      <w:r>
        <w:rPr>
          <w:color w:val="000000"/>
        </w:rPr>
        <w:t>    </w:t>
      </w:r>
      <w:r>
        <w:rPr>
          <w:rFonts w:ascii="Times New Roman;sans-serif" w:hAnsi="Times New Roman;sans-serif"/>
          <w:b w:val="false"/>
          <w:color w:val="000000"/>
          <w:sz w:val="22"/>
          <w:u w:val="single"/>
        </w:rPr>
        <w:t>USA PATRIOT Act Notice</w:t>
      </w:r>
      <w:r>
        <w:rPr>
          <w:color w:val="000000"/>
        </w:rPr>
        <w:t>    </w:t>
      </w:r>
      <w:hyperlink w:anchor="iad6c00f09d2947a1bb263cc540ec5621_7">
        <w:r>
          <w:rPr>
            <w:rStyle w:val="InternetLink"/>
            <w:rFonts w:ascii="Times New Roman;sans-serif" w:hAnsi="Times New Roman;sans-serif"/>
            <w:b w:val="false"/>
            <w:strike w:val="false"/>
            <w:dstrike w:val="false"/>
            <w:color w:val="000000"/>
            <w:sz w:val="22"/>
            <w:u w:val="none"/>
            <w:effect w:val="none"/>
          </w:rPr>
          <w:t>121</w:t>
        </w:r>
      </w:hyperlink>
    </w:p>
    <w:p>
      <w:pPr>
        <w:pStyle w:val="TextBody"/>
        <w:bidi w:val="0"/>
        <w:spacing w:lineRule="auto" w:line="288" w:before="0" w:after="240"/>
        <w:ind w:left="0" w:right="0" w:firstLine="540"/>
        <w:jc w:val="left"/>
        <w:rPr/>
      </w:pPr>
      <w:r>
        <w:rPr>
          <w:rFonts w:ascii="Times New Roman;sans-serif" w:hAnsi="Times New Roman;sans-serif"/>
          <w:b w:val="false"/>
          <w:color w:val="000000"/>
          <w:sz w:val="22"/>
        </w:rPr>
        <w:t>Section 10.16</w:t>
      </w:r>
      <w:r>
        <w:rPr>
          <w:color w:val="000000"/>
        </w:rPr>
        <w:t>    </w:t>
      </w:r>
      <w:r>
        <w:rPr>
          <w:rFonts w:ascii="Times New Roman;sans-serif" w:hAnsi="Times New Roman;sans-serif"/>
          <w:b w:val="false"/>
          <w:color w:val="000000"/>
          <w:sz w:val="22"/>
          <w:u w:val="single"/>
        </w:rPr>
        <w:t>No Advisory or Fiduciary Duty</w:t>
      </w:r>
      <w:r>
        <w:rPr>
          <w:color w:val="000000"/>
        </w:rPr>
        <w:t>    </w:t>
      </w:r>
      <w:hyperlink w:anchor="iad6c00f09d2947a1bb263cc540ec5621_7">
        <w:r>
          <w:rPr>
            <w:rStyle w:val="InternetLink"/>
            <w:rFonts w:ascii="Times New Roman;sans-serif" w:hAnsi="Times New Roman;sans-serif"/>
            <w:b w:val="false"/>
            <w:strike w:val="false"/>
            <w:dstrike w:val="false"/>
            <w:color w:val="000000"/>
            <w:sz w:val="22"/>
            <w:u w:val="none"/>
            <w:effect w:val="none"/>
          </w:rPr>
          <w:t>121</w:t>
        </w:r>
      </w:hyperlink>
    </w:p>
    <w:p>
      <w:pPr>
        <w:pStyle w:val="TextBody"/>
        <w:bidi w:val="0"/>
        <w:spacing w:lineRule="auto" w:line="288" w:before="0" w:after="240"/>
        <w:ind w:left="0" w:right="0" w:firstLine="540"/>
        <w:jc w:val="left"/>
        <w:rPr/>
      </w:pPr>
      <w:r>
        <w:rPr>
          <w:rFonts w:ascii="Times New Roman;sans-serif" w:hAnsi="Times New Roman;sans-serif"/>
          <w:b w:val="false"/>
          <w:color w:val="000000"/>
          <w:sz w:val="22"/>
        </w:rPr>
        <w:t>Section 10.17</w:t>
      </w:r>
      <w:r>
        <w:rPr>
          <w:color w:val="000000"/>
        </w:rPr>
        <w:t>    </w:t>
      </w:r>
      <w:r>
        <w:rPr>
          <w:rFonts w:ascii="Times New Roman;sans-serif" w:hAnsi="Times New Roman;sans-serif"/>
          <w:b w:val="false"/>
          <w:color w:val="000000"/>
          <w:sz w:val="22"/>
        </w:rPr>
        <w:t>Acknowledgement and Consent to Bail-In of Affected Financial Institutions    </w:t>
      </w:r>
      <w:hyperlink w:anchor="iad6c00f09d2947a1bb263cc540ec5621_7">
        <w:r>
          <w:rPr>
            <w:rStyle w:val="InternetLink"/>
            <w:rFonts w:ascii="Times New Roman;sans-serif" w:hAnsi="Times New Roman;sans-serif"/>
            <w:b w:val="false"/>
            <w:strike w:val="false"/>
            <w:dstrike w:val="false"/>
            <w:color w:val="000000"/>
            <w:sz w:val="22"/>
            <w:u w:val="none"/>
            <w:effect w:val="none"/>
          </w:rPr>
          <w:t>122</w:t>
        </w:r>
      </w:hyperlink>
    </w:p>
    <w:p>
      <w:pPr>
        <w:pStyle w:val="TextBody"/>
        <w:bidi w:val="0"/>
        <w:spacing w:lineRule="auto" w:line="288" w:before="0" w:after="240"/>
        <w:ind w:left="0" w:right="0" w:firstLine="540"/>
        <w:jc w:val="left"/>
        <w:rPr/>
      </w:pPr>
      <w:r>
        <w:rPr>
          <w:rFonts w:ascii="Times New Roman;sans-serif" w:hAnsi="Times New Roman;sans-serif"/>
          <w:b w:val="false"/>
          <w:color w:val="000000"/>
          <w:sz w:val="22"/>
        </w:rPr>
        <w:t>Section 10.18</w:t>
      </w:r>
      <w:r>
        <w:rPr>
          <w:color w:val="000000"/>
        </w:rPr>
        <w:t>    </w:t>
      </w:r>
      <w:r>
        <w:rPr>
          <w:rFonts w:ascii="Times New Roman;sans-serif" w:hAnsi="Times New Roman;sans-serif"/>
          <w:b w:val="false"/>
          <w:color w:val="000000"/>
          <w:sz w:val="22"/>
          <w:u w:val="single"/>
        </w:rPr>
        <w:t>[Reserved]</w:t>
      </w:r>
      <w:r>
        <w:rPr>
          <w:rFonts w:ascii="Times New Roman;sans-serif" w:hAnsi="Times New Roman;sans-serif"/>
          <w:b w:val="false"/>
          <w:color w:val="000000"/>
          <w:sz w:val="22"/>
        </w:rPr>
        <w:t>.    </w:t>
      </w:r>
      <w:hyperlink w:anchor="iad6c00f09d2947a1bb263cc540ec5621_7">
        <w:r>
          <w:rPr>
            <w:rStyle w:val="InternetLink"/>
            <w:rFonts w:ascii="Times New Roman;sans-serif" w:hAnsi="Times New Roman;sans-serif"/>
            <w:b w:val="false"/>
            <w:strike w:val="false"/>
            <w:dstrike w:val="false"/>
            <w:color w:val="000000"/>
            <w:sz w:val="22"/>
            <w:u w:val="none"/>
            <w:effect w:val="none"/>
          </w:rPr>
          <w:t>122</w:t>
        </w:r>
      </w:hyperlink>
    </w:p>
    <w:p>
      <w:pPr>
        <w:pStyle w:val="TextBody"/>
        <w:bidi w:val="0"/>
        <w:spacing w:before="0" w:after="0"/>
        <w:jc w:val="left"/>
        <w:rPr/>
      </w:pPr>
      <w:r>
        <w:rPr/>
      </w:r>
    </w:p>
    <w:p>
      <w:pPr>
        <w:pStyle w:val="TextBody"/>
        <w:bidi w:val="0"/>
        <w:spacing w:lineRule="auto" w:line="288" w:before="0" w:after="240"/>
        <w:jc w:val="left"/>
        <w:rPr/>
      </w:pPr>
      <w:r>
        <w:rPr>
          <w:rFonts w:ascii="Times New Roman;sans-serif" w:hAnsi="Times New Roman;sans-serif"/>
          <w:b w:val="false"/>
          <w:color w:val="000000"/>
          <w:sz w:val="22"/>
          <w:u w:val="single"/>
        </w:rPr>
        <w:t>SCHEDULES</w:t>
      </w:r>
      <w:r>
        <w:rPr>
          <w:rFonts w:ascii="Times New Roman;sans-serif" w:hAnsi="Times New Roman;sans-serif"/>
          <w:b w:val="false"/>
          <w:color w:val="000000"/>
          <w:sz w:val="22"/>
        </w:rPr>
        <w:t>:</w:t>
      </w:r>
    </w:p>
    <w:tbl>
      <w:tblPr>
        <w:tblW w:w="6403" w:type="dxa"/>
        <w:jc w:val="left"/>
        <w:tblInd w:w="0" w:type="dxa"/>
        <w:tblLayout w:type="fixed"/>
        <w:tblCellMar>
          <w:top w:w="28" w:type="dxa"/>
          <w:left w:w="28" w:type="dxa"/>
          <w:bottom w:w="28" w:type="dxa"/>
          <w:right w:w="28" w:type="dxa"/>
        </w:tblCellMar>
      </w:tblPr>
      <w:tblGrid>
        <w:gridCol w:w="618"/>
        <w:gridCol w:w="544"/>
        <w:gridCol w:w="547"/>
        <w:gridCol w:w="1373"/>
        <w:gridCol w:w="1373"/>
        <w:gridCol w:w="1948"/>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948"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Schedule 2.1</w:t>
            </w:r>
          </w:p>
        </w:tc>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Commitments</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Schedule 4.1(f)</w:t>
            </w:r>
          </w:p>
        </w:tc>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Collateral Documents and Related Requirements</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Schedule 5.13</w:t>
            </w:r>
          </w:p>
        </w:tc>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Subsidiaries; Equity Interests</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Schedule 5.14</w:t>
            </w:r>
          </w:p>
        </w:tc>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Insurance</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Schedule 5.16(a)</w:t>
            </w:r>
          </w:p>
        </w:tc>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UCC Filing Offices </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Schedule 5.26</w:t>
            </w:r>
          </w:p>
        </w:tc>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Contracts</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Schedule 6.14</w:t>
            </w:r>
          </w:p>
        </w:tc>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Post-Closing Obligations</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Schedule 7.1</w:t>
            </w:r>
          </w:p>
        </w:tc>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Existing Indebtedness</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Schedule 7.2</w:t>
            </w:r>
          </w:p>
        </w:tc>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Existing Liens</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Schedule 7.4</w:t>
            </w:r>
          </w:p>
        </w:tc>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Existing Investments</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Schedule 7.10</w:t>
            </w:r>
          </w:p>
        </w:tc>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Existing Restrictions</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Schedule 10.1</w:t>
            </w:r>
          </w:p>
        </w:tc>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Notice Information</w:t>
            </w:r>
          </w:p>
        </w:tc>
      </w:tr>
    </w:tbl>
    <w:p>
      <w:pPr>
        <w:pStyle w:val="TextBody"/>
        <w:bidi w:val="0"/>
        <w:spacing w:before="0" w:after="0"/>
        <w:jc w:val="left"/>
        <w:rPr/>
      </w:pPr>
      <w:r>
        <w:rPr/>
      </w:r>
    </w:p>
    <w:p>
      <w:pPr>
        <w:pStyle w:val="TextBody"/>
        <w:bidi w:val="0"/>
        <w:spacing w:lineRule="auto" w:line="288" w:before="0" w:after="240"/>
        <w:jc w:val="left"/>
        <w:rPr/>
      </w:pPr>
      <w:r>
        <w:rPr>
          <w:rFonts w:ascii="Times New Roman;sans-serif" w:hAnsi="Times New Roman;sans-serif"/>
          <w:b w:val="false"/>
          <w:color w:val="000000"/>
          <w:sz w:val="22"/>
          <w:u w:val="single"/>
        </w:rPr>
        <w:t>EXHIBITS</w:t>
      </w:r>
      <w:r>
        <w:rPr>
          <w:rFonts w:ascii="Times New Roman;sans-serif" w:hAnsi="Times New Roman;sans-serif"/>
          <w:b w:val="false"/>
          <w:color w:val="000000"/>
          <w:sz w:val="22"/>
        </w:rPr>
        <w:t>:</w:t>
      </w:r>
    </w:p>
    <w:tbl>
      <w:tblPr>
        <w:tblW w:w="10205" w:type="dxa"/>
        <w:jc w:val="left"/>
        <w:tblInd w:w="0" w:type="dxa"/>
        <w:tblLayout w:type="fixed"/>
        <w:tblCellMar>
          <w:top w:w="28" w:type="dxa"/>
          <w:left w:w="28" w:type="dxa"/>
          <w:bottom w:w="28" w:type="dxa"/>
          <w:right w:w="28" w:type="dxa"/>
        </w:tblCellMar>
      </w:tblPr>
      <w:tblGrid>
        <w:gridCol w:w="397"/>
        <w:gridCol w:w="349"/>
        <w:gridCol w:w="353"/>
        <w:gridCol w:w="2667"/>
        <w:gridCol w:w="2663"/>
        <w:gridCol w:w="3776"/>
      </w:tblGrid>
      <w:tr>
        <w:trPr/>
        <w:tc>
          <w:tcPr>
            <w:tcW w:w="39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667" w:type="dxa"/>
            <w:tcBorders/>
            <w:vAlign w:val="center"/>
          </w:tcPr>
          <w:p>
            <w:pPr>
              <w:pStyle w:val="TableContents"/>
              <w:bidi w:val="0"/>
              <w:spacing w:before="0" w:after="283"/>
              <w:jc w:val="left"/>
              <w:rPr>
                <w:sz w:val="4"/>
                <w:szCs w:val="4"/>
              </w:rPr>
            </w:pPr>
            <w:r>
              <w:rPr>
                <w:sz w:val="4"/>
                <w:szCs w:val="4"/>
              </w:rPr>
            </w:r>
          </w:p>
        </w:tc>
        <w:tc>
          <w:tcPr>
            <w:tcW w:w="2663" w:type="dxa"/>
            <w:tcBorders/>
            <w:vAlign w:val="center"/>
          </w:tcPr>
          <w:p>
            <w:pPr>
              <w:pStyle w:val="TableContents"/>
              <w:bidi w:val="0"/>
              <w:spacing w:before="0" w:after="283"/>
              <w:jc w:val="left"/>
              <w:rPr>
                <w:sz w:val="4"/>
                <w:szCs w:val="4"/>
              </w:rPr>
            </w:pPr>
            <w:r>
              <w:rPr>
                <w:sz w:val="4"/>
                <w:szCs w:val="4"/>
              </w:rPr>
            </w:r>
          </w:p>
        </w:tc>
        <w:tc>
          <w:tcPr>
            <w:tcW w:w="3776" w:type="dxa"/>
            <w:tcBorders/>
            <w:vAlign w:val="center"/>
          </w:tcPr>
          <w:p>
            <w:pPr>
              <w:pStyle w:val="TableContents"/>
              <w:bidi w:val="0"/>
              <w:spacing w:before="0" w:after="283"/>
              <w:jc w:val="left"/>
              <w:rPr>
                <w:sz w:val="4"/>
                <w:szCs w:val="4"/>
              </w:rPr>
            </w:pPr>
            <w:r>
              <w:rPr>
                <w:sz w:val="4"/>
                <w:szCs w:val="4"/>
              </w:rPr>
            </w:r>
          </w:p>
        </w:tc>
      </w:tr>
      <w:tr>
        <w:trPr/>
        <w:tc>
          <w:tcPr>
            <w:tcW w:w="1099" w:type="dxa"/>
            <w:gridSpan w:val="3"/>
            <w:tcBorders/>
            <w:tcMar>
              <w:top w:w="0" w:type="dxa"/>
              <w:left w:w="0" w:type="dxa"/>
              <w:bottom w:w="0" w:type="dxa"/>
              <w:right w:w="0" w:type="dxa"/>
            </w:tcMar>
            <w:vAlign w:val="center"/>
          </w:tcPr>
          <w:p>
            <w:pPr>
              <w:pStyle w:val="TableContents"/>
              <w:bidi w:val="0"/>
              <w:spacing w:lineRule="auto" w:line="288" w:before="0" w:after="0"/>
              <w:ind w:left="0" w:right="0" w:firstLine="12"/>
              <w:jc w:val="both"/>
              <w:rPr>
                <w:rFonts w:ascii="Times New Roman;sans-serif" w:hAnsi="Times New Roman;sans-serif"/>
                <w:b w:val="false"/>
                <w:color w:val="000000"/>
                <w:sz w:val="22"/>
              </w:rPr>
            </w:pPr>
            <w:r>
              <w:rPr>
                <w:rFonts w:ascii="Times New Roman;sans-serif" w:hAnsi="Times New Roman;sans-serif"/>
                <w:b w:val="false"/>
                <w:color w:val="000000"/>
                <w:sz w:val="22"/>
              </w:rPr>
              <w:t>Exhibit A</w:t>
            </w:r>
          </w:p>
        </w:tc>
        <w:tc>
          <w:tcPr>
            <w:tcW w:w="9106" w:type="dxa"/>
            <w:gridSpan w:val="3"/>
            <w:tcBorders/>
            <w:tcMar>
              <w:top w:w="0" w:type="dxa"/>
              <w:left w:w="0" w:type="dxa"/>
              <w:bottom w:w="0" w:type="dxa"/>
              <w:right w:w="0" w:type="dxa"/>
            </w:tcMar>
            <w:vAlign w:val="center"/>
          </w:tcPr>
          <w:p>
            <w:pPr>
              <w:pStyle w:val="TableContents"/>
              <w:bidi w:val="0"/>
              <w:spacing w:lineRule="auto" w:line="288" w:before="0" w:after="0"/>
              <w:ind w:left="0" w:right="0" w:firstLine="22"/>
              <w:jc w:val="left"/>
              <w:rPr>
                <w:rFonts w:ascii="Times New Roman;sans-serif" w:hAnsi="Times New Roman;sans-serif"/>
                <w:b w:val="false"/>
                <w:color w:val="000000"/>
                <w:sz w:val="22"/>
              </w:rPr>
            </w:pPr>
            <w:r>
              <w:rPr>
                <w:rFonts w:ascii="Times New Roman;sans-serif" w:hAnsi="Times New Roman;sans-serif"/>
                <w:b w:val="false"/>
                <w:color w:val="000000"/>
                <w:sz w:val="22"/>
              </w:rPr>
              <w:t>Form of Assignment and Assumption</w:t>
            </w:r>
          </w:p>
        </w:tc>
      </w:tr>
      <w:tr>
        <w:trPr/>
        <w:tc>
          <w:tcPr>
            <w:tcW w:w="1099" w:type="dxa"/>
            <w:gridSpan w:val="3"/>
            <w:tcBorders/>
            <w:tcMar>
              <w:top w:w="0" w:type="dxa"/>
              <w:left w:w="0" w:type="dxa"/>
              <w:bottom w:w="0" w:type="dxa"/>
              <w:right w:w="0" w:type="dxa"/>
            </w:tcMar>
            <w:vAlign w:val="center"/>
          </w:tcPr>
          <w:p>
            <w:pPr>
              <w:pStyle w:val="TableContents"/>
              <w:bidi w:val="0"/>
              <w:spacing w:lineRule="auto" w:line="288" w:before="0" w:after="0"/>
              <w:ind w:left="0" w:right="0" w:firstLine="12"/>
              <w:jc w:val="both"/>
              <w:rPr>
                <w:rFonts w:ascii="Times New Roman;sans-serif" w:hAnsi="Times New Roman;sans-serif"/>
                <w:b w:val="false"/>
                <w:color w:val="000000"/>
                <w:sz w:val="22"/>
              </w:rPr>
            </w:pPr>
            <w:r>
              <w:rPr>
                <w:rFonts w:ascii="Times New Roman;sans-serif" w:hAnsi="Times New Roman;sans-serif"/>
                <w:b w:val="false"/>
                <w:color w:val="000000"/>
                <w:sz w:val="22"/>
              </w:rPr>
              <w:t>Exhibit B-1</w:t>
            </w:r>
          </w:p>
        </w:tc>
        <w:tc>
          <w:tcPr>
            <w:tcW w:w="9106" w:type="dxa"/>
            <w:gridSpan w:val="3"/>
            <w:tcBorders/>
            <w:tcMar>
              <w:top w:w="0" w:type="dxa"/>
              <w:left w:w="0" w:type="dxa"/>
              <w:bottom w:w="0" w:type="dxa"/>
              <w:right w:w="0" w:type="dxa"/>
            </w:tcMar>
            <w:vAlign w:val="center"/>
          </w:tcPr>
          <w:p>
            <w:pPr>
              <w:pStyle w:val="TableContents"/>
              <w:bidi w:val="0"/>
              <w:spacing w:lineRule="auto" w:line="288" w:before="0" w:after="0"/>
              <w:ind w:left="0" w:right="0" w:firstLine="22"/>
              <w:jc w:val="left"/>
              <w:rPr>
                <w:rFonts w:ascii="Times New Roman;sans-serif" w:hAnsi="Times New Roman;sans-serif"/>
                <w:b w:val="false"/>
                <w:color w:val="000000"/>
                <w:sz w:val="22"/>
              </w:rPr>
            </w:pPr>
            <w:r>
              <w:rPr>
                <w:rFonts w:ascii="Times New Roman;sans-serif" w:hAnsi="Times New Roman;sans-serif"/>
                <w:b w:val="false"/>
                <w:color w:val="000000"/>
                <w:sz w:val="22"/>
              </w:rPr>
              <w:t>Form of Committed Loan Notice</w:t>
            </w:r>
          </w:p>
        </w:tc>
      </w:tr>
      <w:tr>
        <w:trPr/>
        <w:tc>
          <w:tcPr>
            <w:tcW w:w="1099" w:type="dxa"/>
            <w:gridSpan w:val="3"/>
            <w:tcBorders/>
            <w:tcMar>
              <w:top w:w="0" w:type="dxa"/>
              <w:left w:w="0" w:type="dxa"/>
              <w:bottom w:w="0" w:type="dxa"/>
              <w:right w:w="0" w:type="dxa"/>
            </w:tcMar>
            <w:vAlign w:val="center"/>
          </w:tcPr>
          <w:p>
            <w:pPr>
              <w:pStyle w:val="TableContents"/>
              <w:bidi w:val="0"/>
              <w:spacing w:lineRule="auto" w:line="288" w:before="0" w:after="0"/>
              <w:ind w:left="0" w:right="0" w:firstLine="12"/>
              <w:jc w:val="both"/>
              <w:rPr>
                <w:rFonts w:ascii="Times New Roman;sans-serif" w:hAnsi="Times New Roman;sans-serif"/>
                <w:b w:val="false"/>
                <w:color w:val="000000"/>
                <w:sz w:val="22"/>
              </w:rPr>
            </w:pPr>
            <w:r>
              <w:rPr>
                <w:rFonts w:ascii="Times New Roman;sans-serif" w:hAnsi="Times New Roman;sans-serif"/>
                <w:b w:val="false"/>
                <w:color w:val="000000"/>
                <w:sz w:val="22"/>
              </w:rPr>
              <w:t>Exhibit C</w:t>
            </w:r>
          </w:p>
        </w:tc>
        <w:tc>
          <w:tcPr>
            <w:tcW w:w="9106" w:type="dxa"/>
            <w:gridSpan w:val="3"/>
            <w:tcBorders/>
            <w:tcMar>
              <w:top w:w="0" w:type="dxa"/>
              <w:left w:w="0" w:type="dxa"/>
              <w:bottom w:w="0" w:type="dxa"/>
              <w:right w:w="0" w:type="dxa"/>
            </w:tcMar>
            <w:vAlign w:val="center"/>
          </w:tcPr>
          <w:p>
            <w:pPr>
              <w:pStyle w:val="TableContents"/>
              <w:bidi w:val="0"/>
              <w:spacing w:lineRule="auto" w:line="288" w:before="0" w:after="0"/>
              <w:ind w:left="0" w:right="0" w:firstLine="22"/>
              <w:jc w:val="left"/>
              <w:rPr>
                <w:rFonts w:ascii="Times New Roman;sans-serif" w:hAnsi="Times New Roman;sans-serif"/>
                <w:b w:val="false"/>
                <w:color w:val="000000"/>
                <w:sz w:val="22"/>
              </w:rPr>
            </w:pPr>
            <w:r>
              <w:rPr>
                <w:rFonts w:ascii="Times New Roman;sans-serif" w:hAnsi="Times New Roman;sans-serif"/>
                <w:b w:val="false"/>
                <w:color w:val="000000"/>
                <w:sz w:val="22"/>
              </w:rPr>
              <w:t>Form of Note</w:t>
            </w:r>
          </w:p>
        </w:tc>
      </w:tr>
      <w:tr>
        <w:trPr/>
        <w:tc>
          <w:tcPr>
            <w:tcW w:w="1099" w:type="dxa"/>
            <w:gridSpan w:val="3"/>
            <w:tcBorders/>
            <w:tcMar>
              <w:top w:w="0" w:type="dxa"/>
              <w:left w:w="0" w:type="dxa"/>
              <w:bottom w:w="0" w:type="dxa"/>
              <w:right w:w="0" w:type="dxa"/>
            </w:tcMar>
            <w:vAlign w:val="center"/>
          </w:tcPr>
          <w:p>
            <w:pPr>
              <w:pStyle w:val="TableContents"/>
              <w:bidi w:val="0"/>
              <w:spacing w:lineRule="auto" w:line="288" w:before="0" w:after="0"/>
              <w:ind w:left="0" w:right="0" w:firstLine="12"/>
              <w:jc w:val="both"/>
              <w:rPr>
                <w:rFonts w:ascii="Times New Roman;sans-serif" w:hAnsi="Times New Roman;sans-serif"/>
                <w:b w:val="false"/>
                <w:color w:val="000000"/>
                <w:sz w:val="22"/>
              </w:rPr>
            </w:pPr>
            <w:r>
              <w:rPr>
                <w:rFonts w:ascii="Times New Roman;sans-serif" w:hAnsi="Times New Roman;sans-serif"/>
                <w:b w:val="false"/>
                <w:color w:val="000000"/>
                <w:sz w:val="22"/>
              </w:rPr>
              <w:t>Exhibit D</w:t>
            </w:r>
          </w:p>
        </w:tc>
        <w:tc>
          <w:tcPr>
            <w:tcW w:w="9106" w:type="dxa"/>
            <w:gridSpan w:val="3"/>
            <w:tcBorders/>
            <w:tcMar>
              <w:top w:w="0" w:type="dxa"/>
              <w:left w:w="0" w:type="dxa"/>
              <w:bottom w:w="0" w:type="dxa"/>
              <w:right w:w="0" w:type="dxa"/>
            </w:tcMar>
            <w:vAlign w:val="center"/>
          </w:tcPr>
          <w:p>
            <w:pPr>
              <w:pStyle w:val="TableContents"/>
              <w:bidi w:val="0"/>
              <w:spacing w:lineRule="auto" w:line="288" w:before="0" w:after="0"/>
              <w:ind w:left="0" w:right="0" w:firstLine="22"/>
              <w:jc w:val="left"/>
              <w:rPr>
                <w:rFonts w:ascii="Times New Roman;sans-serif" w:hAnsi="Times New Roman;sans-serif"/>
                <w:b w:val="false"/>
                <w:color w:val="000000"/>
                <w:sz w:val="22"/>
              </w:rPr>
            </w:pPr>
            <w:r>
              <w:rPr>
                <w:rFonts w:ascii="Times New Roman;sans-serif" w:hAnsi="Times New Roman;sans-serif"/>
                <w:b w:val="false"/>
                <w:color w:val="000000"/>
                <w:sz w:val="22"/>
              </w:rPr>
              <w:t>Form of Compliance Certificate</w:t>
            </w:r>
          </w:p>
        </w:tc>
      </w:tr>
      <w:tr>
        <w:trPr/>
        <w:tc>
          <w:tcPr>
            <w:tcW w:w="1099" w:type="dxa"/>
            <w:gridSpan w:val="3"/>
            <w:tcBorders/>
            <w:tcMar>
              <w:top w:w="0" w:type="dxa"/>
              <w:left w:w="0" w:type="dxa"/>
              <w:bottom w:w="0" w:type="dxa"/>
              <w:right w:w="0" w:type="dxa"/>
            </w:tcMar>
            <w:vAlign w:val="center"/>
          </w:tcPr>
          <w:p>
            <w:pPr>
              <w:pStyle w:val="TableContents"/>
              <w:bidi w:val="0"/>
              <w:spacing w:lineRule="auto" w:line="288" w:before="0" w:after="0"/>
              <w:ind w:left="0" w:right="0" w:firstLine="12"/>
              <w:jc w:val="both"/>
              <w:rPr>
                <w:rFonts w:ascii="Times New Roman;sans-serif" w:hAnsi="Times New Roman;sans-serif"/>
                <w:b w:val="false"/>
                <w:color w:val="000000"/>
                <w:sz w:val="22"/>
              </w:rPr>
            </w:pPr>
            <w:r>
              <w:rPr>
                <w:rFonts w:ascii="Times New Roman;sans-serif" w:hAnsi="Times New Roman;sans-serif"/>
                <w:b w:val="false"/>
                <w:color w:val="000000"/>
                <w:sz w:val="22"/>
              </w:rPr>
              <w:t>Exhibit E</w:t>
            </w:r>
          </w:p>
        </w:tc>
        <w:tc>
          <w:tcPr>
            <w:tcW w:w="9106" w:type="dxa"/>
            <w:gridSpan w:val="3"/>
            <w:tcBorders/>
            <w:tcMar>
              <w:top w:w="0" w:type="dxa"/>
              <w:left w:w="0" w:type="dxa"/>
              <w:bottom w:w="0" w:type="dxa"/>
              <w:right w:w="0" w:type="dxa"/>
            </w:tcMar>
            <w:vAlign w:val="center"/>
          </w:tcPr>
          <w:p>
            <w:pPr>
              <w:pStyle w:val="TableContents"/>
              <w:bidi w:val="0"/>
              <w:spacing w:lineRule="auto" w:line="288" w:before="0" w:after="0"/>
              <w:ind w:left="0" w:right="0" w:firstLine="22"/>
              <w:jc w:val="left"/>
              <w:rPr>
                <w:rFonts w:ascii="Times New Roman;sans-serif" w:hAnsi="Times New Roman;sans-serif"/>
                <w:b w:val="false"/>
                <w:color w:val="000000"/>
                <w:sz w:val="22"/>
              </w:rPr>
            </w:pPr>
            <w:r>
              <w:rPr>
                <w:rFonts w:ascii="Times New Roman;sans-serif" w:hAnsi="Times New Roman;sans-serif"/>
                <w:b w:val="false"/>
                <w:color w:val="000000"/>
                <w:sz w:val="22"/>
              </w:rPr>
              <w:t>Form of Closing Certificate</w:t>
            </w:r>
          </w:p>
        </w:tc>
      </w:tr>
      <w:tr>
        <w:trPr/>
        <w:tc>
          <w:tcPr>
            <w:tcW w:w="1099" w:type="dxa"/>
            <w:gridSpan w:val="3"/>
            <w:tcBorders/>
            <w:tcMar>
              <w:top w:w="0" w:type="dxa"/>
              <w:left w:w="0" w:type="dxa"/>
              <w:bottom w:w="0" w:type="dxa"/>
              <w:right w:w="0" w:type="dxa"/>
            </w:tcMar>
            <w:vAlign w:val="center"/>
          </w:tcPr>
          <w:p>
            <w:pPr>
              <w:pStyle w:val="TableContents"/>
              <w:bidi w:val="0"/>
              <w:spacing w:lineRule="auto" w:line="288" w:before="0" w:after="0"/>
              <w:ind w:left="0" w:right="0" w:firstLine="12"/>
              <w:jc w:val="both"/>
              <w:rPr>
                <w:rFonts w:ascii="Times New Roman;sans-serif" w:hAnsi="Times New Roman;sans-serif"/>
                <w:b w:val="false"/>
                <w:color w:val="000000"/>
                <w:sz w:val="22"/>
              </w:rPr>
            </w:pPr>
            <w:r>
              <w:rPr>
                <w:rFonts w:ascii="Times New Roman;sans-serif" w:hAnsi="Times New Roman;sans-serif"/>
                <w:b w:val="false"/>
                <w:color w:val="000000"/>
                <w:sz w:val="22"/>
              </w:rPr>
              <w:t>Exhibit F</w:t>
            </w:r>
          </w:p>
        </w:tc>
        <w:tc>
          <w:tcPr>
            <w:tcW w:w="9106" w:type="dxa"/>
            <w:gridSpan w:val="3"/>
            <w:tcBorders/>
            <w:tcMar>
              <w:top w:w="0" w:type="dxa"/>
              <w:left w:w="0" w:type="dxa"/>
              <w:bottom w:w="0" w:type="dxa"/>
              <w:right w:w="0" w:type="dxa"/>
            </w:tcMar>
            <w:vAlign w:val="center"/>
          </w:tcPr>
          <w:p>
            <w:pPr>
              <w:pStyle w:val="TableContents"/>
              <w:bidi w:val="0"/>
              <w:spacing w:lineRule="auto" w:line="288" w:before="0" w:after="0"/>
              <w:ind w:left="0" w:right="0" w:firstLine="22"/>
              <w:jc w:val="left"/>
              <w:rPr>
                <w:rFonts w:ascii="Times New Roman;sans-serif" w:hAnsi="Times New Roman;sans-serif"/>
                <w:b w:val="false"/>
                <w:color w:val="000000"/>
                <w:sz w:val="22"/>
              </w:rPr>
            </w:pPr>
            <w:r>
              <w:rPr>
                <w:rFonts w:ascii="Times New Roman;sans-serif" w:hAnsi="Times New Roman;sans-serif"/>
                <w:b w:val="false"/>
                <w:color w:val="000000"/>
                <w:sz w:val="22"/>
              </w:rPr>
              <w:t>Form of Subsidiary Joinder Agreement</w:t>
            </w:r>
          </w:p>
        </w:tc>
      </w:tr>
      <w:tr>
        <w:trPr/>
        <w:tc>
          <w:tcPr>
            <w:tcW w:w="1099" w:type="dxa"/>
            <w:gridSpan w:val="3"/>
            <w:tcBorders/>
            <w:tcMar>
              <w:top w:w="0" w:type="dxa"/>
              <w:left w:w="0" w:type="dxa"/>
              <w:bottom w:w="0" w:type="dxa"/>
              <w:right w:w="0" w:type="dxa"/>
            </w:tcMar>
            <w:vAlign w:val="center"/>
          </w:tcPr>
          <w:p>
            <w:pPr>
              <w:pStyle w:val="TableContents"/>
              <w:bidi w:val="0"/>
              <w:spacing w:lineRule="auto" w:line="288" w:before="0" w:after="0"/>
              <w:ind w:left="0" w:right="0" w:firstLine="12"/>
              <w:jc w:val="both"/>
              <w:rPr>
                <w:rFonts w:ascii="Times New Roman;sans-serif" w:hAnsi="Times New Roman;sans-serif"/>
                <w:b w:val="false"/>
                <w:color w:val="000000"/>
                <w:sz w:val="22"/>
              </w:rPr>
            </w:pPr>
            <w:r>
              <w:rPr>
                <w:rFonts w:ascii="Times New Roman;sans-serif" w:hAnsi="Times New Roman;sans-serif"/>
                <w:b w:val="false"/>
                <w:color w:val="000000"/>
                <w:sz w:val="22"/>
              </w:rPr>
              <w:t>Exhibit G-1</w:t>
            </w:r>
          </w:p>
        </w:tc>
        <w:tc>
          <w:tcPr>
            <w:tcW w:w="9106" w:type="dxa"/>
            <w:gridSpan w:val="3"/>
            <w:tcBorders/>
            <w:tcMar>
              <w:top w:w="0" w:type="dxa"/>
              <w:left w:w="0" w:type="dxa"/>
              <w:bottom w:w="0" w:type="dxa"/>
              <w:right w:w="0" w:type="dxa"/>
            </w:tcMar>
            <w:vAlign w:val="center"/>
          </w:tcPr>
          <w:p>
            <w:pPr>
              <w:pStyle w:val="TableContents"/>
              <w:bidi w:val="0"/>
              <w:spacing w:lineRule="auto" w:line="288" w:before="0" w:after="0"/>
              <w:ind w:left="0" w:right="0" w:firstLine="22"/>
              <w:jc w:val="left"/>
              <w:rPr>
                <w:rFonts w:ascii="Times New Roman;sans-serif" w:hAnsi="Times New Roman;sans-serif"/>
                <w:b w:val="false"/>
                <w:color w:val="000000"/>
                <w:sz w:val="22"/>
              </w:rPr>
            </w:pPr>
            <w:r>
              <w:rPr>
                <w:rFonts w:ascii="Times New Roman;sans-serif" w:hAnsi="Times New Roman;sans-serif"/>
                <w:b w:val="false"/>
                <w:color w:val="000000"/>
                <w:sz w:val="22"/>
              </w:rPr>
              <w:t>Form of U.S. Tax Compliance Certificate For Foreign Lenders That Are Not Partnerships For U.S. Federal Income Tax Purposes</w:t>
            </w:r>
          </w:p>
        </w:tc>
      </w:tr>
      <w:tr>
        <w:trPr/>
        <w:tc>
          <w:tcPr>
            <w:tcW w:w="1099" w:type="dxa"/>
            <w:gridSpan w:val="3"/>
            <w:tcBorders/>
            <w:tcMar>
              <w:top w:w="0" w:type="dxa"/>
              <w:left w:w="0" w:type="dxa"/>
              <w:bottom w:w="0" w:type="dxa"/>
              <w:right w:w="0" w:type="dxa"/>
            </w:tcMar>
            <w:vAlign w:val="center"/>
          </w:tcPr>
          <w:p>
            <w:pPr>
              <w:pStyle w:val="TableContents"/>
              <w:bidi w:val="0"/>
              <w:spacing w:lineRule="auto" w:line="288" w:before="0" w:after="0"/>
              <w:ind w:left="0" w:right="0" w:firstLine="12"/>
              <w:jc w:val="both"/>
              <w:rPr>
                <w:rFonts w:ascii="Times New Roman;sans-serif" w:hAnsi="Times New Roman;sans-serif"/>
                <w:b w:val="false"/>
                <w:color w:val="000000"/>
                <w:sz w:val="22"/>
              </w:rPr>
            </w:pPr>
            <w:r>
              <w:rPr>
                <w:rFonts w:ascii="Times New Roman;sans-serif" w:hAnsi="Times New Roman;sans-serif"/>
                <w:b w:val="false"/>
                <w:color w:val="000000"/>
                <w:sz w:val="22"/>
              </w:rPr>
              <w:t>Exhibit G-2</w:t>
            </w:r>
          </w:p>
        </w:tc>
        <w:tc>
          <w:tcPr>
            <w:tcW w:w="9106" w:type="dxa"/>
            <w:gridSpan w:val="3"/>
            <w:tcBorders/>
            <w:tcMar>
              <w:top w:w="0" w:type="dxa"/>
              <w:left w:w="0" w:type="dxa"/>
              <w:bottom w:w="0" w:type="dxa"/>
              <w:right w:w="0" w:type="dxa"/>
            </w:tcMar>
            <w:vAlign w:val="center"/>
          </w:tcPr>
          <w:p>
            <w:pPr>
              <w:pStyle w:val="TableContents"/>
              <w:bidi w:val="0"/>
              <w:spacing w:lineRule="auto" w:line="288" w:before="0" w:after="0"/>
              <w:ind w:left="0" w:right="0" w:firstLine="22"/>
              <w:jc w:val="left"/>
              <w:rPr>
                <w:rFonts w:ascii="Times New Roman;sans-serif" w:hAnsi="Times New Roman;sans-serif"/>
                <w:b w:val="false"/>
                <w:color w:val="000000"/>
                <w:sz w:val="22"/>
              </w:rPr>
            </w:pPr>
            <w:r>
              <w:rPr>
                <w:rFonts w:ascii="Times New Roman;sans-serif" w:hAnsi="Times New Roman;sans-serif"/>
                <w:b w:val="false"/>
                <w:color w:val="000000"/>
                <w:sz w:val="22"/>
              </w:rPr>
              <w:t>Form of U.S. Tax Compliance Certificate For Foreign Participants That Are Not Partnerships For U.S. Federal Income Tax Purposes</w:t>
            </w:r>
          </w:p>
        </w:tc>
      </w:tr>
      <w:tr>
        <w:trPr/>
        <w:tc>
          <w:tcPr>
            <w:tcW w:w="1099" w:type="dxa"/>
            <w:gridSpan w:val="3"/>
            <w:tcBorders/>
            <w:tcMar>
              <w:top w:w="0" w:type="dxa"/>
              <w:left w:w="0" w:type="dxa"/>
              <w:bottom w:w="0" w:type="dxa"/>
              <w:right w:w="0" w:type="dxa"/>
            </w:tcMar>
            <w:vAlign w:val="center"/>
          </w:tcPr>
          <w:p>
            <w:pPr>
              <w:pStyle w:val="TableContents"/>
              <w:bidi w:val="0"/>
              <w:spacing w:lineRule="auto" w:line="288" w:before="0" w:after="0"/>
              <w:ind w:left="0" w:right="0" w:firstLine="12"/>
              <w:jc w:val="both"/>
              <w:rPr>
                <w:rFonts w:ascii="Times New Roman;sans-serif" w:hAnsi="Times New Roman;sans-serif"/>
                <w:b w:val="false"/>
                <w:color w:val="000000"/>
                <w:sz w:val="22"/>
              </w:rPr>
            </w:pPr>
            <w:r>
              <w:rPr>
                <w:rFonts w:ascii="Times New Roman;sans-serif" w:hAnsi="Times New Roman;sans-serif"/>
                <w:b w:val="false"/>
                <w:color w:val="000000"/>
                <w:sz w:val="22"/>
              </w:rPr>
              <w:t>Exhibit G-3</w:t>
            </w:r>
          </w:p>
        </w:tc>
        <w:tc>
          <w:tcPr>
            <w:tcW w:w="9106" w:type="dxa"/>
            <w:gridSpan w:val="3"/>
            <w:tcBorders/>
            <w:tcMar>
              <w:top w:w="0" w:type="dxa"/>
              <w:left w:w="0" w:type="dxa"/>
              <w:bottom w:w="0" w:type="dxa"/>
              <w:right w:w="0" w:type="dxa"/>
            </w:tcMar>
            <w:vAlign w:val="center"/>
          </w:tcPr>
          <w:p>
            <w:pPr>
              <w:pStyle w:val="TableContents"/>
              <w:bidi w:val="0"/>
              <w:spacing w:lineRule="auto" w:line="288" w:before="0" w:after="0"/>
              <w:ind w:left="0" w:right="0" w:firstLine="22"/>
              <w:jc w:val="left"/>
              <w:rPr>
                <w:rFonts w:ascii="Times New Roman;sans-serif" w:hAnsi="Times New Roman;sans-serif"/>
                <w:b w:val="false"/>
                <w:color w:val="000000"/>
                <w:sz w:val="22"/>
              </w:rPr>
            </w:pPr>
            <w:r>
              <w:rPr>
                <w:rFonts w:ascii="Times New Roman;sans-serif" w:hAnsi="Times New Roman;sans-serif"/>
                <w:b w:val="false"/>
                <w:color w:val="000000"/>
                <w:sz w:val="22"/>
              </w:rPr>
              <w:t>Form of U.S. Tax Compliance Certificate For Foreign Participants That Are Partnerships For U.S. Federal Income Tax Purposes</w:t>
            </w:r>
          </w:p>
        </w:tc>
      </w:tr>
      <w:tr>
        <w:trPr/>
        <w:tc>
          <w:tcPr>
            <w:tcW w:w="1099" w:type="dxa"/>
            <w:gridSpan w:val="3"/>
            <w:tcBorders/>
            <w:tcMar>
              <w:top w:w="0" w:type="dxa"/>
              <w:left w:w="0" w:type="dxa"/>
              <w:bottom w:w="0" w:type="dxa"/>
              <w:right w:w="0" w:type="dxa"/>
            </w:tcMar>
            <w:vAlign w:val="center"/>
          </w:tcPr>
          <w:p>
            <w:pPr>
              <w:pStyle w:val="TableContents"/>
              <w:bidi w:val="0"/>
              <w:spacing w:lineRule="auto" w:line="288" w:before="0" w:after="0"/>
              <w:ind w:left="0" w:right="0" w:firstLine="12"/>
              <w:jc w:val="both"/>
              <w:rPr>
                <w:rFonts w:ascii="Times New Roman;sans-serif" w:hAnsi="Times New Roman;sans-serif"/>
                <w:b w:val="false"/>
                <w:color w:val="000000"/>
                <w:sz w:val="22"/>
              </w:rPr>
            </w:pPr>
            <w:r>
              <w:rPr>
                <w:rFonts w:ascii="Times New Roman;sans-serif" w:hAnsi="Times New Roman;sans-serif"/>
                <w:b w:val="false"/>
                <w:color w:val="000000"/>
                <w:sz w:val="22"/>
              </w:rPr>
              <w:t>Exhibit G-4</w:t>
            </w:r>
          </w:p>
        </w:tc>
        <w:tc>
          <w:tcPr>
            <w:tcW w:w="9106" w:type="dxa"/>
            <w:gridSpan w:val="3"/>
            <w:tcBorders/>
            <w:tcMar>
              <w:top w:w="0" w:type="dxa"/>
              <w:left w:w="0" w:type="dxa"/>
              <w:bottom w:w="0" w:type="dxa"/>
              <w:right w:w="0" w:type="dxa"/>
            </w:tcMar>
            <w:vAlign w:val="center"/>
          </w:tcPr>
          <w:p>
            <w:pPr>
              <w:pStyle w:val="TableContents"/>
              <w:bidi w:val="0"/>
              <w:spacing w:lineRule="auto" w:line="288" w:before="0" w:after="0"/>
              <w:ind w:left="0" w:right="0" w:firstLine="22"/>
              <w:jc w:val="left"/>
              <w:rPr>
                <w:rFonts w:ascii="Times New Roman;sans-serif" w:hAnsi="Times New Roman;sans-serif"/>
                <w:b w:val="false"/>
                <w:color w:val="000000"/>
                <w:sz w:val="22"/>
              </w:rPr>
            </w:pPr>
            <w:r>
              <w:rPr>
                <w:rFonts w:ascii="Times New Roman;sans-serif" w:hAnsi="Times New Roman;sans-serif"/>
                <w:b w:val="false"/>
                <w:color w:val="000000"/>
                <w:sz w:val="22"/>
              </w:rPr>
              <w:t>Form of U.S. Tax Compliance Certificate For Foreign Lenders That Are Partnerships For U.S. Federal Income Tax Purposes</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60655"/>
                <wp:effectExtent l="0" t="0" r="0" b="0"/>
                <wp:wrapNone/>
                <wp:docPr id="54" name="Frame5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vi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vi -</w:t>
                      </w:r>
                    </w:p>
                  </w:txbxContent>
                </v:textbox>
                <w10:wrap type="none"/>
              </v:rect>
            </w:pict>
          </mc:Fallback>
        </mc:AlternateContent>
      </w:r>
    </w:p>
    <w:tbl>
      <w:tblPr>
        <w:tblW w:w="3904" w:type="dxa"/>
        <w:jc w:val="left"/>
        <w:tblInd w:w="0" w:type="dxa"/>
        <w:tblLayout w:type="fixed"/>
        <w:tblCellMar>
          <w:top w:w="28" w:type="dxa"/>
          <w:left w:w="28" w:type="dxa"/>
          <w:bottom w:w="28" w:type="dxa"/>
          <w:right w:w="28" w:type="dxa"/>
        </w:tblCellMar>
      </w:tblPr>
      <w:tblGrid>
        <w:gridCol w:w="373"/>
        <w:gridCol w:w="328"/>
        <w:gridCol w:w="331"/>
        <w:gridCol w:w="839"/>
        <w:gridCol w:w="839"/>
        <w:gridCol w:w="1194"/>
      </w:tblGrid>
      <w:tr>
        <w:trPr/>
        <w:tc>
          <w:tcPr>
            <w:tcW w:w="373"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r>
      <w:tr>
        <w:trPr/>
        <w:tc>
          <w:tcPr>
            <w:tcW w:w="103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12"/>
              <w:jc w:val="both"/>
              <w:rPr>
                <w:rFonts w:ascii="Times New Roman;sans-serif" w:hAnsi="Times New Roman;sans-serif"/>
                <w:b w:val="false"/>
                <w:color w:val="000000"/>
                <w:sz w:val="22"/>
              </w:rPr>
            </w:pPr>
            <w:r>
              <w:rPr>
                <w:rFonts w:ascii="Times New Roman;sans-serif" w:hAnsi="Times New Roman;sans-serif"/>
                <w:b w:val="false"/>
                <w:color w:val="000000"/>
                <w:sz w:val="22"/>
              </w:rPr>
              <w:t>Exhibit H</w:t>
            </w:r>
          </w:p>
        </w:tc>
        <w:tc>
          <w:tcPr>
            <w:tcW w:w="287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22"/>
              <w:jc w:val="left"/>
              <w:rPr>
                <w:rFonts w:ascii="Times New Roman;sans-serif" w:hAnsi="Times New Roman;sans-serif"/>
                <w:b w:val="false"/>
                <w:color w:val="000000"/>
                <w:sz w:val="22"/>
              </w:rPr>
            </w:pPr>
            <w:r>
              <w:rPr>
                <w:rFonts w:ascii="Times New Roman;sans-serif" w:hAnsi="Times New Roman;sans-serif"/>
                <w:b w:val="false"/>
                <w:color w:val="000000"/>
                <w:sz w:val="22"/>
              </w:rPr>
              <w:t>Form of Solvency Certificate</w:t>
            </w:r>
          </w:p>
        </w:tc>
      </w:tr>
      <w:tr>
        <w:trPr/>
        <w:tc>
          <w:tcPr>
            <w:tcW w:w="103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12"/>
              <w:jc w:val="left"/>
              <w:rPr>
                <w:rFonts w:ascii="Times New Roman;sans-serif" w:hAnsi="Times New Roman;sans-serif"/>
                <w:b w:val="false"/>
                <w:color w:val="000000"/>
                <w:sz w:val="22"/>
              </w:rPr>
            </w:pPr>
            <w:r>
              <w:rPr>
                <w:rFonts w:ascii="Times New Roman;sans-serif" w:hAnsi="Times New Roman;sans-serif"/>
                <w:b w:val="false"/>
                <w:color w:val="000000"/>
                <w:sz w:val="22"/>
              </w:rPr>
              <w:t>Exhibit I</w:t>
            </w:r>
          </w:p>
        </w:tc>
        <w:tc>
          <w:tcPr>
            <w:tcW w:w="287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22"/>
              <w:jc w:val="left"/>
              <w:rPr>
                <w:rFonts w:ascii="Times New Roman;sans-serif" w:hAnsi="Times New Roman;sans-serif"/>
                <w:b w:val="false"/>
                <w:color w:val="000000"/>
                <w:sz w:val="22"/>
              </w:rPr>
            </w:pPr>
            <w:r>
              <w:rPr>
                <w:rFonts w:ascii="Times New Roman;sans-serif" w:hAnsi="Times New Roman;sans-serif"/>
                <w:b w:val="false"/>
                <w:color w:val="000000"/>
                <w:sz w:val="22"/>
              </w:rPr>
              <w:t>[Reserved]</w:t>
            </w:r>
          </w:p>
        </w:tc>
      </w:tr>
      <w:tr>
        <w:trPr/>
        <w:tc>
          <w:tcPr>
            <w:tcW w:w="103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12"/>
              <w:jc w:val="left"/>
              <w:rPr>
                <w:rFonts w:ascii="Times New Roman;sans-serif" w:hAnsi="Times New Roman;sans-serif"/>
                <w:b w:val="false"/>
                <w:color w:val="000000"/>
                <w:sz w:val="22"/>
              </w:rPr>
            </w:pPr>
            <w:r>
              <w:rPr>
                <w:rFonts w:ascii="Times New Roman;sans-serif" w:hAnsi="Times New Roman;sans-serif"/>
                <w:b w:val="false"/>
                <w:color w:val="000000"/>
                <w:sz w:val="22"/>
              </w:rPr>
              <w:t>Exhibit J</w:t>
            </w:r>
          </w:p>
        </w:tc>
        <w:tc>
          <w:tcPr>
            <w:tcW w:w="287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22"/>
              <w:jc w:val="left"/>
              <w:rPr>
                <w:rFonts w:ascii="Times New Roman;sans-serif" w:hAnsi="Times New Roman;sans-serif"/>
                <w:b w:val="false"/>
                <w:color w:val="000000"/>
                <w:sz w:val="22"/>
              </w:rPr>
            </w:pPr>
            <w:r>
              <w:rPr>
                <w:rFonts w:ascii="Times New Roman;sans-serif" w:hAnsi="Times New Roman;sans-serif"/>
                <w:b w:val="false"/>
                <w:color w:val="000000"/>
                <w:sz w:val="22"/>
              </w:rPr>
              <w:t>Form of Liquidity Certificate</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60655"/>
                <wp:effectExtent l="0" t="0" r="0" b="0"/>
                <wp:wrapNone/>
                <wp:docPr id="55" name="Frame5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vii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vii -</w:t>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CREDIT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CREDIT AGREEMENT, dated as of June 28, 2024, among SYNCHRONOSS TECHNOLOGIES, INC., a Delaware corporation (the “</w:t>
      </w:r>
      <w:r>
        <w:rPr>
          <w:rFonts w:ascii="Times New Roman;sans-serif" w:hAnsi="Times New Roman;sans-serif"/>
          <w:b w:val="false"/>
          <w:color w:val="000000"/>
          <w:sz w:val="22"/>
          <w:u w:val="single"/>
        </w:rPr>
        <w:t>Borrower</w:t>
      </w:r>
      <w:r>
        <w:rPr>
          <w:color w:val="000000"/>
        </w:rPr>
        <w:t>”</w:t>
      </w:r>
      <w:r>
        <w:rPr>
          <w:rFonts w:ascii="Times New Roman;sans-serif" w:hAnsi="Times New Roman;sans-serif"/>
          <w:b w:val="false"/>
          <w:color w:val="000000"/>
          <w:sz w:val="22"/>
        </w:rPr>
        <w:t>), the LENDERS party hereto and BGC LENDER REP LLC, as Administrative Agent.</w:t>
      </w:r>
    </w:p>
    <w:p>
      <w:pPr>
        <w:pStyle w:val="TextBody"/>
        <w:bidi w:val="0"/>
        <w:spacing w:lineRule="auto" w:line="288" w:before="0" w:after="24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RECITALS</w:t>
      </w:r>
    </w:p>
    <w:p>
      <w:pPr>
        <w:pStyle w:val="TextBody"/>
        <w:bidi w:val="0"/>
        <w:spacing w:lineRule="auto" w:line="288" w:before="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    The Borrower has requested that the Lenders make loans to the Borrower as more fully set forth herein.</w:t>
      </w:r>
    </w:p>
    <w:p>
      <w:pPr>
        <w:pStyle w:val="TextBody"/>
        <w:bidi w:val="0"/>
        <w:spacing w:lineRule="auto" w:line="288" w:before="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    The Lenders have indicated their willingness to lend on the terms and subject to the conditions set forth herein.</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consideration of the mutual covenants and agreements herein contained, the parties hereto covenant and agree as follows:</w:t>
      </w:r>
    </w:p>
    <w:p>
      <w:pPr>
        <w:pStyle w:val="TextBody"/>
        <w:bidi w:val="0"/>
        <w:spacing w:lineRule="auto" w:line="288" w:before="0" w:after="240"/>
        <w:jc w:val="center"/>
        <w:rPr/>
      </w:pPr>
      <w:r>
        <w:rPr>
          <w:rFonts w:ascii="Times New Roman;sans-serif" w:hAnsi="Times New Roman;sans-serif"/>
          <w:b w:val="false"/>
          <w:color w:val="000000"/>
          <w:sz w:val="22"/>
        </w:rPr>
        <w:t>Article 1</w:t>
      </w:r>
      <w:r>
        <w:rPr>
          <w:rFonts w:ascii="Times New Roman;sans-serif" w:hAnsi="Times New Roman;sans-serif"/>
          <w:b w:val="false"/>
          <w:color w:val="000000"/>
          <w:sz w:val="22"/>
        </w:rPr>
        <w:br/>
        <w:br/>
        <w:t>DEFINITIONS AND RULES OF CONSTRUCTION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1.1</w:t>
      </w:r>
      <w:r>
        <w:rPr>
          <w:rFonts w:ascii="Times New Roman;sans-serif" w:hAnsi="Times New Roman;sans-serif"/>
          <w:b w:val="false"/>
          <w:color w:val="000000"/>
          <w:sz w:val="22"/>
          <w:u w:val="single"/>
        </w:rPr>
        <w:t>Definitions</w:t>
      </w:r>
      <w:r>
        <w:rPr>
          <w:rFonts w:ascii="Times New Roman;sans-serif" w:hAnsi="Times New Roman;sans-serif"/>
          <w:b w:val="false"/>
          <w:color w:val="000000"/>
          <w:sz w:val="22"/>
        </w:rPr>
        <w:t>. As used in this Credit Agreement, the following terms have the meanings specified below:</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ABR Borrowing</w:t>
      </w:r>
      <w:r>
        <w:rPr>
          <w:color w:val="000000"/>
        </w:rPr>
        <w:t xml:space="preserve">” </w:t>
      </w:r>
      <w:r>
        <w:rPr>
          <w:rFonts w:ascii="Times New Roman;sans-serif" w:hAnsi="Times New Roman;sans-serif"/>
          <w:b w:val="false"/>
          <w:color w:val="000000"/>
          <w:sz w:val="22"/>
        </w:rPr>
        <w:t>means, as to any Borrowing, the ABR Loans comprising such Borrowing.</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ABR Loan</w:t>
      </w:r>
      <w:r>
        <w:rPr>
          <w:color w:val="000000"/>
        </w:rPr>
        <w:t xml:space="preserve">” </w:t>
      </w:r>
      <w:r>
        <w:rPr>
          <w:rFonts w:ascii="Times New Roman;sans-serif" w:hAnsi="Times New Roman;sans-serif"/>
          <w:b w:val="false"/>
          <w:color w:val="000000"/>
          <w:sz w:val="22"/>
        </w:rPr>
        <w:t xml:space="preserve">means a Loan bearing interest based on the Alternate Base Rate.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ABR Term SOFR Determination Day</w:t>
      </w:r>
      <w:r>
        <w:rPr>
          <w:color w:val="000000"/>
        </w:rPr>
        <w:t xml:space="preserve">” </w:t>
      </w:r>
      <w:r>
        <w:rPr>
          <w:rFonts w:ascii="Times New Roman;sans-serif" w:hAnsi="Times New Roman;sans-serif"/>
          <w:b w:val="false"/>
          <w:color w:val="000000"/>
          <w:sz w:val="22"/>
        </w:rPr>
        <w:t>has the meaning specified in the definition of “Term SOFR.”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Acquisition</w:t>
      </w:r>
      <w:r>
        <w:rPr>
          <w:color w:val="000000"/>
        </w:rPr>
        <w:t xml:space="preserve">” </w:t>
      </w:r>
      <w:r>
        <w:rPr>
          <w:rFonts w:ascii="Times New Roman;sans-serif" w:hAnsi="Times New Roman;sans-serif"/>
          <w:b w:val="false"/>
          <w:color w:val="000000"/>
          <w:sz w:val="22"/>
        </w:rPr>
        <w:t>means any transaction or series of related transactions resulting, directly or indirectly, in: (a) the acquisition by any Person (i) of all or substantially all of the assets of another Person, (ii) of all or substantially all of any business line, unit or division of another Person, (iii) of in excess of 50% of the Equity Interests of any other Person, or (iv) otherwise causing any other Person to become a subsidiary of such Person, or (b) a merger, amalgamation consolidation, or any other combination of any Person with another Person (other than a Person that is a Loan Party or a Subsidiary of a Loan Party) in which a Loan Party or any of its Subsidiaries is the surviving Person.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Adjusted Term SOFR</w:t>
      </w:r>
      <w:r>
        <w:rPr>
          <w:color w:val="000000"/>
        </w:rPr>
        <w:t xml:space="preserve">” </w:t>
      </w:r>
      <w:r>
        <w:rPr>
          <w:rFonts w:ascii="Times New Roman;sans-serif" w:hAnsi="Times New Roman;sans-serif"/>
          <w:b w:val="false"/>
          <w:color w:val="000000"/>
          <w:sz w:val="22"/>
        </w:rPr>
        <w:t xml:space="preserve">means, for purposes of any calculation and subject to the provisions of </w:t>
      </w:r>
      <w:r>
        <w:rPr>
          <w:rFonts w:ascii="Times New Roman;sans-serif" w:hAnsi="Times New Roman;sans-serif"/>
          <w:b w:val="false"/>
          <w:color w:val="000000"/>
          <w:sz w:val="22"/>
          <w:u w:val="single"/>
        </w:rPr>
        <w:t>Section 3.3(b)(i)</w:t>
      </w:r>
      <w:r>
        <w:rPr>
          <w:rFonts w:ascii="Times New Roman;sans-serif" w:hAnsi="Times New Roman;sans-serif"/>
          <w:b w:val="false"/>
          <w:color w:val="000000"/>
          <w:sz w:val="22"/>
        </w:rPr>
        <w:t xml:space="preserve">, the rate per annum equal to (a) Term SOFR for such calculation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(b) the Term SOFR Adjustment;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if Adjusted Term SOFR as so determined shall ever be less than the Floor, then Adjusted Term SOFR shall be deemed to be the Floor.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Administrative Agent</w:t>
      </w:r>
      <w:r>
        <w:rPr>
          <w:color w:val="000000"/>
        </w:rPr>
        <w:t xml:space="preserve">” </w:t>
      </w:r>
      <w:r>
        <w:rPr>
          <w:rFonts w:ascii="Times New Roman;sans-serif" w:hAnsi="Times New Roman;sans-serif"/>
          <w:b w:val="false"/>
          <w:color w:val="000000"/>
          <w:sz w:val="22"/>
        </w:rPr>
        <w:t>means BGC Lender Rep LLC, in its capacity as administrative agent for the Lenders or any successor thereto.</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Administrative Agent’s Payment Office</w:t>
      </w:r>
      <w:r>
        <w:rPr>
          <w:color w:val="000000"/>
        </w:rPr>
        <w:t xml:space="preserve">” </w:t>
      </w:r>
      <w:r>
        <w:rPr>
          <w:rFonts w:ascii="Times New Roman;sans-serif" w:hAnsi="Times New Roman;sans-serif"/>
          <w:b w:val="false"/>
          <w:color w:val="000000"/>
          <w:sz w:val="22"/>
        </w:rPr>
        <w:t xml:space="preserve">means the Administrative Agent’s address and, as appropriate, account as set forth in </w:t>
      </w:r>
      <w:r>
        <w:rPr>
          <w:rFonts w:ascii="Times New Roman;sans-serif" w:hAnsi="Times New Roman;sans-serif"/>
          <w:b w:val="false"/>
          <w:color w:val="000000"/>
          <w:sz w:val="22"/>
          <w:u w:val="single"/>
        </w:rPr>
        <w:t>Section 10.1</w:t>
      </w:r>
      <w:r>
        <w:rPr>
          <w:rFonts w:ascii="Times New Roman;sans-serif" w:hAnsi="Times New Roman;sans-serif"/>
          <w:b w:val="false"/>
          <w:color w:val="000000"/>
          <w:sz w:val="22"/>
        </w:rPr>
        <w:t>, or such other address or account as the Administrative Agent may from time to time notify to the Borrower and the Lenders.</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Administrative Questionnaire</w:t>
      </w:r>
      <w:r>
        <w:rPr>
          <w:color w:val="000000"/>
        </w:rPr>
        <w:t xml:space="preserve">” </w:t>
      </w:r>
      <w:r>
        <w:rPr>
          <w:rFonts w:ascii="Times New Roman;sans-serif" w:hAnsi="Times New Roman;sans-serif"/>
          <w:b w:val="false"/>
          <w:color w:val="000000"/>
          <w:sz w:val="22"/>
        </w:rPr>
        <w:t>means an Administrative Questionnaire in a form supplied by or otherwise acceptable to the Administrative Agent.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Affected Financial Institution</w:t>
      </w:r>
      <w:r>
        <w:rPr>
          <w:color w:val="000000"/>
        </w:rPr>
        <w:t xml:space="preserve">” </w:t>
      </w:r>
      <w:r>
        <w:rPr>
          <w:rFonts w:ascii="Times New Roman;sans-serif" w:hAnsi="Times New Roman;sans-serif"/>
          <w:b w:val="false"/>
          <w:color w:val="000000"/>
          <w:sz w:val="22"/>
        </w:rPr>
        <w:t>means (a) any EEA Financial Institution or (b) any UK Financial Institution.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Affiliate</w:t>
      </w:r>
      <w:r>
        <w:rPr>
          <w:color w:val="000000"/>
        </w:rPr>
        <w:t xml:space="preserve">” </w:t>
      </w:r>
      <w:r>
        <w:rPr>
          <w:rFonts w:ascii="Times New Roman;sans-serif" w:hAnsi="Times New Roman;sans-serif"/>
          <w:b w:val="false"/>
          <w:color w:val="000000"/>
          <w:sz w:val="22"/>
        </w:rPr>
        <w:t xml:space="preserve">means, with respect to a specified Person, another Person that directly, or indirectly through one or more intermediaries, Controls or is Controlled by or is under common Control with the Person specified;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none of the Administrative Agent or the Lenders shall be deemed to be Affiliates of the Loan Parties.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Agent Parties</w:t>
      </w:r>
      <w:r>
        <w:rPr>
          <w:color w:val="000000"/>
        </w:rPr>
        <w:t xml:space="preserve">” </w:t>
      </w:r>
      <w:r>
        <w:rPr>
          <w:rFonts w:ascii="Times New Roman;sans-serif" w:hAnsi="Times New Roman;sans-serif"/>
          <w:b w:val="false"/>
          <w:color w:val="000000"/>
          <w:sz w:val="22"/>
        </w:rPr>
        <w:t xml:space="preserve">has the meaning assigned to such term in </w:t>
      </w:r>
      <w:r>
        <w:rPr>
          <w:rFonts w:ascii="Times New Roman;sans-serif" w:hAnsi="Times New Roman;sans-serif"/>
          <w:b w:val="false"/>
          <w:color w:val="000000"/>
          <w:sz w:val="22"/>
          <w:u w:val="single"/>
        </w:rPr>
        <w:t>Section 10.1(d)(iii)</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Alternate Base Rate</w:t>
      </w:r>
      <w:r>
        <w:rPr>
          <w:color w:val="000000"/>
        </w:rPr>
        <w:t xml:space="preserve">” </w:t>
      </w:r>
      <w:r>
        <w:rPr>
          <w:rFonts w:ascii="Times New Roman;sans-serif" w:hAnsi="Times New Roman;sans-serif"/>
          <w:b w:val="false"/>
          <w:color w:val="000000"/>
          <w:sz w:val="22"/>
        </w:rPr>
        <w:t xml:space="preserve">means, for any day, a rate per annum equal to the greatest of (a) the Prime Rate in effect on such day, (b) the Federal Funds Effective Rate in effect on such day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0.50% per annum, (c) Adjusted Term SOFR in effect on such day for a one-month Interest Period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1.00% per annum and (d) 3.5% per annum. If the Alternate Base Rate is being used as an alternative rate of interest pursuant to </w:t>
      </w:r>
      <w:r>
        <w:rPr>
          <w:rFonts w:ascii="Times New Roman;sans-serif" w:hAnsi="Times New Roman;sans-serif"/>
          <w:b w:val="false"/>
          <w:color w:val="000000"/>
          <w:sz w:val="22"/>
          <w:u w:val="single"/>
        </w:rPr>
        <w:t>Section 3.3(b)</w:t>
      </w:r>
      <w:r>
        <w:rPr>
          <w:rFonts w:ascii="Times New Roman;sans-serif" w:hAnsi="Times New Roman;sans-serif"/>
          <w:b w:val="false"/>
          <w:color w:val="000000"/>
          <w:sz w:val="22"/>
        </w:rPr>
        <w:t>, then the Alternate Base Rate shall be the greater of clause (a), (b) and (d) above and shall be determined without reference to clause (c) above. Any change in the Alternate Base Rate due to a change in the Prime Rate, the Federal Funds Effective Rate or Adjusted Term SOFR shall be effective from and including the effective date of such change in the Prime Rate, the Federal Funds Effective Rate or Adjusted Term SOFR, respectively.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Anti-Corruption Laws</w:t>
      </w:r>
      <w:r>
        <w:rPr>
          <w:color w:val="000000"/>
        </w:rPr>
        <w:t xml:space="preserve">” </w:t>
      </w:r>
      <w:r>
        <w:rPr>
          <w:rFonts w:ascii="Times New Roman;sans-serif" w:hAnsi="Times New Roman;sans-serif"/>
          <w:b w:val="false"/>
          <w:color w:val="000000"/>
          <w:sz w:val="22"/>
        </w:rPr>
        <w:t>means all laws, rules, and regulations of any jurisdiction applicable to the Loan Parties or their respective Subsidiaries from time to time concerning or relating to bribery or corruption.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Anti-Terrorism Laws</w:t>
      </w:r>
      <w:r>
        <w:rPr>
          <w:color w:val="000000"/>
        </w:rPr>
        <w:t xml:space="preserve">” </w:t>
      </w:r>
      <w:r>
        <w:rPr>
          <w:rFonts w:ascii="Times New Roman;sans-serif" w:hAnsi="Times New Roman;sans-serif"/>
          <w:b w:val="false"/>
          <w:color w:val="000000"/>
          <w:sz w:val="22"/>
        </w:rPr>
        <w:t xml:space="preserve">has the meaning assigned to such term in </w:t>
      </w:r>
      <w:r>
        <w:rPr>
          <w:rFonts w:ascii="Times New Roman;sans-serif" w:hAnsi="Times New Roman;sans-serif"/>
          <w:b w:val="false"/>
          <w:color w:val="000000"/>
          <w:sz w:val="22"/>
          <w:u w:val="single"/>
        </w:rPr>
        <w:t>Section 5.18(c)</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Applicable Lending Office</w:t>
      </w:r>
      <w:r>
        <w:rPr>
          <w:color w:val="000000"/>
        </w:rPr>
        <w:t xml:space="preserve">” </w:t>
      </w:r>
      <w:r>
        <w:rPr>
          <w:rFonts w:ascii="Times New Roman;sans-serif" w:hAnsi="Times New Roman;sans-serif"/>
          <w:b w:val="false"/>
          <w:color w:val="000000"/>
          <w:sz w:val="22"/>
        </w:rPr>
        <w:t>means for any Lender, such Lender’s office, branch or affiliate designated for SOFR Loans or ABR Loans, as applicable, as notified to the Administrative Agent, any of which offices may be changed by such Lender.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Applicable Margin</w:t>
      </w:r>
      <w:r>
        <w:rPr>
          <w:color w:val="000000"/>
        </w:rPr>
        <w:t xml:space="preserve">” </w:t>
      </w:r>
      <w:r>
        <w:rPr>
          <w:rFonts w:ascii="Times New Roman;sans-serif" w:hAnsi="Times New Roman;sans-serif"/>
          <w:b w:val="false"/>
          <w:color w:val="000000"/>
          <w:sz w:val="22"/>
        </w:rPr>
        <w:t>means, with respect to the Loans, a percentage per annum equal to (i) for SOFR Loans, 5.50% and (ii) for ABR Loans, 4.50%.</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Applicable Percentage</w:t>
      </w:r>
      <w:r>
        <w:rPr>
          <w:color w:val="000000"/>
        </w:rPr>
        <w:t xml:space="preserve">” </w:t>
      </w:r>
      <w:r>
        <w:rPr>
          <w:rFonts w:ascii="Times New Roman;sans-serif" w:hAnsi="Times New Roman;sans-serif"/>
          <w:b w:val="false"/>
          <w:color w:val="000000"/>
          <w:sz w:val="22"/>
        </w:rPr>
        <w:t>means, with respect to any Lender, (a) on or prior to the Closing Date, the percentage of the total Commitments of all Lenders represented by such Lender’s Commitments at such time and (b) thereafter, the percentage of the total Outstanding Amount of Loans of all Lenders represented by the aggregate Outstanding Amount of Loans of such Lender at such time.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Approved Foreign Bank</w:t>
      </w:r>
      <w:r>
        <w:rPr>
          <w:color w:val="000000"/>
        </w:rPr>
        <w:t xml:space="preserve">” </w:t>
      </w:r>
      <w:r>
        <w:rPr>
          <w:rFonts w:ascii="Times New Roman;sans-serif" w:hAnsi="Times New Roman;sans-serif"/>
          <w:b w:val="false"/>
          <w:color w:val="000000"/>
          <w:sz w:val="22"/>
        </w:rPr>
        <w:t>has the meaning assigned to such term in the definition of “Cash Equivalents.”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Approved Fund</w:t>
      </w:r>
      <w:r>
        <w:rPr>
          <w:color w:val="000000"/>
        </w:rPr>
        <w:t xml:space="preserve">” </w:t>
      </w:r>
      <w:r>
        <w:rPr>
          <w:rFonts w:ascii="Times New Roman;sans-serif" w:hAnsi="Times New Roman;sans-serif"/>
          <w:b w:val="false"/>
          <w:color w:val="000000"/>
          <w:sz w:val="22"/>
        </w:rPr>
        <w:t>means any Fund that is administered or managed by (a) a Lender, (b) an Affiliate of a Lender or (c) an entity or an Affiliate of an entity that administers or manages a Lender.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Approved Line of Business</w:t>
      </w:r>
      <w:r>
        <w:rPr>
          <w:color w:val="000000"/>
        </w:rPr>
        <w:t xml:space="preserve">” </w:t>
      </w:r>
      <w:r>
        <w:rPr>
          <w:rFonts w:ascii="Times New Roman;sans-serif" w:hAnsi="Times New Roman;sans-serif"/>
          <w:b w:val="false"/>
          <w:color w:val="000000"/>
          <w:sz w:val="22"/>
        </w:rPr>
        <w:t xml:space="preserve">means, collectively, (a) those lines of business in which the Borrower and its Subsidiaries operate on the Closing Date (after giving effect to the Transactions </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2</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occurring on the Closing Date) and (b) any business or activity that is the same, similar or otherwise reasonably related, ancillary, synergistic, complementary or incidental thereto.</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Assignment and Assumption</w:t>
      </w:r>
      <w:r>
        <w:rPr>
          <w:color w:val="000000"/>
        </w:rPr>
        <w:t xml:space="preserve">” </w:t>
      </w:r>
      <w:r>
        <w:rPr>
          <w:rFonts w:ascii="Times New Roman;sans-serif" w:hAnsi="Times New Roman;sans-serif"/>
          <w:b w:val="false"/>
          <w:color w:val="000000"/>
          <w:sz w:val="22"/>
        </w:rPr>
        <w:t xml:space="preserve">means an assignment and assumption entered into by a Lender and an Eligible Assignee (with the consent of any party whose consent is required by </w:t>
      </w:r>
      <w:r>
        <w:rPr>
          <w:rFonts w:ascii="Times New Roman;sans-serif" w:hAnsi="Times New Roman;sans-serif"/>
          <w:b w:val="false"/>
          <w:color w:val="000000"/>
          <w:sz w:val="22"/>
          <w:u w:val="single"/>
        </w:rPr>
        <w:t>Section 10.4</w:t>
      </w:r>
      <w:r>
        <w:rPr>
          <w:rFonts w:ascii="Times New Roman;sans-serif" w:hAnsi="Times New Roman;sans-serif"/>
          <w:b w:val="false"/>
          <w:color w:val="000000"/>
          <w:sz w:val="22"/>
        </w:rPr>
        <w:t xml:space="preserve">) and accepted by the Administrative Agent, in substantially the form of </w:t>
      </w:r>
      <w:r>
        <w:rPr>
          <w:rFonts w:ascii="Times New Roman;sans-serif" w:hAnsi="Times New Roman;sans-serif"/>
          <w:b w:val="false"/>
          <w:color w:val="000000"/>
          <w:sz w:val="22"/>
          <w:u w:val="single"/>
        </w:rPr>
        <w:t>Exhibit A</w:t>
      </w:r>
      <w:r>
        <w:rPr>
          <w:color w:val="000000"/>
        </w:rPr>
        <w:t xml:space="preserve"> </w:t>
      </w:r>
      <w:r>
        <w:rPr>
          <w:rFonts w:ascii="Times New Roman;sans-serif" w:hAnsi="Times New Roman;sans-serif"/>
          <w:b w:val="false"/>
          <w:color w:val="000000"/>
          <w:sz w:val="22"/>
        </w:rPr>
        <w:t>or any other form approved by the Administrative Agent.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Attorney Costs</w:t>
      </w:r>
      <w:r>
        <w:rPr>
          <w:color w:val="000000"/>
        </w:rPr>
        <w:t xml:space="preserve">” </w:t>
      </w:r>
      <w:r>
        <w:rPr>
          <w:rFonts w:ascii="Times New Roman;sans-serif" w:hAnsi="Times New Roman;sans-serif"/>
          <w:b w:val="false"/>
          <w:color w:val="000000"/>
          <w:sz w:val="22"/>
        </w:rPr>
        <w:t>means, when referring to the Attorney Costs of (a) the Administrative Agent, all reasonable and documented fees and reasonable and documented out-of-pocket expenses, charges, disbursements and other charges of one law firm (and one local counsel in each relevant jurisdiction and one special or regulatory counsel for each relevant subject matter to the extent reasonably necessary) and (b) the Credit Parties other than the Administrative Agent, all reasonable and documented fees and reasonable and documented out of pocket expenses, charges, disbursements and other charges of one law firm for such Credit Parties and, solely in the case of an actual or potential conflict of interest, one additional counsel for such Credit Parties affected by such conflict of interest.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Attributable Indebtedness</w:t>
      </w:r>
      <w:r>
        <w:rPr>
          <w:color w:val="000000"/>
        </w:rPr>
        <w:t xml:space="preserve">” </w:t>
      </w:r>
      <w:r>
        <w:rPr>
          <w:rFonts w:ascii="Times New Roman;sans-serif" w:hAnsi="Times New Roman;sans-serif"/>
          <w:b w:val="false"/>
          <w:color w:val="000000"/>
          <w:sz w:val="22"/>
        </w:rPr>
        <w:t>means, at any date, (a) in respect of any Financing Lease of any Person, the Financing Lease Obligations with respect thereto, (b) in respect of any Synthetic Lease Obligation of any Person, the capitalized or principal amount of the remaining lease payments under the relevant lease that would appear on a balance sheet of such Person prepared as of such date in accordance with GAAP if such lease or other agreement were accounted for as a Financing Lease, and (c) all Synthetic Debt of such Person.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Audited Financial Statements</w:t>
      </w:r>
      <w:r>
        <w:rPr>
          <w:color w:val="000000"/>
        </w:rPr>
        <w:t xml:space="preserve">” </w:t>
      </w:r>
      <w:r>
        <w:rPr>
          <w:rFonts w:ascii="Times New Roman;sans-serif" w:hAnsi="Times New Roman;sans-serif"/>
          <w:b w:val="false"/>
          <w:color w:val="000000"/>
          <w:sz w:val="22"/>
        </w:rPr>
        <w:t>means the Borrower’s annual report on Form 10-K containing the audited consolidated balance sheet of the Borrower</w:t>
      </w:r>
      <w:r>
        <w:rPr>
          <w:color w:val="000000"/>
        </w:rPr>
        <w:t xml:space="preserve"> </w:t>
      </w:r>
      <w:r>
        <w:rPr>
          <w:rFonts w:ascii="Times New Roman;sans-serif" w:hAnsi="Times New Roman;sans-serif"/>
          <w:b w:val="false"/>
          <w:color w:val="000000"/>
          <w:sz w:val="22"/>
        </w:rPr>
        <w:t>and its Subsidiaries as of the last day of each of the three most recent Fiscal Years ended at least 90 days prior to the Closing Date and the related audited consolidated statements of income, comprehensive income, cash flows and shareholders’ equity of the Borrower and its Subsidiaries for each of the three most recent Fiscal Years ended at least 90 days prior to the Closing Date.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Available Tenor</w:t>
      </w:r>
      <w:r>
        <w:rPr>
          <w:color w:val="000000"/>
        </w:rPr>
        <w:t xml:space="preserve">” </w:t>
      </w:r>
      <w:r>
        <w:rPr>
          <w:rFonts w:ascii="Times New Roman;sans-serif" w:hAnsi="Times New Roman;sans-serif"/>
          <w:b w:val="false"/>
          <w:color w:val="000000"/>
          <w:sz w:val="22"/>
        </w:rPr>
        <w:t xml:space="preserve">means, as of any date of determination and with respect to the then-current Benchmark, as applicable, if such Benchmark is a term rate, any tenor for such Benchmark (or component thereof) that is or may be used for determining the length of an interest period pursuant to this Credit Agreement as of such date and not including, for the avoidance of doubt, any tenor for such Benchmark that is then-removed from the definition of “Interest Period” pursuant to </w:t>
      </w:r>
      <w:r>
        <w:rPr>
          <w:rFonts w:ascii="Times New Roman;sans-serif" w:hAnsi="Times New Roman;sans-serif"/>
          <w:b w:val="false"/>
          <w:color w:val="000000"/>
          <w:sz w:val="22"/>
          <w:u w:val="single"/>
        </w:rPr>
        <w:t>Section 3.3(b)(iv)</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Average Liquidity</w:t>
      </w:r>
      <w:r>
        <w:rPr>
          <w:color w:val="000000"/>
        </w:rPr>
        <w:t xml:space="preserve">” </w:t>
      </w:r>
      <w:r>
        <w:rPr>
          <w:rFonts w:ascii="Times New Roman;sans-serif" w:hAnsi="Times New Roman;sans-serif"/>
          <w:b w:val="false"/>
          <w:color w:val="000000"/>
          <w:sz w:val="22"/>
        </w:rPr>
        <w:t xml:space="preserve">means, for any Four Week Reporting Period, the amount equal to (x) the sum of Weekly Liquidity for each Calendar Week during such Four Week Reporting Period </w:t>
      </w:r>
      <w:r>
        <w:rPr>
          <w:rFonts w:ascii="Times New Roman;sans-serif" w:hAnsi="Times New Roman;sans-serif"/>
          <w:b w:val="false"/>
          <w:i/>
          <w:color w:val="000000"/>
          <w:sz w:val="22"/>
        </w:rPr>
        <w:t>divided</w:t>
      </w:r>
      <w:r>
        <w:rPr>
          <w:color w:val="000000"/>
        </w:rPr>
        <w:t xml:space="preserve"> </w:t>
      </w:r>
      <w:r>
        <w:rPr>
          <w:rFonts w:ascii="Times New Roman;sans-serif" w:hAnsi="Times New Roman;sans-serif"/>
          <w:b w:val="false"/>
          <w:color w:val="000000"/>
          <w:sz w:val="22"/>
        </w:rPr>
        <w:t xml:space="preserve">by four (4).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Bail-In Action</w:t>
      </w:r>
      <w:r>
        <w:rPr>
          <w:color w:val="000000"/>
        </w:rPr>
        <w:t xml:space="preserve">” </w:t>
      </w:r>
      <w:r>
        <w:rPr>
          <w:rFonts w:ascii="Times New Roman;sans-serif" w:hAnsi="Times New Roman;sans-serif"/>
          <w:b w:val="false"/>
          <w:color w:val="000000"/>
          <w:sz w:val="22"/>
        </w:rPr>
        <w:t>means the exercise of any Write-Down and Conversion Powers by the applicable Resolution Authority in respect of any liability of an Affected Financial Institution.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Bail-In Legislation</w:t>
      </w:r>
      <w:r>
        <w:rPr>
          <w:color w:val="000000"/>
        </w:rPr>
        <w:t xml:space="preserve">” </w:t>
      </w:r>
      <w:r>
        <w:rPr>
          <w:rFonts w:ascii="Times New Roman;sans-serif" w:hAnsi="Times New Roman;sans-serif"/>
          <w:b w:val="false"/>
          <w:color w:val="000000"/>
          <w:sz w:val="22"/>
        </w:rPr>
        <w:t xml:space="preserve">means (a) with respect to any EEA Member Country implementing Article 55 of Directive 2014/59/EU of the European Parliament and of the Council of the European Union, the implementing law, regulation, rule or requirement for such EEA Member Country from time to time that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3</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firms or other financial institutions or their affiliates (other than through liquidation, administration or other insolvency proceedings).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Bankruptcy Code</w:t>
      </w:r>
      <w:r>
        <w:rPr>
          <w:color w:val="000000"/>
        </w:rPr>
        <w:t xml:space="preserve">” </w:t>
      </w:r>
      <w:r>
        <w:rPr>
          <w:rFonts w:ascii="Times New Roman;sans-serif" w:hAnsi="Times New Roman;sans-serif"/>
          <w:b w:val="false"/>
          <w:color w:val="000000"/>
          <w:sz w:val="22"/>
        </w:rPr>
        <w:t>means Title 11 of the United State Code or any similar federal or state law for the relief of debtors.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Benchmark</w:t>
      </w:r>
      <w:r>
        <w:rPr>
          <w:color w:val="000000"/>
        </w:rPr>
        <w:t xml:space="preserve">” </w:t>
      </w:r>
      <w:r>
        <w:rPr>
          <w:rFonts w:ascii="Times New Roman;sans-serif" w:hAnsi="Times New Roman;sans-serif"/>
          <w:b w:val="false"/>
          <w:color w:val="000000"/>
          <w:sz w:val="22"/>
        </w:rPr>
        <w:t xml:space="preserve">means, initially, the Term SOFR Reference Rate;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if a Benchmark Transition Event has occurred with respect to the Term SOFR Reference Rate or the then-current Benchmark, then “Benchmark” means the applicable Benchmark Replacement to the extent that such Benchmark Replacement has replaced such prior benchmark rate pursuant to </w:t>
      </w:r>
      <w:r>
        <w:rPr>
          <w:rFonts w:ascii="Times New Roman;sans-serif" w:hAnsi="Times New Roman;sans-serif"/>
          <w:b w:val="false"/>
          <w:color w:val="000000"/>
          <w:sz w:val="22"/>
          <w:u w:val="single"/>
        </w:rPr>
        <w:t>Section 3.3(b)(i)</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Benchmark Replacement</w:t>
      </w:r>
      <w:r>
        <w:rPr>
          <w:color w:val="000000"/>
        </w:rPr>
        <w:t xml:space="preserve">” </w:t>
      </w:r>
      <w:r>
        <w:rPr>
          <w:rFonts w:ascii="Times New Roman;sans-serif" w:hAnsi="Times New Roman;sans-serif"/>
          <w:b w:val="false"/>
          <w:color w:val="000000"/>
          <w:sz w:val="22"/>
        </w:rPr>
        <w:t>means, with respect to any Benchmark Transition Event, the first alternative set forth in the order below that can be determined by the Administrative Agent for the applicable Benchmark Replacement Date:</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the sum of (i) Daily Simple SOFR and (ii) 0.10% (ten (10) basis points); or </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     the sum of: (i) the alternate benchmark rate that has been selected by the Administrative Agent and the Borrower giving due consideration to (A) any selection or recommendation of a replacement benchmark rate or the mechanism for determining such a rate by the Relevant Governmental Body or (B) any evolving or then-prevailing market convention for determining a benchmark rate as a replacement to the then-current Benchmark for Dollar-denominated syndicated credit facilities and (ii) the related Benchmark Replacement Adjustment.</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If the Benchmark Replacement as determined pursuant to clause (a) or (b) above would be less than the Floor, the Benchmark Replacement will be deemed to be the Floor for the purposes of this Credit Agreement and the other Loan Documents.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Benchmark Replacement Adjustment</w:t>
      </w:r>
      <w:r>
        <w:rPr>
          <w:color w:val="000000"/>
        </w:rPr>
        <w:t xml:space="preserve">” </w:t>
      </w:r>
      <w:r>
        <w:rPr>
          <w:rFonts w:ascii="Times New Roman;sans-serif" w:hAnsi="Times New Roman;sans-serif"/>
          <w:b w:val="false"/>
          <w:color w:val="000000"/>
          <w:sz w:val="22"/>
        </w:rPr>
        <w:t>means,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Benchmark Replacement Date</w:t>
      </w:r>
      <w:r>
        <w:rPr>
          <w:color w:val="000000"/>
        </w:rPr>
        <w:t xml:space="preserve">” </w:t>
      </w:r>
      <w:r>
        <w:rPr>
          <w:rFonts w:ascii="Times New Roman;sans-serif" w:hAnsi="Times New Roman;sans-serif"/>
          <w:b w:val="false"/>
          <w:color w:val="000000"/>
          <w:sz w:val="22"/>
        </w:rPr>
        <w:t>means the earliest to occur of the following events with respect to the then-current Benchmark:</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    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such Benchmark (or such component thereof) or, if such Benchmark is a term rate, all Available Tenors of such Benchmark (or such component thereof); or</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    in the case of clause (c) of the definition of “Benchmark Transition Event,” the first date on which such Benchmark (or the published component used in the calculation thereof) has been or, if </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4</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such Benchmark is a term rate, all Available Tenors of such Benchmark (or such component thereof) have been determined and announced by the regulatory supervisor for the administrator of such Benchmark (or such component thereof) to be non-representative;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such non-representativeness will be determined by reference to the most recent statement or publication referenced in such clause (c) and even if such Benchmark (or such component thereof) or, if such Benchmark is a term rate, any Available Tenor of such Benchmark (or such component thereof) continues to be provided on such date.</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For the avoidance of doubt, if such Benchmark is a term rate, the “Benchmark Replacement Date” will be deemed to have occurred in the case of clause (a) or (b) above 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Benchmark Transition Event</w:t>
      </w:r>
      <w:r>
        <w:rPr>
          <w:color w:val="000000"/>
        </w:rPr>
        <w:t xml:space="preserve">” </w:t>
      </w:r>
      <w:r>
        <w:rPr>
          <w:rFonts w:ascii="Times New Roman;sans-serif" w:hAnsi="Times New Roman;sans-serif"/>
          <w:b w:val="false"/>
          <w:color w:val="000000"/>
          <w:sz w:val="22"/>
        </w:rPr>
        <w:t>means the occurrence of one or more of the following events with respect to the then-current Benchmark:</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(a)    a public statement or publication of information by or on behalf of the administrator of such Benchmark (or the published component used in the calculation thereof) announcing that such administrator has ceased or will cease to provide such Benchmark (or such component thereof) or, if such Benchmark is a term rate, all Available Tenors of such Benchmark (or such component thereof), permanently or indefinitely;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at the time of such statement or publication, there is no successor administrator that will continue to provide such Benchmark (or such component thereof) or, if such Benchmark is a term rate, any Available Tenor of such Benchmark (or such component thereof);</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(b)    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such Benchmark (or such component thereof) or, if such Benchmark is a term rate, all Available Tenors of such Benchmark (or such component thereof) permanently or indefinitely;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at the time of such statement or publication, there is no successor administrator that will continue to provide such Benchmark (or such component thereof) or, if such Benchmark is a term rate, any Available Tenor of such Benchmark (or such component thereof); or</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(c)    a public statement or publication of information by the regulatory supervisor for the administrator of such Benchmark (or the published component used in the calculation thereof) announcing that such Benchmark (or such component thereof) or, if such Benchmark is a term rate, all Available Tenors of such Benchmark (or such component thereof) are not, or as of a specified future date will not be, representative.</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For the avoidance of doubt, if such Benchmark is a term rate,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5</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Benchmark Unavailability Period</w:t>
      </w:r>
      <w:r>
        <w:rPr>
          <w:color w:val="000000"/>
        </w:rPr>
        <w:t xml:space="preserve">” </w:t>
      </w:r>
      <w:r>
        <w:rPr>
          <w:rFonts w:ascii="Times New Roman;sans-serif" w:hAnsi="Times New Roman;sans-serif"/>
          <w:b w:val="false"/>
          <w:color w:val="000000"/>
          <w:sz w:val="22"/>
        </w:rPr>
        <w:t xml:space="preserve">means, the period (if any) (a) beginning at the time that a Benchmark Replacement Date has occurred if, at such time, no Benchmark Replacement has replaced the then-current Benchmark for all purposes hereunder and under any Loan Document in accordance with </w:t>
      </w:r>
      <w:r>
        <w:rPr>
          <w:rFonts w:ascii="Times New Roman;sans-serif" w:hAnsi="Times New Roman;sans-serif"/>
          <w:b w:val="false"/>
          <w:color w:val="000000"/>
          <w:sz w:val="22"/>
          <w:u w:val="single"/>
        </w:rPr>
        <w:t>Section 3.3(b)</w:t>
      </w:r>
      <w:r>
        <w:rPr>
          <w:color w:val="000000"/>
        </w:rPr>
        <w:t xml:space="preserve"> </w:t>
      </w:r>
      <w:r>
        <w:rPr>
          <w:rFonts w:ascii="Times New Roman;sans-serif" w:hAnsi="Times New Roman;sans-serif"/>
          <w:b w:val="false"/>
          <w:color w:val="000000"/>
          <w:sz w:val="22"/>
        </w:rPr>
        <w:t xml:space="preserve">and (b) ending at the time that a Benchmark Replacement has replaced the then-current Benchmark for all purposes hereunder and under any Loan Document in accordance with </w:t>
      </w:r>
      <w:r>
        <w:rPr>
          <w:rFonts w:ascii="Times New Roman;sans-serif" w:hAnsi="Times New Roman;sans-serif"/>
          <w:b w:val="false"/>
          <w:color w:val="000000"/>
          <w:sz w:val="22"/>
          <w:u w:val="single"/>
        </w:rPr>
        <w:t>Section 3.3(b)</w:t>
      </w:r>
      <w:r>
        <w:rPr>
          <w:rFonts w:ascii="Times New Roman;sans-serif" w:hAnsi="Times New Roman;sans-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Beneficial Ownership Certification</w:t>
      </w:r>
      <w:r>
        <w:rPr>
          <w:color w:val="000000"/>
        </w:rPr>
        <w:t xml:space="preserve">” </w:t>
      </w:r>
      <w:r>
        <w:rPr>
          <w:rFonts w:ascii="Times New Roman;sans-serif" w:hAnsi="Times New Roman;sans-serif"/>
          <w:b w:val="false"/>
          <w:color w:val="000000"/>
          <w:sz w:val="22"/>
        </w:rPr>
        <w:t>means, with respect to the Borrower, a certification regarding beneficial ownership as required by the Beneficial Ownership Regulation, which certification shall be substantially similar in form and substance to the form of Certification Regarding Beneficial Owners of Legal Entity Customers published jointly, in May 2018, by the Loan Syndications and Trading Association and Securities Industry and Financial Markets Association or such other form satisfactory to the Administrative Agent.</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Beneficial Ownership Regulation</w:t>
      </w:r>
      <w:r>
        <w:rPr>
          <w:color w:val="000000"/>
        </w:rPr>
        <w:t xml:space="preserve">” </w:t>
      </w:r>
      <w:r>
        <w:rPr>
          <w:rFonts w:ascii="Times New Roman;sans-serif" w:hAnsi="Times New Roman;sans-serif"/>
          <w:b w:val="false"/>
          <w:color w:val="000000"/>
          <w:sz w:val="22"/>
        </w:rPr>
        <w:t>means 31 C.F.R. § 1010.230.</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Board</w:t>
      </w:r>
      <w:r>
        <w:rPr>
          <w:color w:val="000000"/>
        </w:rPr>
        <w:t xml:space="preserve">” </w:t>
      </w:r>
      <w:r>
        <w:rPr>
          <w:rFonts w:ascii="Times New Roman;sans-serif" w:hAnsi="Times New Roman;sans-serif"/>
          <w:b w:val="false"/>
          <w:color w:val="000000"/>
          <w:sz w:val="22"/>
        </w:rPr>
        <w:t>means the Board of Governors of the Federal Reserve System of the United States.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Borrower</w:t>
      </w:r>
      <w:r>
        <w:rPr>
          <w:color w:val="000000"/>
        </w:rPr>
        <w:t xml:space="preserve">” </w:t>
      </w:r>
      <w:r>
        <w:rPr>
          <w:rFonts w:ascii="Times New Roman;sans-serif" w:hAnsi="Times New Roman;sans-serif"/>
          <w:b w:val="false"/>
          <w:color w:val="000000"/>
          <w:sz w:val="22"/>
        </w:rPr>
        <w:t>has the meaning assigned to such term in the Preamble.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Borrowing</w:t>
      </w:r>
      <w:r>
        <w:rPr>
          <w:color w:val="000000"/>
        </w:rPr>
        <w:t xml:space="preserve">” </w:t>
      </w:r>
      <w:r>
        <w:rPr>
          <w:rFonts w:ascii="Times New Roman;sans-serif" w:hAnsi="Times New Roman;sans-serif"/>
          <w:b w:val="false"/>
          <w:color w:val="000000"/>
          <w:sz w:val="22"/>
        </w:rPr>
        <w:t>means Loans of the same Type and currency made, converted or continued on the same date and, in the case of SOFR Loans, as to which a single Interest Period is in effect.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Borrowing Minimum</w:t>
      </w:r>
      <w:r>
        <w:rPr>
          <w:color w:val="000000"/>
        </w:rPr>
        <w:t xml:space="preserve">” </w:t>
      </w:r>
      <w:r>
        <w:rPr>
          <w:rFonts w:ascii="Times New Roman;sans-serif" w:hAnsi="Times New Roman;sans-serif"/>
          <w:b w:val="false"/>
          <w:color w:val="000000"/>
          <w:sz w:val="22"/>
        </w:rPr>
        <w:t>means (a) in the case of a SOFR Borrowing, $500,000 and (b) in the case of an ABR Borrowing, $100,000.</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Borrowing</w:t>
      </w:r>
      <w:r>
        <w:rPr>
          <w:color w:val="000000"/>
        </w:rPr>
        <w:t xml:space="preserve"> </w:t>
      </w:r>
      <w:r>
        <w:rPr>
          <w:rFonts w:ascii="Times New Roman;sans-serif" w:hAnsi="Times New Roman;sans-serif"/>
          <w:b w:val="false"/>
          <w:color w:val="000000"/>
          <w:sz w:val="22"/>
        </w:rPr>
        <w:t>Multiple” means (a) in the case of a SOFR Borrowing $100,000 and (b) in the case of an ABR Borrowing, $50,000.</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Business Day</w:t>
      </w:r>
      <w:r>
        <w:rPr>
          <w:color w:val="000000"/>
        </w:rPr>
        <w:t xml:space="preserve">” </w:t>
      </w:r>
      <w:r>
        <w:rPr>
          <w:rFonts w:ascii="Times New Roman;sans-serif" w:hAnsi="Times New Roman;sans-serif"/>
          <w:b w:val="false"/>
          <w:color w:val="000000"/>
          <w:sz w:val="22"/>
        </w:rPr>
        <w:t>means any day other than a Saturday, Sunday or day on which banks in New York City, New York are authorized or required by law to close.</w:t>
      </w:r>
    </w:p>
    <w:p>
      <w:pPr>
        <w:pStyle w:val="TextBody"/>
        <w:bidi w:val="0"/>
        <w:spacing w:lineRule="auto" w:line="276" w:before="0" w:after="240"/>
        <w:ind w:left="0" w:right="0" w:firstLine="720"/>
        <w:jc w:val="both"/>
        <w:rPr/>
      </w:pPr>
      <w:r>
        <w:rPr>
          <w:color w:val="000000"/>
        </w:rPr>
        <w:t>“</w:t>
      </w:r>
      <w:r>
        <w:rPr>
          <w:rFonts w:ascii="Times New Roman;sans-serif" w:hAnsi="Times New Roman;sans-serif"/>
          <w:b w:val="false"/>
          <w:color w:val="000000"/>
          <w:sz w:val="22"/>
          <w:u w:val="single"/>
        </w:rPr>
        <w:t>Calendar Week</w:t>
      </w:r>
      <w:r>
        <w:rPr>
          <w:color w:val="000000"/>
        </w:rPr>
        <w:t xml:space="preserve">” </w:t>
      </w:r>
      <w:r>
        <w:rPr>
          <w:rFonts w:ascii="Times New Roman;sans-serif" w:hAnsi="Times New Roman;sans-serif"/>
          <w:b w:val="false"/>
          <w:color w:val="000000"/>
          <w:sz w:val="22"/>
        </w:rPr>
        <w:t>means the seven (7) consecutive calendar day period commencing on a Saturday through and including the following Friday.</w:t>
      </w:r>
    </w:p>
    <w:p>
      <w:pPr>
        <w:pStyle w:val="TextBody"/>
        <w:bidi w:val="0"/>
        <w:spacing w:lineRule="auto" w:line="276" w:before="0" w:after="240"/>
        <w:ind w:left="0" w:right="0" w:firstLine="720"/>
        <w:jc w:val="both"/>
        <w:rPr/>
      </w:pPr>
      <w:r>
        <w:rPr>
          <w:color w:val="000000"/>
        </w:rPr>
        <w:t>“</w:t>
      </w:r>
      <w:r>
        <w:rPr>
          <w:rFonts w:ascii="Times New Roman;sans-serif" w:hAnsi="Times New Roman;sans-serif"/>
          <w:b w:val="false"/>
          <w:color w:val="000000"/>
          <w:sz w:val="22"/>
          <w:u w:val="single"/>
        </w:rPr>
        <w:t>Capital Assets</w:t>
      </w:r>
      <w:r>
        <w:rPr>
          <w:color w:val="000000"/>
        </w:rPr>
        <w:t xml:space="preserve">” </w:t>
      </w:r>
      <w:r>
        <w:rPr>
          <w:rFonts w:ascii="Times New Roman;sans-serif" w:hAnsi="Times New Roman;sans-serif"/>
          <w:b w:val="false"/>
          <w:color w:val="000000"/>
          <w:sz w:val="22"/>
        </w:rPr>
        <w:t>means, with respect to any Person, all equipment, fixed assets and Real Property or improvements of such Person, or replacements or substitutions therefor or additions thereto, that, in accordance with GAAP, have been or should be reflected as additions to property, plant or equipment on the balance sheet of such Person.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Capital Expenditures</w:t>
      </w:r>
      <w:r>
        <w:rPr>
          <w:color w:val="000000"/>
        </w:rPr>
        <w:t xml:space="preserve">” </w:t>
      </w:r>
      <w:r>
        <w:rPr>
          <w:rFonts w:ascii="Times New Roman;sans-serif" w:hAnsi="Times New Roman;sans-serif"/>
          <w:b w:val="false"/>
          <w:color w:val="000000"/>
          <w:sz w:val="22"/>
        </w:rPr>
        <w:t>means, for any period, an amount equal to the aggregate of all expenditures and other obligations for the period of measurement which should be capitalized under GAAP, less, in each case, to the extent otherwise included:</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(1)</w:t>
      </w:r>
      <w:r>
        <w:rPr>
          <w:rFonts w:ascii="Times New Roman;sans-serif" w:hAnsi="Times New Roman;sans-serif"/>
          <w:b w:val="false"/>
          <w:color w:val="000000"/>
          <w:sz w:val="22"/>
        </w:rPr>
        <w:t xml:space="preserve">Investments made with the Net Cash Proceeds from Dispositions in accordance with </w:t>
      </w:r>
      <w:r>
        <w:rPr>
          <w:rFonts w:ascii="Times New Roman;sans-serif" w:hAnsi="Times New Roman;sans-serif"/>
          <w:b w:val="false"/>
          <w:color w:val="000000"/>
          <w:sz w:val="22"/>
          <w:u w:val="single"/>
        </w:rPr>
        <w:t>Section 2.7(c)</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(2)</w:t>
      </w:r>
      <w:r>
        <w:rPr>
          <w:rFonts w:ascii="Times New Roman;sans-serif" w:hAnsi="Times New Roman;sans-serif"/>
          <w:b w:val="false"/>
          <w:color w:val="000000"/>
          <w:sz w:val="22"/>
        </w:rPr>
        <w:t>expenditures financed with cash proceeds from issuances of Equity Interests or capital contributions,</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6</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(3)</w:t>
      </w:r>
      <w:r>
        <w:rPr>
          <w:rFonts w:ascii="Times New Roman;sans-serif" w:hAnsi="Times New Roman;sans-serif"/>
          <w:b w:val="false"/>
          <w:color w:val="000000"/>
          <w:sz w:val="22"/>
        </w:rPr>
        <w:t xml:space="preserve">Investments made in accordance with </w:t>
      </w:r>
      <w:r>
        <w:rPr>
          <w:rFonts w:ascii="Times New Roman;sans-serif" w:hAnsi="Times New Roman;sans-serif"/>
          <w:b w:val="false"/>
          <w:color w:val="000000"/>
          <w:sz w:val="22"/>
          <w:u w:val="single"/>
        </w:rPr>
        <w:t>Section 2.7(d)</w:t>
      </w:r>
      <w:r>
        <w:rPr>
          <w:color w:val="000000"/>
        </w:rPr>
        <w:t xml:space="preserve"> </w:t>
      </w:r>
      <w:r>
        <w:rPr>
          <w:rFonts w:ascii="Times New Roman;sans-serif" w:hAnsi="Times New Roman;sans-serif"/>
          <w:b w:val="false"/>
          <w:color w:val="000000"/>
          <w:sz w:val="22"/>
        </w:rPr>
        <w:t>with cash insurance proceeds and condemnation awards received on account of any Casualty Event to the extent any such amounts are actually applied to replace, repair or reconstruct the damaged property or property affected by the condemnation or taking in connection with such Casualty Event, and</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(4)    capital expenditures financed with cash proceeds of indemnity payments or third party reimbursements received by Borrower or any of its Subsidiaries.</w:t>
      </w:r>
    </w:p>
    <w:p>
      <w:pPr>
        <w:pStyle w:val="TextBody"/>
        <w:bidi w:val="0"/>
        <w:spacing w:lineRule="auto" w:line="288" w:before="0" w:after="120"/>
        <w:ind w:left="0" w:right="0" w:firstLine="720"/>
        <w:jc w:val="both"/>
        <w:rPr/>
      </w:pPr>
      <w:r>
        <w:rPr>
          <w:color w:val="000000"/>
        </w:rPr>
        <w:t>“</w:t>
      </w:r>
      <w:r>
        <w:rPr>
          <w:rFonts w:ascii="Times New Roman;sans-serif" w:hAnsi="Times New Roman;sans-serif"/>
          <w:b w:val="false"/>
          <w:color w:val="000000"/>
          <w:sz w:val="22"/>
          <w:u w:val="single"/>
        </w:rPr>
        <w:t>Capitalized Software Expenditures</w:t>
      </w:r>
      <w:r>
        <w:rPr>
          <w:color w:val="000000"/>
        </w:rPr>
        <w:t xml:space="preserve">” </w:t>
      </w:r>
      <w:r>
        <w:rPr>
          <w:rFonts w:ascii="Times New Roman;sans-serif" w:hAnsi="Times New Roman;sans-serif"/>
          <w:b w:val="false"/>
          <w:color w:val="000000"/>
          <w:sz w:val="22"/>
        </w:rPr>
        <w:t>means for any period, the aggregate of all expenditures (whether paid in cash or accrued as liabilities) by the Borrower and its Subsidiaries during such period in respect of purchased software or internally developed software and software enhancements that, in conformity with GAAP, are or are required to be reflected as capitalized costs on the consolidated balance sheet of the Borrower and its Subsidiaries.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Cash Equivalents</w:t>
      </w:r>
      <w:r>
        <w:rPr>
          <w:color w:val="000000"/>
        </w:rPr>
        <w:t xml:space="preserve">” </w:t>
      </w:r>
      <w:r>
        <w:rPr>
          <w:rFonts w:ascii="Times New Roman;sans-serif" w:hAnsi="Times New Roman;sans-serif"/>
          <w:b w:val="false"/>
          <w:color w:val="000000"/>
          <w:sz w:val="22"/>
        </w:rPr>
        <w:t>means each of the following to the extent, except with respect to items described in clause (f) below, denominated in Dollars: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debt obligations maturing within one year from the date of acquisition thereof to the extent the principal thereof and interest thereon is backed by the full faith and credit of the United States;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commercial paper maturing within 270 days from the date of acquisition thereof and having, at such date of acquisition, the highest credit rating obtainable from S&amp;P or Moody’s;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certificates of deposit, banker’s acceptances and time deposits maturing within 270 days from the date of acquisition thereof issued or guaranteed by or placed with, and money market deposit accounts issued or offered by, any domestic office of any commercial bank organized under the laws of the United States or any state, commonwealth or other political subdivision thereof that has a combined capital and surplus and undivided profits of not less than $500,000,000 or, to the extent not otherwise included, any Lender, and which is rated at least A-2 by S&amp;P and P-2 by Moody’s in the note or commercial paper rating category;</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repurchase agreements with a term of not more than 30 days for securities described in clause (a) of this definition and entered into with a financial institution satisfying the criteria described in clause (c) of this definition;</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rPr>
        <w:t>money market mutual funds, substantially all of the investments of which are in cash or investments contemplated by clauses (a), (b) and (c) of this definition; and</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rPr>
        <w:t>with respect to any Foreign Subsidiary, (i) obligations of the national government of the country in which such Foreign Subsidiary maintains its chief executive office and principal place of business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such country is a member of the Organization for Economic Cooperation and Development), in each case maturing within one year after the date of investment therein, (ii) certificates of deposit of, bankers acceptances of, or time deposits with, any commercial bank which is organized and existing under the laws of the country in which such Foreign Subsidiary maintains its chief executive office and principal place of business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such country is a member of the Organization for Economic Cooperation and Development) and whose short term commercial paper rating from S&amp;P is at least “A-1” or the equivalent thereof or from Moody’s is at least “P-1” or the equivalent thereof (any such bank being an “</w:t>
      </w:r>
      <w:r>
        <w:rPr>
          <w:rFonts w:ascii="Times New Roman;sans-serif" w:hAnsi="Times New Roman;sans-serif"/>
          <w:b w:val="false"/>
          <w:color w:val="000000"/>
          <w:sz w:val="22"/>
          <w:u w:val="single"/>
        </w:rPr>
        <w:t>Approved Foreign Bank</w:t>
      </w:r>
      <w:r>
        <w:rPr>
          <w:color w:val="000000"/>
        </w:rPr>
        <w:t>”</w:t>
      </w:r>
      <w:r>
        <w:rPr>
          <w:rFonts w:ascii="Times New Roman;sans-serif" w:hAnsi="Times New Roman;sans-serif"/>
          <w:b w:val="false"/>
          <w:color w:val="000000"/>
          <w:sz w:val="22"/>
        </w:rPr>
        <w:t xml:space="preserve">), and in each case with maturities of not more than 270 days </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7</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from the date of acquisition and (iii) the equivalent of demand deposit accounts which are maintained with an Approved Foreign Bank.</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Cash Flow</w:t>
      </w:r>
      <w:r>
        <w:rPr>
          <w:color w:val="000000"/>
        </w:rPr>
        <w:t xml:space="preserve">” </w:t>
      </w:r>
      <w:r>
        <w:rPr>
          <w:rFonts w:ascii="Times New Roman;sans-serif" w:hAnsi="Times New Roman;sans-serif"/>
          <w:b w:val="false"/>
          <w:color w:val="000000"/>
          <w:sz w:val="22"/>
        </w:rPr>
        <w:t xml:space="preserve">shall mean, for any period, (1) Consolidated EBITDA, </w:t>
      </w:r>
      <w:r>
        <w:rPr>
          <w:rFonts w:ascii="Times New Roman;sans-serif" w:hAnsi="Times New Roman;sans-serif"/>
          <w:b w:val="false"/>
          <w:color w:val="000000"/>
          <w:sz w:val="22"/>
          <w:u w:val="single"/>
        </w:rPr>
        <w:t>minus</w:t>
      </w:r>
      <w:r>
        <w:rPr>
          <w:color w:val="000000"/>
        </w:rPr>
        <w:t xml:space="preserve"> </w:t>
      </w:r>
      <w:r>
        <w:rPr>
          <w:rFonts w:ascii="Times New Roman;sans-serif" w:hAnsi="Times New Roman;sans-serif"/>
          <w:b w:val="false"/>
          <w:color w:val="000000"/>
          <w:sz w:val="22"/>
        </w:rPr>
        <w:t xml:space="preserve">(2) Capital Expenditures and Capitalized Software Expenditures (other than that portion of Capital Expenditures and Capitalized Software Expenditures financed under Financing Lease Obligations or other Indebtedness of Borrower and its Subsidiaries;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Indebtedness, for this purpose, shall not include amounts incurred under any revolving credit facility, including, for the avoidance of doubt, any Securitization Program).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Casualty Event</w:t>
      </w:r>
      <w:r>
        <w:rPr>
          <w:color w:val="000000"/>
        </w:rPr>
        <w:t xml:space="preserve">” </w:t>
      </w:r>
      <w:r>
        <w:rPr>
          <w:rFonts w:ascii="Times New Roman;sans-serif" w:hAnsi="Times New Roman;sans-serif"/>
          <w:b w:val="false"/>
          <w:color w:val="000000"/>
          <w:sz w:val="22"/>
        </w:rPr>
        <w:t>shall mean any involuntary loss of title, any involuntary loss of, damage to or any destruction of, or any condemnation or other taking (including by any Governmental Authority) of, any property of the Borrower or any of its Subsidiaries giving rise to receipt by any Loan Party of any insurance proceeds or condemnation awards. A “Casualty Event” shall include but not be limited to any taking of all or any part of any Real Property of any Person or any part thereof, in or by condemnation or other eminent domain proceedings pursuant to any Requirement of Law, or by reason of the temporary requisition of the use or occupancy of all or any part of any Real Property of any Person or any part thereof by any Governmental Authority, civil or military, or any settlement in lieu thereof.</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Change in Law</w:t>
      </w:r>
      <w:r>
        <w:rPr>
          <w:color w:val="000000"/>
        </w:rPr>
        <w:t xml:space="preserve">” </w:t>
      </w:r>
      <w:r>
        <w:rPr>
          <w:rFonts w:ascii="Times New Roman;sans-serif" w:hAnsi="Times New Roman;sans-serif"/>
          <w:b w:val="false"/>
          <w:color w:val="000000"/>
          <w:sz w:val="22"/>
        </w:rPr>
        <w:t xml:space="preserve">means the occurrence, after the Closing Date (or with regards to any Lender, such later date such Lender becomes a party to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rule or directive (whether or not having the force of law) by any Governmental Authority and compliance therewith by any Credit Party (or, for purposes of </w:t>
      </w:r>
      <w:r>
        <w:rPr>
          <w:rFonts w:ascii="Times New Roman;sans-serif" w:hAnsi="Times New Roman;sans-serif"/>
          <w:b w:val="false"/>
          <w:color w:val="000000"/>
          <w:sz w:val="22"/>
          <w:u w:val="single"/>
        </w:rPr>
        <w:t>Section 3.4(b)</w:t>
      </w:r>
      <w:r>
        <w:rPr>
          <w:rFonts w:ascii="Times New Roman;sans-serif" w:hAnsi="Times New Roman;sans-serif"/>
          <w:b w:val="false"/>
          <w:color w:val="000000"/>
          <w:sz w:val="22"/>
        </w:rPr>
        <w:t xml:space="preserve">, by any Applicable Lending Office of such Credit Party or such Credit Party’s holding company, if any);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notwithstanding anything herein to the contrary, (i) the Dodd-Frank Wall Street Reform and Consumer Protection Act and all requests, rules, guidelines and directives thereunder or issued in connection therewith and (ii) all requests, rules, guidelines and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Change of Control</w:t>
      </w:r>
      <w:r>
        <w:rPr>
          <w:color w:val="000000"/>
        </w:rPr>
        <w:t xml:space="preserve">” </w:t>
      </w:r>
      <w:r>
        <w:rPr>
          <w:rFonts w:ascii="Times New Roman;sans-serif" w:hAnsi="Times New Roman;sans-serif"/>
          <w:b w:val="false"/>
          <w:color w:val="000000"/>
          <w:sz w:val="22"/>
        </w:rPr>
        <w:t>means (a) an event or series of events by which any Person or group (within the meaning of Rule 13d-5 of the Securities Exchange Act of 1934 as in effect on the Closing Date) shall own directly or indirectly, beneficially or of record, shares representing more than 50% of the aggregate ordinary voting power or economic interests represented by the issued and outstanding Equity Interests of the Borrower on a fully diluted basis; or (b) occupation of a majority of the seats (other than vacant seats) on the Board of Directors of the Borrower by persons who (i) were not members of the Board of Directors of the Borrower on the Closing Date and (ii) whose election to the Board of Directors of the Borrower or whose nomination for election by the stockholders of the Borrower was not approved by a majority of the members of the Board of Directors of the Borrower then still in office who were either members of the Board of Directors on the Closing Date or whose election or nomination for election was previously so approved.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Closing Date</w:t>
      </w:r>
      <w:r>
        <w:rPr>
          <w:color w:val="000000"/>
        </w:rPr>
        <w:t xml:space="preserve">” </w:t>
      </w:r>
      <w:r>
        <w:rPr>
          <w:rFonts w:ascii="Times New Roman;sans-serif" w:hAnsi="Times New Roman;sans-serif"/>
          <w:b w:val="false"/>
          <w:color w:val="000000"/>
          <w:sz w:val="22"/>
        </w:rPr>
        <w:t>means June 28, 2024.</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Code</w:t>
      </w:r>
      <w:r>
        <w:rPr>
          <w:color w:val="000000"/>
        </w:rPr>
        <w:t xml:space="preserve">” </w:t>
      </w:r>
      <w:r>
        <w:rPr>
          <w:rFonts w:ascii="Times New Roman;sans-serif" w:hAnsi="Times New Roman;sans-serif"/>
          <w:b w:val="false"/>
          <w:color w:val="000000"/>
          <w:sz w:val="22"/>
        </w:rPr>
        <w:t>means the Internal Revenue Code of 1986, as amended.</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8</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Collateral</w:t>
      </w:r>
      <w:r>
        <w:rPr>
          <w:color w:val="000000"/>
        </w:rPr>
        <w:t xml:space="preserve">” </w:t>
      </w:r>
      <w:r>
        <w:rPr>
          <w:rFonts w:ascii="Times New Roman;sans-serif" w:hAnsi="Times New Roman;sans-serif"/>
          <w:b w:val="false"/>
          <w:color w:val="000000"/>
          <w:sz w:val="22"/>
        </w:rPr>
        <w:t xml:space="preserve">means all the “Collateral” as defined in the Collateral Documents and all other property of whatever kind and nature granted, pledged or charged, or purported to be granted, pledged or charged, as collateral under any Collateral Document, and shall include the Mortgaged Properties;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Collateral granted under the Collateral Documents governed by the laws of the United States shall not include any Excluded Assets.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Collateral Access Agreement</w:t>
      </w:r>
      <w:r>
        <w:rPr>
          <w:color w:val="000000"/>
        </w:rPr>
        <w:t xml:space="preserve">” </w:t>
      </w:r>
      <w:r>
        <w:rPr>
          <w:rFonts w:ascii="Times New Roman;sans-serif" w:hAnsi="Times New Roman;sans-serif"/>
          <w:b w:val="false"/>
          <w:color w:val="000000"/>
          <w:sz w:val="22"/>
        </w:rPr>
        <w:t>means each landlord waiver, bailee waiver, collateral access agreement or other similar agreement, in form and substance reasonably satisfactory to the Administrative Agent, among the applicable Loan Party, the Administrative Agent and any third party (including any bailee, assignee, consignee, customs broker, or other similar Person) in possession of any Collateral or any landlord of any Loan Party for any Real Property subject to a Mortgage or where any Collateral is located.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Collateral and Guarantee Requirement</w:t>
      </w:r>
      <w:r>
        <w:rPr>
          <w:color w:val="000000"/>
        </w:rPr>
        <w:t xml:space="preserve">” </w:t>
      </w:r>
      <w:r>
        <w:rPr>
          <w:rFonts w:ascii="Times New Roman;sans-serif" w:hAnsi="Times New Roman;sans-serif"/>
          <w:b w:val="false"/>
          <w:color w:val="000000"/>
          <w:sz w:val="22"/>
        </w:rPr>
        <w:t>means, at any time, the requirement that: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the Administrative Agent shall have received each Collateral Document required to be delivered on the Closing Date pursuant to </w:t>
      </w:r>
      <w:r>
        <w:rPr>
          <w:rFonts w:ascii="Times New Roman;sans-serif" w:hAnsi="Times New Roman;sans-serif"/>
          <w:b w:val="false"/>
          <w:color w:val="000000"/>
          <w:sz w:val="22"/>
          <w:u w:val="single"/>
        </w:rPr>
        <w:t>Section 4.1</w:t>
      </w:r>
      <w:r>
        <w:rPr>
          <w:rFonts w:ascii="Times New Roman;sans-serif" w:hAnsi="Times New Roman;sans-serif"/>
          <w:b w:val="false"/>
          <w:color w:val="000000"/>
          <w:sz w:val="22"/>
        </w:rPr>
        <w:t xml:space="preserve">, or, following the Closing Date, pursuant to pursuant to </w:t>
      </w:r>
      <w:r>
        <w:rPr>
          <w:rFonts w:ascii="Times New Roman;sans-serif" w:hAnsi="Times New Roman;sans-serif"/>
          <w:b w:val="false"/>
          <w:color w:val="000000"/>
          <w:sz w:val="22"/>
          <w:u w:val="single"/>
        </w:rPr>
        <w:t>Section 6.12</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6.14</w:t>
      </w:r>
      <w:r>
        <w:rPr>
          <w:color w:val="000000"/>
        </w:rPr>
        <w:t xml:space="preserve"> </w:t>
      </w:r>
      <w:r>
        <w:rPr>
          <w:rFonts w:ascii="Times New Roman;sans-serif" w:hAnsi="Times New Roman;sans-serif"/>
          <w:b w:val="false"/>
          <w:color w:val="000000"/>
          <w:sz w:val="22"/>
        </w:rPr>
        <w:t>(to the extent not delivered on the Closing Date), duly executed by each Loan Party that is a party thereto;</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all Secured Obligations shall have been unconditionally guaranteed jointly and severally by the Guarantors;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 xml:space="preserve">except to the extent otherwise provided hereunder or under any Collateral Document, the Secured Obligations shall have been secured by a perfected first priority (subject to Liens expressly permitted pursuant to </w:t>
      </w:r>
      <w:r>
        <w:rPr>
          <w:rFonts w:ascii="Times New Roman;sans-serif" w:hAnsi="Times New Roman;sans-serif"/>
          <w:b w:val="false"/>
          <w:color w:val="000000"/>
          <w:sz w:val="22"/>
          <w:u w:val="single"/>
        </w:rPr>
        <w:t>Section 7.2</w:t>
      </w:r>
      <w:r>
        <w:rPr>
          <w:rFonts w:ascii="Times New Roman;sans-serif" w:hAnsi="Times New Roman;sans-serif"/>
          <w:b w:val="false"/>
          <w:color w:val="000000"/>
          <w:sz w:val="22"/>
        </w:rPr>
        <w:t>) security interest in, and Mortgages on, substantially all tangible and intangible assets of each Loan Party (including, to the extent constituting Collateral, (i) accounts receivable, (ii) deposit accounts, commodity accounts and security accounts, which shall be, commencing (A) with respect to any deposit accounts, commodity accounts and security account maintained on the Closing Date, 90 days (or such longer period of time as agreed to by the Administrative Agent) after the Closing Date (the “</w:t>
      </w:r>
      <w:r>
        <w:rPr>
          <w:rFonts w:ascii="Times New Roman;sans-serif" w:hAnsi="Times New Roman;sans-serif"/>
          <w:b w:val="false"/>
          <w:color w:val="000000"/>
          <w:sz w:val="22"/>
          <w:u w:val="single"/>
        </w:rPr>
        <w:t>Initial Control Agreement Date</w:t>
      </w:r>
      <w:r>
        <w:rPr>
          <w:color w:val="000000"/>
        </w:rPr>
        <w:t>”</w:t>
      </w:r>
      <w:r>
        <w:rPr>
          <w:rFonts w:ascii="Times New Roman;sans-serif" w:hAnsi="Times New Roman;sans-serif"/>
          <w:b w:val="false"/>
          <w:color w:val="000000"/>
          <w:sz w:val="22"/>
        </w:rPr>
        <w:t>) or (B) with respect to any deposit account, commodity account or security account established or acquired (it being understood that a deposit account, commodity account or security account ceasing to constitute an Excluded Account (as such term is defined in the Security Agreement) or becoming Collateral shall be deemed to constitute an acquisition thereof) after the Closing Date, within 90 days (or such longer period of time as agreed to by the Administrative Agent) after establishing or acquiring such deposit account, commodity account or security account (such date, together with the Initial Control Agreement Date, each a “</w:t>
      </w:r>
      <w:r>
        <w:rPr>
          <w:rFonts w:ascii="Times New Roman;sans-serif" w:hAnsi="Times New Roman;sans-serif"/>
          <w:b w:val="false"/>
          <w:color w:val="000000"/>
          <w:sz w:val="22"/>
          <w:u w:val="single"/>
        </w:rPr>
        <w:t>Control Agreement Date</w:t>
      </w:r>
      <w:r>
        <w:rPr>
          <w:color w:val="000000"/>
        </w:rPr>
        <w:t>”</w:t>
      </w:r>
      <w:r>
        <w:rPr>
          <w:rFonts w:ascii="Times New Roman;sans-serif" w:hAnsi="Times New Roman;sans-serif"/>
          <w:b w:val="false"/>
          <w:color w:val="000000"/>
          <w:sz w:val="22"/>
        </w:rPr>
        <w:t xml:space="preserve">), Controlled Accounts except that no Excluded Account (as such term is defined in the Security Agreement) shall be required to be a Controlled Account, (iii) inventory, (iv) machinery and equipment, (v) investment property, (vi) cash, (vii) Intellectual Property, (viii) other general intangibles, (ix) Material Owned Real Property, (x) Pledged Debt, Pledged Debt Securities and Pledged Equity Interests (as such terms are defined in the Security Agreement), (xi) [reserved] and (xii) the proceeds of the foregoing), it being understood that in the case of the pledge of Equity Interests, the Administrative Agent shall have received all stock certificates or other instruments (if any) representing such Equity Interests, together with stock powers or other instruments of transfer with respect thereto endorsed in blank;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pledge of any shares in respect of any Subsidiaries that are not Wholly-Owned Subsidiaries shall be limited to the shares actually owned by the applicable pledgor; </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9</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 xml:space="preserve">the Secured Obligations shall have been secured by a first priority security interest (subject to Liens expressly permitted pursuant to </w:t>
      </w:r>
      <w:r>
        <w:rPr>
          <w:rFonts w:ascii="Times New Roman;sans-serif" w:hAnsi="Times New Roman;sans-serif"/>
          <w:b w:val="false"/>
          <w:color w:val="000000"/>
          <w:sz w:val="22"/>
          <w:u w:val="single"/>
        </w:rPr>
        <w:t>Section 7.2</w:t>
      </w:r>
      <w:r>
        <w:rPr>
          <w:rFonts w:ascii="Times New Roman;sans-serif" w:hAnsi="Times New Roman;sans-serif"/>
          <w:b w:val="false"/>
          <w:color w:val="000000"/>
          <w:sz w:val="22"/>
        </w:rPr>
        <w:t>) in (i) all Indebtedness of the Borrower and each of its Subsidiaries that is owing to any Loan Party and (ii) all other Indebtedness owed to a Loan Party, which if evidenced by a promissory note or other instrument, shall have been pledged to the Administrative Agent, and in each case under clauses (i) and (ii), the Administrative Agent shall have received such promissory notes and other instruments together with note powers or other instruments of transfer with respect thereto endorsed in blank;</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rPr>
        <w:t xml:space="preserve">none of the Collateral shall be subject to any Lien other than Liens expressly permitted by </w:t>
      </w:r>
      <w:r>
        <w:rPr>
          <w:rFonts w:ascii="Times New Roman;sans-serif" w:hAnsi="Times New Roman;sans-serif"/>
          <w:b w:val="false"/>
          <w:color w:val="000000"/>
          <w:sz w:val="22"/>
          <w:u w:val="single"/>
        </w:rPr>
        <w:t>Section 7.2</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rPr>
        <w:t xml:space="preserve">the Administrative Agent shall have received a Perfection Certificate from the Borrower with respect to each Loan Party; and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(g)</w:t>
      </w:r>
      <w:r>
        <w:rPr>
          <w:rFonts w:ascii="Times New Roman;sans-serif" w:hAnsi="Times New Roman;sans-serif"/>
          <w:b w:val="false"/>
          <w:color w:val="000000"/>
          <w:sz w:val="22"/>
        </w:rPr>
        <w:t>the Mortgage Requirement shall have been satisfied.</w:t>
      </w:r>
    </w:p>
    <w:p>
      <w:pPr>
        <w:pStyle w:val="TextBody"/>
        <w:bidi w:val="0"/>
        <w:spacing w:lineRule="auto" w:line="288" w:before="0" w:after="120"/>
        <w:jc w:val="both"/>
        <w:rPr/>
      </w:pPr>
      <w:r>
        <w:rPr>
          <w:color w:val="000000"/>
        </w:rPr>
        <w:t>    </w:t>
      </w:r>
      <w:r>
        <w:rPr>
          <w:rFonts w:ascii="Times New Roman;sans-serif" w:hAnsi="Times New Roman;sans-serif"/>
          <w:b w:val="false"/>
          <w:color w:val="000000"/>
          <w:sz w:val="22"/>
        </w:rPr>
        <w:t>The foregoing definition shall not require the creation or perfection of pledges of or security interests in particular assets if and for so long as the Administrative Agent agrees in writing that the cost of creating or perfecting such pledges or security interests in such assets</w:t>
      </w:r>
      <w:r>
        <w:rPr>
          <w:color w:val="000000"/>
        </w:rPr>
        <w:t xml:space="preserve"> </w:t>
      </w:r>
      <w:r>
        <w:rPr>
          <w:rFonts w:ascii="Times New Roman;sans-serif" w:hAnsi="Times New Roman;sans-serif"/>
          <w:b w:val="false"/>
          <w:color w:val="000000"/>
          <w:sz w:val="22"/>
        </w:rPr>
        <w:t>or obtaining title insurance or surveys in respect of such assets</w:t>
      </w:r>
      <w:r>
        <w:rPr>
          <w:color w:val="000000"/>
        </w:rPr>
        <w:t xml:space="preserve"> </w:t>
      </w:r>
      <w:r>
        <w:rPr>
          <w:rFonts w:ascii="Times New Roman;sans-serif" w:hAnsi="Times New Roman;sans-serif"/>
          <w:b w:val="false"/>
          <w:color w:val="000000"/>
          <w:sz w:val="22"/>
        </w:rPr>
        <w:t>shall be excessive in view of the benefits to be obtained by the Lenders therefrom.</w:t>
      </w:r>
    </w:p>
    <w:p>
      <w:pPr>
        <w:pStyle w:val="TextBody"/>
        <w:bidi w:val="0"/>
        <w:spacing w:lineRule="auto" w:line="288" w:before="0" w:after="120"/>
        <w:jc w:val="both"/>
        <w:rPr>
          <w:color w:val="000000"/>
        </w:rPr>
      </w:pPr>
      <w:r>
        <w:rPr>
          <w:color w:val="000000"/>
        </w:rPr>
        <w:t>    </w:t>
      </w:r>
      <w:r>
        <w:rPr>
          <w:rFonts w:ascii="Times New Roman;sans-serif" w:hAnsi="Times New Roman;sans-serif"/>
          <w:b w:val="false"/>
          <w:color w:val="000000"/>
          <w:sz w:val="22"/>
        </w:rPr>
        <w:t>The Administrative Agent may grant extensions of time for the perfection of security interests in or the obtaining of title insurance and surveys and the other requirements pursuant to this definition with respect to particular assets (including extensions beyond the Closing Date for the perfection of security interests in the assets of the Loan Parties on such date) where it reasonably determines (and without the consent of any other Secured Party) that, except as may be required by law, perfection or other requirements cannot be accomplished without undue effort or expense by the time or times at which it would otherwise be required by this Credit Agreement or the Collateral Documents.</w:t>
      </w:r>
    </w:p>
    <w:p>
      <w:pPr>
        <w:pStyle w:val="TextBody"/>
        <w:bidi w:val="0"/>
        <w:spacing w:lineRule="auto" w:line="288" w:before="0" w:after="240"/>
        <w:jc w:val="both"/>
        <w:rPr/>
      </w:pPr>
      <w:r>
        <w:rPr>
          <w:color w:val="000000"/>
        </w:rPr>
        <w:t>    </w:t>
      </w:r>
      <w:r>
        <w:rPr>
          <w:rFonts w:ascii="Times New Roman;sans-serif" w:hAnsi="Times New Roman;sans-serif"/>
          <w:b w:val="false"/>
          <w:color w:val="000000"/>
          <w:sz w:val="22"/>
        </w:rPr>
        <w:t xml:space="preserve">Notwithstanding the foregoing provisions of this definition or anything in this Credit Agreement or any other Loan Document to the contrary, (i) Liens required to be granted from time to time pursuant to the Collateral and Guarantee Requirement shall be subject to exceptions and limitations set forth herein and in the Collateral Documents and, to the extent appropriate in the applicable jurisdiction, as agreed between the Administrative Agent and the Borrower, (ii) in no event shall the Collateral of any Domestic Loan Parties include any Excluded Assets, and (iii) notwithstanding anything to the contrary included in this definition, delivery of only the Collateral Documents required to be delivered by </w:t>
      </w:r>
      <w:r>
        <w:rPr>
          <w:rFonts w:ascii="Times New Roman;sans-serif" w:hAnsi="Times New Roman;sans-serif"/>
          <w:b w:val="false"/>
          <w:color w:val="000000"/>
          <w:sz w:val="22"/>
          <w:u w:val="single"/>
        </w:rPr>
        <w:t>Section 4.1</w:t>
      </w:r>
      <w:r>
        <w:rPr>
          <w:color w:val="000000"/>
        </w:rPr>
        <w:t xml:space="preserve"> </w:t>
      </w:r>
      <w:r>
        <w:rPr>
          <w:rFonts w:ascii="Times New Roman;sans-serif" w:hAnsi="Times New Roman;sans-serif"/>
          <w:b w:val="false"/>
          <w:color w:val="000000"/>
          <w:sz w:val="22"/>
        </w:rPr>
        <w:t>shall be a condition precedent to the Credit Extension on the Closing Date.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Collateral Documents</w:t>
      </w:r>
      <w:r>
        <w:rPr>
          <w:color w:val="000000"/>
        </w:rPr>
        <w:t xml:space="preserve">” </w:t>
      </w:r>
      <w:r>
        <w:rPr>
          <w:rFonts w:ascii="Times New Roman;sans-serif" w:hAnsi="Times New Roman;sans-serif"/>
          <w:b w:val="false"/>
          <w:color w:val="000000"/>
          <w:sz w:val="22"/>
        </w:rPr>
        <w:t xml:space="preserve">means, collectively, the Security Agreement, each account control agreement, each Mortgage, each Collateral Access Agreement, each Copyright Security Agreement, each Patent Security Agreement, each Trademark Security Agreement, each Perfection Certificate, the Irish Security Documents and each other security agreement, instrument or other document executed or delivered pursuant to the Collateral and Guarantee Requirement, </w:t>
      </w:r>
      <w:r>
        <w:rPr>
          <w:rFonts w:ascii="Times New Roman;sans-serif" w:hAnsi="Times New Roman;sans-serif"/>
          <w:b w:val="false"/>
          <w:color w:val="000000"/>
          <w:sz w:val="22"/>
          <w:u w:val="single"/>
        </w:rPr>
        <w:t>Section 6.12</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6.14,</w:t>
      </w:r>
      <w:r>
        <w:rPr>
          <w:color w:val="000000"/>
        </w:rPr>
        <w:t xml:space="preserve"> </w:t>
      </w:r>
      <w:r>
        <w:rPr>
          <w:rFonts w:ascii="Times New Roman;sans-serif" w:hAnsi="Times New Roman;sans-serif"/>
          <w:b w:val="false"/>
          <w:color w:val="000000"/>
          <w:sz w:val="22"/>
        </w:rPr>
        <w:t>the Security Agreement or any Irish Security Document (including any Irish-law governed security agreements, instruments or other documents) to secure any of the Secured Obligations.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Commitment</w:t>
      </w:r>
      <w:r>
        <w:rPr>
          <w:color w:val="000000"/>
        </w:rPr>
        <w:t xml:space="preserve">” </w:t>
      </w:r>
      <w:r>
        <w:rPr>
          <w:rFonts w:ascii="Times New Roman;sans-serif" w:hAnsi="Times New Roman;sans-serif"/>
          <w:b w:val="false"/>
          <w:color w:val="000000"/>
          <w:sz w:val="22"/>
        </w:rPr>
        <w:t xml:space="preserve">means, with respect to each Lender, the commitment of such Lender to make a Loan on the Closing Date in the amount of such Lender’s initial Commitment set forth on </w:t>
      </w:r>
      <w:r>
        <w:rPr>
          <w:rFonts w:ascii="Times New Roman;sans-serif" w:hAnsi="Times New Roman;sans-serif"/>
          <w:b w:val="false"/>
          <w:color w:val="000000"/>
          <w:sz w:val="22"/>
          <w:u w:val="single"/>
        </w:rPr>
        <w:t>Schedule 2.1</w:t>
      </w:r>
      <w:r>
        <w:rPr>
          <w:rFonts w:ascii="Times New Roman;sans-serif" w:hAnsi="Times New Roman;sans-serif"/>
          <w:b w:val="false"/>
          <w:color w:val="000000"/>
          <w:sz w:val="22"/>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10</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as such commitment shall be terminated pursuant to </w:t>
      </w:r>
      <w:r>
        <w:rPr>
          <w:rFonts w:ascii="Times New Roman;sans-serif" w:hAnsi="Times New Roman;sans-serif"/>
          <w:b w:val="false"/>
          <w:color w:val="000000"/>
          <w:sz w:val="22"/>
          <w:u w:val="single"/>
        </w:rPr>
        <w:t>Section 2.5</w:t>
      </w:r>
      <w:r>
        <w:rPr>
          <w:rFonts w:ascii="Times New Roman;sans-serif" w:hAnsi="Times New Roman;sans-serif"/>
          <w:b w:val="false"/>
          <w:color w:val="000000"/>
          <w:sz w:val="22"/>
        </w:rPr>
        <w:t>. The aggregate amount of the Commitments on the Closing Date is $75,000,000.</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Committed Loan Notice</w:t>
      </w:r>
      <w:r>
        <w:rPr>
          <w:color w:val="000000"/>
        </w:rPr>
        <w:t xml:space="preserve">” </w:t>
      </w:r>
      <w:r>
        <w:rPr>
          <w:rFonts w:ascii="Times New Roman;sans-serif" w:hAnsi="Times New Roman;sans-serif"/>
          <w:b w:val="false"/>
          <w:color w:val="000000"/>
          <w:sz w:val="22"/>
        </w:rPr>
        <w:t xml:space="preserve">means a notice of a Borrowing, a conversion of Loans from one Type to the other, or a continuation of SOFR Loans pursuant to </w:t>
      </w:r>
      <w:r>
        <w:rPr>
          <w:rFonts w:ascii="Times New Roman;sans-serif" w:hAnsi="Times New Roman;sans-serif"/>
          <w:b w:val="false"/>
          <w:color w:val="000000"/>
          <w:sz w:val="22"/>
          <w:u w:val="single"/>
        </w:rPr>
        <w:t>Section 2.2(a)</w:t>
      </w:r>
      <w:r>
        <w:rPr>
          <w:rFonts w:ascii="Times New Roman;sans-serif" w:hAnsi="Times New Roman;sans-serif"/>
          <w:b w:val="false"/>
          <w:color w:val="000000"/>
          <w:sz w:val="22"/>
        </w:rPr>
        <w:t xml:space="preserve">, which shall be substantially in the form of </w:t>
      </w:r>
      <w:r>
        <w:rPr>
          <w:rFonts w:ascii="Times New Roman;sans-serif" w:hAnsi="Times New Roman;sans-serif"/>
          <w:b w:val="false"/>
          <w:color w:val="000000"/>
          <w:sz w:val="22"/>
          <w:u w:val="single"/>
        </w:rPr>
        <w:t>Exhibit B-1</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Commodity Exchange Act</w:t>
      </w:r>
      <w:r>
        <w:rPr>
          <w:color w:val="000000"/>
        </w:rPr>
        <w:t xml:space="preserve">” </w:t>
      </w:r>
      <w:r>
        <w:rPr>
          <w:rFonts w:ascii="Times New Roman;sans-serif" w:hAnsi="Times New Roman;sans-serif"/>
          <w:b w:val="false"/>
          <w:color w:val="000000"/>
          <w:sz w:val="22"/>
        </w:rPr>
        <w:t>means the Commodity Exchange Act (7 U.S.C. § 1 et seq.) and any successor statute.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Communications</w:t>
      </w:r>
      <w:r>
        <w:rPr>
          <w:color w:val="000000"/>
        </w:rPr>
        <w:t xml:space="preserve">” </w:t>
      </w:r>
      <w:r>
        <w:rPr>
          <w:rFonts w:ascii="Times New Roman;sans-serif" w:hAnsi="Times New Roman;sans-serif"/>
          <w:b w:val="false"/>
          <w:color w:val="000000"/>
          <w:sz w:val="22"/>
        </w:rPr>
        <w:t xml:space="preserve">means, collectively, any notice, demand, communication, information, document or other material provided by or on behalf of any Loan Party pursuant to any Loan Document or the transactions contemplated therein which is distributed to the Administrative Agent or any Lender by means of electronic communications pursuant to </w:t>
      </w:r>
      <w:r>
        <w:rPr>
          <w:rFonts w:ascii="Times New Roman;sans-serif" w:hAnsi="Times New Roman;sans-serif"/>
          <w:b w:val="false"/>
          <w:color w:val="000000"/>
          <w:sz w:val="22"/>
          <w:u w:val="single"/>
        </w:rPr>
        <w:t>Section 10.1</w:t>
      </w:r>
      <w:r>
        <w:rPr>
          <w:rFonts w:ascii="Times New Roman;sans-serif" w:hAnsi="Times New Roman;sans-serif"/>
          <w:b w:val="false"/>
          <w:color w:val="000000"/>
          <w:sz w:val="22"/>
        </w:rPr>
        <w:t>, including through the Platform.</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Compliance Certificate</w:t>
      </w:r>
      <w:r>
        <w:rPr>
          <w:color w:val="000000"/>
        </w:rPr>
        <w:t xml:space="preserve">” </w:t>
      </w:r>
      <w:r>
        <w:rPr>
          <w:rFonts w:ascii="Times New Roman;sans-serif" w:hAnsi="Times New Roman;sans-serif"/>
          <w:b w:val="false"/>
          <w:color w:val="000000"/>
          <w:sz w:val="22"/>
        </w:rPr>
        <w:t xml:space="preserve">means a certificate, substantially in the form of </w:t>
      </w:r>
      <w:r>
        <w:rPr>
          <w:rFonts w:ascii="Times New Roman;sans-serif" w:hAnsi="Times New Roman;sans-serif"/>
          <w:b w:val="false"/>
          <w:color w:val="000000"/>
          <w:sz w:val="22"/>
          <w:u w:val="single"/>
        </w:rPr>
        <w:t>Exhibit D</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Conforming Changes</w:t>
      </w:r>
      <w:r>
        <w:rPr>
          <w:color w:val="000000"/>
        </w:rPr>
        <w:t xml:space="preserve">” </w:t>
      </w:r>
      <w:r>
        <w:rPr>
          <w:rFonts w:ascii="Times New Roman;sans-serif" w:hAnsi="Times New Roman;sans-serif"/>
          <w:b w:val="false"/>
          <w:color w:val="000000"/>
          <w:sz w:val="22"/>
        </w:rPr>
        <w:t xml:space="preserve">means, with respect to either the use or administration of Term SOFR or the use, administration, adoption or implementation of any Benchmark Replacement, any technical, administrative or operational changes (including changes to the definition of “Alternate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w:t>
      </w:r>
      <w:r>
        <w:rPr>
          <w:rFonts w:ascii="Times New Roman;sans-serif" w:hAnsi="Times New Roman;sans-serif"/>
          <w:b w:val="false"/>
          <w:color w:val="000000"/>
          <w:sz w:val="22"/>
          <w:u w:val="single"/>
        </w:rPr>
        <w:t>Section 3.3(b)</w:t>
      </w:r>
      <w:r>
        <w:rPr>
          <w:color w:val="000000"/>
        </w:rPr>
        <w:t xml:space="preserve"> </w:t>
      </w:r>
      <w:r>
        <w:rPr>
          <w:rFonts w:ascii="Times New Roman;sans-serif" w:hAnsi="Times New Roman;sans-serif"/>
          <w:b w:val="false"/>
          <w:color w:val="000000"/>
          <w:sz w:val="22"/>
        </w:rPr>
        <w:t>and other technical, administrative or operational matters) that the Administrative Agent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is reasonably necessary in connection with the administration of this Credit Agreement and the other Loan Documents).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Connection Income Taxes</w:t>
      </w:r>
      <w:r>
        <w:rPr>
          <w:color w:val="000000"/>
        </w:rPr>
        <w:t xml:space="preserve">” </w:t>
      </w:r>
      <w:r>
        <w:rPr>
          <w:rFonts w:ascii="Times New Roman;sans-serif" w:hAnsi="Times New Roman;sans-serif"/>
          <w:b w:val="false"/>
          <w:color w:val="000000"/>
          <w:sz w:val="22"/>
        </w:rPr>
        <w:t>means Other Connection Taxes that are imposed on or measured by net income (however denominated) or that are franchise Taxes or branch profits Taxes.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Consolidated Current Assets</w:t>
      </w:r>
      <w:r>
        <w:rPr>
          <w:color w:val="000000"/>
        </w:rPr>
        <w:t xml:space="preserve">” </w:t>
      </w:r>
      <w:r>
        <w:rPr>
          <w:rFonts w:ascii="Times New Roman;sans-serif" w:hAnsi="Times New Roman;sans-serif"/>
          <w:b w:val="false"/>
          <w:color w:val="000000"/>
          <w:sz w:val="22"/>
        </w:rPr>
        <w:t>means, with respect to any Person at any date, all assets (other than cash and Cash Equivalents) of such Person and its Subsidiaries at such date that would, in conformity with GAAP, be classified as current assets on a consolidated balance sheet of such Person at such date.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Consolidated Current Liabilities</w:t>
      </w:r>
      <w:r>
        <w:rPr>
          <w:color w:val="000000"/>
        </w:rPr>
        <w:t xml:space="preserve">” </w:t>
      </w:r>
      <w:r>
        <w:rPr>
          <w:rFonts w:ascii="Times New Roman;sans-serif" w:hAnsi="Times New Roman;sans-serif"/>
          <w:b w:val="false"/>
          <w:color w:val="000000"/>
          <w:sz w:val="22"/>
        </w:rPr>
        <w:t xml:space="preserve">means, with respect to any Person at any date, all liabilities of such Person and its Subsidiaries at such date that would, in conformity with GAAP, be classified as current liabilities on a consolidated balance sheet of such Person and its Subsidiaries at such date;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“Consolidated Current Liabilities” shall exclude, to the extent otherwise included therein, (a) revolving loans and (b) the current portion of any Indebtedness (including but not limited to, for purposes of clarification, the Loans) then outstanding.</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Consolidated Depreciation and Amortization Expense</w:t>
      </w:r>
      <w:r>
        <w:rPr>
          <w:color w:val="000000"/>
        </w:rPr>
        <w:t xml:space="preserve">” </w:t>
      </w:r>
      <w:r>
        <w:rPr>
          <w:rFonts w:ascii="Times New Roman;sans-serif" w:hAnsi="Times New Roman;sans-serif"/>
          <w:b w:val="false"/>
          <w:color w:val="000000"/>
          <w:sz w:val="22"/>
        </w:rPr>
        <w:t xml:space="preserve">means, with respect to any Person for any period, the total amount of depreciation and amortization expense, including the amortization of </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11</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deferred financing fees or costs, capitalized expenditures, customer acquisition costs and incentive payments, conversion costs and contract acquisition costs, the amortization of original issue discount and amortization of favorable or unfavorable lease assets or liabilities, of such Person and its Subsidiaries for such period on a consolidated basis and otherwise determined in accordance with GAAP.</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Consolidated EBITDA</w:t>
      </w:r>
      <w:r>
        <w:rPr>
          <w:color w:val="000000"/>
        </w:rPr>
        <w:t xml:space="preserve">” </w:t>
      </w:r>
      <w:r>
        <w:rPr>
          <w:rFonts w:ascii="Times New Roman;sans-serif" w:hAnsi="Times New Roman;sans-serif"/>
          <w:b w:val="false"/>
          <w:color w:val="000000"/>
          <w:sz w:val="22"/>
        </w:rPr>
        <w:t>means, for any period, Consolidated Net Income of the Borrower and its Subsidiaries (collectively, the “</w:t>
      </w:r>
      <w:r>
        <w:rPr>
          <w:rFonts w:ascii="Times New Roman;sans-serif" w:hAnsi="Times New Roman;sans-serif"/>
          <w:b w:val="false"/>
          <w:color w:val="000000"/>
          <w:sz w:val="22"/>
          <w:u w:val="single"/>
        </w:rPr>
        <w:t>Group Members</w:t>
      </w:r>
      <w:r>
        <w:rPr>
          <w:color w:val="000000"/>
        </w:rPr>
        <w:t>”</w:t>
      </w:r>
      <w:r>
        <w:rPr>
          <w:rFonts w:ascii="Times New Roman;sans-serif" w:hAnsi="Times New Roman;sans-serif"/>
          <w:b w:val="false"/>
          <w:color w:val="000000"/>
          <w:sz w:val="22"/>
        </w:rPr>
        <w:t xml:space="preserve">) for such period, </w:t>
      </w:r>
      <w:r>
        <w:rPr>
          <w:rFonts w:ascii="Times New Roman;sans-serif" w:hAnsi="Times New Roman;sans-serif"/>
          <w:b w:val="false"/>
          <w:color w:val="000000"/>
          <w:sz w:val="22"/>
          <w:u w:val="single"/>
        </w:rPr>
        <w:t>plus</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     without duplication and (other than with respect to clause (vi) below) to the extent reflected as a charge in the statement of such Consolidated Net Income (regardless of classification) for such period, the sum of:</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(i)provisions for Taxes imposed on or measured by income of any such Group Member paid or accrued during such period;</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(ii)consolidated interest expense and, to the extent not reflected in such consolidated interest expense, (x) any net losses on hedging obligations or other derivative instruments entered into for the purpose of hedging interest rate risk, amortization or write-off of debt discount and (y) debt issuance costs and commissions, discounts and other fees and charges associated with indebtedness (including commitment, letter of credit, administrative fees and charges and legal fees and expenses with respect to the Loans and commitments hereunder);</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(iii)Consolidated Depreciation and Amortization Expense of such Person and its Subsidiaries; </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(iv)any non-recurring charges, expenses or losses;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amount added back pursuant to this clause (iv) in any period shall not exceed, when combined with any amounts added back pursuant to clause (vi) below, any Pro Forma Acquisition Adjustments and the aggregate amount of extraordinary or unusual losses excluded pursuant to clause (c) of the definition of “Consolidated Net Income,” 20% of Consolidated EBITDA (determined before giving effect to such addbacks, adjustments and exclusions);</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(v)any other non-cash charges, expenses or losses (except to the extent such charges, expenses or losses represent an accrual of or reserve for cash expenses in any future period or an amortization of a prepaid cash expense paid in a prior period);</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(vi)the amount of pro forma “run rate” cost savings and other operating improvements and cost synergies quantifiable, factually supportable and identified by the Borrower in good faith and certified in writing to the Administrative Agent as to be realized as a result of any acquisition (including the Transactions) or asset sale otherwise permitted hereunder (including the termination or discontinuance of activities constituting such business) of business entities or properties or assets, constituting a division or line of business of any business entity that is the subject of any such acquisition or asset sale during such period, or from any operational change taken or committed to be taken during such period (in each case calculated on a pro forma basis as though such cost savings and other operating improvements and cost synergies had been realized on the first day of such period), net of the amount of actual benefits realized during such period from such actions to the extent already included in Consolidated Net Income for such period;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such actions have been taken or have been committed to be taken, and the benefits resulting therefrom are anticipated by the Borrower in good faith to be realized within, 12 months after the end of the applicable Measurement Period;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xml:space="preserve">, that the amount </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12</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added back pursuant to this clause (vi) in any period shall not exceed, when combined with any amounts added back pursuant to clause (iv) above, any Pro Forma Acquisition Adjustments and the aggregate amount of extraordinary or unusual losses excluded pursuant to clause (c) of the definition of “Consolidated Net Income,” 20% of Consolidated EBITDA (determined before giving effect to such addbacks, adjustments and exclusions);</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(vii)cash expenses relating to earn-outs and similar obligations otherwise included in the definition of “Indebtedness”;</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(viii)charges, losses, costs, expenses or write-offs to the extent indemnified or insured by a third party, including expenses covered by indemnification provisions in any agreement in connection with the Transactions, a Permitted Acquisition or any other acquisition permitted by the Loan Documents, to the extent actually reimbursed (and to the extent such reimbursement proceeds are not included in arriving at Consolidated Net Income);</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(ix)any unrealized foreign currency translation losses resulting from the impact of foreign currency changes on the valuation of assets and liabilities of Borrower and its Subsidiaries, but only to the extent deducted in the calculation of Consolidated Net Income; </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(x)any (i) Transaction Expenses incurred during such period and (ii) out of pocket transaction fees, costs and expenses payable in connection with a Securitization Program or the Senior Notes Indentures, in each case; and</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(xi)solely for purposes of determining compliance with </w:t>
      </w:r>
      <w:r>
        <w:rPr>
          <w:rFonts w:ascii="Times New Roman;sans-serif" w:hAnsi="Times New Roman;sans-serif"/>
          <w:b w:val="false"/>
          <w:color w:val="000000"/>
          <w:sz w:val="22"/>
          <w:u w:val="single"/>
        </w:rPr>
        <w:t>Section 7.12</w:t>
      </w:r>
      <w:r>
        <w:rPr>
          <w:color w:val="000000"/>
        </w:rPr>
        <w:t xml:space="preserve"> </w:t>
      </w:r>
      <w:r>
        <w:rPr>
          <w:rFonts w:ascii="Times New Roman;sans-serif" w:hAnsi="Times New Roman;sans-serif"/>
          <w:b w:val="false"/>
          <w:color w:val="000000"/>
          <w:sz w:val="22"/>
        </w:rPr>
        <w:t xml:space="preserve">in respect of any period which includes a Fiscal Quarter and/or a Four Week Reporting Period for which a Cure Notice has been delivered, the Cure Amount in connection with a Specified Equity Contribution in respect of such Fiscal Quarter and/or Four Week Reporting Period; </w:t>
      </w:r>
      <w:r>
        <w:rPr>
          <w:rFonts w:ascii="Times New Roman;sans-serif" w:hAnsi="Times New Roman;sans-serif"/>
          <w:b w:val="false"/>
          <w:color w:val="000000"/>
          <w:sz w:val="22"/>
          <w:u w:val="single"/>
        </w:rPr>
        <w:t>minus</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     to the extent reflected as income or a gain in the statement of such Consolidated Net Income for such period, the sum of:</w:t>
      </w:r>
    </w:p>
    <w:p>
      <w:pPr>
        <w:pStyle w:val="TextBody"/>
        <w:bidi w:val="0"/>
        <w:spacing w:lineRule="auto" w:line="288" w:before="0" w:after="240"/>
        <w:ind w:left="0" w:right="0" w:firstLine="99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(i)(A) any other non-cash income or gains (other than the accrual of revenue in the ordinary course), but excluding any such items (i) in respect of which cash was received in a prior period or will be received in a future period or (ii) which represent the reversal in such period of any accrual of, or reserve for, anticipated cash charges in any prior period where such accrual or reserve is no longer required and (B) any net gains on hedging obligations or other derivative instruments entered into for the purposes of hedging interest rate risk; </w:t>
      </w:r>
    </w:p>
    <w:p>
      <w:pPr>
        <w:pStyle w:val="TextBody"/>
        <w:bidi w:val="0"/>
        <w:spacing w:lineRule="auto" w:line="288" w:before="0" w:after="240"/>
        <w:ind w:left="0" w:right="0" w:firstLine="990"/>
        <w:jc w:val="both"/>
        <w:rPr>
          <w:rFonts w:ascii="Times New Roman;sans-serif" w:hAnsi="Times New Roman;sans-serif"/>
          <w:b w:val="false"/>
          <w:color w:val="000000"/>
          <w:sz w:val="22"/>
        </w:rPr>
      </w:pPr>
      <w:r>
        <w:rPr>
          <w:rFonts w:ascii="Times New Roman;sans-serif" w:hAnsi="Times New Roman;sans-serif"/>
          <w:b w:val="false"/>
          <w:color w:val="000000"/>
          <w:sz w:val="22"/>
        </w:rPr>
        <w:t>(ii)non-cash income Taxes benefits or gains and other non-cash items added in the calculation of Consolidated Net Income (other than any such non-cash item (A) to the extent it is anticipated to result in the receipt of cash payments in any future period or in respect of which cash was received in a prior period or (B) which represents the reversal of any accrual of, or cash reserve for, anticipated cash charges in any prior period);</w:t>
      </w:r>
    </w:p>
    <w:p>
      <w:pPr>
        <w:pStyle w:val="TextBody"/>
        <w:bidi w:val="0"/>
        <w:spacing w:lineRule="auto" w:line="288" w:before="0" w:after="240"/>
        <w:ind w:left="0" w:right="0" w:firstLine="990"/>
        <w:jc w:val="both"/>
        <w:rPr>
          <w:rFonts w:ascii="Times New Roman;sans-serif" w:hAnsi="Times New Roman;sans-serif"/>
          <w:b w:val="false"/>
          <w:color w:val="000000"/>
          <w:sz w:val="22"/>
        </w:rPr>
      </w:pPr>
      <w:r>
        <w:rPr>
          <w:rFonts w:ascii="Times New Roman;sans-serif" w:hAnsi="Times New Roman;sans-serif"/>
          <w:b w:val="false"/>
          <w:color w:val="000000"/>
          <w:sz w:val="22"/>
        </w:rPr>
        <w:t>(iii)net gains from discontinued or disposed operations (in the case of discontinued operations, solely to the extent incurred from the date such operations were held for sale in accordance with GAAP); and</w:t>
      </w:r>
    </w:p>
    <w:p>
      <w:pPr>
        <w:pStyle w:val="TextBody"/>
        <w:bidi w:val="0"/>
        <w:spacing w:lineRule="auto" w:line="288" w:before="0" w:after="240"/>
        <w:ind w:left="0" w:right="0" w:firstLine="990"/>
        <w:jc w:val="both"/>
        <w:rPr/>
      </w:pPr>
      <w:r>
        <w:rPr>
          <w:rFonts w:ascii="Times New Roman;sans-serif" w:hAnsi="Times New Roman;sans-serif"/>
          <w:b w:val="false"/>
          <w:color w:val="000000"/>
          <w:sz w:val="22"/>
        </w:rPr>
        <w:t xml:space="preserve">(iv)any non-recurring income or gains; </w:t>
      </w:r>
      <w:r>
        <w:rPr>
          <w:rFonts w:ascii="Times New Roman;sans-serif" w:hAnsi="Times New Roman;sans-serif"/>
          <w:b w:val="false"/>
          <w:color w:val="000000"/>
          <w:sz w:val="22"/>
          <w:u w:val="single"/>
        </w:rPr>
        <w:t>plus</w:t>
      </w:r>
      <w:r>
        <w:rPr>
          <w:rFonts w:ascii="Times New Roman;sans-serif" w:hAnsi="Times New Roman;sans-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13</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(c)     proceeds actually received by the Group Members during such period from any business interruption insurance (to the extent such proceeds are not reflected as revenue or income in such statement of such Consolidated Net Income); </w:t>
      </w:r>
      <w:r>
        <w:rPr>
          <w:rFonts w:ascii="Times New Roman;sans-serif" w:hAnsi="Times New Roman;sans-serif"/>
          <w:b w:val="false"/>
          <w:color w:val="000000"/>
          <w:sz w:val="22"/>
          <w:u w:val="single"/>
        </w:rPr>
        <w:t>plus</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(d)    to the extent a permitted Acquisition has been consummated during such period, Pro Forma Acquisition EBITDA attributable to the Target of such Acquisition (but only that portion of Pro Forma Acquisition EBITDA attributable to the portion of such period that occurred prior to the date of consummation of such Acquisition), as adjusted on a pro forma basis for such period for any “run rate” cost synergies, cost savings and other operating improvements that are expected in good faith to result from such Acquisition (calculated on a pro forma basis as though such cost savings and other operating improvements and cost synergies had been realized on the first day of such period);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such cost synergies, cost savings and other operating improvements are reasonably identifiable, factually supportable and certified by the Borrower as having been determined in good faith to be anticipated to be realized within 12 months following the consummation of such Acquisition (the “</w:t>
      </w:r>
      <w:r>
        <w:rPr>
          <w:rFonts w:ascii="Times New Roman;sans-serif" w:hAnsi="Times New Roman;sans-serif"/>
          <w:b w:val="false"/>
          <w:color w:val="000000"/>
          <w:sz w:val="22"/>
          <w:u w:val="single"/>
        </w:rPr>
        <w:t>Pro Forma Acquisition Adjustments</w:t>
      </w:r>
      <w:r>
        <w:rPr>
          <w:color w:val="000000"/>
        </w:rPr>
        <w:t>”</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that the amount of Pro Forma Acquisition Adjustments in any period shall not exceed, when combined with any amounts added back pursuant to clauses (a)(iv) and (a)(vi) above and the aggregate amount of extraordinary or unusual losses excluded pursuant to clause (c) of the definition of “Consolidated Net Income,” 20% of Consolidated EBITDA (determined before giving effect to such addbacks, adjustments and exclusions).</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Notwithstanding anything to the contrary in the foregoing, Consolidated EBITDA for each of the Fiscal Quarters ended June 30, 2023, September 30, 2023, December 31, 2023 and March 31, 2024 shall be $[***], $[***], $[***] and $[***], respectively.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Consolidated Net Income</w:t>
      </w:r>
      <w:r>
        <w:rPr>
          <w:color w:val="000000"/>
        </w:rPr>
        <w:t xml:space="preserve">” </w:t>
      </w:r>
      <w:r>
        <w:rPr>
          <w:rFonts w:ascii="Times New Roman;sans-serif" w:hAnsi="Times New Roman;sans-serif"/>
          <w:b w:val="false"/>
          <w:color w:val="000000"/>
          <w:sz w:val="22"/>
        </w:rPr>
        <w:t>means, for any Person (the “</w:t>
      </w:r>
      <w:r>
        <w:rPr>
          <w:rFonts w:ascii="Times New Roman;sans-serif" w:hAnsi="Times New Roman;sans-serif"/>
          <w:b w:val="false"/>
          <w:color w:val="000000"/>
          <w:sz w:val="22"/>
          <w:u w:val="single"/>
        </w:rPr>
        <w:t>first Person</w:t>
      </w:r>
      <w:r>
        <w:rPr>
          <w:color w:val="000000"/>
        </w:rPr>
        <w:t>”</w:t>
      </w:r>
      <w:r>
        <w:rPr>
          <w:rFonts w:ascii="Times New Roman;sans-serif" w:hAnsi="Times New Roman;sans-serif"/>
          <w:b w:val="false"/>
          <w:color w:val="000000"/>
          <w:sz w:val="22"/>
        </w:rPr>
        <w:t xml:space="preserve">) for any period, the sum of net income (or loss) for such period of such first Person and its subsidiaries determined on a consolidated basis in accordance with GAAP, excluding, without duplication, to the extent included in determining such net income (or loss) for such period: (a) any income (or loss) of any other Person (the “second Person”) if such second Person is not a subsidiary of such first Person, except that such first Person’s equity in the net income of any second Person for such period shall be included in the determination of Consolidated Net Income up to the aggregate amount of cash actually distributed by such second Person during such period to such first Person or any of its subsidiaries as a dividend or other distribution, (b) the income (or loss) of any second Person accrued prior to the date it became a subsidiary of such first Person or is merged into or consolidated with such first Person or any of its subsidiaries or such second Person’s assets are acquired by such first Person or any of its subsidiaries, (c) extraordinary or unusual gains (or losses);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aggregate amount of extraordinary or unusual losses excluded pursuant to this clause (c) in any period shall not exceed, when combined with any amounts added back pursuant to clauses (a)(iv) and (a)(vi) of the definition of “Consolidated EBITDA” and any Pro Forma Acquisition Adjustments, 20% of Consolidated EBITDA (determined before giving effect to such addbacks, adjustments and exclusions), (d) the income of any subsidiary of such first Person to the extent that the declaration or payment of dividends or similar distributions by such subsidiary of that income is prohibited by operation of the terms of its charter or any agreement, instrument, judgment, decree, statute, rule or governmental regulation applicable to such subsidiary, (e) [reserved] and (f) all non-cash adjustments made to translate foreign assets and liabilities for changes in foreign exchange rates made in accordance with ASC 830.</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Consolidated Secured Leverage Ratio</w:t>
      </w:r>
      <w:r>
        <w:rPr>
          <w:color w:val="000000"/>
        </w:rPr>
        <w:t xml:space="preserve">” </w:t>
      </w:r>
      <w:r>
        <w:rPr>
          <w:rFonts w:ascii="Times New Roman;sans-serif" w:hAnsi="Times New Roman;sans-serif"/>
          <w:b w:val="false"/>
          <w:color w:val="000000"/>
          <w:sz w:val="22"/>
        </w:rPr>
        <w:t xml:space="preserve">means, with respect to any Measurement Period, the ratio of (a) Consolidated Total Debt of the Borrower and its Subsidiaries as of the last day of such Measurement Period that is secured by a Lien on any asset or property of the Borrower or any of its </w:t>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14</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Subsidiaries to (b) Consolidated EBITDA of the Borrower and its Subsidiaries for such Measurement Period.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Consolidated Total Debt</w:t>
      </w:r>
      <w:r>
        <w:rPr>
          <w:color w:val="000000"/>
        </w:rPr>
        <w:t xml:space="preserve">” </w:t>
      </w:r>
      <w:r>
        <w:rPr>
          <w:rFonts w:ascii="Times New Roman;sans-serif" w:hAnsi="Times New Roman;sans-serif"/>
          <w:b w:val="false"/>
          <w:color w:val="000000"/>
          <w:sz w:val="22"/>
        </w:rPr>
        <w:t xml:space="preserve">means, with respect to any Person and its subsidiaries at any time and as determined on a consolidated basis and without duplication, an amount equal to the sum of Indebtedness of the type set forth in clauses (a) (excluding, for the avoidance of doubt, any Indebtedness outstanding in respect of, and any undrawn availability under, any Securitization Program), (b), (c), (e), (g), (h) (solely to the extent such Earn-Out Obligations are due and payable), and (l) (solely with respect to Guarantees of the foregoing categories of Indebtedness) of the definition thereof.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Contested in Good Faith</w:t>
      </w:r>
      <w:r>
        <w:rPr>
          <w:color w:val="000000"/>
        </w:rPr>
        <w:t xml:space="preserve">” </w:t>
      </w:r>
      <w:r>
        <w:rPr>
          <w:rFonts w:ascii="Times New Roman;sans-serif" w:hAnsi="Times New Roman;sans-serif"/>
          <w:b w:val="false"/>
          <w:color w:val="000000"/>
          <w:sz w:val="22"/>
        </w:rPr>
        <w:t>means, with respect to any matter, that such matter is being contested in good faith by appropriate proceedings diligently conducted and for which adequate reserves have been provided in accordance with GAAP.</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Contractual Obligation</w:t>
      </w:r>
      <w:r>
        <w:rPr>
          <w:color w:val="000000"/>
        </w:rPr>
        <w:t xml:space="preserve">” </w:t>
      </w:r>
      <w:r>
        <w:rPr>
          <w:rFonts w:ascii="Times New Roman;sans-serif" w:hAnsi="Times New Roman;sans-serif"/>
          <w:b w:val="false"/>
          <w:color w:val="000000"/>
          <w:sz w:val="22"/>
        </w:rPr>
        <w:t>means, as to any Person, any provision of any security issued by such Person or of any agreement, instrument or other undertaking to which such Person is a party or by which it or any of its property is bound.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Control</w:t>
      </w:r>
      <w:r>
        <w:rPr>
          <w:color w:val="000000"/>
        </w:rPr>
        <w:t xml:space="preserve">” </w:t>
      </w:r>
      <w:r>
        <w:rPr>
          <w:rFonts w:ascii="Times New Roman;sans-serif" w:hAnsi="Times New Roman;sans-serif"/>
          <w:b w:val="false"/>
          <w:color w:val="000000"/>
          <w:sz w:val="22"/>
        </w:rPr>
        <w:t>means the possession, directly or indirectly, of the power to direct or cause the direction of the management or policies of a Person, whether through the ability to exercise voting power, by contract or otherwise. “</w:t>
      </w:r>
      <w:r>
        <w:rPr>
          <w:rFonts w:ascii="Times New Roman;sans-serif" w:hAnsi="Times New Roman;sans-serif"/>
          <w:b w:val="false"/>
          <w:color w:val="000000"/>
          <w:sz w:val="22"/>
          <w:u w:val="single"/>
        </w:rPr>
        <w:t>Controlling</w:t>
      </w:r>
      <w:r>
        <w:rPr>
          <w:color w:val="000000"/>
        </w:rPr>
        <w:t xml:space="preserve">” </w:t>
      </w:r>
      <w:r>
        <w:rPr>
          <w:rFonts w:ascii="Times New Roman;sans-serif" w:hAnsi="Times New Roman;sans-serif"/>
          <w:b w:val="false"/>
          <w:color w:val="000000"/>
          <w:sz w:val="22"/>
        </w:rPr>
        <w:t>and “</w:t>
      </w:r>
      <w:r>
        <w:rPr>
          <w:rFonts w:ascii="Times New Roman;sans-serif" w:hAnsi="Times New Roman;sans-serif"/>
          <w:b w:val="false"/>
          <w:color w:val="000000"/>
          <w:sz w:val="22"/>
          <w:u w:val="single"/>
        </w:rPr>
        <w:t>Controlled</w:t>
      </w:r>
      <w:r>
        <w:rPr>
          <w:color w:val="000000"/>
        </w:rPr>
        <w:t xml:space="preserve">” </w:t>
      </w:r>
      <w:r>
        <w:rPr>
          <w:rFonts w:ascii="Times New Roman;sans-serif" w:hAnsi="Times New Roman;sans-serif"/>
          <w:b w:val="false"/>
          <w:color w:val="000000"/>
          <w:sz w:val="22"/>
        </w:rPr>
        <w:t xml:space="preserve">have meanings analogous thereto.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Control Agreement Date</w:t>
      </w:r>
      <w:r>
        <w:rPr>
          <w:color w:val="000000"/>
        </w:rPr>
        <w:t xml:space="preserve">” </w:t>
      </w:r>
      <w:r>
        <w:rPr>
          <w:rFonts w:ascii="Times New Roman;sans-serif" w:hAnsi="Times New Roman;sans-serif"/>
          <w:b w:val="false"/>
          <w:color w:val="000000"/>
          <w:sz w:val="22"/>
        </w:rPr>
        <w:t>has the meaning set forth in clause (c) of the definition of “Collateral and Guarantee Requirement.”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Controlled Account</w:t>
      </w:r>
      <w:r>
        <w:rPr>
          <w:color w:val="000000"/>
        </w:rPr>
        <w:t xml:space="preserve">” </w:t>
      </w:r>
      <w:r>
        <w:rPr>
          <w:rFonts w:ascii="Times New Roman;sans-serif" w:hAnsi="Times New Roman;sans-serif"/>
          <w:b w:val="false"/>
          <w:color w:val="000000"/>
          <w:sz w:val="22"/>
        </w:rPr>
        <w:t>means, as the context may require, a commodities account, deposit account and/or securities account that is subject to a Control Agreement (as defined in the Security Agreement) in form and substance satisfactory to the Administrative Agent.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Controlled Foreign Corporation</w:t>
      </w:r>
      <w:r>
        <w:rPr>
          <w:color w:val="000000"/>
        </w:rPr>
        <w:t xml:space="preserve">” </w:t>
      </w:r>
      <w:r>
        <w:rPr>
          <w:rFonts w:ascii="Times New Roman;sans-serif" w:hAnsi="Times New Roman;sans-serif"/>
          <w:b w:val="false"/>
          <w:color w:val="000000"/>
          <w:sz w:val="22"/>
        </w:rPr>
        <w:t xml:space="preserve">means a controlled foreign corporation within the meaning of Section 957(a) of the Code;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no Irish Subsidiary shall be treated as a Controlled Foreign Corporation.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Copyright Security Agreement</w:t>
      </w:r>
      <w:r>
        <w:rPr>
          <w:color w:val="000000"/>
        </w:rPr>
        <w:t xml:space="preserve">” </w:t>
      </w:r>
      <w:r>
        <w:rPr>
          <w:rFonts w:ascii="Times New Roman;sans-serif" w:hAnsi="Times New Roman;sans-serif"/>
          <w:b w:val="false"/>
          <w:color w:val="000000"/>
          <w:sz w:val="22"/>
        </w:rPr>
        <w:t>has the meaning set forth in the Security Agreement.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Credit Agreement</w:t>
      </w:r>
      <w:r>
        <w:rPr>
          <w:color w:val="000000"/>
        </w:rPr>
        <w:t xml:space="preserve">” </w:t>
      </w:r>
      <w:r>
        <w:rPr>
          <w:rFonts w:ascii="Times New Roman;sans-serif" w:hAnsi="Times New Roman;sans-serif"/>
          <w:b w:val="false"/>
          <w:color w:val="000000"/>
          <w:sz w:val="22"/>
        </w:rPr>
        <w:t>means this Credit Agreement.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Credit Extension</w:t>
      </w:r>
      <w:r>
        <w:rPr>
          <w:color w:val="000000"/>
        </w:rPr>
        <w:t xml:space="preserve">” </w:t>
      </w:r>
      <w:r>
        <w:rPr>
          <w:rFonts w:ascii="Times New Roman;sans-serif" w:hAnsi="Times New Roman;sans-serif"/>
          <w:b w:val="false"/>
          <w:color w:val="000000"/>
          <w:sz w:val="22"/>
        </w:rPr>
        <w:t>means the making of a Loan.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Credit Facility</w:t>
      </w:r>
      <w:r>
        <w:rPr>
          <w:color w:val="000000"/>
        </w:rPr>
        <w:t xml:space="preserve">” </w:t>
      </w:r>
      <w:r>
        <w:rPr>
          <w:rFonts w:ascii="Times New Roman;sans-serif" w:hAnsi="Times New Roman;sans-serif"/>
          <w:b w:val="false"/>
          <w:color w:val="000000"/>
          <w:sz w:val="22"/>
        </w:rPr>
        <w:t>means the term loan credit facility established hereunder and evidenced by the Commitments and the Loans.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Credit Parties</w:t>
      </w:r>
      <w:r>
        <w:rPr>
          <w:color w:val="000000"/>
        </w:rPr>
        <w:t xml:space="preserve">” </w:t>
      </w:r>
      <w:r>
        <w:rPr>
          <w:rFonts w:ascii="Times New Roman;sans-serif" w:hAnsi="Times New Roman;sans-serif"/>
          <w:b w:val="false"/>
          <w:color w:val="000000"/>
          <w:sz w:val="22"/>
        </w:rPr>
        <w:t>means the Administrative Agent and the Lenders.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Cumulative Retained Excess Cash Flow</w:t>
      </w:r>
      <w:r>
        <w:rPr>
          <w:color w:val="000000"/>
        </w:rPr>
        <w:t xml:space="preserve">” </w:t>
      </w:r>
      <w:r>
        <w:rPr>
          <w:rFonts w:ascii="Times New Roman;sans-serif" w:hAnsi="Times New Roman;sans-serif"/>
          <w:b w:val="false"/>
          <w:color w:val="000000"/>
          <w:sz w:val="22"/>
        </w:rPr>
        <w:t xml:space="preserve">means, as at any date of determination, an amount determined on a cumulative basis equal to (a) the amount of Excess Cash Flow (excluding, for the avoidance of doubt, any negative amounts) for all Fiscal Years (commencing with the Fiscal Year ending December 31, 2025) ending prior to the date of determination for which an annual Compliance Certificate setting forth a calculation of Excess Cash Flow for such Fiscal Year has been delivered to the Administrative Agent, </w:t>
      </w:r>
      <w:r>
        <w:rPr>
          <w:rFonts w:ascii="Times New Roman;sans-serif" w:hAnsi="Times New Roman;sans-serif"/>
          <w:b w:val="false"/>
          <w:color w:val="000000"/>
          <w:sz w:val="22"/>
          <w:u w:val="single"/>
        </w:rPr>
        <w:t>minus</w:t>
      </w:r>
      <w:r>
        <w:rPr>
          <w:color w:val="000000"/>
        </w:rPr>
        <w:t xml:space="preserve"> </w:t>
      </w:r>
      <w:r>
        <w:rPr>
          <w:rFonts w:ascii="Times New Roman;sans-serif" w:hAnsi="Times New Roman;sans-serif"/>
          <w:b w:val="false"/>
          <w:color w:val="000000"/>
          <w:sz w:val="22"/>
        </w:rPr>
        <w:t xml:space="preserve">(b) the amount of Excess Cash Flow required to be applied to prepay the </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15</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Loans pursuant to </w:t>
      </w:r>
      <w:r>
        <w:rPr>
          <w:rFonts w:ascii="Times New Roman;sans-serif" w:hAnsi="Times New Roman;sans-serif"/>
          <w:b w:val="false"/>
          <w:color w:val="000000"/>
          <w:sz w:val="22"/>
          <w:u w:val="single"/>
        </w:rPr>
        <w:t>Section 2.7(b)</w:t>
      </w:r>
      <w:r>
        <w:rPr>
          <w:color w:val="000000"/>
        </w:rPr>
        <w:t xml:space="preserve"> </w:t>
      </w:r>
      <w:r>
        <w:rPr>
          <w:rFonts w:ascii="Times New Roman;sans-serif" w:hAnsi="Times New Roman;sans-serif"/>
          <w:b w:val="false"/>
          <w:color w:val="000000"/>
          <w:sz w:val="22"/>
        </w:rPr>
        <w:t xml:space="preserve">in respect of each applicable preceding Fiscal Year (prior to giving effect to any dollar-for-dollar reduction under sub-clause (ii) of </w:t>
      </w:r>
      <w:r>
        <w:rPr>
          <w:rFonts w:ascii="Times New Roman;sans-serif" w:hAnsi="Times New Roman;sans-serif"/>
          <w:b w:val="false"/>
          <w:color w:val="000000"/>
          <w:sz w:val="22"/>
          <w:u w:val="single"/>
        </w:rPr>
        <w:t>Section 2.7(b)</w:t>
      </w:r>
      <w:r>
        <w:rPr>
          <w:rFonts w:ascii="Times New Roman;sans-serif" w:hAnsi="Times New Roman;sans-serif"/>
          <w:b w:val="false"/>
          <w:color w:val="000000"/>
          <w:sz w:val="22"/>
        </w:rPr>
        <w:t xml:space="preserve">). </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val="false"/>
          <w:color w:val="000000"/>
          <w:sz w:val="22"/>
          <w:u w:val="single"/>
        </w:rPr>
        <w:t>Cure Amount</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8.4</w:t>
      </w:r>
      <w:r>
        <w:rPr>
          <w:rFonts w:ascii="Times New Roman;sans-serif" w:hAnsi="Times New Roman;sans-serif"/>
          <w:b w:val="false"/>
          <w:color w:val="000000"/>
          <w:sz w:val="22"/>
        </w:rPr>
        <w:t>.</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val="false"/>
          <w:color w:val="000000"/>
          <w:sz w:val="22"/>
          <w:u w:val="single"/>
        </w:rPr>
        <w:t>Cure Notice</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8.4</w:t>
      </w:r>
      <w:r>
        <w:rPr>
          <w:rFonts w:ascii="Times New Roman;sans-serif" w:hAnsi="Times New Roman;sans-serif"/>
          <w:b w:val="false"/>
          <w:color w:val="000000"/>
          <w:sz w:val="22"/>
        </w:rPr>
        <w:t>.</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val="false"/>
          <w:color w:val="000000"/>
          <w:sz w:val="22"/>
          <w:u w:val="single"/>
        </w:rPr>
        <w:t>Cure Quarter</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8.4</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Daily Simple SOFR</w:t>
      </w:r>
      <w:r>
        <w:rPr>
          <w:color w:val="000000"/>
        </w:rPr>
        <w:t xml:space="preserve">” </w:t>
      </w:r>
      <w:r>
        <w:rPr>
          <w:rFonts w:ascii="Times New Roman;sans-serif" w:hAnsi="Times New Roman;sans-serif"/>
          <w:b w:val="false"/>
          <w:color w:val="000000"/>
          <w:sz w:val="22"/>
        </w:rPr>
        <w:t xml:space="preserve">means, for any day, SOFR, with the conventions for this rate (which will include a lookback) being established by the Administrative Agent in accordance with the conventions for this rate recommended by the Relevant Governmental Body for determining “Daily Simple SOFR” for syndicated business loans;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if the Administrative Agent decides that any such convention is not administratively feasible for the Administrative Agent, then the Administrative Agent may establish another convention in its reasonable discretion.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Debt Issuance</w:t>
      </w:r>
      <w:r>
        <w:rPr>
          <w:color w:val="000000"/>
        </w:rPr>
        <w:t xml:space="preserve">” </w:t>
      </w:r>
      <w:r>
        <w:rPr>
          <w:rFonts w:ascii="Times New Roman;sans-serif" w:hAnsi="Times New Roman;sans-serif"/>
          <w:b w:val="false"/>
          <w:color w:val="000000"/>
          <w:sz w:val="22"/>
        </w:rPr>
        <w:t xml:space="preserve">shall mean the incurrence by the Borrower or any of its Subsidiaries of any Indebtedness after the Closing Date (other than as permitted by </w:t>
      </w:r>
      <w:r>
        <w:rPr>
          <w:rFonts w:ascii="Times New Roman;sans-serif" w:hAnsi="Times New Roman;sans-serif"/>
          <w:b w:val="false"/>
          <w:color w:val="000000"/>
          <w:sz w:val="22"/>
          <w:u w:val="single"/>
        </w:rPr>
        <w:t>Section 7.1</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Debtor Relief Laws</w:t>
      </w:r>
      <w:r>
        <w:rPr>
          <w:color w:val="000000"/>
        </w:rPr>
        <w:t xml:space="preserve">” </w:t>
      </w:r>
      <w:r>
        <w:rPr>
          <w:rFonts w:ascii="Times New Roman;sans-serif" w:hAnsi="Times New Roman;sans-serif"/>
          <w:b w:val="false"/>
          <w:color w:val="000000"/>
          <w:sz w:val="22"/>
        </w:rPr>
        <w:t>means the Bankruptcy Code, and all other liquidation, examinership, rescue process, receivership, conservatorship, bankruptcy, assignment for the benefit of creditors, moratorium, rearrangement, receivership, insolvency, reorganization, or similar debtor relief laws of the United States or other applicable jurisdictions from time to time in effect.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Default</w:t>
      </w:r>
      <w:r>
        <w:rPr>
          <w:color w:val="000000"/>
        </w:rPr>
        <w:t xml:space="preserve">” </w:t>
      </w:r>
      <w:r>
        <w:rPr>
          <w:rFonts w:ascii="Times New Roman;sans-serif" w:hAnsi="Times New Roman;sans-serif"/>
          <w:b w:val="false"/>
          <w:color w:val="000000"/>
          <w:sz w:val="22"/>
        </w:rPr>
        <w:t>means any event or condition which constitutes an Event of Default or that upon notice, lapse of time or both would, unless cured or waived, become an Event of Default.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Default Rate</w:t>
      </w:r>
      <w:r>
        <w:rPr>
          <w:color w:val="000000"/>
        </w:rPr>
        <w:t xml:space="preserve">” </w:t>
      </w:r>
      <w:r>
        <w:rPr>
          <w:rFonts w:ascii="Times New Roman;sans-serif" w:hAnsi="Times New Roman;sans-serif"/>
          <w:b w:val="false"/>
          <w:color w:val="000000"/>
          <w:sz w:val="22"/>
        </w:rPr>
        <w:t xml:space="preserve">means (a) when used with respect to the outstanding principal balance of any Loan, the sum of (i) the rate of interest otherwise applicable thereto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(ii) 2.00% per annum, and (b) when used with respect to any interest, fee or other amount payable under the Loan Documents which shall not have been paid when due, the sum of (i) the Alternate Base Rate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(ii) the Applicable Margin applicable to ABR Borrowings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(iii) 2.00% per annum.</w:t>
      </w:r>
    </w:p>
    <w:p>
      <w:pPr>
        <w:pStyle w:val="TextBody"/>
        <w:bidi w:val="0"/>
        <w:spacing w:lineRule="auto" w:line="288" w:before="0" w:after="120"/>
        <w:ind w:left="0" w:right="0" w:firstLine="720"/>
        <w:jc w:val="left"/>
        <w:rPr/>
      </w:pPr>
      <w:r>
        <w:rPr>
          <w:color w:val="000000"/>
        </w:rPr>
        <w:t>“</w:t>
      </w:r>
      <w:r>
        <w:rPr>
          <w:rFonts w:ascii="Times New Roman;sans-serif" w:hAnsi="Times New Roman;sans-serif"/>
          <w:b w:val="false"/>
          <w:color w:val="000000"/>
          <w:sz w:val="22"/>
          <w:u w:val="single"/>
        </w:rPr>
        <w:t>Disclosure Exceptions</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6.1(h)</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Disposition</w:t>
      </w:r>
      <w:r>
        <w:rPr>
          <w:color w:val="000000"/>
        </w:rPr>
        <w:t xml:space="preserve">” </w:t>
      </w:r>
      <w:r>
        <w:rPr>
          <w:rFonts w:ascii="Times New Roman;sans-serif" w:hAnsi="Times New Roman;sans-serif"/>
          <w:b w:val="false"/>
          <w:color w:val="000000"/>
          <w:sz w:val="22"/>
        </w:rPr>
        <w:t xml:space="preserve">means (a) with respect to any Person, the sale, transfer, license, lease or other disposition (including any Sale and Leaseback and any sale or issuance of Equity Interests including by way of a merger) by such Person to any other Person, with or without recourse, of any property and (b) any issuance or sale of any Equity Interests of any Subsidiary (other than directors qualifying shares) to any Person;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none of the following shall constitute a Disposition: (i) any sale, transfer, license, lease or other disposition by (A) a Loan Party to another Loan Party or (B) a Non-Loan Party Subsidiary to another Non-Loan Party Subsidiary, in each case, on terms which are no less favorable than are obtainable from any Person which is not one of its Affiliates, (ii) the collection of accounts receivable and other obligations in the ordinary course of business and (iii) sales of inventory in the ordinary course of business. Each of the terms “</w:t>
      </w:r>
      <w:r>
        <w:rPr>
          <w:rFonts w:ascii="Times New Roman;sans-serif" w:hAnsi="Times New Roman;sans-serif"/>
          <w:b w:val="false"/>
          <w:color w:val="000000"/>
          <w:sz w:val="22"/>
          <w:u w:val="single"/>
        </w:rPr>
        <w:t>Dispose</w:t>
      </w:r>
      <w:r>
        <w:rPr>
          <w:color w:val="000000"/>
        </w:rPr>
        <w:t xml:space="preserve">” </w:t>
      </w:r>
      <w:r>
        <w:rPr>
          <w:rFonts w:ascii="Times New Roman;sans-serif" w:hAnsi="Times New Roman;sans-serif"/>
          <w:b w:val="false"/>
          <w:color w:val="000000"/>
          <w:sz w:val="22"/>
        </w:rPr>
        <w:t>and “</w:t>
      </w:r>
      <w:r>
        <w:rPr>
          <w:rFonts w:ascii="Times New Roman;sans-serif" w:hAnsi="Times New Roman;sans-serif"/>
          <w:b w:val="false"/>
          <w:color w:val="000000"/>
          <w:sz w:val="22"/>
          <w:u w:val="single"/>
        </w:rPr>
        <w:t>Disposed</w:t>
      </w:r>
      <w:r>
        <w:rPr>
          <w:color w:val="000000"/>
        </w:rPr>
        <w:t xml:space="preserve">” </w:t>
      </w:r>
      <w:r>
        <w:rPr>
          <w:rFonts w:ascii="Times New Roman;sans-serif" w:hAnsi="Times New Roman;sans-serif"/>
          <w:b w:val="false"/>
          <w:color w:val="000000"/>
          <w:sz w:val="22"/>
        </w:rPr>
        <w:t>when used as a verb shall have an analogous meaning.</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Disqualified Equity Interest</w:t>
      </w:r>
      <w:r>
        <w:rPr>
          <w:color w:val="000000"/>
        </w:rPr>
        <w:t xml:space="preserve">” </w:t>
      </w:r>
      <w:r>
        <w:rPr>
          <w:rFonts w:ascii="Times New Roman;sans-serif" w:hAnsi="Times New Roman;sans-serif"/>
          <w:b w:val="false"/>
          <w:color w:val="000000"/>
          <w:sz w:val="22"/>
        </w:rPr>
        <w:t xml:space="preserve">means, with respect to any Person, any Equity Interest of such Person which, by its terms, or by the terms of any security or other Equity Interests into which it is convertible or for which it is exchangeable, or upon the happening of any event or condition, (a) matures </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16</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or is mandatorily redeemable (other than solely for Qualified Equity Interests and cash in lieu of fractional shares of such Equity Interests) pursuant to a sinking fund obligation or otherwise (except as a result of a change in control or asset sale so long as any rights of the holders thereof upon the occurrence of a change in control or asset sale event shall be subject to the prior occurrence of the Termination Date), (b) is redeemable at the option of the holder thereof (other than solely for Qualified Equity Interests), in whole or in part, (c) provides for the scheduled payments of dividends in cash, or (d) is or becomes convertible into or exchangeable for Indebtedness or any other Equity Interests that would constitute Disqualified Equity Interests, in each case, prior to the date that is 91 days after the Latest Maturity Date at the time such Equity Interests are issued.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Dollars</w:t>
      </w:r>
      <w:r>
        <w:rPr>
          <w:color w:val="000000"/>
        </w:rPr>
        <w:t xml:space="preserve">” </w:t>
      </w:r>
      <w:r>
        <w:rPr>
          <w:rFonts w:ascii="Times New Roman;sans-serif" w:hAnsi="Times New Roman;sans-serif"/>
          <w:b w:val="false"/>
          <w:color w:val="000000"/>
          <w:sz w:val="22"/>
        </w:rPr>
        <w:t>or “</w:t>
      </w:r>
      <w:r>
        <w:rPr>
          <w:rFonts w:ascii="Times New Roman;sans-serif" w:hAnsi="Times New Roman;sans-serif"/>
          <w:b w:val="false"/>
          <w:color w:val="000000"/>
          <w:sz w:val="22"/>
          <w:u w:val="single"/>
        </w:rPr>
        <w:t>$</w:t>
      </w:r>
      <w:r>
        <w:rPr>
          <w:color w:val="000000"/>
        </w:rPr>
        <w:t xml:space="preserve">” </w:t>
      </w:r>
      <w:r>
        <w:rPr>
          <w:rFonts w:ascii="Times New Roman;sans-serif" w:hAnsi="Times New Roman;sans-serif"/>
          <w:b w:val="false"/>
          <w:color w:val="000000"/>
          <w:sz w:val="22"/>
        </w:rPr>
        <w:t>refers to lawful money of the United States.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Domestic Loan Party</w:t>
      </w:r>
      <w:r>
        <w:rPr>
          <w:color w:val="000000"/>
        </w:rPr>
        <w:t xml:space="preserve">” </w:t>
      </w:r>
      <w:r>
        <w:rPr>
          <w:rFonts w:ascii="Times New Roman;sans-serif" w:hAnsi="Times New Roman;sans-serif"/>
          <w:b w:val="false"/>
          <w:color w:val="000000"/>
          <w:sz w:val="22"/>
        </w:rPr>
        <w:t>means a Loan Party that is incorporated or organized under the laws of the United States, any state thereof or the District of Columbia.</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Domestic Subsidiary</w:t>
      </w:r>
      <w:r>
        <w:rPr>
          <w:color w:val="000000"/>
        </w:rPr>
        <w:t xml:space="preserve">” </w:t>
      </w:r>
      <w:r>
        <w:rPr>
          <w:rFonts w:ascii="Times New Roman;sans-serif" w:hAnsi="Times New Roman;sans-serif"/>
          <w:b w:val="false"/>
          <w:color w:val="000000"/>
          <w:sz w:val="22"/>
        </w:rPr>
        <w:t>means a Subsidiary that is incorporated or organized under the laws of the United States, any state thereof or the District of Columbia.</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Earn-Out Obligations</w:t>
      </w:r>
      <w:r>
        <w:rPr>
          <w:color w:val="000000"/>
        </w:rPr>
        <w:t xml:space="preserve">” </w:t>
      </w:r>
      <w:r>
        <w:rPr>
          <w:rFonts w:ascii="Times New Roman;sans-serif" w:hAnsi="Times New Roman;sans-serif"/>
          <w:b w:val="false"/>
          <w:color w:val="000000"/>
          <w:sz w:val="22"/>
        </w:rPr>
        <w:t>means, with respect to any Person, any cash earn out obligations and other performance payments or similar obligations of the Borrower or any Subsidiary to any sellers arising out of or in connection with an Acquisition the amount of which is, or the terms of payment of which are, in any respect subject to or contingent upon the revenues, income, cash flow or profits (or the like) of the Person, business or division acquired in such Acquisition, but excluding any working capital adjustments or payments for services or licenses provided by such seller.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EEA Financial Institution</w:t>
      </w:r>
      <w:r>
        <w:rPr>
          <w:color w:val="000000"/>
        </w:rPr>
        <w:t xml:space="preserve">” </w:t>
      </w:r>
      <w:r>
        <w:rPr>
          <w:rFonts w:ascii="Times New Roman;sans-serif" w:hAnsi="Times New Roman;sans-serif"/>
          <w:b w:val="false"/>
          <w:color w:val="000000"/>
          <w:sz w:val="22"/>
        </w:rPr>
        <w:t>means (a) any credit institution or investment firm established in any EEA Member Country that is subject to the supervision of an EEA Resolution Authority, (b) any entity established in an EEA Member Country that is a parent of an institution described in clause (a) of this definition, or (c) any financial institution established in an EEA Member Country that is a subsidiary of an institution described in clause (a) or (b) of this definition and is subject to consolidated supervision with its parent.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EEA Member Country</w:t>
      </w:r>
      <w:r>
        <w:rPr>
          <w:color w:val="000000"/>
        </w:rPr>
        <w:t xml:space="preserve">” </w:t>
      </w:r>
      <w:r>
        <w:rPr>
          <w:rFonts w:ascii="Times New Roman;sans-serif" w:hAnsi="Times New Roman;sans-serif"/>
          <w:b w:val="false"/>
          <w:color w:val="000000"/>
          <w:sz w:val="22"/>
        </w:rPr>
        <w:t>means any of the member states of the European Union, Iceland, Liechtenstein, and Norway.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EEA Resolution Authority</w:t>
      </w:r>
      <w:r>
        <w:rPr>
          <w:color w:val="000000"/>
        </w:rPr>
        <w:t xml:space="preserve">” </w:t>
      </w:r>
      <w:r>
        <w:rPr>
          <w:rFonts w:ascii="Times New Roman;sans-serif" w:hAnsi="Times New Roman;sans-serif"/>
          <w:b w:val="false"/>
          <w:color w:val="000000"/>
          <w:sz w:val="22"/>
        </w:rPr>
        <w:t>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Eligible Assignee</w:t>
      </w:r>
      <w:r>
        <w:rPr>
          <w:color w:val="000000"/>
        </w:rPr>
        <w:t xml:space="preserve">” </w:t>
      </w:r>
      <w:r>
        <w:rPr>
          <w:rFonts w:ascii="Times New Roman;sans-serif" w:hAnsi="Times New Roman;sans-serif"/>
          <w:b w:val="false"/>
          <w:color w:val="000000"/>
          <w:sz w:val="22"/>
        </w:rPr>
        <w:t xml:space="preserve">means any Person that meets the requirements to be an assignee under </w:t>
      </w:r>
      <w:r>
        <w:rPr>
          <w:rFonts w:ascii="Times New Roman;sans-serif" w:hAnsi="Times New Roman;sans-serif"/>
          <w:b w:val="false"/>
          <w:color w:val="000000"/>
          <w:sz w:val="22"/>
          <w:u w:val="single"/>
        </w:rPr>
        <w:t>Section 10.4(b)(iii)</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(v)</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(vi)</w:t>
      </w:r>
      <w:r>
        <w:rPr>
          <w:color w:val="000000"/>
        </w:rPr>
        <w:t xml:space="preserve"> </w:t>
      </w:r>
      <w:r>
        <w:rPr>
          <w:rFonts w:ascii="Times New Roman;sans-serif" w:hAnsi="Times New Roman;sans-serif"/>
          <w:b w:val="false"/>
          <w:color w:val="000000"/>
          <w:sz w:val="22"/>
        </w:rPr>
        <w:t xml:space="preserve">(subject to such consents, if any, as may be required under </w:t>
      </w:r>
      <w:r>
        <w:rPr>
          <w:rFonts w:ascii="Times New Roman;sans-serif" w:hAnsi="Times New Roman;sans-serif"/>
          <w:b w:val="false"/>
          <w:color w:val="000000"/>
          <w:sz w:val="22"/>
          <w:u w:val="single"/>
        </w:rPr>
        <w:t>Section 10.4(b)(iii)</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Environmental Claims</w:t>
      </w:r>
      <w:r>
        <w:rPr>
          <w:color w:val="000000"/>
        </w:rPr>
        <w:t xml:space="preserve">” </w:t>
      </w:r>
      <w:r>
        <w:rPr>
          <w:rFonts w:ascii="Times New Roman;sans-serif" w:hAnsi="Times New Roman;sans-serif"/>
          <w:b w:val="false"/>
          <w:color w:val="000000"/>
          <w:sz w:val="22"/>
        </w:rPr>
        <w:t xml:space="preserve">means any and all administrative, regulatory or judicial actions, suits, demands, demand letters, claims, liens, notices of liability, non-compliance or violation, investigations, proceedings, settlements, consent decrees, consent orders, consent agreements and all costs and liabilities relating to or arising from or under any Environmental Law, including (a) any and all claims by Governmental Authorities for enforcement, investigation, corrective action, cleanup, removal, response, remedial or other actions, cost recovery, damages, natural resource damages or penalties pursuant to or arising under any Environmental Law, (b) any and all claims by any one or more Persons seeking </w:t>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17</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damages, contribution, restitution, indemnification, cost recovery, compensation or injunctive relief directly or indirectly resulting from, based upon or arising under Environmental Law, pertaining to Hazardous Materials or an alleged injury or threat of injury to human health, safety, natural resources, or the indoor or outdoor environment, and (c) all liabilities contingent or otherwise, expenses, obligations, losses, damages, fines and penalties arising under any Environmental Law.</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Environmental Law</w:t>
      </w:r>
      <w:r>
        <w:rPr>
          <w:color w:val="000000"/>
        </w:rPr>
        <w:t xml:space="preserve">” </w:t>
      </w:r>
      <w:r>
        <w:rPr>
          <w:rFonts w:ascii="Times New Roman;sans-serif" w:hAnsi="Times New Roman;sans-serif"/>
          <w:b w:val="false"/>
          <w:color w:val="000000"/>
          <w:sz w:val="22"/>
        </w:rPr>
        <w:t>means, collectively and individually any and all federal, state, local, or foreign statute, rule, regulation, code, guidance, ordinance, order, judgment, directive, decree, injunction or common law as now or previously in effect and regulating, relating to or imposing liability or standards of conduct concerning: the environment; protection of the environment and natural resources; air emissions; water discharges; noise emissions; the Release, threatened Release or discharge into the environment and physical hazards of any Hazardous Material; the generation, handling, management, treatment, storage, transport or disposal of any Hazardous Material or otherwise concerning pollution or the protection of the outdoor or indoor environment, preservation or restoration of natural resources, employee or human health or safety, and potential or actual exposure to or injury from Hazardous Materials.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Environmental Liability</w:t>
      </w:r>
      <w:r>
        <w:rPr>
          <w:color w:val="000000"/>
        </w:rPr>
        <w:t xml:space="preserve">” </w:t>
      </w:r>
      <w:r>
        <w:rPr>
          <w:rFonts w:ascii="Times New Roman;sans-serif" w:hAnsi="Times New Roman;sans-serif"/>
          <w:b w:val="false"/>
          <w:color w:val="000000"/>
          <w:sz w:val="22"/>
        </w:rPr>
        <w:t>means, in respect of any Person, any statutory, common law or equitable liability, contingent or otherwise of such Person directly or indirectly resulting from, arising out of or based upon (a) the violation of any Environmental Law or Environmental Permit, or (b) an Environmental Claim.</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Environmental Permit</w:t>
      </w:r>
      <w:r>
        <w:rPr>
          <w:color w:val="000000"/>
        </w:rPr>
        <w:t xml:space="preserve">” </w:t>
      </w:r>
      <w:r>
        <w:rPr>
          <w:rFonts w:ascii="Times New Roman;sans-serif" w:hAnsi="Times New Roman;sans-serif"/>
          <w:b w:val="false"/>
          <w:color w:val="000000"/>
          <w:sz w:val="22"/>
        </w:rPr>
        <w:t>means any permit, approval, authorization, certificate, license, variance, filing or permission required by or from any Governmental Authority pursuant to any Environmental Law.</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Equity Interests</w:t>
      </w:r>
      <w:r>
        <w:rPr>
          <w:color w:val="000000"/>
        </w:rPr>
        <w:t xml:space="preserve">” </w:t>
      </w:r>
      <w:r>
        <w:rPr>
          <w:rFonts w:ascii="Times New Roman;sans-serif" w:hAnsi="Times New Roman;sans-serif"/>
          <w:b w:val="false"/>
          <w:color w:val="000000"/>
          <w:sz w:val="22"/>
        </w:rPr>
        <w:t>means, with respect to any Person, (a) shares of capital stock of (or other ownership or profit interests in) such Person, (b) warrants, options or other rights for the purchase or acquisition from such Person of shares of capital stock of (or other ownership or profit interests in) such Person, (c) securities (other than Indebtedness) convertible into or exchangeable for shares of capital stock of (or other ownership or profit interests in) such Person or warrants, rights or options for the purchase or acquisition from such Person of such shares (or such other interests) and (d) all other ownership or profit interests in such Person (including partnership, member or trust interests therein), whether voting or non-voting, and whether or not such shares, warrants, options, rights or other interests are outstanding on any date of determination.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Equity Issuance</w:t>
      </w:r>
      <w:r>
        <w:rPr>
          <w:color w:val="000000"/>
        </w:rPr>
        <w:t xml:space="preserve">” </w:t>
      </w:r>
      <w:r>
        <w:rPr>
          <w:rFonts w:ascii="Times New Roman;sans-serif" w:hAnsi="Times New Roman;sans-serif"/>
          <w:b w:val="false"/>
          <w:color w:val="000000"/>
          <w:sz w:val="22"/>
        </w:rPr>
        <w:t xml:space="preserve">means, without duplication, (i) any issuance or sale by the Borrower after the Closing Date of any Equity Interests in the Borrower (including any Equity Interests issued upon exercise of any warrant, option or right) or any warrants, options or rights to purchase Equity Interests of the Borrower or (ii) any contribution to the capital of the Borrower;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an Equity Issuance shall not include (x) any Specified Equity Contribution or (y) any such sale or issuance by the Borrower of its Equity Interests (including its Equity Interests issued upon exercise of any warrant or option or warrants or options to purchase its Equity Interests or in connection with the conversion of Indebtedness to Equity Interests, but excluding Disqualified Equity Interests), in each case, to directors, officers or employees of the Borrower.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ERISA</w:t>
      </w:r>
      <w:r>
        <w:rPr>
          <w:color w:val="000000"/>
        </w:rPr>
        <w:t xml:space="preserve">” </w:t>
      </w:r>
      <w:r>
        <w:rPr>
          <w:rFonts w:ascii="Times New Roman;sans-serif" w:hAnsi="Times New Roman;sans-serif"/>
          <w:b w:val="false"/>
          <w:color w:val="000000"/>
          <w:sz w:val="22"/>
        </w:rPr>
        <w:t>means the Employee Retirement Income Security Act of 1974, as amended, and the rules and regulations issued thereunder.</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18</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ERISA Affiliate</w:t>
      </w:r>
      <w:r>
        <w:rPr>
          <w:color w:val="000000"/>
        </w:rPr>
        <w:t xml:space="preserve">” </w:t>
      </w:r>
      <w:r>
        <w:rPr>
          <w:rFonts w:ascii="Times New Roman;sans-serif" w:hAnsi="Times New Roman;sans-serif"/>
          <w:b w:val="false"/>
          <w:color w:val="000000"/>
          <w:sz w:val="22"/>
        </w:rPr>
        <w:t>means any trade or business (whether or not incorporated) that, together with any Loan Party, is treated as a single employer under Section 414(b) or 414(c) of the Code or, solely for purposes of Sections 302 and 303 of ERISA and Sections 412 and 430 of the Code, is treated as a single employer under subsection (b), (c), (m) or (o) of Section 414 of the Code.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ERISA Event</w:t>
      </w:r>
      <w:r>
        <w:rPr>
          <w:color w:val="000000"/>
        </w:rPr>
        <w:t xml:space="preserve">” </w:t>
      </w:r>
      <w:r>
        <w:rPr>
          <w:rFonts w:ascii="Times New Roman;sans-serif" w:hAnsi="Times New Roman;sans-serif"/>
          <w:b w:val="false"/>
          <w:color w:val="000000"/>
          <w:sz w:val="22"/>
        </w:rPr>
        <w:t>means (a) any “reportable event,” as defined in Section 4043(c) of ERISA or the regulations issued thereunder with respect to a Pension Plan (other than an event for which the 30-day notice period referred to in Section 4043 of ERISA is waived); (b) the existence with respect to any Pension Plan of a non-exempt “prohibited transaction,” as defined in Section 406 of ERISA or Section 4975(c)(1) of the Code; (c) any failure of any Pension Plan to satisfy the “minimum funding standard” applicable to such Pension Plan under Section 412 or Section 430 of the Code or Section 302 or Section 303 of ERISA, whether or not waived; (d) the filing pursuant to Section 412(c) of the Code or Section 302(c) of ERISA of an application for a waiver of the minimum funding standard with respect to any Pension Plan, the failure to make by its due date a required installment under Section 430(j)(3) of the Code with respect to any Pension Plan or the failure of any Loan Party or ERISA Affiliate to make any required contribution to any Multiemployer Plan; (e) a determination that any Pension Plan is, or is expected to be, in “at-risk” status (as defined in Section 430(i)(4) of the Code or Section 303(i)(4) of ERISA); (f) the incurrence by any Loan Party or any ERISA Affiliate of any liability under Title IV of ERISA with respect to the termination of any Pension Plan including the imposition of any Lien in favor of the PBGC or any Pension Plan (other than for PBGC premiums due but not delinquent under Section 4007 of ERISA); (g) the filing of a notice of intent to terminate, the treatment of a Pension Plan or Multiemployer Plan amendment as a termination under Section 4041 or Section 4041A of ERISA, the receipt by any Loan Party or any ERISA Affiliate from the PBGC or a Pension Plan administrator of any notice relating to an intention to terminate any Pension Plan or Pension Plans or to appoint a trustee to administer any Pension Plan under Section 4042 of ERISA or the occurrence of an event or condition which constitutes grounds under Section 4042 of ERISA for the termination of, or the appointment of a trustee to administrator, any Pension Plan; (h) any limitations under Section 436 of the Code become applicable; (i) the incurrence by any Loan Party or any of its ERISA Affiliates of any liability with respect to the withdrawal or partial withdrawal from any Pension Plan or Multiemployer Plan; (j) a withdrawal by any Loan Party or any ERISA Affiliate from a Pension Plan subject to Section 4063 of ERISA during a plan year in which it was a substantial employer (as defined in Section 4001(a)(2) of ERISA) or a cessation of operations that is treated as such a withdrawal under Section 4062(e) of ERISA; (k) the receipt by any Loan Party or any ERISA Affiliate of any notice, or the receipt by any Multiemployer Plan from any Loan Party or any ERISA Affiliate of any notice, concerning the imposition of Withdrawal Liability or a determination that a Multiemployer Plan is, or is expected to be, insolvent or in reorganization, within the meaning of Title IV of ERISA or in endangered or critical status within the meaning of Section 432 of the Code or Section 305 of ERISA; or (l) the imposition on any Loan Party or any ERISA Affiliate of any tax under Chapter 43 of Subtitle D of the Code, or the assessment of a civil penalty on any Loan Party or any ERISA Affiliate under Section 502(c) of ERISA.</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Erroneous Payment</w:t>
      </w:r>
      <w:r>
        <w:rPr>
          <w:color w:val="000000"/>
        </w:rPr>
        <w:t xml:space="preserve">” </w:t>
      </w:r>
      <w:r>
        <w:rPr>
          <w:rFonts w:ascii="Times New Roman;sans-serif" w:hAnsi="Times New Roman;sans-serif"/>
          <w:b w:val="false"/>
          <w:color w:val="000000"/>
          <w:sz w:val="22"/>
        </w:rPr>
        <w:t xml:space="preserve">has the meaning provided in </w:t>
      </w:r>
      <w:r>
        <w:rPr>
          <w:rFonts w:ascii="Times New Roman;sans-serif" w:hAnsi="Times New Roman;sans-serif"/>
          <w:b w:val="false"/>
          <w:color w:val="000000"/>
          <w:sz w:val="22"/>
          <w:u w:val="single"/>
        </w:rPr>
        <w:t>Section 9.11(a)</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Erroneous Payment Deficiency Assignment</w:t>
      </w:r>
      <w:r>
        <w:rPr>
          <w:color w:val="000000"/>
        </w:rPr>
        <w:t xml:space="preserve">” </w:t>
      </w:r>
      <w:r>
        <w:rPr>
          <w:rFonts w:ascii="Times New Roman;sans-serif" w:hAnsi="Times New Roman;sans-serif"/>
          <w:b w:val="false"/>
          <w:color w:val="000000"/>
          <w:sz w:val="22"/>
        </w:rPr>
        <w:t xml:space="preserve">has the meaning assigned to it in </w:t>
      </w:r>
      <w:r>
        <w:rPr>
          <w:rFonts w:ascii="Times New Roman;sans-serif" w:hAnsi="Times New Roman;sans-serif"/>
          <w:b w:val="false"/>
          <w:color w:val="000000"/>
          <w:sz w:val="22"/>
          <w:u w:val="single"/>
        </w:rPr>
        <w:t>Section 9.11(d)(i)</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Erroneous Payment Impacted Class</w:t>
      </w:r>
      <w:r>
        <w:rPr>
          <w:color w:val="000000"/>
        </w:rPr>
        <w:t xml:space="preserve">” </w:t>
      </w:r>
      <w:r>
        <w:rPr>
          <w:rFonts w:ascii="Times New Roman;sans-serif" w:hAnsi="Times New Roman;sans-serif"/>
          <w:b w:val="false"/>
          <w:color w:val="000000"/>
          <w:sz w:val="22"/>
        </w:rPr>
        <w:t xml:space="preserve">has the meaning assigned to it in </w:t>
      </w:r>
      <w:r>
        <w:rPr>
          <w:rFonts w:ascii="Times New Roman;sans-serif" w:hAnsi="Times New Roman;sans-serif"/>
          <w:b w:val="false"/>
          <w:color w:val="000000"/>
          <w:sz w:val="22"/>
          <w:u w:val="single"/>
        </w:rPr>
        <w:t>Section 9.11(d)(i)</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Erroneous Payment Return Deficiency</w:t>
      </w:r>
      <w:r>
        <w:rPr>
          <w:color w:val="000000"/>
        </w:rPr>
        <w:t xml:space="preserve">” </w:t>
      </w:r>
      <w:r>
        <w:rPr>
          <w:rFonts w:ascii="Times New Roman;sans-serif" w:hAnsi="Times New Roman;sans-serif"/>
          <w:b w:val="false"/>
          <w:color w:val="000000"/>
          <w:sz w:val="22"/>
        </w:rPr>
        <w:t xml:space="preserve">has the meaning assigned to it in </w:t>
      </w:r>
      <w:r>
        <w:rPr>
          <w:rFonts w:ascii="Times New Roman;sans-serif" w:hAnsi="Times New Roman;sans-serif"/>
          <w:b w:val="false"/>
          <w:color w:val="000000"/>
          <w:sz w:val="22"/>
          <w:u w:val="single"/>
        </w:rPr>
        <w:t>Section 9.11(d)(i)</w:t>
      </w:r>
      <w:r>
        <w:rPr>
          <w:rFonts w:ascii="Times New Roman;sans-serif" w:hAnsi="Times New Roman;sans-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19</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Erroneous Payment Subrogation Rights</w:t>
      </w:r>
      <w:r>
        <w:rPr>
          <w:color w:val="000000"/>
        </w:rPr>
        <w:t xml:space="preserve">” </w:t>
      </w:r>
      <w:r>
        <w:rPr>
          <w:rFonts w:ascii="Times New Roman;sans-serif" w:hAnsi="Times New Roman;sans-serif"/>
          <w:b w:val="false"/>
          <w:color w:val="000000"/>
          <w:sz w:val="22"/>
        </w:rPr>
        <w:t xml:space="preserve">has the meaning assigned to it in </w:t>
      </w:r>
      <w:r>
        <w:rPr>
          <w:rFonts w:ascii="Times New Roman;sans-serif" w:hAnsi="Times New Roman;sans-serif"/>
          <w:b w:val="false"/>
          <w:color w:val="000000"/>
          <w:sz w:val="22"/>
          <w:u w:val="single"/>
        </w:rPr>
        <w:t>Section 9.11(e)</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EU Bail-In Legislation Schedule</w:t>
      </w:r>
      <w:r>
        <w:rPr>
          <w:color w:val="000000"/>
        </w:rPr>
        <w:t xml:space="preserve">” </w:t>
      </w:r>
      <w:r>
        <w:rPr>
          <w:rFonts w:ascii="Times New Roman;sans-serif" w:hAnsi="Times New Roman;sans-serif"/>
          <w:b w:val="false"/>
          <w:color w:val="000000"/>
          <w:sz w:val="22"/>
        </w:rPr>
        <w:t>means the EU Bail-In Legislation Schedule published by the Loan Market Association (or any successor person), as in effect from time to time.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Event of Default</w:t>
      </w:r>
      <w:r>
        <w:rPr>
          <w:color w:val="000000"/>
        </w:rPr>
        <w:t xml:space="preserve">” </w:t>
      </w:r>
      <w:r>
        <w:rPr>
          <w:rFonts w:ascii="Times New Roman;sans-serif" w:hAnsi="Times New Roman;sans-serif"/>
          <w:b w:val="false"/>
          <w:color w:val="000000"/>
          <w:sz w:val="22"/>
        </w:rPr>
        <w:t xml:space="preserve">has the meaning assigned to such term in </w:t>
      </w:r>
      <w:r>
        <w:rPr>
          <w:rFonts w:ascii="Times New Roman;sans-serif" w:hAnsi="Times New Roman;sans-serif"/>
          <w:b w:val="false"/>
          <w:color w:val="000000"/>
          <w:sz w:val="22"/>
          <w:u w:val="single"/>
        </w:rPr>
        <w:t>Section 8.1</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Excess Cash Flow</w:t>
      </w:r>
      <w:r>
        <w:rPr>
          <w:color w:val="000000"/>
        </w:rPr>
        <w:t xml:space="preserve">” </w:t>
      </w:r>
      <w:r>
        <w:rPr>
          <w:rFonts w:ascii="Times New Roman;sans-serif" w:hAnsi="Times New Roman;sans-serif"/>
          <w:b w:val="false"/>
          <w:color w:val="000000"/>
          <w:sz w:val="22"/>
        </w:rPr>
        <w:t>means, for any period:</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(1)    Cash Flow for such period, less</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(2)     without duplication, and to the extent actually paid in cash during such period, in each case to the extent not financed with the proceeds of issuances of Equity Interests or incurrences of Indebtedness (other than amounts incurred under any revolving credit facility, including, for the avoidance of doubt, any Securitization Program), the sum of the following for the Borrower and its Subsidiaries:</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(a)scheduled principal payments with respect to Indebtedness actually paid, </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(b)Net Interest Expense,</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(c)Taxes imposed on or measured by income,</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(d)Restricted Payments permitted by </w:t>
      </w:r>
      <w:r>
        <w:rPr>
          <w:rFonts w:ascii="Times New Roman;sans-serif" w:hAnsi="Times New Roman;sans-serif"/>
          <w:b w:val="false"/>
          <w:color w:val="000000"/>
          <w:sz w:val="22"/>
          <w:u w:val="single"/>
        </w:rPr>
        <w:t>Section 7.8(e)</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(e)any increase in Working Capital of the Borrower and its Subsidiaries (measured as the excess of such Working Capital at the end of such period over such Working Capital at the beginning of such period), </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(f)the purchase price paid in cash for all Permitted Acquisitions and other Investments permitted pursuant to Section 7.4(n) (other than any Investments in any Loan Party or in any Person which was already a Subsidiary or Investments in cash and Cash Equivalents),</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(g)payments of Earn-Out Obligations in connection with Permitted Acquisitions or other Acquisitions made in compliance with the terms of the Loan Documents,</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(h)cash addbacks to Consolidated Net Income specified in clauses (a)(iv), (a)(vi), (a)(x) and (d) of the definition and taken into account in the calculation of Consolidated EBITDA to the extent not reimbursed by a third party that is not an Affiliate of the Borrower, </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(i)voluntary redemptions, repurchases or prepayments of the Senior Notes permitted pursuant to </w:t>
      </w:r>
      <w:r>
        <w:rPr>
          <w:rFonts w:ascii="Times New Roman;sans-serif" w:hAnsi="Times New Roman;sans-serif"/>
          <w:b w:val="false"/>
          <w:color w:val="000000"/>
          <w:sz w:val="22"/>
          <w:u w:val="single"/>
        </w:rPr>
        <w:t>Section 7.13</w:t>
      </w:r>
      <w:r>
        <w:rPr>
          <w:rFonts w:ascii="Times New Roman;sans-serif" w:hAnsi="Times New Roman;sans-serif"/>
          <w:b w:val="false"/>
          <w:color w:val="000000"/>
          <w:sz w:val="22"/>
        </w:rPr>
        <w:t>, less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(3)    solely to the extent increasing Consolidated Net Income during such period, Specified Tax Proceeds, </w:t>
      </w:r>
      <w:r>
        <w:rPr>
          <w:rFonts w:ascii="Times New Roman;sans-serif" w:hAnsi="Times New Roman;sans-serif"/>
          <w:b w:val="false"/>
          <w:color w:val="000000"/>
          <w:sz w:val="22"/>
          <w:u w:val="single"/>
        </w:rPr>
        <w:t>plus</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(4)    without duplication, any decrease in the Working Capital of the Borrower and its Subsidiaries (measured as the excess of such Working Capital at the beginning of such period over such Working Capital at the end thereof).</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20</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Excluded Assets</w:t>
      </w:r>
      <w:r>
        <w:rPr>
          <w:color w:val="000000"/>
        </w:rPr>
        <w:t xml:space="preserve">” </w:t>
      </w:r>
      <w:r>
        <w:rPr>
          <w:rFonts w:ascii="Times New Roman;sans-serif" w:hAnsi="Times New Roman;sans-serif"/>
          <w:b w:val="false"/>
          <w:color w:val="000000"/>
          <w:sz w:val="22"/>
        </w:rPr>
        <w:t>has the meaning set forth in the Security Agreement.</w:t>
      </w:r>
    </w:p>
    <w:p>
      <w:pPr>
        <w:pStyle w:val="TextBody"/>
        <w:bidi w:val="0"/>
        <w:spacing w:lineRule="auto" w:line="288" w:before="0" w:after="0"/>
        <w:ind w:left="0" w:right="0" w:firstLine="720"/>
        <w:jc w:val="both"/>
        <w:rPr/>
      </w:pPr>
      <w:r>
        <w:rPr>
          <w:color w:val="000000"/>
        </w:rPr>
        <w:t>“</w:t>
      </w:r>
      <w:r>
        <w:rPr>
          <w:rFonts w:ascii="Times New Roman;sans-serif" w:hAnsi="Times New Roman;sans-serif"/>
          <w:b w:val="false"/>
          <w:color w:val="000000"/>
          <w:sz w:val="22"/>
          <w:u w:val="single"/>
        </w:rPr>
        <w:t>Excluded Subsidiary</w:t>
      </w:r>
      <w:r>
        <w:rPr>
          <w:color w:val="000000"/>
        </w:rPr>
        <w:t xml:space="preserve">” </w:t>
      </w:r>
      <w:r>
        <w:rPr>
          <w:rFonts w:ascii="Times New Roman;sans-serif" w:hAnsi="Times New Roman;sans-serif"/>
          <w:b w:val="false"/>
          <w:color w:val="000000"/>
          <w:sz w:val="22"/>
        </w:rPr>
        <w:t>means (a) any Subsidiary that is prohibited by applicable law, rule or regulation or by any contractual obligation (to the extent such contractual obligation (x) is owed to a Person that is not the Borrower or an Affiliate of the Borrower and (y) is existing (i) on the Closing Date or (ii) at the time of acquisition of such Subsidiary so long as the prohibition or restriction in such contract is not entered into in contemplation thereof) from providing a Guarantee of the Secured Obligations or which would require governmental (including regulatory or any other Governmental Authority) consent, approval, license or authorization to provide such a guarantee unless such consent, approval, license or authorization has been received, (b) (i) any Foreign Subsidiary other than an Irish Subsidiary, (ii) any Domestic Subsidiary that is a Subsidiary of a Foreign Subsidiary that is a Controlled Foreign Corporation and (iii) any Foreign Subsidiary Holdco, (c) any captive insurance company, (d) any Subsidiary that is not a Wholly-Owned Subsidiary</w:t>
      </w:r>
      <w:r>
        <w:rPr>
          <w:color w:val="000000"/>
        </w:rPr>
        <w:t xml:space="preserve"> </w:t>
      </w:r>
      <w:r>
        <w:rPr>
          <w:rFonts w:ascii="Times New Roman;sans-serif" w:hAnsi="Times New Roman;sans-serif"/>
          <w:b w:val="false"/>
          <w:color w:val="000000"/>
          <w:sz w:val="22"/>
        </w:rPr>
        <w:t xml:space="preserve">of the Borrower other than any Wholly-Owned Subsidiary that becomes a non-Wholly-Owned Subsidiary after the Closing Date as a result of (i) the disposition or issuance of Equity Interests of such Subsidiary in either case to the Borrower or a Person that is an Affiliate of the Borrower, (ii) the issuance of directors’ qualifying shares, (iii) any transaction entered into for the principal purpose of causing such Subsidiary to cease to constitute a Guarantor or (iv) the disposition or issuance of Equity Interests of such Subsidiary for materially less than the fair market value of such Equity Interests (as reasonably determined by the Borrower), (e) any Immaterial Subsidiary, (f) any special purpose entity (or similar entity) formed in connection with any Securitization Program permitted hereunder which such entity is not permitted by the terms of the definitive documentation in respect of such Securitization Program to Guarantee the Loan Document Obligations or provide Collateral to secure the Loan Document Obligations, and (g) any other Subsidiary with respect to which the Borrower and the Administrative Agent reasonably determine in writing the cost or other consequences of providing a Guarantee of the Secured Obligations is excessive in view of the benefits of such Guarantee to be afforded to the Lenders therefrom. Notwithstanding (A) the foregoing, (x) in the event that an Excluded Subsidiary guarantees, grants a Lien on its assets to secure, or has greater than 65% of its Voting Equity Interests pledged to secure, other Indebtedness of the Loan Parties, such Excluded Subsidiary shall cease to be an Excluded Subsidiary and shall be required to become a Subsidiary Guarantor and (y) the release of any Subsidiary Guarantor from its obligations under the Loan Documents if such Subsidiary becomes an Excluded Subsidiary of the type described in clause (d) above shall only be permitted if (1) no Default or Event of Default shall have occurred and be continuing or would immediately result therefrom and (2) after giving pro forma effect to such release and the consummation of the transaction that causes such Person to be an Excluded Subsidiary of such type, the Borrower is deemed to have made a new Investment in such Person for purposes of </w:t>
      </w:r>
      <w:r>
        <w:rPr>
          <w:rFonts w:ascii="Times New Roman;sans-serif" w:hAnsi="Times New Roman;sans-serif"/>
          <w:b w:val="false"/>
          <w:color w:val="000000"/>
          <w:sz w:val="22"/>
          <w:u w:val="single"/>
        </w:rPr>
        <w:t>Section 7.4</w:t>
      </w:r>
      <w:r>
        <w:rPr>
          <w:color w:val="000000"/>
        </w:rPr>
        <w:t xml:space="preserve"> </w:t>
      </w:r>
      <w:r>
        <w:rPr>
          <w:rFonts w:ascii="Times New Roman;sans-serif" w:hAnsi="Times New Roman;sans-serif"/>
          <w:b w:val="false"/>
          <w:color w:val="000000"/>
          <w:sz w:val="22"/>
        </w:rPr>
        <w:t xml:space="preserve">(as if such Person were then newly acquired) and such Investment is permitted pursuant to </w:t>
      </w:r>
      <w:r>
        <w:rPr>
          <w:rFonts w:ascii="Times New Roman;sans-serif" w:hAnsi="Times New Roman;sans-serif"/>
          <w:b w:val="false"/>
          <w:color w:val="000000"/>
          <w:sz w:val="22"/>
          <w:u w:val="single"/>
        </w:rPr>
        <w:t>Section 7.4</w:t>
      </w:r>
      <w:r>
        <w:rPr>
          <w:color w:val="000000"/>
        </w:rPr>
        <w:t xml:space="preserve"> </w:t>
      </w:r>
      <w:r>
        <w:rPr>
          <w:rFonts w:ascii="Times New Roman;sans-serif" w:hAnsi="Times New Roman;sans-serif"/>
          <w:b w:val="false"/>
          <w:color w:val="000000"/>
          <w:sz w:val="22"/>
        </w:rPr>
        <w:t xml:space="preserve">(other than </w:t>
      </w:r>
      <w:r>
        <w:rPr>
          <w:rFonts w:ascii="Times New Roman;sans-serif" w:hAnsi="Times New Roman;sans-serif"/>
          <w:b w:val="false"/>
          <w:color w:val="000000"/>
          <w:sz w:val="22"/>
          <w:u w:val="single"/>
        </w:rPr>
        <w:t>Section 7.4(b)</w:t>
      </w:r>
      <w:r>
        <w:rPr>
          <w:rFonts w:ascii="Times New Roman;sans-serif" w:hAnsi="Times New Roman;sans-serif"/>
          <w:b w:val="false"/>
          <w:color w:val="000000"/>
          <w:sz w:val="22"/>
        </w:rPr>
        <w:t>) at such time and (B) anything herein to the contrary (but subject to the final sentence of the definition of “Non-Loan Party Subsidiary”), Synchronoss Technologies Holdings Limited shall be a Subsidiary Guarantor under this Credit Agreement and the other Loan Documents and shall not constitute an Excluded Subsidiary under this Credit Agreement and the other Loan Documents. For the avoidance of doubt, except as expressly set forth above, an Irish Subsidiary may constitute an Excluded Subsidiary to the extent it qualifies as such under any of the categories set forth above.</w:t>
      </w:r>
    </w:p>
    <w:p>
      <w:pPr>
        <w:pStyle w:val="TextBody"/>
        <w:bidi w:val="0"/>
        <w:spacing w:before="0" w:after="0"/>
        <w:jc w:val="left"/>
        <w:rPr/>
      </w:pPr>
      <w:r>
        <w:rPr/>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Excluded Taxes</w:t>
      </w:r>
      <w:r>
        <w:rPr>
          <w:color w:val="000000"/>
        </w:rPr>
        <w:t xml:space="preserve">” </w:t>
      </w:r>
      <w:r>
        <w:rPr>
          <w:rFonts w:ascii="Times New Roman;sans-serif" w:hAnsi="Times New Roman;sans-serif"/>
          <w:b w:val="false"/>
          <w:color w:val="000000"/>
          <w:sz w:val="22"/>
        </w:rPr>
        <w:t xml:space="preserve">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(ii) that are Other Connection Taxes, (b) in the case of a Lender, U.S. federal withholding Taxes imposed on </w:t>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21</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amounts payable to or for the account of such Lender with respect to an applicable interest in a Loan or Commitment pursuant to a law in effect on the date on which (i) such Lender acquires such interest in the applicable Commitment or, if such Lender did not fund the applicable Loan pursuant to a prior Commitment, on the date such Lender acquires the applicable interest in such Loan (other than pursuant to an assignment request by the Borrower under </w:t>
      </w:r>
      <w:r>
        <w:rPr>
          <w:rFonts w:ascii="Times New Roman;sans-serif" w:hAnsi="Times New Roman;sans-serif"/>
          <w:b w:val="false"/>
          <w:color w:val="000000"/>
          <w:sz w:val="22"/>
          <w:u w:val="single"/>
        </w:rPr>
        <w:t>Section 3.7(b)</w:t>
      </w:r>
      <w:r>
        <w:rPr>
          <w:rFonts w:ascii="Times New Roman;sans-serif" w:hAnsi="Times New Roman;sans-serif"/>
          <w:b w:val="false"/>
          <w:color w:val="000000"/>
          <w:sz w:val="22"/>
        </w:rPr>
        <w:t xml:space="preserve">) or (ii) such Lender changes its Applicable Lending Office, except in each case to the extent that, pursuant to </w:t>
      </w:r>
      <w:r>
        <w:rPr>
          <w:rFonts w:ascii="Times New Roman;sans-serif" w:hAnsi="Times New Roman;sans-serif"/>
          <w:b w:val="false"/>
          <w:color w:val="000000"/>
          <w:sz w:val="22"/>
          <w:u w:val="single"/>
        </w:rPr>
        <w:t>Section 3.6</w:t>
      </w:r>
      <w:r>
        <w:rPr>
          <w:rFonts w:ascii="Times New Roman;sans-serif" w:hAnsi="Times New Roman;sans-serif"/>
          <w:b w:val="false"/>
          <w:color w:val="000000"/>
          <w:sz w:val="22"/>
        </w:rPr>
        <w:t xml:space="preserve">, amounts with respect to such Taxes were payable either to such Lender’s assignor immediately before such Lender acquired the applicable interest in the applicable Loan or Commitment or to such Lender immediately before it changed its Applicable Lending Office, (c) Taxes attributable to such Recipient’s failure to comply with </w:t>
      </w:r>
      <w:r>
        <w:rPr>
          <w:rFonts w:ascii="Times New Roman;sans-serif" w:hAnsi="Times New Roman;sans-serif"/>
          <w:b w:val="false"/>
          <w:color w:val="000000"/>
          <w:sz w:val="22"/>
          <w:u w:val="single"/>
        </w:rPr>
        <w:t>Section 3.6(g)</w:t>
      </w:r>
      <w:r>
        <w:rPr>
          <w:color w:val="000000"/>
        </w:rPr>
        <w:t xml:space="preserve"> </w:t>
      </w:r>
      <w:r>
        <w:rPr>
          <w:rFonts w:ascii="Times New Roman;sans-serif" w:hAnsi="Times New Roman;sans-serif"/>
          <w:b w:val="false"/>
          <w:color w:val="000000"/>
          <w:sz w:val="22"/>
        </w:rPr>
        <w:t>and (d) any U.S. federal withholding Taxes imposed under FATCA.</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Existing Indebtedness</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7.1(a)(ii)</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Exit Fee</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3.2(e)</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Exit Fee Trigger Date</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3.2(e)</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FATCA</w:t>
      </w:r>
      <w:r>
        <w:rPr>
          <w:color w:val="000000"/>
        </w:rPr>
        <w:t xml:space="preserve">” </w:t>
      </w:r>
      <w:r>
        <w:rPr>
          <w:rFonts w:ascii="Times New Roman;sans-serif" w:hAnsi="Times New Roman;sans-serif"/>
          <w:b w:val="false"/>
          <w:color w:val="000000"/>
          <w:sz w:val="22"/>
        </w:rPr>
        <w:t>means Sections 1471 through 1474 of the Code, as of the date of this Credit Agreement (or any amended or successor version that is substantively comparable and not materially more onerous to comply with), any current or future regulations thereunder or official interpretations thereof, any agreement entered into pursuant to current Section 1471(b)(1) of the Code (or any amended or successor version described above), and any intergovernmental agreement (and related fiscal or regulatory legislation, rules or official administrative guidance) implementing such Sections of the Code.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Federal Funds Effective Rate</w:t>
      </w:r>
      <w:r>
        <w:rPr>
          <w:color w:val="000000"/>
        </w:rPr>
        <w:t xml:space="preserve">” </w:t>
      </w:r>
      <w:r>
        <w:rPr>
          <w:rFonts w:ascii="Times New Roman;sans-serif" w:hAnsi="Times New Roman;sans-serif"/>
          <w:b w:val="false"/>
          <w:color w:val="000000"/>
          <w:sz w:val="22"/>
        </w:rPr>
        <w:t xml:space="preserve">means, for any day, a rate per annum (expressed as a decimal, rounded upwards, if necessary, to the next higher 1/100 of 1%) equal to the weighted average of the rates on overnight federal funds transactions with members of the Federal Reserve System arranged by federal funds brokers on such day, as published by the Federal Reserve Bank of New York on the Business Day next succeeding such day;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 if the day for which such rate is to be determined is not a Business Day, the Federal Funds Effective Rate for such day shall be such rate on such transactions on the next preceding Business Day as so published on the next succeeding Business Day, (b) if such rate is not so published for any day, the Federal Funds Effective Rate for such day shall be the average of the quotations for such day on such transactions received by the Administrative Agent from three federal funds brokers of recognized standing selected by it and (c) if the Federal Funds Effective Rate shall be less than zero, such rate shall be deemed to be zero for purposes of this Credit Agreement.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Federal Reserve Board</w:t>
      </w:r>
      <w:r>
        <w:rPr>
          <w:color w:val="000000"/>
        </w:rPr>
        <w:t xml:space="preserve">” </w:t>
      </w:r>
      <w:r>
        <w:rPr>
          <w:rFonts w:ascii="Times New Roman;sans-serif" w:hAnsi="Times New Roman;sans-serif"/>
          <w:b w:val="false"/>
          <w:color w:val="000000"/>
          <w:sz w:val="22"/>
        </w:rPr>
        <w:t>means the Board of Governors of the Federal Reserve System of the United States.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Fee Letter</w:t>
      </w:r>
      <w:r>
        <w:rPr>
          <w:color w:val="000000"/>
        </w:rPr>
        <w:t xml:space="preserve">” </w:t>
      </w:r>
      <w:r>
        <w:rPr>
          <w:rFonts w:ascii="Times New Roman;sans-serif" w:hAnsi="Times New Roman;sans-serif"/>
          <w:b w:val="false"/>
          <w:color w:val="000000"/>
          <w:sz w:val="22"/>
        </w:rPr>
        <w:t>means the Fee Letter, dated as of the Closing Date, between the Borrower and the Administrative Agent.</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val="false"/>
          <w:color w:val="000000"/>
          <w:sz w:val="22"/>
          <w:u w:val="single"/>
        </w:rPr>
        <w:t>Financial Covenant Default</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8.4</w:t>
      </w:r>
      <w:r>
        <w:rPr>
          <w:rFonts w:ascii="Times New Roman;sans-serif" w:hAnsi="Times New Roman;sans-serif"/>
          <w:b w:val="false"/>
          <w:color w:val="000000"/>
          <w:sz w:val="22"/>
        </w:rPr>
        <w:t>.</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val="false"/>
          <w:color w:val="000000"/>
          <w:sz w:val="22"/>
          <w:u w:val="single"/>
        </w:rPr>
        <w:t>Financial Covenants</w:t>
      </w:r>
      <w:r>
        <w:rPr>
          <w:color w:val="000000"/>
        </w:rPr>
        <w:t xml:space="preserve">” </w:t>
      </w:r>
      <w:r>
        <w:rPr>
          <w:rFonts w:ascii="Times New Roman;sans-serif" w:hAnsi="Times New Roman;sans-serif"/>
          <w:b w:val="false"/>
          <w:color w:val="000000"/>
          <w:sz w:val="22"/>
        </w:rPr>
        <w:t xml:space="preserve">means the covenants set forth in </w:t>
      </w:r>
      <w:r>
        <w:rPr>
          <w:rFonts w:ascii="Times New Roman;sans-serif" w:hAnsi="Times New Roman;sans-serif"/>
          <w:b w:val="false"/>
          <w:color w:val="000000"/>
          <w:sz w:val="22"/>
          <w:u w:val="single"/>
        </w:rPr>
        <w:t>Sections 7.12(a)</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7.12(b)</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Financial Officer</w:t>
      </w:r>
      <w:r>
        <w:rPr>
          <w:color w:val="000000"/>
        </w:rPr>
        <w:t xml:space="preserve">” </w:t>
      </w:r>
      <w:r>
        <w:rPr>
          <w:rFonts w:ascii="Times New Roman;sans-serif" w:hAnsi="Times New Roman;sans-serif"/>
          <w:b w:val="false"/>
          <w:color w:val="000000"/>
          <w:sz w:val="22"/>
        </w:rPr>
        <w:t>means, with respect to any Person, the chief financial officer, principal accounting officer, treasurer or comptroller of such Person (or such other financial officer as is acceptable to the Administrative Agent).</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22</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Financing Lease Obligations</w:t>
      </w:r>
      <w:r>
        <w:rPr>
          <w:color w:val="000000"/>
        </w:rPr>
        <w:t xml:space="preserve">” </w:t>
      </w:r>
      <w:r>
        <w:rPr>
          <w:rFonts w:ascii="Times New Roman;sans-serif" w:hAnsi="Times New Roman;sans-serif"/>
          <w:b w:val="false"/>
          <w:color w:val="000000"/>
          <w:sz w:val="22"/>
        </w:rPr>
        <w:t>means, at the time any determination thereof is to be made, the amount of the liabilities in respect of Financing Leases that would at such time be required to be capitalized as a financing lease and reflected as a liability on a balance sheet prepared in accordance with GAAP.</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Financing Leases</w:t>
      </w:r>
      <w:r>
        <w:rPr>
          <w:color w:val="000000"/>
        </w:rPr>
        <w:t xml:space="preserve">” </w:t>
      </w:r>
      <w:r>
        <w:rPr>
          <w:rFonts w:ascii="Times New Roman;sans-serif" w:hAnsi="Times New Roman;sans-serif"/>
          <w:b w:val="false"/>
          <w:color w:val="000000"/>
          <w:sz w:val="22"/>
        </w:rPr>
        <w:t>means all leases that are required to be, in accordance with GAAP, recorded as finance leases.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first Person</w:t>
      </w:r>
      <w:r>
        <w:rPr>
          <w:color w:val="000000"/>
        </w:rPr>
        <w:t xml:space="preserve">” </w:t>
      </w:r>
      <w:r>
        <w:rPr>
          <w:rFonts w:ascii="Times New Roman;sans-serif" w:hAnsi="Times New Roman;sans-serif"/>
          <w:b w:val="false"/>
          <w:color w:val="000000"/>
          <w:sz w:val="22"/>
        </w:rPr>
        <w:t>has the meaning assigned to such term in the definition of “Consolidated Net Income.”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Fiscal Quarter</w:t>
      </w:r>
      <w:r>
        <w:rPr>
          <w:color w:val="000000"/>
        </w:rPr>
        <w:t xml:space="preserve">” </w:t>
      </w:r>
      <w:r>
        <w:rPr>
          <w:rFonts w:ascii="Times New Roman;sans-serif" w:hAnsi="Times New Roman;sans-serif"/>
          <w:b w:val="false"/>
          <w:color w:val="000000"/>
          <w:sz w:val="22"/>
        </w:rPr>
        <w:t xml:space="preserve">means any of the quarterly accounting periods of the Borrower ending on March 31, June 30, September 30 and December 31 of each calendar year.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Fiscal Year</w:t>
      </w:r>
      <w:r>
        <w:rPr>
          <w:color w:val="000000"/>
        </w:rPr>
        <w:t xml:space="preserve">” </w:t>
      </w:r>
      <w:r>
        <w:rPr>
          <w:rFonts w:ascii="Times New Roman;sans-serif" w:hAnsi="Times New Roman;sans-serif"/>
          <w:b w:val="false"/>
          <w:color w:val="000000"/>
          <w:sz w:val="22"/>
        </w:rPr>
        <w:t>means the four Fiscal Quarter period of the Borrower ending on December 31 of each calendar year.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Floor</w:t>
      </w:r>
      <w:r>
        <w:rPr>
          <w:color w:val="000000"/>
        </w:rPr>
        <w:t xml:space="preserve">” </w:t>
      </w:r>
      <w:r>
        <w:rPr>
          <w:rFonts w:ascii="Times New Roman;sans-serif" w:hAnsi="Times New Roman;sans-serif"/>
          <w:b w:val="false"/>
          <w:color w:val="000000"/>
          <w:sz w:val="22"/>
        </w:rPr>
        <w:t>means a rate of interest equal to 2.50%.</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Foreign Lender</w:t>
      </w:r>
      <w:r>
        <w:rPr>
          <w:color w:val="000000"/>
        </w:rPr>
        <w:t xml:space="preserve">” </w:t>
      </w:r>
      <w:r>
        <w:rPr>
          <w:rFonts w:ascii="Times New Roman;sans-serif" w:hAnsi="Times New Roman;sans-serif"/>
          <w:b w:val="false"/>
          <w:color w:val="000000"/>
          <w:sz w:val="22"/>
        </w:rPr>
        <w:t>means a Lender that is not a U.S. Person.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Foreign Plan</w:t>
      </w:r>
      <w:r>
        <w:rPr>
          <w:color w:val="000000"/>
        </w:rPr>
        <w:t xml:space="preserve">” </w:t>
      </w:r>
      <w:r>
        <w:rPr>
          <w:rFonts w:ascii="Times New Roman;sans-serif" w:hAnsi="Times New Roman;sans-serif"/>
          <w:b w:val="false"/>
          <w:color w:val="000000"/>
          <w:sz w:val="22"/>
        </w:rPr>
        <w:t>means any employee pension benefit plan or arrangement (a) maintained, or contributed to, by any Loan Party or Subsidiary for the benefit of employees of any Loan Party or Subsidiary employed and residing outside the United States, or (b) mandated by a government other than the United States for employees of any Loan Party or Subsidiary.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Foreign Subsidiary</w:t>
      </w:r>
      <w:r>
        <w:rPr>
          <w:color w:val="000000"/>
        </w:rPr>
        <w:t xml:space="preserve">” </w:t>
      </w:r>
      <w:r>
        <w:rPr>
          <w:rFonts w:ascii="Times New Roman;sans-serif" w:hAnsi="Times New Roman;sans-serif"/>
          <w:b w:val="false"/>
          <w:color w:val="000000"/>
          <w:sz w:val="22"/>
        </w:rPr>
        <w:t>means any Subsidiary that is not a Domestic Subsidiary.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Foreign Subsidiary Holdco</w:t>
      </w:r>
      <w:r>
        <w:rPr>
          <w:color w:val="000000"/>
        </w:rPr>
        <w:t xml:space="preserve">” </w:t>
      </w:r>
      <w:r>
        <w:rPr>
          <w:rFonts w:ascii="Times New Roman;sans-serif" w:hAnsi="Times New Roman;sans-serif"/>
          <w:b w:val="false"/>
          <w:color w:val="000000"/>
          <w:sz w:val="22"/>
        </w:rPr>
        <w:t>means any Domestic Subsidiary that owns no material assets other than the Equity Interests of one or more Foreign Subsidiaries that are Controlled Foreign Corporations.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Four Week Reporting Period</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6.1(d)</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Fund</w:t>
      </w:r>
      <w:r>
        <w:rPr>
          <w:color w:val="000000"/>
        </w:rPr>
        <w:t xml:space="preserve">” </w:t>
      </w:r>
      <w:r>
        <w:rPr>
          <w:rFonts w:ascii="Times New Roman;sans-serif" w:hAnsi="Times New Roman;sans-serif"/>
          <w:b w:val="false"/>
          <w:color w:val="000000"/>
          <w:sz w:val="22"/>
        </w:rPr>
        <w:t>means any Person (other than a natural Person) that is (or will be) engaged in making, purchasing, holding or otherwise investing in commercial loans, bonds and similar extensions of credit in the ordinary course of its activities.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GAAP</w:t>
      </w:r>
      <w:r>
        <w:rPr>
          <w:color w:val="000000"/>
        </w:rPr>
        <w:t xml:space="preserve">” </w:t>
      </w:r>
      <w:r>
        <w:rPr>
          <w:rFonts w:ascii="Times New Roman;sans-serif" w:hAnsi="Times New Roman;sans-serif"/>
          <w:b w:val="false"/>
          <w:color w:val="000000"/>
          <w:sz w:val="22"/>
        </w:rPr>
        <w:t>means generally accepted accounting principles in effect from time to time in the United States.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Global Intercompany Note</w:t>
      </w:r>
      <w:r>
        <w:rPr>
          <w:color w:val="000000"/>
        </w:rPr>
        <w:t xml:space="preserve">” </w:t>
      </w:r>
      <w:r>
        <w:rPr>
          <w:rFonts w:ascii="Times New Roman;sans-serif" w:hAnsi="Times New Roman;sans-serif"/>
          <w:b w:val="false"/>
          <w:color w:val="000000"/>
          <w:sz w:val="22"/>
        </w:rPr>
        <w:t>means a promissory note in form and substance satisfactory to the Administrative Agent executed by the Loan Parties and each of their Subsidiaries.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Governmental Authority</w:t>
      </w:r>
      <w:r>
        <w:rPr>
          <w:color w:val="000000"/>
        </w:rPr>
        <w:t xml:space="preserve">” </w:t>
      </w:r>
      <w:r>
        <w:rPr>
          <w:rFonts w:ascii="Times New Roman;sans-serif" w:hAnsi="Times New Roman;sans-serif"/>
          <w:b w:val="false"/>
          <w:color w:val="000000"/>
          <w:sz w:val="22"/>
        </w:rPr>
        <w:t xml:space="preserve">means the government of the United States or any other nation, or of any political subdivision thereof, whether state or local, and any department, commission, board, bureau, agency, authority, instrumentality, regulatory body, court, central bank or other entity exercising executive, legislative, judicial, taxing, regulatory or administrative powers or functions of or pertaining to government (including any supra national bodies such as the European Union or the European Central Bank) and any group or body charged with setting financial accounting or regulatory capital rules or standards (including the Financial Accounting Standards Board, the Bank for International Settlements or </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23</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Basel Committee on Banking Supervision or any successor or similar authority to any of the foregoing).</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Group Members</w:t>
      </w:r>
      <w:r>
        <w:rPr>
          <w:color w:val="000000"/>
        </w:rPr>
        <w:t xml:space="preserve">” </w:t>
      </w:r>
      <w:r>
        <w:rPr>
          <w:rFonts w:ascii="Times New Roman;sans-serif" w:hAnsi="Times New Roman;sans-serif"/>
          <w:b w:val="false"/>
          <w:color w:val="000000"/>
          <w:sz w:val="22"/>
        </w:rPr>
        <w:t>has the meaning set forth in the definition of “Consolidated EBITDA.”</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Guarantee Agreement</w:t>
      </w:r>
      <w:r>
        <w:rPr>
          <w:color w:val="000000"/>
        </w:rPr>
        <w:t xml:space="preserve">” </w:t>
      </w:r>
      <w:r>
        <w:rPr>
          <w:rFonts w:ascii="Times New Roman;sans-serif" w:hAnsi="Times New Roman;sans-serif"/>
          <w:b w:val="false"/>
          <w:color w:val="000000"/>
          <w:sz w:val="22"/>
        </w:rPr>
        <w:t>means the Guarantee Agreement, dated as of the Closing Date, among the Loan Parties and the Administrative Agent.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Guarantees</w:t>
      </w:r>
      <w:r>
        <w:rPr>
          <w:color w:val="000000"/>
        </w:rPr>
        <w:t xml:space="preserve">” </w:t>
      </w:r>
      <w:r>
        <w:rPr>
          <w:rFonts w:ascii="Times New Roman;sans-serif" w:hAnsi="Times New Roman;sans-serif"/>
          <w:b w:val="false"/>
          <w:color w:val="000000"/>
          <w:sz w:val="22"/>
        </w:rPr>
        <w:t xml:space="preserve">of or by any Person (the “guarantor”) means (i) any obligation, contingent or otherwise, of the guarantor guaranteeing or having the economic effect of guaranteeing any Indebtedness or other obligation of any other Person (the “primary obligor”)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as to enable the primary obligor to pay such Indebtedness or other obligation or (d) as an account party in respect of any letter of credit or letter of guaranty issued to support such Indebtedness or obligation or (ii) any Lien on any assets of such Person securing any Indebtedness or other obligation of any other Person, whether or not such Indebtedness or other obligation is assumed by such Person (or any right, contingent or otherwise, of any holder of such Indebtedness to obtain any such Lien);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term “Guarantee” shall not include endorsements for collection or deposit in the ordinary course of business. The term “</w:t>
      </w:r>
      <w:r>
        <w:rPr>
          <w:rFonts w:ascii="Times New Roman;sans-serif" w:hAnsi="Times New Roman;sans-serif"/>
          <w:b w:val="false"/>
          <w:color w:val="000000"/>
          <w:sz w:val="22"/>
          <w:u w:val="single"/>
        </w:rPr>
        <w:t>Guaranteed</w:t>
      </w:r>
      <w:r>
        <w:rPr>
          <w:color w:val="000000"/>
        </w:rPr>
        <w:t xml:space="preserve">” </w:t>
      </w:r>
      <w:r>
        <w:rPr>
          <w:rFonts w:ascii="Times New Roman;sans-serif" w:hAnsi="Times New Roman;sans-serif"/>
          <w:b w:val="false"/>
          <w:color w:val="000000"/>
          <w:sz w:val="22"/>
        </w:rPr>
        <w:t>has a meaning analogous thereto. The amount of any Guarantee at any time shall be deemed to be an amount equal to the lesser at such time of (i) the stated or determinable amount of the primary obligation in respect of which such Guarantee is made (or, if not stated or determinable, the maximum reasonably anticipated amount of the obligations in respect of which such Guarantee is made) and (ii) the maximum amount for which the guarantor may be liable pursuant to the terms of the instrument embodying such Guarantee.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Guarantors</w:t>
      </w:r>
      <w:r>
        <w:rPr>
          <w:color w:val="000000"/>
        </w:rPr>
        <w:t xml:space="preserve">” </w:t>
      </w:r>
      <w:r>
        <w:rPr>
          <w:rFonts w:ascii="Times New Roman;sans-serif" w:hAnsi="Times New Roman;sans-serif"/>
          <w:b w:val="false"/>
          <w:color w:val="000000"/>
          <w:sz w:val="22"/>
        </w:rPr>
        <w:t>means (a) each Subsidiary Guarantor, and (b) each other Person that becomes a party to the Guarantee Agreement as a Guarantor.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Hazardous Materials</w:t>
      </w:r>
      <w:r>
        <w:rPr>
          <w:color w:val="000000"/>
        </w:rPr>
        <w:t xml:space="preserve">” </w:t>
      </w:r>
      <w:r>
        <w:rPr>
          <w:rFonts w:ascii="Times New Roman;sans-serif" w:hAnsi="Times New Roman;sans-serif"/>
          <w:b w:val="false"/>
          <w:color w:val="000000"/>
          <w:sz w:val="22"/>
        </w:rPr>
        <w:t>means all substances, wastes, chemicals, pollutants, or other contaminants, including petroleum or petroleum distillates, asbestos or asbestos containing materials, polychlorinated biphenyls, radon gas, mold, infectious, pharmaceutical or medical wastes and all other substances of any nature that are now or hereafter regulated under any Environmental Law or are now or hereafter defined, listed, classified, considered or described as hazardous, dangerous or toxic by any Governmental Authority or under any Environmental Law.</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Immaterial Subsidiary</w:t>
      </w:r>
      <w:r>
        <w:rPr>
          <w:color w:val="000000"/>
        </w:rPr>
        <w:t xml:space="preserve">” </w:t>
      </w:r>
      <w:r>
        <w:rPr>
          <w:rFonts w:ascii="Times New Roman;sans-serif" w:hAnsi="Times New Roman;sans-serif"/>
          <w:b w:val="false"/>
          <w:color w:val="000000"/>
          <w:sz w:val="22"/>
        </w:rPr>
        <w:t xml:space="preserve">means any Subsidiary (a) which generated less than two and one-half percent (2.5%) of Consolidated EBITDA of the Borrower and its Subsidiaries for the preceding twelve (12) month period and (b) had less than two and one half percent (2.5%) of consolidated assets of the Borrower and its Subsidiaries as reflected on the most recent financial statements delivered pursuant to </w:t>
      </w:r>
      <w:r>
        <w:rPr>
          <w:rFonts w:ascii="Times New Roman;sans-serif" w:hAnsi="Times New Roman;sans-serif"/>
          <w:b w:val="false"/>
          <w:color w:val="000000"/>
          <w:sz w:val="22"/>
          <w:u w:val="single"/>
        </w:rPr>
        <w:t>Section 6.1</w:t>
      </w:r>
      <w:r>
        <w:rPr>
          <w:color w:val="000000"/>
        </w:rPr>
        <w:t xml:space="preserve"> </w:t>
      </w:r>
      <w:r>
        <w:rPr>
          <w:rFonts w:ascii="Times New Roman;sans-serif" w:hAnsi="Times New Roman;sans-serif"/>
          <w:b w:val="false"/>
          <w:color w:val="000000"/>
          <w:sz w:val="22"/>
        </w:rPr>
        <w:t xml:space="preserve">prior to such date;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no Subsidiary shall be excluded as an Immaterial Subsidiary until, and for so long as, the Borrower shall have designated such Subsidiary’s status as such in writing to the Administrative Agent;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xml:space="preserve">, that no Subsidiary shall be excluded as an Immaterial Subsidiary if (i) the Consolidated EBITDA of such Subsidiary, taken together with the Consolidated EBITDA of all other Subsidiaries then designated as Immaterial Subsidiaries, exceeds five percent (5%) </w:t>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24</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of Consolidated EBITDA of the Borrower and its Subsidiaries or (ii) the consolidated assets of such Subsidiary, taken together with the consolidated assets of all other Subsidiaries then designated as Immaterial Subsidiaries, exceeds five percent (5%) of consolidated assets of the Borrower and its Subsidiaries.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Indebtedness</w:t>
      </w:r>
      <w:r>
        <w:rPr>
          <w:color w:val="000000"/>
        </w:rPr>
        <w:t xml:space="preserve">” </w:t>
      </w:r>
      <w:r>
        <w:rPr>
          <w:rFonts w:ascii="Times New Roman;sans-serif" w:hAnsi="Times New Roman;sans-serif"/>
          <w:b w:val="false"/>
          <w:color w:val="000000"/>
          <w:sz w:val="22"/>
        </w:rPr>
        <w:t>of any Person means, without duplication:</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all obligations of such Person for borrowed money;</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all obligations of such Person evidenced by bonds, debentures, notes, loan agreements or other similar instruments, including any notes issued to sellers in connection with an Acquisition;</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the maximum amount (after giving effect to any prior drawings or reductions which have been reimbursed) of all letters of credit (including standby and commercial), banker’s acceptances, bank guaranties, surety bonds, and similar instruments issued or created by or for the account of such Person;</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the Swap Termination Value of each Swap Agreement (to the extent reflecting an amount owed by such Person or an amount that would be owing were such Swap Agreement terminated);</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rPr>
        <w:t>the Attributable Indebtedness of such Person in respect of Financing Lease Obligations, Synthetic Debt and Synthetic Lease Obligations of such Person (regardless of whether accounted for as indebtedness under GAAP);</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rPr>
        <w:t xml:space="preserve">all obligations of such Person to pay the deferred purchase price of property or services (other than (i) trade accounts payable (which shall not include amounts owing on account of attorneys’ fees and expenses) in the ordinary course of business which are paid within 120 days of their respective due dates, (ii) any purchase price adjustments or similar obligation until such obligation becomes a liability on the balance sheet of such Person in accordance with GAAP and if not paid after becoming due and payable and (iii) to the extent subject to refund, liabilities associated with customer prepayments and deposits);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(g)</w:t>
      </w:r>
      <w:r>
        <w:rPr>
          <w:rFonts w:ascii="Times New Roman;sans-serif" w:hAnsi="Times New Roman;sans-serif"/>
          <w:b w:val="false"/>
          <w:color w:val="000000"/>
          <w:sz w:val="22"/>
        </w:rPr>
        <w:t>indebtedness (excluding prepaid interest thereon) secured by a Lien (or for which the holder of such indebtedness has an existing right, contingent or otherwise, to be secured by a Lien) on property owned or being purchased by such Person (including indebtedness arising under conditional sales or other title retention agreements and mortgage, industrial revenue bond, industrial development bond and similar financings), whether or not such indebtedness shall have been assumed by such Person or is limited in recourse;</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(h)</w:t>
      </w:r>
      <w:r>
        <w:rPr>
          <w:rFonts w:ascii="Times New Roman;sans-serif" w:hAnsi="Times New Roman;sans-serif"/>
          <w:b w:val="false"/>
          <w:color w:val="000000"/>
          <w:sz w:val="22"/>
        </w:rPr>
        <w:t>all Earn-Out Obligations of such Person (based on the maximum potential aggregate amount payable thereunder in accordance with the terms of such Earn-Out Obligations);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(i)</w:t>
      </w:r>
      <w:r>
        <w:rPr>
          <w:rFonts w:ascii="Times New Roman;sans-serif" w:hAnsi="Times New Roman;sans-serif"/>
          <w:b w:val="false"/>
          <w:color w:val="000000"/>
          <w:sz w:val="22"/>
        </w:rPr>
        <w:t>all redemption, repurchase, repayment and other payment obligations of such Person in respect of Disqualified Equity Interests;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(j)</w:t>
      </w:r>
      <w:r>
        <w:rPr>
          <w:rFonts w:ascii="Times New Roman;sans-serif" w:hAnsi="Times New Roman;sans-serif"/>
          <w:b w:val="false"/>
          <w:color w:val="000000"/>
          <w:sz w:val="22"/>
        </w:rPr>
        <w:t xml:space="preserve">all obligations of such Person to pay a specified purchase price for goods or services whether or not delivered or accepted (e.g., take or pay obligations) or similar obligations and, without duplication, all obligations of such Person under conditional sale or other title retention agreements relating to property or assets purchased by such Person; </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25</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(k)</w:t>
      </w:r>
      <w:r>
        <w:rPr>
          <w:rFonts w:ascii="Times New Roman;sans-serif" w:hAnsi="Times New Roman;sans-serif"/>
          <w:b w:val="false"/>
          <w:color w:val="000000"/>
          <w:sz w:val="22"/>
        </w:rPr>
        <w:t>all obligations of such Person under or in respect of Securitization Programs; and</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(l)</w:t>
      </w:r>
      <w:r>
        <w:rPr>
          <w:rFonts w:ascii="Times New Roman;sans-serif" w:hAnsi="Times New Roman;sans-serif"/>
          <w:b w:val="false"/>
          <w:color w:val="000000"/>
          <w:sz w:val="22"/>
        </w:rPr>
        <w:t>all Guarantees by such Person of any of the foregoing.</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Indebtedness of any Person shall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 The amount of Indebtedness of any Person for purposes of clause (g) above shall be deemed to be equal to the greater of (i) the aggregate unpaid amount of such Indebtedness and (ii) the fair market value of the property encumbered thereby as determined by such Person in good faith.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Indemnified Taxes</w:t>
      </w:r>
      <w:r>
        <w:rPr>
          <w:color w:val="000000"/>
        </w:rPr>
        <w:t xml:space="preserve">” </w:t>
      </w:r>
      <w:r>
        <w:rPr>
          <w:rFonts w:ascii="Times New Roman;sans-serif" w:hAnsi="Times New Roman;sans-serif"/>
          <w:b w:val="false"/>
          <w:color w:val="000000"/>
          <w:sz w:val="22"/>
        </w:rPr>
        <w:t>means all (a) Taxes, other than Excluded Taxes, imposed on or with respect to any payment made by or on account of any obligation of any Loan Party under any Loan Document and (b) to the extent not otherwise described in clause (a), Other Taxes.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Indemnitee</w:t>
      </w:r>
      <w:r>
        <w:rPr>
          <w:color w:val="000000"/>
        </w:rPr>
        <w:t xml:space="preserve">” </w:t>
      </w:r>
      <w:r>
        <w:rPr>
          <w:rFonts w:ascii="Times New Roman;sans-serif" w:hAnsi="Times New Roman;sans-serif"/>
          <w:b w:val="false"/>
          <w:color w:val="000000"/>
          <w:sz w:val="22"/>
        </w:rPr>
        <w:t xml:space="preserve">has the meaning assigned to such term in </w:t>
      </w:r>
      <w:r>
        <w:rPr>
          <w:rFonts w:ascii="Times New Roman;sans-serif" w:hAnsi="Times New Roman;sans-serif"/>
          <w:b w:val="false"/>
          <w:color w:val="000000"/>
          <w:sz w:val="22"/>
          <w:u w:val="single"/>
        </w:rPr>
        <w:t>Section 10.3(b)</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Information</w:t>
      </w:r>
      <w:r>
        <w:rPr>
          <w:color w:val="000000"/>
        </w:rPr>
        <w:t xml:space="preserve">” </w:t>
      </w:r>
      <w:r>
        <w:rPr>
          <w:rFonts w:ascii="Times New Roman;sans-serif" w:hAnsi="Times New Roman;sans-serif"/>
          <w:b w:val="false"/>
          <w:color w:val="000000"/>
          <w:sz w:val="22"/>
        </w:rPr>
        <w:t xml:space="preserve">has the meaning assigned to such term in </w:t>
      </w:r>
      <w:r>
        <w:rPr>
          <w:rFonts w:ascii="Times New Roman;sans-serif" w:hAnsi="Times New Roman;sans-serif"/>
          <w:b w:val="false"/>
          <w:color w:val="000000"/>
          <w:sz w:val="22"/>
          <w:u w:val="single"/>
        </w:rPr>
        <w:t>Section 10.14(b)</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Initial Control Agreement Date</w:t>
      </w:r>
      <w:r>
        <w:rPr>
          <w:color w:val="000000"/>
        </w:rPr>
        <w:t xml:space="preserve">” </w:t>
      </w:r>
      <w:r>
        <w:rPr>
          <w:rFonts w:ascii="Times New Roman;sans-serif" w:hAnsi="Times New Roman;sans-serif"/>
          <w:b w:val="false"/>
          <w:color w:val="000000"/>
          <w:sz w:val="22"/>
        </w:rPr>
        <w:t>has the meaning set forth in clause (c) of the definition of “Collateral and Guarantee Requirement.”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Intellectual Property</w:t>
      </w:r>
      <w:r>
        <w:rPr>
          <w:color w:val="000000"/>
        </w:rPr>
        <w:t xml:space="preserve">” </w:t>
      </w:r>
      <w:r>
        <w:rPr>
          <w:rFonts w:ascii="Times New Roman;sans-serif" w:hAnsi="Times New Roman;sans-serif"/>
          <w:b w:val="false"/>
          <w:color w:val="000000"/>
          <w:sz w:val="22"/>
        </w:rPr>
        <w:t>has the meaning assigned to such term in the Security Agreement.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Interest Payment Date</w:t>
      </w:r>
      <w:r>
        <w:rPr>
          <w:color w:val="000000"/>
        </w:rPr>
        <w:t xml:space="preserve">” </w:t>
      </w:r>
      <w:r>
        <w:rPr>
          <w:rFonts w:ascii="Times New Roman;sans-serif" w:hAnsi="Times New Roman;sans-serif"/>
          <w:b w:val="false"/>
          <w:color w:val="000000"/>
          <w:sz w:val="22"/>
        </w:rPr>
        <w:t>means (a) with respect to any ABR Loan, the last Business Day of each March, June, September and December, (b) with respect to any SOFR Loan, the last day of the Interest Period applicable thereto and, in the case of a SOFR Loan with an Interest Period of more than three months’ duration, each day prior to the last day of such Interest Period that occurs at intervals of three months’ duration after the first day of such Interest Period and (c) with respect to all Loans, the Maturity Date.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Interest Period</w:t>
      </w:r>
      <w:r>
        <w:rPr>
          <w:color w:val="000000"/>
        </w:rPr>
        <w:t xml:space="preserve">” </w:t>
      </w:r>
      <w:r>
        <w:rPr>
          <w:rFonts w:ascii="Times New Roman;sans-serif" w:hAnsi="Times New Roman;sans-serif"/>
          <w:b w:val="false"/>
          <w:color w:val="000000"/>
          <w:sz w:val="22"/>
        </w:rPr>
        <w:t>means, with</w:t>
      </w:r>
      <w:r>
        <w:rPr>
          <w:color w:val="000000"/>
        </w:rPr>
        <w:t xml:space="preserve"> </w:t>
      </w:r>
      <w:r>
        <w:rPr>
          <w:rFonts w:ascii="Times New Roman;sans-serif" w:hAnsi="Times New Roman;sans-serif"/>
          <w:b w:val="false"/>
          <w:color w:val="000000"/>
          <w:sz w:val="22"/>
        </w:rPr>
        <w:t>respect to any SOFR Borrowing,</w:t>
      </w:r>
      <w:r>
        <w:rPr>
          <w:color w:val="000000"/>
        </w:rPr>
        <w:t xml:space="preserve"> </w:t>
      </w:r>
      <w:r>
        <w:rPr>
          <w:rFonts w:ascii="Times New Roman;sans-serif" w:hAnsi="Times New Roman;sans-serif"/>
          <w:b w:val="false"/>
          <w:color w:val="000000"/>
          <w:sz w:val="22"/>
        </w:rPr>
        <w:t xml:space="preserve">the period commencing on the date of such Borrowing and ending on the numerically corresponding day in the calendar month that is one, three or six months thereafter (in each case, subject to the availability thereof), as the Borrower may elect in the applicable Committed Loan Notice;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(b)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(c) no Interest Period in respect of any Loan shall end after the Maturity Date and (d) no tenor that has been removed from this definition pursuant to </w:t>
      </w:r>
      <w:r>
        <w:rPr>
          <w:rFonts w:ascii="Times New Roman;sans-serif" w:hAnsi="Times New Roman;sans-serif"/>
          <w:b w:val="false"/>
          <w:color w:val="000000"/>
          <w:sz w:val="22"/>
          <w:u w:val="single"/>
        </w:rPr>
        <w:t>Section 3.3(b)(iv)</w:t>
      </w:r>
      <w:r>
        <w:rPr>
          <w:color w:val="000000"/>
        </w:rPr>
        <w:t xml:space="preserve"> </w:t>
      </w:r>
      <w:r>
        <w:rPr>
          <w:rFonts w:ascii="Times New Roman;sans-serif" w:hAnsi="Times New Roman;sans-serif"/>
          <w:b w:val="false"/>
          <w:color w:val="000000"/>
          <w:sz w:val="22"/>
        </w:rPr>
        <w:t>shall be available for specification in such Committed Loan Notice. For purposes hereof, the date of a Borrowing initially shall be the date on which such Borrowing is made and thereafter shall be the effective date of the most recent conversion or continuation of such Borrowing. Interest shall accrue from and including the first day of an Interest Period to but excluding the last day of such Interest Period.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Investment</w:t>
      </w:r>
      <w:r>
        <w:rPr>
          <w:color w:val="000000"/>
        </w:rPr>
        <w:t xml:space="preserve">” </w:t>
      </w:r>
      <w:r>
        <w:rPr>
          <w:rFonts w:ascii="Times New Roman;sans-serif" w:hAnsi="Times New Roman;sans-serif"/>
          <w:b w:val="false"/>
          <w:color w:val="000000"/>
          <w:sz w:val="22"/>
        </w:rPr>
        <w:t xml:space="preserve">means, as to any Person, (a) any Acquisition by such Person, (b) any direct or indirect acquisition or investment by such Person in another Person, whether by means of the purchase or other acquisition of Equity Interests or debt or other securities of another Person (including any </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26</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partnership or joint venture interest), or (c) any direct or indirect loan, advance or capital contribution to, or Guarantee with respect to any Indebtedness or other obligation of, such other Person. For purposes of covenant compliance, the amount of any Investment on any date of determination shall be, in the case of any Investment in the form of (i) a loan or an advance, the principal amount thereof outstanding on such date, (ii) a Guarantee, the amount of such Guarantee as determined in accordance with the last sentence of the definition of such term, (iii) a transfer of Equity Interests or other property by the investor to the investee, including any such transfer in the form of a capital contribution, or the issuance of Equity Interests to such investor, the fair market value (as determined reasonably and in good faith by a Responsible Officer of the Borrower) of such Equity Interests or other property as of the time of the transfer or issuance, without any adjustment for increases or decreases in value of, or write-ups, write-downs or write-offs with respect to, such Investment, and (iv) any Investment (other than any Investment referred to in clause (i), (ii) or (iii) above) in the form of an Acquisition or a purchase or other acquisition for value of any evidences of Indebtedness or other securities of any other Person, the original cost of such Investment (including any Indebtedness assumed in connection therewith),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the cost of all additions, as of such date, thereto, and </w:t>
      </w:r>
      <w:r>
        <w:rPr>
          <w:rFonts w:ascii="Times New Roman;sans-serif" w:hAnsi="Times New Roman;sans-serif"/>
          <w:b w:val="false"/>
          <w:color w:val="000000"/>
          <w:sz w:val="22"/>
          <w:u w:val="single"/>
        </w:rPr>
        <w:t>minus</w:t>
      </w:r>
      <w:r>
        <w:rPr>
          <w:color w:val="000000"/>
        </w:rPr>
        <w:t xml:space="preserve"> </w:t>
      </w:r>
      <w:r>
        <w:rPr>
          <w:rFonts w:ascii="Times New Roman;sans-serif" w:hAnsi="Times New Roman;sans-serif"/>
          <w:b w:val="false"/>
          <w:color w:val="000000"/>
          <w:sz w:val="22"/>
        </w:rPr>
        <w:t>the amount, as of such date, of any portion of such Investment repaid to the investor in cash as a repayment of principal, a dividend or distribution thereon, or a return of capital, as the case may be, but without any other adjustment for increases or decreases in value of, or write-ups, write-downs or write-offs with respect to, such Investment.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Irish Debentures</w:t>
      </w:r>
      <w:r>
        <w:rPr>
          <w:color w:val="000000"/>
        </w:rPr>
        <w:t xml:space="preserve">” </w:t>
      </w:r>
      <w:r>
        <w:rPr>
          <w:rFonts w:ascii="Times New Roman;sans-serif" w:hAnsi="Times New Roman;sans-serif"/>
          <w:b w:val="false"/>
          <w:color w:val="000000"/>
          <w:sz w:val="22"/>
        </w:rPr>
        <w:t>means an Irish law governed debenture to be entered into by Synchronoss Technologies Holdings Limited and Synchronoss Software Ireland Limited over all of their respective assets and undertaking in favor of the Administrative Agent.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Irish Security Documents</w:t>
      </w:r>
      <w:r>
        <w:rPr>
          <w:color w:val="000000"/>
        </w:rPr>
        <w:t xml:space="preserve">” </w:t>
      </w:r>
      <w:r>
        <w:rPr>
          <w:rFonts w:ascii="Times New Roman;sans-serif" w:hAnsi="Times New Roman;sans-serif"/>
          <w:b w:val="false"/>
          <w:color w:val="000000"/>
          <w:sz w:val="22"/>
        </w:rPr>
        <w:t>means the Irish Debenture and the Irish Share Mortgage.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Irish Share Mortgage</w:t>
      </w:r>
      <w:r>
        <w:rPr>
          <w:color w:val="000000"/>
        </w:rPr>
        <w:t xml:space="preserve">” </w:t>
      </w:r>
      <w:r>
        <w:rPr>
          <w:rFonts w:ascii="Times New Roman;sans-serif" w:hAnsi="Times New Roman;sans-serif"/>
          <w:b w:val="false"/>
          <w:color w:val="000000"/>
          <w:sz w:val="22"/>
        </w:rPr>
        <w:t>means the Irish law governed share mortgage to be granted by Synchronoss Technologies, Inc. in favor of the Administrative Agent over all of the shares in Synchronoss Technologies Holdings Limited.</w:t>
      </w:r>
    </w:p>
    <w:p>
      <w:pPr>
        <w:pStyle w:val="TextBody"/>
        <w:bidi w:val="0"/>
        <w:spacing w:lineRule="auto" w:line="288" w:before="0" w:after="120"/>
        <w:ind w:left="0" w:right="0" w:firstLine="720"/>
        <w:jc w:val="left"/>
        <w:rPr/>
      </w:pPr>
      <w:r>
        <w:rPr>
          <w:color w:val="000000"/>
        </w:rPr>
        <w:t>“</w:t>
      </w:r>
      <w:r>
        <w:rPr>
          <w:rFonts w:ascii="Times New Roman;sans-serif" w:hAnsi="Times New Roman;sans-serif"/>
          <w:b w:val="false"/>
          <w:color w:val="000000"/>
          <w:sz w:val="22"/>
          <w:u w:val="single"/>
        </w:rPr>
        <w:t>Irish Subsidiary</w:t>
      </w:r>
      <w:r>
        <w:rPr>
          <w:color w:val="000000"/>
        </w:rPr>
        <w:t xml:space="preserve">” </w:t>
      </w:r>
      <w:r>
        <w:rPr>
          <w:rFonts w:ascii="Times New Roman;sans-serif" w:hAnsi="Times New Roman;sans-serif"/>
          <w:b w:val="false"/>
          <w:color w:val="000000"/>
          <w:sz w:val="22"/>
        </w:rPr>
        <w:t>a Subsidiary that is incorporated under the laws of Ireland. As of the Closing Date the only Irish Subsidiaries in existence are Synchronoss Technologies Holdings Limited and Synchronoss Software Ireland Limited.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IRS</w:t>
      </w:r>
      <w:r>
        <w:rPr>
          <w:color w:val="000000"/>
        </w:rPr>
        <w:t xml:space="preserve">” </w:t>
      </w:r>
      <w:r>
        <w:rPr>
          <w:rFonts w:ascii="Times New Roman;sans-serif" w:hAnsi="Times New Roman;sans-serif"/>
          <w:b w:val="false"/>
          <w:color w:val="000000"/>
          <w:sz w:val="22"/>
        </w:rPr>
        <w:t>means the United States Internal Revenue Service.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Junior Lien Indebtedness</w:t>
      </w:r>
      <w:r>
        <w:rPr>
          <w:color w:val="000000"/>
        </w:rPr>
        <w:t xml:space="preserve">” </w:t>
      </w:r>
      <w:r>
        <w:rPr>
          <w:rFonts w:ascii="Times New Roman;sans-serif" w:hAnsi="Times New Roman;sans-serif"/>
          <w:b w:val="false"/>
          <w:color w:val="000000"/>
          <w:sz w:val="22"/>
        </w:rPr>
        <w:t>means Indebtedness that is secured by a Lien on the Collateral that ranks junior in Lien priority to the Lien on the Collateral securing the Loan Document Obligations.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Latest Maturity Date</w:t>
      </w:r>
      <w:r>
        <w:rPr>
          <w:color w:val="000000"/>
        </w:rPr>
        <w:t xml:space="preserve">” </w:t>
      </w:r>
      <w:r>
        <w:rPr>
          <w:rFonts w:ascii="Times New Roman;sans-serif" w:hAnsi="Times New Roman;sans-serif"/>
          <w:b w:val="false"/>
          <w:color w:val="000000"/>
          <w:sz w:val="22"/>
        </w:rPr>
        <w:t>means, at any date of determination, the latest Maturity Date applicable to any Loan or Commitment hereunder at such time, in each case as extended in accordance with this Credit Agreement or pursuant to any other Loan Document from time to time.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Lead Arranger</w:t>
      </w:r>
      <w:r>
        <w:rPr>
          <w:color w:val="000000"/>
        </w:rPr>
        <w:t xml:space="preserve">” </w:t>
      </w:r>
      <w:r>
        <w:rPr>
          <w:rFonts w:ascii="Times New Roman;sans-serif" w:hAnsi="Times New Roman;sans-serif"/>
          <w:b w:val="false"/>
          <w:color w:val="000000"/>
          <w:sz w:val="22"/>
        </w:rPr>
        <w:t>means AS Birch Grove LP, in its capacity as lead arranger and bookrunner of the credit facility established under this Credit Agreement.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Lenders</w:t>
      </w:r>
      <w:r>
        <w:rPr>
          <w:color w:val="000000"/>
        </w:rPr>
        <w:t xml:space="preserve">” </w:t>
      </w:r>
      <w:r>
        <w:rPr>
          <w:rFonts w:ascii="Times New Roman;sans-serif" w:hAnsi="Times New Roman;sans-serif"/>
          <w:b w:val="false"/>
          <w:color w:val="000000"/>
          <w:sz w:val="22"/>
        </w:rPr>
        <w:t xml:space="preserve">means (a) the financial institutions listed on </w:t>
      </w:r>
      <w:r>
        <w:rPr>
          <w:rFonts w:ascii="Times New Roman;sans-serif" w:hAnsi="Times New Roman;sans-serif"/>
          <w:b w:val="false"/>
          <w:color w:val="000000"/>
          <w:sz w:val="22"/>
          <w:u w:val="single"/>
        </w:rPr>
        <w:t>Schedule 2.1</w:t>
      </w:r>
      <w:r>
        <w:rPr>
          <w:color w:val="000000"/>
        </w:rPr>
        <w:t xml:space="preserve"> </w:t>
      </w:r>
      <w:r>
        <w:rPr>
          <w:rFonts w:ascii="Times New Roman;sans-serif" w:hAnsi="Times New Roman;sans-serif"/>
          <w:b w:val="false"/>
          <w:color w:val="000000"/>
          <w:sz w:val="22"/>
        </w:rPr>
        <w:t xml:space="preserve">(other than any such financial institution that has ceased to be a party hereto pursuant to an Assignment and Assumption) and (b) any financial institution that has become a party hereto pursuant to an Assignment and Assumption. </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27</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Lien</w:t>
      </w:r>
      <w:r>
        <w:rPr>
          <w:color w:val="000000"/>
        </w:rPr>
        <w:t xml:space="preserve">” </w:t>
      </w:r>
      <w:r>
        <w:rPr>
          <w:rFonts w:ascii="Times New Roman;sans-serif" w:hAnsi="Times New Roman;sans-serif"/>
          <w:b w:val="false"/>
          <w:color w:val="000000"/>
          <w:sz w:val="22"/>
        </w:rPr>
        <w:t>means, with respect to any asset, (a) any mortgage, deed of trust, lien, pledge, hypothecation, encumbrance, charge or security interest in, on or of such asset, (b) the interest of a vendor or a lessor under any conditional sale agreement, Financing Lease or title retention agreement relating to such asset, and (c) in the case of securities, any purchase option, call or similar right of a third party with respect to such securities.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Liquidity</w:t>
      </w:r>
      <w:r>
        <w:rPr>
          <w:color w:val="000000"/>
        </w:rPr>
        <w:t xml:space="preserve">” </w:t>
      </w:r>
      <w:r>
        <w:rPr>
          <w:rFonts w:ascii="Times New Roman;sans-serif" w:hAnsi="Times New Roman;sans-serif"/>
          <w:b w:val="false"/>
          <w:color w:val="000000"/>
          <w:sz w:val="22"/>
        </w:rPr>
        <w:t>means, as of any date of determination, the sum of (a) the aggregate amount of domestic Unrestricted Cash on the balance sheet of the Loan Parties as of such date maintained in a Controlled Account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Unrestricted Cash maintained in any securities account or deposit account prior to the applicable Control Agreement Date may be included in this clause (a) notwithstanding the absence of any Control Agreement (as defined in the Security Agreement) with respect thereto) and (b) the aggregate amount of non-domestic Unrestricted Cash on the balance sheet of the Loan Parties as of such date in an aggregate amount not to exceed $1,000,000.</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Liquidity Certificate</w:t>
      </w:r>
      <w:r>
        <w:rPr>
          <w:color w:val="000000"/>
        </w:rPr>
        <w:t xml:space="preserve">” </w:t>
      </w:r>
      <w:r>
        <w:rPr>
          <w:rFonts w:ascii="Times New Roman;sans-serif" w:hAnsi="Times New Roman;sans-serif"/>
          <w:b w:val="false"/>
          <w:color w:val="000000"/>
          <w:sz w:val="22"/>
        </w:rPr>
        <w:t xml:space="preserve">means a certificate, substantially in the form of </w:t>
      </w:r>
      <w:r>
        <w:rPr>
          <w:rFonts w:ascii="Times New Roman;sans-serif" w:hAnsi="Times New Roman;sans-serif"/>
          <w:b w:val="false"/>
          <w:color w:val="000000"/>
          <w:sz w:val="22"/>
          <w:u w:val="single"/>
        </w:rPr>
        <w:t>Exhibit J</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Loan</w:t>
      </w:r>
      <w:r>
        <w:rPr>
          <w:color w:val="000000"/>
        </w:rPr>
        <w:t xml:space="preserve">” </w:t>
      </w:r>
      <w:r>
        <w:rPr>
          <w:rFonts w:ascii="Times New Roman;sans-serif" w:hAnsi="Times New Roman;sans-serif"/>
          <w:b w:val="false"/>
          <w:color w:val="000000"/>
          <w:sz w:val="22"/>
        </w:rPr>
        <w:t xml:space="preserve">means a term loan referred to in </w:t>
      </w:r>
      <w:r>
        <w:rPr>
          <w:rFonts w:ascii="Times New Roman;sans-serif" w:hAnsi="Times New Roman;sans-serif"/>
          <w:b w:val="false"/>
          <w:color w:val="000000"/>
          <w:sz w:val="22"/>
          <w:u w:val="single"/>
        </w:rPr>
        <w:t>Section 2.1</w:t>
      </w:r>
      <w:r>
        <w:rPr>
          <w:color w:val="000000"/>
        </w:rPr>
        <w:t xml:space="preserve"> </w:t>
      </w:r>
      <w:r>
        <w:rPr>
          <w:rFonts w:ascii="Times New Roman;sans-serif" w:hAnsi="Times New Roman;sans-serif"/>
          <w:b w:val="false"/>
          <w:color w:val="000000"/>
          <w:sz w:val="22"/>
        </w:rPr>
        <w:t xml:space="preserve">and made pursuant to </w:t>
      </w:r>
      <w:r>
        <w:rPr>
          <w:rFonts w:ascii="Times New Roman;sans-serif" w:hAnsi="Times New Roman;sans-serif"/>
          <w:b w:val="false"/>
          <w:color w:val="000000"/>
          <w:sz w:val="22"/>
          <w:u w:val="single"/>
        </w:rPr>
        <w:t>Section 2.2</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Loan Document Obligations</w:t>
      </w:r>
      <w:r>
        <w:rPr>
          <w:color w:val="000000"/>
        </w:rPr>
        <w:t xml:space="preserve">” </w:t>
      </w:r>
      <w:r>
        <w:rPr>
          <w:rFonts w:ascii="Times New Roman;sans-serif" w:hAnsi="Times New Roman;sans-serif"/>
          <w:b w:val="false"/>
          <w:color w:val="000000"/>
          <w:sz w:val="22"/>
        </w:rPr>
        <w:t>means all advances to, and debts, liabilities, obligations, covenants and duties of, any Loan Party arising under any Loan Document or otherwise with respect to any Loan, whether direct or indirect (including those acquired by assumption), absolute or contingent, due or to become due, now existing or hereafter arising and including interest, expenses and fees that accrue after the commencement by or against any Loan Party or any Affiliate thereof of any proceeding under any Debtor Relief Laws naming such Person as the debtor in such proceeding, regardless of whether such interest, expenses, fees and other monetary obligations are allowed claims in such proceeding. Without limiting the foregoing, the Loan Document Obligations include (a) the obligation to pay principal, interest, premiums (including any Prepayment Premium), charges, expenses, fees (including the Exit Fee, if applicable), indemnities and other amounts payable by the Borrower under any Loan Document, (b) the obligation of the Borrower to reimburse any amount in respect of any of the foregoing obligations that the Administrative Agent, in its sole discretion, may elect to pay or advance on behalf of the Borrower following Borrower’s failure to make such payment as and when due and (c) the Loan Parties’ obligations to pay, discharge and satisfy the Erroneous Payment Subrogation Rights.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Loan Documents</w:t>
      </w:r>
      <w:r>
        <w:rPr>
          <w:color w:val="000000"/>
        </w:rPr>
        <w:t xml:space="preserve">” </w:t>
      </w:r>
      <w:r>
        <w:rPr>
          <w:rFonts w:ascii="Times New Roman;sans-serif" w:hAnsi="Times New Roman;sans-serif"/>
          <w:b w:val="false"/>
          <w:color w:val="000000"/>
          <w:sz w:val="22"/>
        </w:rPr>
        <w:t>means, collectively, this Credit Agreement, the Notes, the Guarantee Agreement, the Fee Letter, the Collateral Documents and each other document entered into in connection herewith.</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Loan Parties</w:t>
      </w:r>
      <w:r>
        <w:rPr>
          <w:color w:val="000000"/>
        </w:rPr>
        <w:t xml:space="preserve">” </w:t>
      </w:r>
      <w:r>
        <w:rPr>
          <w:rFonts w:ascii="Times New Roman;sans-serif" w:hAnsi="Times New Roman;sans-serif"/>
          <w:b w:val="false"/>
          <w:color w:val="000000"/>
          <w:sz w:val="22"/>
        </w:rPr>
        <w:t>means, collectively, the Borrower and the Subsidiary Guarantors.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Lumine APA</w:t>
      </w:r>
      <w:r>
        <w:rPr>
          <w:color w:val="000000"/>
        </w:rPr>
        <w:t xml:space="preserve">” </w:t>
      </w:r>
      <w:r>
        <w:rPr>
          <w:rFonts w:ascii="Times New Roman;sans-serif" w:hAnsi="Times New Roman;sans-serif"/>
          <w:b w:val="false"/>
          <w:color w:val="000000"/>
          <w:sz w:val="22"/>
        </w:rPr>
        <w:t xml:space="preserve">means that certain Asset Purchase Agreement, dated as of October 31, 2023, by and among Lumine Group UK Holdco LTD and the other purchasers party thereto and the Borrower and the other vendors party thereto.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Make-Whole Premium</w:t>
      </w:r>
      <w:r>
        <w:rPr>
          <w:color w:val="000000"/>
        </w:rPr>
        <w:t xml:space="preserve">” </w:t>
      </w:r>
      <w:r>
        <w:rPr>
          <w:rFonts w:ascii="Times New Roman;sans-serif" w:hAnsi="Times New Roman;sans-serif"/>
          <w:b w:val="false"/>
          <w:color w:val="000000"/>
          <w:sz w:val="22"/>
        </w:rPr>
        <w:t xml:space="preserve">means an amount equal to the greater of (i) 2.00% of the aggregate principal amount of the Loans being prepaid and (ii) the present value at the Make-Whole Prepayment Date of the sum of 2.00% of the aggregate principal amount of the Loans being prepaid and all remaining interest payments due on such Loans through the first anniversary of the Closing Date (assuming a 360-day year consisting of twelve 30-day months and that the interest rate on the Loans for the period from the Make-Whole Prepayment Date through the first anniversary of the Closing Date is equal to the interest rate on the Loans in effect as of the Make-Whole Prepayment Date (as determined in accordance </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28</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with </w:t>
      </w:r>
      <w:r>
        <w:rPr>
          <w:rFonts w:ascii="Times New Roman;sans-serif" w:hAnsi="Times New Roman;sans-serif"/>
          <w:b w:val="false"/>
          <w:color w:val="000000"/>
          <w:sz w:val="22"/>
          <w:u w:val="single"/>
        </w:rPr>
        <w:t>Section 3.1(a)</w:t>
      </w:r>
      <w:r>
        <w:rPr>
          <w:rFonts w:ascii="Times New Roman;sans-serif" w:hAnsi="Times New Roman;sans-serif"/>
          <w:b w:val="false"/>
          <w:color w:val="000000"/>
          <w:sz w:val="22"/>
        </w:rPr>
        <w:t xml:space="preserve">) plus, if any Event of Default exists and is continuing as of the Make-Whole Prepayment Date, the Default Rate), computed using a discount rate equal to the Treasury Rate as of the Make-Whole Prepayment Date,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50 basis points.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Make-Whole Prepayment Date</w:t>
      </w:r>
      <w:r>
        <w:rPr>
          <w:color w:val="000000"/>
        </w:rPr>
        <w:t xml:space="preserve">” </w:t>
      </w:r>
      <w:r>
        <w:rPr>
          <w:rFonts w:ascii="Times New Roman;sans-serif" w:hAnsi="Times New Roman;sans-serif"/>
          <w:b w:val="false"/>
          <w:color w:val="000000"/>
          <w:sz w:val="22"/>
        </w:rPr>
        <w:t xml:space="preserve">shall mean, with respect to any date on which the Make-Whole Premium is applicable, the date such prepayment is effected (or, in the case of an acceleration of the Loans prior to the Maturity Date or a mandatory assignment of Loans pursuant to </w:t>
      </w:r>
      <w:r>
        <w:rPr>
          <w:rFonts w:ascii="Times New Roman;sans-serif" w:hAnsi="Times New Roman;sans-serif"/>
          <w:b w:val="false"/>
          <w:color w:val="000000"/>
          <w:sz w:val="22"/>
          <w:u w:val="single"/>
        </w:rPr>
        <w:t>Section 3.7(b)</w:t>
      </w:r>
      <w:r>
        <w:rPr>
          <w:rFonts w:ascii="Times New Roman;sans-serif" w:hAnsi="Times New Roman;sans-serif"/>
          <w:b w:val="false"/>
          <w:color w:val="000000"/>
          <w:sz w:val="22"/>
        </w:rPr>
        <w:t xml:space="preserve">, the date of such acceleration or mandatory assignment, as applicable).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Margin Stock</w:t>
      </w:r>
      <w:r>
        <w:rPr>
          <w:color w:val="000000"/>
        </w:rPr>
        <w:t xml:space="preserve">” </w:t>
      </w:r>
      <w:r>
        <w:rPr>
          <w:rFonts w:ascii="Times New Roman;sans-serif" w:hAnsi="Times New Roman;sans-serif"/>
          <w:b w:val="false"/>
          <w:color w:val="000000"/>
          <w:sz w:val="22"/>
        </w:rPr>
        <w:t>has the meaning assigned to such term in Regulation U.</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Master Agreement</w:t>
      </w:r>
      <w:r>
        <w:rPr>
          <w:color w:val="000000"/>
        </w:rPr>
        <w:t xml:space="preserve">” </w:t>
      </w:r>
      <w:r>
        <w:rPr>
          <w:rFonts w:ascii="Times New Roman;sans-serif" w:hAnsi="Times New Roman;sans-serif"/>
          <w:b w:val="false"/>
          <w:color w:val="000000"/>
          <w:sz w:val="22"/>
        </w:rPr>
        <w:t>has the meaning assigned to such term in the definition of “Swap Agreement.”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Material Adverse Effect</w:t>
      </w:r>
      <w:r>
        <w:rPr>
          <w:color w:val="000000"/>
        </w:rPr>
        <w:t xml:space="preserve">” </w:t>
      </w:r>
      <w:r>
        <w:rPr>
          <w:rFonts w:ascii="Times New Roman;sans-serif" w:hAnsi="Times New Roman;sans-serif"/>
          <w:b w:val="false"/>
          <w:color w:val="000000"/>
          <w:sz w:val="22"/>
        </w:rPr>
        <w:t xml:space="preserve">means (a) a material adverse effect on the business, assets, operations, liabilities or financial condition of the Loan Parties and their respective Subsidiaries, taken as a whole, (b) the condition that results when the legality, validity or enforceability of any Loan Document is affected in a manner that is material and adverse to the Lenders, (c) the condition that results when the ability of any Loan Party to perform any of its obligations under any Loan Document is affected in a manner that is material and adverse to the Lenders or (d) a material adverse effect on the rights, remedies and benefits, taken as a whole, available to, or conferred upon, the Administrative Agent or any Lender under any Loan Document.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Material Indebtedness</w:t>
      </w:r>
      <w:r>
        <w:rPr>
          <w:color w:val="000000"/>
        </w:rPr>
        <w:t xml:space="preserve">” </w:t>
      </w:r>
      <w:r>
        <w:rPr>
          <w:rFonts w:ascii="Times New Roman;sans-serif" w:hAnsi="Times New Roman;sans-serif"/>
          <w:b w:val="false"/>
          <w:color w:val="000000"/>
          <w:sz w:val="22"/>
        </w:rPr>
        <w:t>means, as of any date, Indebtedness (other than Indebtedness under the Loan Documents) or obligations in respect of one or more Swap Agreements, of any one or more of the Loan Parties or any of their Subsidiaries in an aggregate principal amount exceeding the Threshold Amount. For purposes of determining Material Indebtedness, the “principal amount” of the obligations in respect of any Swap Agreement at any time shall be its Swap Termination Value.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Material Intellectual Property</w:t>
      </w:r>
      <w:r>
        <w:rPr>
          <w:color w:val="000000"/>
        </w:rPr>
        <w:t xml:space="preserve">” </w:t>
      </w:r>
      <w:r>
        <w:rPr>
          <w:rFonts w:ascii="Times New Roman;sans-serif" w:hAnsi="Times New Roman;sans-serif"/>
          <w:b w:val="false"/>
          <w:color w:val="000000"/>
          <w:sz w:val="22"/>
        </w:rPr>
        <w:t>means any intellectual property owned by any Loan Party that is, in the good faith determination of the Borrower, material to the operation of the business of the Borrower and its Subsidiaries, taken as a whole (whether owned as of the Closing Date or thereafter acquired).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Material Locations</w:t>
      </w:r>
      <w:r>
        <w:rPr>
          <w:color w:val="000000"/>
        </w:rPr>
        <w:t xml:space="preserve">” </w:t>
      </w:r>
      <w:r>
        <w:rPr>
          <w:rFonts w:ascii="Times New Roman;sans-serif" w:hAnsi="Times New Roman;sans-serif"/>
          <w:b w:val="false"/>
          <w:color w:val="000000"/>
          <w:sz w:val="22"/>
        </w:rPr>
        <w:t>means (i) the chief executive office of each Domestic Loan Party and (ii) each other location owned by a third party at which Collateral with a fair market value in excess of $3,500,000 or any material books and records of a Loan Party are located.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Material Owned Real Property</w:t>
      </w:r>
      <w:r>
        <w:rPr>
          <w:color w:val="000000"/>
        </w:rPr>
        <w:t xml:space="preserve">” </w:t>
      </w:r>
      <w:r>
        <w:rPr>
          <w:rFonts w:ascii="Times New Roman;sans-serif" w:hAnsi="Times New Roman;sans-serif"/>
          <w:b w:val="false"/>
          <w:color w:val="000000"/>
          <w:sz w:val="22"/>
        </w:rPr>
        <w:t>means each fee-owned parcel of Real Property located in the United States which is held by a Loan Party on the Closing Date (or the date of becoming a Loan Party) or acquired after the Closing Date (or the date of becoming a Loan Party, as applicable) by a Loan Party, in each case, with a fair market value in excess of $2,500,000.</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Maturity Date</w:t>
      </w:r>
      <w:r>
        <w:rPr>
          <w:color w:val="000000"/>
        </w:rPr>
        <w:t xml:space="preserve">” </w:t>
      </w:r>
      <w:r>
        <w:rPr>
          <w:rFonts w:ascii="Times New Roman;sans-serif" w:hAnsi="Times New Roman;sans-serif"/>
          <w:b w:val="false"/>
          <w:color w:val="000000"/>
          <w:sz w:val="22"/>
        </w:rPr>
        <w:t xml:space="preserve">means June 28, 2028;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if (i) the Senior Notes are not refinanced, redeemed or repaid in full prior to March 31, 2026, the Maturity Date shall be March 31, 2026 and (ii) in the event of a refinancing, redemption or repayment of the Senior Notes in full prior to March 31, 2026, the Maturity Date shall be the earlier of (A) June 28, 2028 and (B) the date that is twelve (12) months prior to the final stated maturity date for the Indebtedness resulting from such refinancing, redemption or repayment of the Senior Notes in full;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xml:space="preserve">, that, in each case, if such day is not a Business Day, the Maturity Date shall be the Business Day immediately succeeding such day. </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29</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Maximum Rate</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10.13</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Measurement Period</w:t>
      </w:r>
      <w:r>
        <w:rPr>
          <w:color w:val="000000"/>
        </w:rPr>
        <w:t xml:space="preserve">” </w:t>
      </w:r>
      <w:r>
        <w:rPr>
          <w:rFonts w:ascii="Times New Roman;sans-serif" w:hAnsi="Times New Roman;sans-serif"/>
          <w:b w:val="false"/>
          <w:color w:val="000000"/>
          <w:sz w:val="22"/>
        </w:rPr>
        <w:t xml:space="preserve">means, at any date of determination, the most recently completed four consecutive Fiscal Quarters of the Borrower ended on or prior to such date for which financial statements have been or are required to be delivered pursuant to </w:t>
      </w:r>
      <w:r>
        <w:rPr>
          <w:rFonts w:ascii="Times New Roman;sans-serif" w:hAnsi="Times New Roman;sans-serif"/>
          <w:b w:val="false"/>
          <w:color w:val="000000"/>
          <w:sz w:val="22"/>
          <w:u w:val="single"/>
        </w:rPr>
        <w:t>Section 6.1(a)</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6.1(b)</w:t>
      </w:r>
      <w:r>
        <w:rPr>
          <w:color w:val="000000"/>
        </w:rPr>
        <w:t xml:space="preserve"> </w:t>
      </w:r>
      <w:r>
        <w:rPr>
          <w:rFonts w:ascii="Times New Roman;sans-serif" w:hAnsi="Times New Roman;sans-serif"/>
          <w:b w:val="false"/>
          <w:color w:val="000000"/>
          <w:sz w:val="22"/>
        </w:rPr>
        <w:t>or, prior to the first such requirement, the four quarter period ended</w:t>
      </w:r>
      <w:r>
        <w:rPr>
          <w:color w:val="000000"/>
        </w:rPr>
        <w:t xml:space="preserve"> </w:t>
      </w:r>
      <w:r>
        <w:rPr>
          <w:rFonts w:ascii="Times New Roman;sans-serif" w:hAnsi="Times New Roman;sans-serif"/>
          <w:b w:val="false"/>
          <w:color w:val="000000"/>
          <w:sz w:val="22"/>
        </w:rPr>
        <w:t>March 31, 2024. A Measurement Period may be designated by reference to the last day thereof (</w:t>
      </w:r>
      <w:r>
        <w:rPr>
          <w:rFonts w:ascii="Times New Roman;sans-serif" w:hAnsi="Times New Roman;sans-serif"/>
          <w:b w:val="false"/>
          <w:color w:val="000000"/>
          <w:sz w:val="22"/>
          <w:u w:val="single"/>
        </w:rPr>
        <w:t>e.g.</w:t>
      </w:r>
      <w:r>
        <w:rPr>
          <w:rFonts w:ascii="Times New Roman;sans-serif" w:hAnsi="Times New Roman;sans-serif"/>
          <w:b w:val="false"/>
          <w:color w:val="000000"/>
          <w:sz w:val="22"/>
        </w:rPr>
        <w:t>, the March 31, 2024 Measurement Period refers to the period of four consecutive Fiscal Quarters of the Borrower ended March 31, 2024), and a Measurement Period shall be deemed to end on the last day thereof.</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Moody’s</w:t>
      </w:r>
      <w:r>
        <w:rPr>
          <w:color w:val="000000"/>
        </w:rPr>
        <w:t xml:space="preserve">” </w:t>
      </w:r>
      <w:r>
        <w:rPr>
          <w:rFonts w:ascii="Times New Roman;sans-serif" w:hAnsi="Times New Roman;sans-serif"/>
          <w:b w:val="false"/>
          <w:color w:val="000000"/>
          <w:sz w:val="22"/>
        </w:rPr>
        <w:t>means Moody’s Investors Service, Inc. and any successor to its rating agency business.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Mortgage Requirement</w:t>
      </w:r>
      <w:r>
        <w:rPr>
          <w:color w:val="000000"/>
        </w:rPr>
        <w:t xml:space="preserve">” </w:t>
      </w:r>
      <w:r>
        <w:rPr>
          <w:rFonts w:ascii="Times New Roman;sans-serif" w:hAnsi="Times New Roman;sans-serif"/>
          <w:b w:val="false"/>
          <w:color w:val="000000"/>
          <w:sz w:val="22"/>
        </w:rPr>
        <w:t>means, at any time, the requirement that, with respect to each Material Owned Real Property, the Administrative Agent shall have received the following, each in form and substance satisfactory to the Administrative Agent: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a Mortgage with respect to such Material Owned Real Property duly executed and delivered by the record owner of such Material Owned Real Property,</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an appraisal with respect to such Material Owned Real Property,</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a survey with respect to such Material Owned Real Property, in form sufficient to delete the general survey exception from, and to issue survey related endorsements to, the related title insurance policy,</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a title insurance policy (including any endorsements thereto) and appropriate lien searches with respect to such Material Owned Real Property, in an amount equal to the fair market value of such Material Owned Real Property (as determined by the Borrower in good faith),</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rPr>
        <w:t>with respect to such Material Owned Real Property: environmental reports, audits and analyses (whether produced by any Loan Party or its Subsidiaries or any third party or Governmental Authority) and all existing Phase I or Phase II reports, and</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rPr>
        <w:t>legal opinions regarding the enforceability, due authorization, execution and delivery with respect to such Mortgage and related matters.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Mortgaged Property</w:t>
      </w:r>
      <w:r>
        <w:rPr>
          <w:color w:val="000000"/>
        </w:rPr>
        <w:t xml:space="preserve">” </w:t>
      </w:r>
      <w:r>
        <w:rPr>
          <w:rFonts w:ascii="Times New Roman;sans-serif" w:hAnsi="Times New Roman;sans-serif"/>
          <w:b w:val="false"/>
          <w:color w:val="000000"/>
          <w:sz w:val="22"/>
        </w:rPr>
        <w:t xml:space="preserve">means each parcel of Material Owned Real Property, if any, which shall be subject to a Mortgage delivered pursuant to </w:t>
      </w:r>
      <w:r>
        <w:rPr>
          <w:rFonts w:ascii="Times New Roman;sans-serif" w:hAnsi="Times New Roman;sans-serif"/>
          <w:b w:val="false"/>
          <w:color w:val="000000"/>
          <w:sz w:val="22"/>
          <w:u w:val="single"/>
        </w:rPr>
        <w:t>Section 6.12</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Mortgages</w:t>
      </w:r>
      <w:r>
        <w:rPr>
          <w:color w:val="000000"/>
        </w:rPr>
        <w:t xml:space="preserve">” </w:t>
      </w:r>
      <w:r>
        <w:rPr>
          <w:rFonts w:ascii="Times New Roman;sans-serif" w:hAnsi="Times New Roman;sans-serif"/>
          <w:b w:val="false"/>
          <w:color w:val="000000"/>
          <w:sz w:val="22"/>
        </w:rPr>
        <w:t xml:space="preserve">means mortgages, charges, deeds of trust, assignments of leases and rents, modifications and other collateral documents delivered pursuant to </w:t>
      </w:r>
      <w:r>
        <w:rPr>
          <w:rFonts w:ascii="Times New Roman;sans-serif" w:hAnsi="Times New Roman;sans-serif"/>
          <w:b w:val="false"/>
          <w:color w:val="000000"/>
          <w:sz w:val="22"/>
          <w:u w:val="single"/>
        </w:rPr>
        <w:t>Section 6.12</w:t>
      </w:r>
      <w:r>
        <w:rPr>
          <w:rFonts w:ascii="Times New Roman;sans-serif" w:hAnsi="Times New Roman;sans-serif"/>
          <w:b w:val="false"/>
          <w:color w:val="000000"/>
          <w:sz w:val="22"/>
        </w:rPr>
        <w:t>, including any amendments thereto, each in form and substance reasonably satisfactory to the Administrative Agent.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Multiemployer Plan</w:t>
      </w:r>
      <w:r>
        <w:rPr>
          <w:color w:val="000000"/>
        </w:rPr>
        <w:t xml:space="preserve">” </w:t>
      </w:r>
      <w:r>
        <w:rPr>
          <w:rFonts w:ascii="Times New Roman;sans-serif" w:hAnsi="Times New Roman;sans-serif"/>
          <w:b w:val="false"/>
          <w:color w:val="000000"/>
          <w:sz w:val="22"/>
        </w:rPr>
        <w:t>means a multiemployer plan as defined in Section 4001(a)(3) of ERISA.</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Net Cash Proceeds</w:t>
      </w:r>
      <w:r>
        <w:rPr>
          <w:color w:val="000000"/>
        </w:rPr>
        <w:t xml:space="preserve">” </w:t>
      </w:r>
      <w:r>
        <w:rPr>
          <w:rFonts w:ascii="Times New Roman;sans-serif" w:hAnsi="Times New Roman;sans-serif"/>
          <w:b w:val="false"/>
          <w:color w:val="000000"/>
          <w:sz w:val="22"/>
        </w:rPr>
        <w:t>shall mean:</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with respect to any Disposition (other than any issuance or sale of Equity Interests), the cash proceeds received by the Borrower or any of its Subsidiaries (including cash proceeds subsequently </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30</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received (as and when received by the Borrower or any of its Subsidiaries) in respect of non-cash consideration initially received) net of (i) selling expenses (including reasonable brokers’ fees or commissions, legal, accounting and other professional and transactional fees, transfer and similar taxes and the Borrower’s good faith estimate of income taxes paid or payable in connection with such sale); (ii) amounts provided as a reserve, in accordance with GAAP, against (x) any liabilities under any indemnification obligations associated with such Disposition or (y) any other liabilities retained by the Borrower or any of its Subsidiaries associated with the properties sold in such Disposition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to the extent and at the time any such amounts are released from such reserve, such amounts shall constitute Net Cash Proceeds); (iii) the Borrower’s good faith estimate of payments required to be made with respect to unassumed liabilities relating to the properties sold within ninety (90) days of such Disposition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to the extent such cash proceeds are not used to make payments in respect of such unassumed liabilities within ninety (90) days of such Disposition, such cash proceeds shall constitute Net Cash Proceeds); and (iv) the principal amount, premium or penalty, if any, interest and other amounts on any Indebtedness for borrowed money which is secured by a prior Lien on the properties sold in such Disposition (so long as such Lien was permitted to encumber such properties under the Loan Documents at the time of such sale) and which is repaid with such proceeds (other than any such Indebtedness assumed by the purchaser of such properties);</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    with respect to any Debt Issuance, Equity Issuance or any issuance or sale of Equity Interests by the Borrower or any of its Subsidiaries, the cash proceeds thereof, net of all customary fees, commissions, costs and other expenses (including reasonable broker’s fees or commissions, legal fees, accounting fees, investment banking fees and other professional fees, discounts and commissions) incurred in connection therewith; and</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(c)    with respect to any Casualty Event, the cash insurance proceeds, condemnation awards and other compensation received in respect thereof, net of (i) all reasonable costs and expenses incurred in connection with the enforcement and collection of such proceeds, awards or other compensation in respect of such Casualty Event and (ii) amounts previously paid by such Loan Party or Subsidiary to replace or repair the affected property.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Net Interest Expense</w:t>
      </w:r>
      <w:r>
        <w:rPr>
          <w:color w:val="000000"/>
        </w:rPr>
        <w:t xml:space="preserve">” </w:t>
      </w:r>
      <w:r>
        <w:rPr>
          <w:rFonts w:ascii="Times New Roman;sans-serif" w:hAnsi="Times New Roman;sans-serif"/>
          <w:b w:val="false"/>
          <w:color w:val="000000"/>
          <w:sz w:val="22"/>
        </w:rPr>
        <w:t>means, for the Borrower and its Subsidiaries for any period, (1) gross interest expense (including that attributable to Financing Lease Obligations) for such period paid or required to be paid in cash (including all commissions, discounts, fees and other charges in connection with letters of credit and similar instruments and net amounts paid or payable and/or received or receivable under permitted Swap Agreements in respect of interest rates) for the Borrower and its Subsidiaries on a consolidated basis, less (2) interest income for such period.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Non-Consenting Lender</w:t>
      </w:r>
      <w:r>
        <w:rPr>
          <w:color w:val="000000"/>
        </w:rPr>
        <w:t xml:space="preserve">” </w:t>
      </w:r>
      <w:r>
        <w:rPr>
          <w:rFonts w:ascii="Times New Roman;sans-serif" w:hAnsi="Times New Roman;sans-serif"/>
          <w:b w:val="false"/>
          <w:color w:val="000000"/>
          <w:sz w:val="22"/>
        </w:rPr>
        <w:t xml:space="preserve">means any Lender that does not approve any consent, waiver or amendment that (a) requires the approval of all or all affected Lenders in accordance with the terms of </w:t>
      </w:r>
      <w:r>
        <w:rPr>
          <w:rFonts w:ascii="Times New Roman;sans-serif" w:hAnsi="Times New Roman;sans-serif"/>
          <w:b w:val="false"/>
          <w:color w:val="000000"/>
          <w:sz w:val="22"/>
          <w:u w:val="single"/>
        </w:rPr>
        <w:t>Section 10.2</w:t>
      </w:r>
      <w:r>
        <w:rPr>
          <w:color w:val="000000"/>
        </w:rPr>
        <w:t xml:space="preserve"> </w:t>
      </w:r>
      <w:r>
        <w:rPr>
          <w:rFonts w:ascii="Times New Roman;sans-serif" w:hAnsi="Times New Roman;sans-serif"/>
          <w:b w:val="false"/>
          <w:color w:val="000000"/>
          <w:sz w:val="22"/>
        </w:rPr>
        <w:t>and (b) has been approved by the Required Lenders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Non-Loan Party Subsidiary</w:t>
      </w:r>
      <w:r>
        <w:rPr>
          <w:color w:val="000000"/>
        </w:rPr>
        <w:t xml:space="preserve">” </w:t>
      </w:r>
      <w:r>
        <w:rPr>
          <w:rFonts w:ascii="Times New Roman;sans-serif" w:hAnsi="Times New Roman;sans-serif"/>
          <w:b w:val="false"/>
          <w:color w:val="000000"/>
          <w:sz w:val="22"/>
        </w:rPr>
        <w:t xml:space="preserve">means any Subsidiary of the Borrower that is not a Loan Party. Notwithstanding the foregoing, from the Closing Date to but excluding the date on which the Irish Security Documents are originally entered into, each Irish Subsidiary shall be deemed to constitute a Non-Loan Party Subsidiary for purposes of </w:t>
      </w:r>
      <w:r>
        <w:rPr>
          <w:rFonts w:ascii="Times New Roman;sans-serif" w:hAnsi="Times New Roman;sans-serif"/>
          <w:b w:val="false"/>
          <w:color w:val="000000"/>
          <w:sz w:val="22"/>
          <w:u w:val="single"/>
        </w:rPr>
        <w:t>Article 7</w:t>
      </w:r>
      <w:r>
        <w:rPr>
          <w:color w:val="000000"/>
        </w:rPr>
        <w:t xml:space="preserve"> </w:t>
      </w:r>
      <w:r>
        <w:rPr>
          <w:rFonts w:ascii="Times New Roman;sans-serif" w:hAnsi="Times New Roman;sans-serif"/>
          <w:b w:val="false"/>
          <w:color w:val="000000"/>
          <w:sz w:val="22"/>
        </w:rPr>
        <w:t>and any component definitions used therein.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Note</w:t>
      </w:r>
      <w:r>
        <w:rPr>
          <w:color w:val="000000"/>
        </w:rPr>
        <w:t xml:space="preserve">” </w:t>
      </w:r>
      <w:r>
        <w:rPr>
          <w:rFonts w:ascii="Times New Roman;sans-serif" w:hAnsi="Times New Roman;sans-serif"/>
          <w:b w:val="false"/>
          <w:color w:val="000000"/>
          <w:sz w:val="22"/>
        </w:rPr>
        <w:t xml:space="preserve">means, with respect to a Lender, a promissory note evidencing the Loans of such Lender payable to such Lender or its registered assigns substantially in the form of </w:t>
      </w:r>
      <w:r>
        <w:rPr>
          <w:rFonts w:ascii="Times New Roman;sans-serif" w:hAnsi="Times New Roman;sans-serif"/>
          <w:b w:val="false"/>
          <w:color w:val="000000"/>
          <w:sz w:val="22"/>
          <w:u w:val="single"/>
        </w:rPr>
        <w:t>Exhibit C</w:t>
      </w:r>
      <w:r>
        <w:rPr>
          <w:rFonts w:ascii="Times New Roman;sans-serif" w:hAnsi="Times New Roman;sans-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6"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31</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OFAC</w:t>
      </w:r>
      <w:r>
        <w:rPr>
          <w:color w:val="000000"/>
        </w:rPr>
        <w:t xml:space="preserve">” </w:t>
      </w:r>
      <w:r>
        <w:rPr>
          <w:rFonts w:ascii="Times New Roman;sans-serif" w:hAnsi="Times New Roman;sans-serif"/>
          <w:b w:val="false"/>
          <w:color w:val="000000"/>
          <w:sz w:val="22"/>
        </w:rPr>
        <w:t>means the U.S. Department of the Treasury’s Office of Foreign Assets Control, and any successor thereto.</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Organizational Documents</w:t>
      </w:r>
      <w:r>
        <w:rPr>
          <w:color w:val="000000"/>
        </w:rPr>
        <w:t xml:space="preserve">” </w:t>
      </w:r>
      <w:r>
        <w:rPr>
          <w:rFonts w:ascii="Times New Roman;sans-serif" w:hAnsi="Times New Roman;sans-serif"/>
          <w:b w:val="false"/>
          <w:color w:val="000000"/>
          <w:sz w:val="22"/>
        </w:rPr>
        <w:t>means, (a) with respect to any corporation, the certificate or articles of incorporation and the bylaws (or equivalent or comparable constitutive documents with respect to any non-United States jurisdiction), (b) with respect to any limited liability company, the certificate or articles of formation or organization and operating or limited liability company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Other Connection Taxes</w:t>
      </w:r>
      <w:r>
        <w:rPr>
          <w:color w:val="000000"/>
        </w:rPr>
        <w:t xml:space="preserve">” </w:t>
      </w:r>
      <w:r>
        <w:rPr>
          <w:rFonts w:ascii="Times New Roman;sans-serif" w:hAnsi="Times New Roman;sans-serif"/>
          <w:b w:val="false"/>
          <w:color w:val="000000"/>
          <w:sz w:val="22"/>
        </w:rPr>
        <w:t>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Other Taxes</w:t>
      </w:r>
      <w:r>
        <w:rPr>
          <w:color w:val="000000"/>
        </w:rPr>
        <w:t xml:space="preserve">” </w:t>
      </w:r>
      <w:r>
        <w:rPr>
          <w:rFonts w:ascii="Times New Roman;sans-serif" w:hAnsi="Times New Roman;sans-serif"/>
          <w:b w:val="false"/>
          <w:color w:val="000000"/>
          <w:sz w:val="22"/>
        </w:rPr>
        <w:t xml:space="preserve">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sans-serif" w:hAnsi="Times New Roman;sans-serif"/>
          <w:b w:val="false"/>
          <w:color w:val="000000"/>
          <w:sz w:val="22"/>
          <w:u w:val="single"/>
        </w:rPr>
        <w:t>Section 3.7(b)</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Outstanding Amount</w:t>
      </w:r>
      <w:r>
        <w:rPr>
          <w:color w:val="000000"/>
        </w:rPr>
        <w:t xml:space="preserve">” </w:t>
      </w:r>
      <w:r>
        <w:rPr>
          <w:rFonts w:ascii="Times New Roman;sans-serif" w:hAnsi="Times New Roman;sans-serif"/>
          <w:b w:val="false"/>
          <w:color w:val="000000"/>
          <w:sz w:val="22"/>
        </w:rPr>
        <w:t>means, with respect to Loans on any date, the aggregate outstanding principal amount thereof after giving effect to any borrowings and prepayments or repayments of Loans occurring on or prior to such date.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Participant</w:t>
      </w:r>
      <w:r>
        <w:rPr>
          <w:color w:val="000000"/>
        </w:rPr>
        <w:t xml:space="preserve">” </w:t>
      </w:r>
      <w:r>
        <w:rPr>
          <w:rFonts w:ascii="Times New Roman;sans-serif" w:hAnsi="Times New Roman;sans-serif"/>
          <w:b w:val="false"/>
          <w:color w:val="000000"/>
          <w:sz w:val="22"/>
        </w:rPr>
        <w:t xml:space="preserve">has the meaning assigned to such term in </w:t>
      </w:r>
      <w:r>
        <w:rPr>
          <w:rFonts w:ascii="Times New Roman;sans-serif" w:hAnsi="Times New Roman;sans-serif"/>
          <w:b w:val="false"/>
          <w:color w:val="000000"/>
          <w:sz w:val="22"/>
          <w:u w:val="single"/>
        </w:rPr>
        <w:t>Section 10.4(d)</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Participant Register</w:t>
      </w:r>
      <w:r>
        <w:rPr>
          <w:color w:val="000000"/>
        </w:rPr>
        <w:t xml:space="preserve">” </w:t>
      </w:r>
      <w:r>
        <w:rPr>
          <w:rFonts w:ascii="Times New Roman;sans-serif" w:hAnsi="Times New Roman;sans-serif"/>
          <w:b w:val="false"/>
          <w:color w:val="000000"/>
          <w:sz w:val="22"/>
        </w:rPr>
        <w:t xml:space="preserve">has the meaning assigned to such term in </w:t>
      </w:r>
      <w:r>
        <w:rPr>
          <w:rFonts w:ascii="Times New Roman;sans-serif" w:hAnsi="Times New Roman;sans-serif"/>
          <w:b w:val="false"/>
          <w:color w:val="000000"/>
          <w:sz w:val="22"/>
          <w:u w:val="single"/>
        </w:rPr>
        <w:t>Section 10.4(d)</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Patent Security Agreement</w:t>
      </w:r>
      <w:r>
        <w:rPr>
          <w:color w:val="000000"/>
        </w:rPr>
        <w:t xml:space="preserve">” </w:t>
      </w:r>
      <w:r>
        <w:rPr>
          <w:rFonts w:ascii="Times New Roman;sans-serif" w:hAnsi="Times New Roman;sans-serif"/>
          <w:b w:val="false"/>
          <w:color w:val="000000"/>
          <w:sz w:val="22"/>
        </w:rPr>
        <w:t>has the meaning set forth in the Security Agreement.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Payment Recipient</w:t>
      </w:r>
      <w:r>
        <w:rPr>
          <w:color w:val="000000"/>
        </w:rPr>
        <w:t xml:space="preserve">” </w:t>
      </w:r>
      <w:r>
        <w:rPr>
          <w:rFonts w:ascii="Times New Roman;sans-serif" w:hAnsi="Times New Roman;sans-serif"/>
          <w:b w:val="false"/>
          <w:color w:val="000000"/>
          <w:sz w:val="22"/>
        </w:rPr>
        <w:t xml:space="preserve">has the meaning provided in </w:t>
      </w:r>
      <w:r>
        <w:rPr>
          <w:rFonts w:ascii="Times New Roman;sans-serif" w:hAnsi="Times New Roman;sans-serif"/>
          <w:b w:val="false"/>
          <w:color w:val="000000"/>
          <w:sz w:val="22"/>
          <w:u w:val="single"/>
        </w:rPr>
        <w:t>Section 9.11(a)</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PBGC</w:t>
      </w:r>
      <w:r>
        <w:rPr>
          <w:color w:val="000000"/>
        </w:rPr>
        <w:t xml:space="preserve">” </w:t>
      </w:r>
      <w:r>
        <w:rPr>
          <w:rFonts w:ascii="Times New Roman;sans-serif" w:hAnsi="Times New Roman;sans-serif"/>
          <w:b w:val="false"/>
          <w:color w:val="000000"/>
          <w:sz w:val="22"/>
        </w:rPr>
        <w:t>means the Pension Benefit Guaranty Corporation referred to and defined in ERISA.</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Pension Plan</w:t>
      </w:r>
      <w:r>
        <w:rPr>
          <w:color w:val="000000"/>
        </w:rPr>
        <w:t xml:space="preserve">” </w:t>
      </w:r>
      <w:r>
        <w:rPr>
          <w:rFonts w:ascii="Times New Roman;sans-serif" w:hAnsi="Times New Roman;sans-serif"/>
          <w:b w:val="false"/>
          <w:color w:val="000000"/>
          <w:sz w:val="22"/>
        </w:rPr>
        <w:t>means any employee pension benefit plan (other than a Multiemployer Plan) subject to the provisions of Title IV of ERISA or Section 412 or Section 430 of the Code or Section 302 or Section 303 of ERISA, and in respect of which any Loan Party or any ERISA Affiliate is (or, if such plan were terminated, would under Section 4069 of ERISA be deemed to be) an “employer” as defined in Section 3(5) of ERISA.</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Perfection Certificate</w:t>
      </w:r>
      <w:r>
        <w:rPr>
          <w:color w:val="000000"/>
        </w:rPr>
        <w:t xml:space="preserve">” </w:t>
      </w:r>
      <w:r>
        <w:rPr>
          <w:rFonts w:ascii="Times New Roman;sans-serif" w:hAnsi="Times New Roman;sans-serif"/>
          <w:b w:val="false"/>
          <w:color w:val="000000"/>
          <w:sz w:val="22"/>
        </w:rPr>
        <w:t>means a perfection certificate in a form reasonably acceptable to the Administrative Agent.</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32</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Periodic Term SOFR Determination Day</w:t>
      </w:r>
      <w:r>
        <w:rPr>
          <w:color w:val="000000"/>
        </w:rPr>
        <w:t xml:space="preserve">” </w:t>
      </w:r>
      <w:r>
        <w:rPr>
          <w:rFonts w:ascii="Times New Roman;sans-serif" w:hAnsi="Times New Roman;sans-serif"/>
          <w:b w:val="false"/>
          <w:color w:val="000000"/>
          <w:sz w:val="22"/>
        </w:rPr>
        <w:t>has the meaning specified in the definition of “Term SOFR.”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Permitted Acquisitions</w:t>
      </w:r>
      <w:r>
        <w:rPr>
          <w:color w:val="000000"/>
        </w:rPr>
        <w:t xml:space="preserve">” </w:t>
      </w:r>
      <w:r>
        <w:rPr>
          <w:rFonts w:ascii="Times New Roman;sans-serif" w:hAnsi="Times New Roman;sans-serif"/>
          <w:b w:val="false"/>
          <w:color w:val="000000"/>
          <w:sz w:val="22"/>
        </w:rPr>
        <w:t>means, collectively, each Acquisition which satisfies each of the following conditions: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at the time of and immediately before and after giving pro forma effect thereto, no Default or Event of Default shall have occurred and be continuing;</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such Acquisition shall be consensual and, if applicable, has been approved by the Acquisition Target’s board of directors (or comparable governing body);</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the Person, assets or business unit acquired in the Acquisition shall be engaged in an Approved Line of Business;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such Acquisition and all transactions related thereto shall be consummated in accordance with material laws, ordinances, rules, regulations and requirements of all Governmental Authorities;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rPr>
        <w:t xml:space="preserve">all actions, if any, required to be taken with respect to such newly created or acquired Subsidiary (including each Subsidiary thereof) or assets in order to satisfy the requirements set forth in the definition of the term “Collateral and Guarantee Requirement” to the extent applicable shall be taken (or arrangements for the taking of such actions reasonably satisfactory to the Administrative Agent shall have been made) within the time frames set forth in </w:t>
      </w:r>
      <w:r>
        <w:rPr>
          <w:rFonts w:ascii="Times New Roman;sans-serif" w:hAnsi="Times New Roman;sans-serif"/>
          <w:b w:val="false"/>
          <w:color w:val="000000"/>
          <w:sz w:val="22"/>
          <w:u w:val="single"/>
        </w:rPr>
        <w:t>Section 6.12</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rPr>
        <w:t xml:space="preserve">to the extent required by the Collateral and Guarantee Requirement, (i) the property, assets, businesses and Equity Interests acquired in such Acquisition shall become Collateral and (ii) any newly created or acquired Subsidiary (other than an Excluded Subsidiary) shall become a Subsidiary Guarantor, in each case in accordance with </w:t>
      </w:r>
      <w:r>
        <w:rPr>
          <w:rFonts w:ascii="Times New Roman;sans-serif" w:hAnsi="Times New Roman;sans-serif"/>
          <w:b w:val="false"/>
          <w:color w:val="000000"/>
          <w:sz w:val="22"/>
          <w:u w:val="single"/>
        </w:rPr>
        <w:t>Section 6.12</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(g)</w:t>
      </w:r>
      <w:r>
        <w:rPr>
          <w:rFonts w:ascii="Times New Roman;sans-serif" w:hAnsi="Times New Roman;sans-serif"/>
          <w:b w:val="false"/>
          <w:color w:val="000000"/>
          <w:sz w:val="22"/>
        </w:rPr>
        <w:t xml:space="preserve">the aggregate cash consideration (excluding any amounts paid for with concurrently received equity contributions from any direct or indirect equity holder of the Borrower, to the extent not otherwise applied to increase capacity under any other provision set forth in this Credit Agreement) paid by any Loan Party or any of its Subsidiaries in connection with all such Acquisitions shall not exceed $10,000,000 in the aggregate per Fiscal Year or $30,000,000 in the aggregate during the term of the Credit Facility;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aggregate cash consideration for Acquisitions of (i) Persons that do not become Guarantors as required pursuant to the “Collateral and Guarantee Requirement” or (ii) assets that are not made part of the Collateral as required pursuant to the Collateral and Guarantee Requirement that are acquired by the Borrower or a Subsidiary, in each case, will be limited in an aggregate amount not to exceed $5,000,000;</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(h)</w:t>
      </w:r>
      <w:r>
        <w:rPr>
          <w:rFonts w:ascii="Times New Roman;sans-serif" w:hAnsi="Times New Roman;sans-serif"/>
          <w:b w:val="false"/>
          <w:color w:val="000000"/>
          <w:sz w:val="22"/>
        </w:rPr>
        <w:t xml:space="preserve">after giving Pro Forma Effect to such Acquisition, the Consolidated Secured Leverage Ratio (calculated without netting the Net Cash Proceeds thereof incurred on such date against the aggregate Indebtedness outstanding on such date (but any paydown of Indebtedness shall be given Pro Forma Effect) shall not be greater than 1.80 to 1.00, for the most recently ended Fiscal Quarter (or Fiscal Year) for which financial statements were required to be delivered pursuant to </w:t>
      </w:r>
      <w:r>
        <w:rPr>
          <w:rFonts w:ascii="Times New Roman;sans-serif" w:hAnsi="Times New Roman;sans-serif"/>
          <w:b w:val="false"/>
          <w:color w:val="000000"/>
          <w:sz w:val="22"/>
          <w:u w:val="single"/>
        </w:rPr>
        <w:t>Section 6.1(a)</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6.1(b)</w:t>
      </w:r>
      <w:r>
        <w:rPr>
          <w:rFonts w:ascii="Times New Roman;sans-serif" w:hAnsi="Times New Roman;sans-serif"/>
          <w:b w:val="false"/>
          <w:color w:val="000000"/>
          <w:sz w:val="22"/>
        </w:rPr>
        <w:t>, as applicable;</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(i)</w:t>
      </w:r>
      <w:r>
        <w:rPr>
          <w:rFonts w:ascii="Times New Roman;sans-serif" w:hAnsi="Times New Roman;sans-serif"/>
          <w:b w:val="false"/>
          <w:color w:val="000000"/>
          <w:sz w:val="22"/>
        </w:rPr>
        <w:t xml:space="preserve">not later than ten Business Days (or such shorter period as may be reasonably practicable, if approved by the Administrative Agent) prior to the consummation of any such Acquisition </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33</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that is not funded solely with concurrently received equity contributions, except with respect to an Acquisition in which the cash acquisition consideration is less than $5,000,000, the Borrower shall have delivered to the Administrative Agent (i) a description of the proposed Acquisition, (ii) to the extent available, historical financial statements of the applicable Target for the three fiscal years prior to such Acquisition (or, if such Target has not been in existence for three years, for each year such Target has existed), (iii) pro forma financial information and projections (after giving effect to such Acquisition) for the Borrower and its Subsidiaries for the current and next two Fiscal Years or through the remaining term of this Credit Agreement and (iv) to the extent obtained and available, a quality of earnings report from a nationally or regionally recognized accounting firm;</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(j)</w:t>
      </w:r>
      <w:r>
        <w:rPr>
          <w:rFonts w:ascii="Times New Roman;sans-serif" w:hAnsi="Times New Roman;sans-serif"/>
          <w:b w:val="false"/>
          <w:color w:val="000000"/>
          <w:sz w:val="22"/>
        </w:rPr>
        <w:t xml:space="preserve">to the extent the cash purchase price of any such Acquisition is not funded solely with concurrently received equity contributions, the Borrower shall have delivered to the Administrative Agent within five Business Days after the Acquisition, fully executed copies of the acquisition agreement for such Acquisition together with all schedules and exhibits thereto, and, to the extent required to be obtained under the terms of the acquisition agreements for such Acquisition, the applicable party under such acquisition agreements shall have received all required regulatory and third party approvals;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(k)</w:t>
      </w:r>
      <w:r>
        <w:rPr>
          <w:rFonts w:ascii="Times New Roman;sans-serif" w:hAnsi="Times New Roman;sans-serif"/>
          <w:b w:val="false"/>
          <w:color w:val="000000"/>
          <w:sz w:val="22"/>
        </w:rPr>
        <w:t>Liquidity shall be least $5,000,000</w:t>
      </w:r>
      <w:r>
        <w:rPr>
          <w:color w:val="000000"/>
        </w:rPr>
        <w:t xml:space="preserve"> </w:t>
      </w:r>
      <w:r>
        <w:rPr>
          <w:rFonts w:ascii="Times New Roman;sans-serif" w:hAnsi="Times New Roman;sans-serif"/>
          <w:b w:val="false"/>
          <w:color w:val="000000"/>
          <w:sz w:val="22"/>
        </w:rPr>
        <w:t xml:space="preserve">after giving Pro Forma Effect to the Acquisition;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(l)</w:t>
      </w:r>
      <w:r>
        <w:rPr>
          <w:rFonts w:ascii="Times New Roman;sans-serif" w:hAnsi="Times New Roman;sans-serif"/>
          <w:b w:val="false"/>
          <w:color w:val="000000"/>
          <w:sz w:val="22"/>
        </w:rPr>
        <w:t>the Target shall have Pro Forma Acquisition EBITDA, subject to pro forma adjustments that are reasonably identifiable, factually supportable, projected by the Borrower in good faith and set forth in a quality of earnings report or other third-party advisor report, in each case, from a nationally or regionally recognized accounting firm, for the most recent twelve (12) month period ended prior to the Acquisition date for which financial statements are available to Borrower, greater than zero ($0); and</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(m)</w:t>
      </w:r>
      <w:r>
        <w:rPr>
          <w:rFonts w:ascii="Times New Roman;sans-serif" w:hAnsi="Times New Roman;sans-serif"/>
          <w:b w:val="false"/>
          <w:color w:val="000000"/>
          <w:sz w:val="22"/>
        </w:rPr>
        <w:t>the Administrative Agent shall have received a certificate of a Responsible Officer of the Borrower certifying to the satisfaction of the conditions to such Permitted Acquisition set forth above.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Permitted Encumbrances</w:t>
      </w:r>
      <w:r>
        <w:rPr>
          <w:color w:val="000000"/>
        </w:rPr>
        <w:t xml:space="preserve">” </w:t>
      </w:r>
      <w:r>
        <w:rPr>
          <w:rFonts w:ascii="Times New Roman;sans-serif" w:hAnsi="Times New Roman;sans-serif"/>
          <w:b w:val="false"/>
          <w:color w:val="000000"/>
          <w:sz w:val="22"/>
        </w:rPr>
        <w:t>means: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Liens imposed by law for Taxes that are not yet due or are being Contested in Good Faith;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enforcement of such Liens is stayed pending such contest;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landlords’, vendors’, carriers’, warehousemen’s, mechanics’, materialmen’s, repairmen’s and other like Liens imposed by law, arising in the ordinary course of business and securing obligations that are not overdue by more than 60 days or are being Contested in Good Faith;</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pledges and deposits made in the ordinary course of business in compliance with workers’ compensation, unemployment insurance and other social security laws or regulations;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deposits to secure the performance of bids, trade contracts (other than contracts for the payment of money), leases (other than Financing Lease Obligations), statutory obligations, surety and appeal bonds, performance bonds and other obligations of a like nature, in each case incurred in the ordinary course of business;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rPr>
        <w:t xml:space="preserve">judgment liens in respect of judgments that do not constitute an Event of Default under </w:t>
      </w:r>
      <w:r>
        <w:rPr>
          <w:rFonts w:ascii="Times New Roman;sans-serif" w:hAnsi="Times New Roman;sans-serif"/>
          <w:b w:val="false"/>
          <w:color w:val="000000"/>
          <w:sz w:val="22"/>
          <w:u w:val="single"/>
        </w:rPr>
        <w:t>Section 8.1(k)</w:t>
      </w:r>
      <w:r>
        <w:rPr>
          <w:rFonts w:ascii="Times New Roman;sans-serif" w:hAnsi="Times New Roman;sans-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34</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rPr>
        <w:t>easements, zoning restrictions, rights of way and similar encumbrances on real property imposed by law or arising in the ordinary course of business that do not secure any monetary obligation and do not materially detract from the value of the affected property or interfere with the ordinary conduct of business of the Loan Parties and their respective Subsidiaries;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(g)</w:t>
      </w:r>
      <w:r>
        <w:rPr>
          <w:rFonts w:ascii="Times New Roman;sans-serif" w:hAnsi="Times New Roman;sans-serif"/>
          <w:b w:val="false"/>
          <w:color w:val="000000"/>
          <w:sz w:val="22"/>
        </w:rPr>
        <w:t xml:space="preserve">any interest or title of a licensor, sublicensor, lessor or sublessor with respect to any assets under any license or lease agreement entered into in the ordinary course of business;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same do not in any material respect interfere with the business of the Loan Parties or their Subsidiaries or materially detract from the value of the relevant assets of the Loan Parties or its Subsidiaries;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(h)</w:t>
      </w:r>
      <w:r>
        <w:rPr>
          <w:rFonts w:ascii="Times New Roman;sans-serif" w:hAnsi="Times New Roman;sans-serif"/>
          <w:b w:val="false"/>
          <w:color w:val="000000"/>
          <w:sz w:val="22"/>
        </w:rPr>
        <w:t xml:space="preserve">licenses, sublicenses, leases or subleases with respect to any assets granted to third Persons in the ordinary course of business;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same do not in any material respect interfere with the business of the Loan Parties or their Subsidiaries or materially detract from the value of the relevant assets of the Loan Parties or their Subsidiaries;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(i)</w:t>
      </w:r>
      <w:r>
        <w:rPr>
          <w:rFonts w:ascii="Times New Roman;sans-serif" w:hAnsi="Times New Roman;sans-serif"/>
          <w:b w:val="false"/>
          <w:color w:val="000000"/>
          <w:sz w:val="22"/>
        </w:rPr>
        <w:t>customary rights of set off, bankers’ liens, refunds or charge backs, under deposit agreements, the Uniform Commercial Code or common law, of banks or other financial institutions where any Loan Party or any of such Loan Party’s Subsidiaries maintains deposits (other than deposits intended as cash collateral) in the ordinary course of business;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(j)</w:t>
      </w:r>
      <w:r>
        <w:rPr>
          <w:rFonts w:ascii="Times New Roman;sans-serif" w:hAnsi="Times New Roman;sans-serif"/>
          <w:b w:val="false"/>
          <w:color w:val="000000"/>
          <w:sz w:val="22"/>
        </w:rPr>
        <w:t>Liens on Margin Stock to the extent that a prohibition on such Liens would violate Regulation U;</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(k)</w:t>
      </w:r>
      <w:r>
        <w:rPr>
          <w:rFonts w:ascii="Times New Roman;sans-serif" w:hAnsi="Times New Roman;sans-serif"/>
          <w:b w:val="false"/>
          <w:color w:val="000000"/>
          <w:sz w:val="22"/>
        </w:rPr>
        <w:t>Liens (i) on earnest money deposits made in cash by the Borrower or any of its Subsidiaries in connection with any letter of intent or purchase agreement in connection with a Permitted Acquisition or other Investment permitted under this Credit Agreement or (ii) on amounts deposited as “security deposits” (or their equivalent) in the ordinary course of business in connection with actions or transactions not prohibited by this Credit Agreement;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(l)</w:t>
      </w:r>
      <w:r>
        <w:rPr>
          <w:rFonts w:ascii="Times New Roman;sans-serif" w:hAnsi="Times New Roman;sans-serif"/>
          <w:b w:val="false"/>
          <w:color w:val="000000"/>
          <w:sz w:val="22"/>
        </w:rPr>
        <w:t>Liens in favor of customs and revenue authorities arising in the ordinary course of business as a matter of law to secure payment of customs duties in connection with the importation of goods;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(m)</w:t>
      </w:r>
      <w:r>
        <w:rPr>
          <w:rFonts w:ascii="Times New Roman;sans-serif" w:hAnsi="Times New Roman;sans-serif"/>
          <w:b w:val="false"/>
          <w:color w:val="000000"/>
          <w:sz w:val="22"/>
        </w:rPr>
        <w:t>Liens resulting from the filing of precautionary UCC-1 financing statements (or equivalent) with respect to operating leases;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(n)</w:t>
      </w:r>
      <w:r>
        <w:rPr>
          <w:rFonts w:ascii="Times New Roman;sans-serif" w:hAnsi="Times New Roman;sans-serif"/>
          <w:b w:val="false"/>
          <w:color w:val="000000"/>
          <w:sz w:val="22"/>
        </w:rPr>
        <w:t xml:space="preserve">Liens arising out of conditional sale, title retention, consignment or similar arrangements for the sale of goods entered into by any Loan Party or any of its Subsidiaries in the ordinary course of business;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(o)</w:t>
      </w:r>
      <w:r>
        <w:rPr>
          <w:rFonts w:ascii="Times New Roman;sans-serif" w:hAnsi="Times New Roman;sans-serif"/>
          <w:b w:val="false"/>
          <w:color w:val="000000"/>
          <w:sz w:val="22"/>
        </w:rPr>
        <w:t>Liens incurred in the ordinary course of business imposed by law in connection with the purchase or shipping of goods or assets (or the related assets and proceeds thereof), which Liens are in favor of the seller or shipper of such goods or assets and only attach to such goods or assets; and</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(p)</w:t>
      </w:r>
      <w:r>
        <w:rPr>
          <w:rFonts w:ascii="Times New Roman;sans-serif" w:hAnsi="Times New Roman;sans-serif"/>
          <w:b w:val="false"/>
          <w:color w:val="000000"/>
          <w:sz w:val="22"/>
        </w:rPr>
        <w:t xml:space="preserve">Liens pursuant to insurance premium financing arrangements permitted pursuant to </w:t>
      </w:r>
      <w:r>
        <w:rPr>
          <w:rFonts w:ascii="Times New Roman;sans-serif" w:hAnsi="Times New Roman;sans-serif"/>
          <w:b w:val="false"/>
          <w:color w:val="000000"/>
          <w:sz w:val="22"/>
          <w:u w:val="single"/>
        </w:rPr>
        <w:t>Section 7.1(a)(xvi)</w:t>
      </w:r>
      <w:r>
        <w:rPr>
          <w:color w:val="000000"/>
        </w:rPr>
        <w:t xml:space="preserve"> </w:t>
      </w:r>
      <w:r>
        <w:rPr>
          <w:rFonts w:ascii="Times New Roman;sans-serif" w:hAnsi="Times New Roman;sans-serif"/>
          <w:b w:val="false"/>
          <w:color w:val="000000"/>
          <w:sz w:val="22"/>
        </w:rPr>
        <w:t>securing insurance proceeds solely to the extent of such premiums;</w:t>
      </w:r>
    </w:p>
    <w:p>
      <w:pPr>
        <w:pStyle w:val="TextBody"/>
        <w:bidi w:val="0"/>
        <w:spacing w:lineRule="auto" w:line="288" w:before="0" w:after="240"/>
        <w:jc w:val="both"/>
        <w:rPr/>
      </w:pP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term “Permitted Encumbrance” shall not include any Lien securing Indebtedness.</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35</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Person</w:t>
      </w:r>
      <w:r>
        <w:rPr>
          <w:color w:val="000000"/>
        </w:rPr>
        <w:t xml:space="preserve">” </w:t>
      </w:r>
      <w:r>
        <w:rPr>
          <w:rFonts w:ascii="Times New Roman;sans-serif" w:hAnsi="Times New Roman;sans-serif"/>
          <w:b w:val="false"/>
          <w:color w:val="000000"/>
          <w:sz w:val="22"/>
        </w:rPr>
        <w:t>means any natural person, corporation, limited liability company, trust, joint venture, association, company, partnership, Governmental Authority or other entity.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Platform</w:t>
      </w:r>
      <w:r>
        <w:rPr>
          <w:color w:val="000000"/>
        </w:rPr>
        <w:t xml:space="preserve">” </w:t>
      </w:r>
      <w:r>
        <w:rPr>
          <w:rFonts w:ascii="Times New Roman;sans-serif" w:hAnsi="Times New Roman;sans-serif"/>
          <w:b w:val="false"/>
          <w:color w:val="000000"/>
          <w:sz w:val="22"/>
        </w:rPr>
        <w:t>means DebtX, Debt Domain, Intralinks, Syndtrak or a substantially similar electronic transmission system.</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Prepayment Premium</w:t>
      </w:r>
      <w:r>
        <w:rPr>
          <w:color w:val="000000"/>
        </w:rPr>
        <w:t xml:space="preserve">” </w:t>
      </w:r>
      <w:r>
        <w:rPr>
          <w:rFonts w:ascii="Times New Roman;sans-serif" w:hAnsi="Times New Roman;sans-serif"/>
          <w:b w:val="false"/>
          <w:color w:val="000000"/>
          <w:sz w:val="22"/>
        </w:rPr>
        <w:t>shall mean, with respect to any Prepayment Premium Event: (a) if such Prepayment Premium Event occurs on or prior to the first anniversary of the Closing Date, the Make-Whole Premium with respect to the Loans prepaid, accelerated or assigned in connection with such Prepayment Premium Event; (b) if such Prepayment Premium Event occurs after the first anniversary of the Closing Date but on or prior to the second anniversary of the Closing Date, 2.00% of the aggregate principal amount of the Loans prepaid, accelerated or assigned in connection with such Prepayment Premium Event; (c) if such prepayment is made after the second anniversary of the Closing Date but on or prior to the third anniversary of the Closing Date, 1.00% of the aggregate principal amount of the Loans prepaid, accelerated or assigned in connection with such Prepayment Premium Event; and (d) if such Prepayment Premium Event occurs after the third anniversary of the Closing Date, 0.00% of the aggregate principal amount of the Loans prepaid, accelerated or assigned in connection with such Prepayment Premium Event.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Prepayment Premium Event</w:t>
      </w:r>
      <w:r>
        <w:rPr>
          <w:color w:val="000000"/>
        </w:rPr>
        <w:t xml:space="preserve">” </w:t>
      </w:r>
      <w:r>
        <w:rPr>
          <w:rFonts w:ascii="Times New Roman;sans-serif" w:hAnsi="Times New Roman;sans-serif"/>
          <w:b w:val="false"/>
          <w:color w:val="000000"/>
          <w:sz w:val="22"/>
        </w:rPr>
        <w:t xml:space="preserve">means (a) any voluntary prepayment made by or on behalf of the Borrower of all or any portion of the outstanding principal balance of the Loans, including, without limitation, any prepayment pursuant to </w:t>
      </w:r>
      <w:r>
        <w:rPr>
          <w:rFonts w:ascii="Times New Roman;sans-serif" w:hAnsi="Times New Roman;sans-serif"/>
          <w:b w:val="false"/>
          <w:color w:val="000000"/>
          <w:sz w:val="22"/>
          <w:u w:val="single"/>
        </w:rPr>
        <w:t>Section 2.7(a)</w:t>
      </w:r>
      <w:r>
        <w:rPr>
          <w:rFonts w:ascii="Times New Roman;sans-serif" w:hAnsi="Times New Roman;sans-serif"/>
          <w:b w:val="false"/>
          <w:color w:val="000000"/>
          <w:sz w:val="22"/>
        </w:rPr>
        <w:t xml:space="preserve">, (b) any mandatory prepayment made or required to be made by or on behalf of Borrower of all or a portion of the outstanding principal balance of the Loans pursuant to </w:t>
      </w:r>
      <w:r>
        <w:rPr>
          <w:rFonts w:ascii="Times New Roman;sans-serif" w:hAnsi="Times New Roman;sans-serif"/>
          <w:b w:val="false"/>
          <w:color w:val="000000"/>
          <w:sz w:val="22"/>
          <w:u w:val="single"/>
        </w:rPr>
        <w:t>Section 2.7(c)</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(e)</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(h)</w:t>
      </w:r>
      <w:r>
        <w:rPr>
          <w:rFonts w:ascii="Times New Roman;sans-serif" w:hAnsi="Times New Roman;sans-serif"/>
          <w:b w:val="false"/>
          <w:color w:val="000000"/>
          <w:sz w:val="22"/>
        </w:rPr>
        <w:t xml:space="preserve">, (c) the acceleration, with or without notice, of all or any portion of the Loan Document Obligations pursuant to </w:t>
      </w:r>
      <w:r>
        <w:rPr>
          <w:rFonts w:ascii="Times New Roman;sans-serif" w:hAnsi="Times New Roman;sans-serif"/>
          <w:b w:val="false"/>
          <w:color w:val="000000"/>
          <w:sz w:val="22"/>
          <w:u w:val="single"/>
        </w:rPr>
        <w:t>Section 8.2</w:t>
      </w:r>
      <w:r>
        <w:rPr>
          <w:color w:val="000000"/>
        </w:rPr>
        <w:t xml:space="preserve"> </w:t>
      </w:r>
      <w:r>
        <w:rPr>
          <w:rFonts w:ascii="Times New Roman;sans-serif" w:hAnsi="Times New Roman;sans-serif"/>
          <w:b w:val="false"/>
          <w:color w:val="000000"/>
          <w:sz w:val="22"/>
        </w:rPr>
        <w:t xml:space="preserve">in connection with an Event of Default described in </w:t>
      </w:r>
      <w:r>
        <w:rPr>
          <w:rFonts w:ascii="Times New Roman;sans-serif" w:hAnsi="Times New Roman;sans-serif"/>
          <w:b w:val="false"/>
          <w:color w:val="000000"/>
          <w:sz w:val="22"/>
          <w:u w:val="single"/>
        </w:rPr>
        <w:t>Section 8.1</w:t>
      </w:r>
      <w:r>
        <w:rPr>
          <w:color w:val="000000"/>
        </w:rPr>
        <w:t xml:space="preserve"> </w:t>
      </w:r>
      <w:r>
        <w:rPr>
          <w:rFonts w:ascii="Times New Roman;sans-serif" w:hAnsi="Times New Roman;sans-serif"/>
          <w:b w:val="false"/>
          <w:color w:val="000000"/>
          <w:sz w:val="22"/>
        </w:rPr>
        <w:t xml:space="preserve">(including, for the avoidance of doubt, as a result of the commencement of any bankruptcy or insolvency proceeding), or otherwise in accordance with applicable law or (d) any replacement of a Non-Consenting Lender pursuant to </w:t>
      </w:r>
      <w:r>
        <w:rPr>
          <w:rFonts w:ascii="Times New Roman;sans-serif" w:hAnsi="Times New Roman;sans-serif"/>
          <w:b w:val="false"/>
          <w:color w:val="000000"/>
          <w:sz w:val="22"/>
          <w:u w:val="single"/>
        </w:rPr>
        <w:t>Section 3.7(b)</w:t>
      </w:r>
      <w:r>
        <w:rPr>
          <w:rFonts w:ascii="Times New Roman;sans-serif" w:hAnsi="Times New Roman;sans-serif"/>
          <w:b w:val="false"/>
          <w:color w:val="000000"/>
          <w:sz w:val="22"/>
        </w:rPr>
        <w:t>.</w:t>
      </w:r>
      <w:r>
        <w:rPr>
          <w:color w:val="000000"/>
        </w:rPr>
        <w:t xml:space="preserve">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Prime Rate</w:t>
      </w:r>
      <w:r>
        <w:rPr>
          <w:color w:val="000000"/>
        </w:rPr>
        <w:t xml:space="preserve">” </w:t>
      </w:r>
      <w:r>
        <w:rPr>
          <w:rFonts w:ascii="Times New Roman;sans-serif" w:hAnsi="Times New Roman;sans-serif"/>
          <w:b w:val="false"/>
          <w:color w:val="000000"/>
          <w:sz w:val="22"/>
        </w:rPr>
        <w:t xml:space="preserve">means the rate of interest last quoted by </w:t>
      </w:r>
      <w:r>
        <w:rPr>
          <w:rFonts w:ascii="Times New Roman;sans-serif" w:hAnsi="Times New Roman;sans-serif"/>
          <w:b w:val="false"/>
          <w:i/>
          <w:color w:val="000000"/>
          <w:sz w:val="22"/>
        </w:rPr>
        <w:t>The Wall Street Journal</w:t>
      </w:r>
      <w:r>
        <w:rPr>
          <w:color w:val="000000"/>
        </w:rPr>
        <w:t xml:space="preserve"> </w:t>
      </w:r>
      <w:r>
        <w:rPr>
          <w:rFonts w:ascii="Times New Roman;sans-serif" w:hAnsi="Times New Roman;sans-serif"/>
          <w:b w:val="false"/>
          <w:color w:val="000000"/>
          <w:sz w:val="22"/>
        </w:rPr>
        <w:t xml:space="preserve">as the “Prime Rate” in the United States or, if </w:t>
      </w:r>
      <w:r>
        <w:rPr>
          <w:rFonts w:ascii="Times New Roman;sans-serif" w:hAnsi="Times New Roman;sans-serif"/>
          <w:b w:val="false"/>
          <w:i/>
          <w:color w:val="000000"/>
          <w:sz w:val="22"/>
        </w:rPr>
        <w:t>The Wall Street Journal</w:t>
      </w:r>
      <w:r>
        <w:rPr>
          <w:color w:val="000000"/>
        </w:rPr>
        <w:t xml:space="preserve"> </w:t>
      </w:r>
      <w:r>
        <w:rPr>
          <w:rFonts w:ascii="Times New Roman;sans-serif" w:hAnsi="Times New Roman;sans-serif"/>
          <w:b w:val="false"/>
          <w:color w:val="000000"/>
          <w:sz w:val="22"/>
        </w:rPr>
        <w:t>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Pro Forma Acquisition Adjustments</w:t>
      </w:r>
      <w:r>
        <w:rPr>
          <w:color w:val="000000"/>
        </w:rPr>
        <w:t xml:space="preserve">” </w:t>
      </w:r>
      <w:r>
        <w:rPr>
          <w:rFonts w:ascii="Times New Roman;sans-serif" w:hAnsi="Times New Roman;sans-serif"/>
          <w:b w:val="false"/>
          <w:color w:val="000000"/>
          <w:sz w:val="22"/>
        </w:rPr>
        <w:t>has the meaning specified in the definition of “Consolidated EBITDA.”</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Pro Forma Acquisition EBITDA</w:t>
      </w:r>
      <w:r>
        <w:rPr>
          <w:color w:val="000000"/>
        </w:rPr>
        <w:t xml:space="preserve">” </w:t>
      </w:r>
      <w:r>
        <w:rPr>
          <w:rFonts w:ascii="Times New Roman;sans-serif" w:hAnsi="Times New Roman;sans-serif"/>
          <w:b w:val="false"/>
          <w:color w:val="000000"/>
          <w:sz w:val="22"/>
        </w:rPr>
        <w:t xml:space="preserve">means, with respect to any Target acquired in a permitted Acquisition, earnings before interest, taxes, depreciation and amortization for such Target for the most recently ended twelve (12) month period for which financial statements of such Target are made available to the Administrative Agent at the time of determination thereof.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Pro Forma Basis</w:t>
      </w:r>
      <w:r>
        <w:rPr>
          <w:color w:val="000000"/>
        </w:rPr>
        <w:t xml:space="preserve">” </w:t>
      </w:r>
      <w:r>
        <w:rPr>
          <w:rFonts w:ascii="Times New Roman;sans-serif" w:hAnsi="Times New Roman;sans-serif"/>
          <w:b w:val="false"/>
          <w:color w:val="000000"/>
          <w:sz w:val="22"/>
        </w:rPr>
        <w:t xml:space="preserve">means, with respect to any determination of the Consolidated Secured Leverage Ratio (including component definitions thereof), that each Subject Transaction shall be deemed to have occurred as of the first day of the applicable Measurement Period with respect to any test or covenant for which such calculation is being made and that: </w:t>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36</w:t>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(i) in the case of any disposition of all or substantially all of the Equity Interests of any Subsidiary or any division or product line of the Borrower or any of its Subsidiaries, income statement items (whether positive or negative) attributable to the property or Person subject to such Subject Transaction shall be excluded as of the first day of the applicable Measurement Period with respect to any test or covenant for which the relevant determination is being made and (ii) in the case of any Permitted Acquisition or other permitted Investment, income statement items (whether positive or negative) attributable to the property or Person subject to such Subject Transaction shall be included as of the first day of the applicable Measurement Period with respect to any test or covenant for which the relevant determination is being made; </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     any retirement or repayment of Indebtedness in connection therewith shall be deemed to have occurred as of the last day of the applicable Measurement Period with respect to any test or covenant for which the relevant determination is being made; and </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(c)     any Indebtedness incurred by the Borrower or any Subsidiary thereof in connection therewith shall be deemed to have occurred as of the last day of the applicable Measurement Period with respect to any test or covenant for which the relevant determination is being made.</w:t>
      </w:r>
    </w:p>
    <w:p>
      <w:pPr>
        <w:pStyle w:val="TextBody"/>
        <w:bidi w:val="0"/>
        <w:spacing w:lineRule="auto" w:line="288" w:before="0" w:after="240"/>
        <w:jc w:val="both"/>
        <w:rPr/>
      </w:pPr>
      <w:r>
        <w:rPr>
          <w:rFonts w:ascii="Times New Roman;sans-serif" w:hAnsi="Times New Roman;sans-serif"/>
          <w:b w:val="false"/>
          <w:color w:val="000000"/>
          <w:sz w:val="22"/>
        </w:rPr>
        <w:t>Each of the terms “</w:t>
      </w:r>
      <w:r>
        <w:rPr>
          <w:rFonts w:ascii="Times New Roman;sans-serif" w:hAnsi="Times New Roman;sans-serif"/>
          <w:b w:val="false"/>
          <w:color w:val="000000"/>
          <w:sz w:val="22"/>
          <w:u w:val="single"/>
        </w:rPr>
        <w:t>Pro Forma Compliance</w:t>
      </w:r>
      <w:r>
        <w:rPr>
          <w:color w:val="000000"/>
        </w:rPr>
        <w:t xml:space="preserve">” </w:t>
      </w:r>
      <w:r>
        <w:rPr>
          <w:rFonts w:ascii="Times New Roman;sans-serif" w:hAnsi="Times New Roman;sans-serif"/>
          <w:b w:val="false"/>
          <w:color w:val="000000"/>
          <w:sz w:val="22"/>
        </w:rPr>
        <w:t>and “</w:t>
      </w:r>
      <w:r>
        <w:rPr>
          <w:rFonts w:ascii="Times New Roman;sans-serif" w:hAnsi="Times New Roman;sans-serif"/>
          <w:b w:val="false"/>
          <w:color w:val="000000"/>
          <w:sz w:val="22"/>
          <w:u w:val="single"/>
        </w:rPr>
        <w:t>Pro Forma Effect</w:t>
      </w:r>
      <w:r>
        <w:rPr>
          <w:color w:val="000000"/>
        </w:rPr>
        <w:t xml:space="preserve">” </w:t>
      </w:r>
      <w:r>
        <w:rPr>
          <w:rFonts w:ascii="Times New Roman;sans-serif" w:hAnsi="Times New Roman;sans-serif"/>
          <w:b w:val="false"/>
          <w:color w:val="000000"/>
          <w:sz w:val="22"/>
        </w:rPr>
        <w:t>shall have an analogous meaning.</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Public Lender</w:t>
      </w:r>
      <w:r>
        <w:rPr>
          <w:color w:val="000000"/>
        </w:rPr>
        <w:t xml:space="preserve">” </w:t>
      </w:r>
      <w:r>
        <w:rPr>
          <w:rFonts w:ascii="Times New Roman;sans-serif" w:hAnsi="Times New Roman;sans-serif"/>
          <w:b w:val="false"/>
          <w:color w:val="000000"/>
          <w:sz w:val="22"/>
        </w:rPr>
        <w:t xml:space="preserve">has the meaning assigned to such term in </w:t>
      </w:r>
      <w:r>
        <w:rPr>
          <w:rFonts w:ascii="Times New Roman;sans-serif" w:hAnsi="Times New Roman;sans-serif"/>
          <w:b w:val="false"/>
          <w:color w:val="000000"/>
          <w:sz w:val="22"/>
          <w:u w:val="single"/>
        </w:rPr>
        <w:t>Section 10.1(d)(i)</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Qualified Equity Interests</w:t>
      </w:r>
      <w:r>
        <w:rPr>
          <w:color w:val="000000"/>
        </w:rPr>
        <w:t xml:space="preserve">” </w:t>
      </w:r>
      <w:r>
        <w:rPr>
          <w:rFonts w:ascii="Times New Roman;sans-serif" w:hAnsi="Times New Roman;sans-serif"/>
          <w:b w:val="false"/>
          <w:color w:val="000000"/>
          <w:sz w:val="22"/>
        </w:rPr>
        <w:t xml:space="preserve">means, with respect to the Equity Interests of any Person, any Equity Interests other than Disqualified Equity Interests of such Person.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Real Property</w:t>
      </w:r>
      <w:r>
        <w:rPr>
          <w:color w:val="000000"/>
        </w:rPr>
        <w:t xml:space="preserve">” </w:t>
      </w:r>
      <w:r>
        <w:rPr>
          <w:rFonts w:ascii="Times New Roman;sans-serif" w:hAnsi="Times New Roman;sans-serif"/>
          <w:b w:val="false"/>
          <w:color w:val="000000"/>
          <w:sz w:val="22"/>
        </w:rPr>
        <w:t>means, collectively, all right, title and interest in and to any and all parcels of or interests in real property owned or leased by any Person, together with, in each case, all easements, hereditaments and appurtenances relating thereto, all improvements and appurtenant fixtures and equipment, all general intangibles and contract rights and other property and rights incidental to the ownership thereof.</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Receivables Assets</w:t>
      </w:r>
      <w:r>
        <w:rPr>
          <w:color w:val="000000"/>
        </w:rPr>
        <w:t xml:space="preserve">” </w:t>
      </w:r>
      <w:r>
        <w:rPr>
          <w:rFonts w:ascii="Times New Roman;sans-serif" w:hAnsi="Times New Roman;sans-serif"/>
          <w:b w:val="false"/>
          <w:color w:val="000000"/>
          <w:sz w:val="22"/>
        </w:rPr>
        <w:t>means (a) any accounts receivable, including proceeds thereof, owed to the Borrower or a Subsidiary and arising in the ordinary course of business from the sale of goods and services, and (b) all collateral securing such accounts receivable, all contracts and contract rights, guarantees or other obligations in respect of such accounts receivable, all records with respect to such accounts receivable and any other related assets customarily transferred together with accounts receivable in connection with a non-recourse accounts receivable factoring arrangement and which are sold, conveyed, assigned or otherwise transferred or pledged in connection with a Securitization Program.</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Recipient</w:t>
      </w:r>
      <w:r>
        <w:rPr>
          <w:color w:val="000000"/>
        </w:rPr>
        <w:t xml:space="preserve">” </w:t>
      </w:r>
      <w:r>
        <w:rPr>
          <w:rFonts w:ascii="Times New Roman;sans-serif" w:hAnsi="Times New Roman;sans-serif"/>
          <w:b w:val="false"/>
          <w:color w:val="000000"/>
          <w:sz w:val="22"/>
        </w:rPr>
        <w:t>means the Administrative Agent or any Lender, as applicable.</w:t>
      </w:r>
    </w:p>
    <w:p>
      <w:pPr>
        <w:pStyle w:val="TextBody"/>
        <w:bidi w:val="0"/>
        <w:spacing w:lineRule="auto" w:line="288" w:before="0" w:after="120"/>
        <w:jc w:val="left"/>
        <w:rPr/>
      </w:pPr>
      <w:r>
        <w:rPr>
          <w:color w:val="000000"/>
        </w:rPr>
        <w:t>    “</w:t>
      </w:r>
      <w:r>
        <w:rPr>
          <w:rFonts w:ascii="Times New Roman;sans-serif" w:hAnsi="Times New Roman;sans-serif"/>
          <w:b w:val="false"/>
          <w:color w:val="000000"/>
          <w:sz w:val="22"/>
          <w:u w:val="single"/>
        </w:rPr>
        <w:t>Refinanced Obligations</w:t>
      </w:r>
      <w:r>
        <w:rPr>
          <w:color w:val="000000"/>
        </w:rPr>
        <w:t xml:space="preserve">” </w:t>
      </w:r>
      <w:r>
        <w:rPr>
          <w:rFonts w:ascii="Times New Roman;sans-serif" w:hAnsi="Times New Roman;sans-serif"/>
          <w:b w:val="false"/>
          <w:color w:val="000000"/>
          <w:sz w:val="22"/>
        </w:rPr>
        <w:t>has the meaning specified in the definition of “Refinancing Indebtedness.”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Refinancing Indebtedness</w:t>
      </w:r>
      <w:r>
        <w:rPr>
          <w:color w:val="000000"/>
        </w:rPr>
        <w:t xml:space="preserve">” </w:t>
      </w:r>
      <w:r>
        <w:rPr>
          <w:rFonts w:ascii="Times New Roman;sans-serif" w:hAnsi="Times New Roman;sans-serif"/>
          <w:b w:val="false"/>
          <w:color w:val="000000"/>
          <w:sz w:val="22"/>
        </w:rPr>
        <w:t>means Indebtedness of any Loan Party or its Subsidiaries arising after the Closing Date issued in exchange for, or the proceeds of which are used to extend, refinance, refund, replace, renew, continue or substitute for other Indebtedness (such extended, refinanced, refunded, replaced, renewed, continued or substituted Indebtedness, the “</w:t>
      </w:r>
      <w:r>
        <w:rPr>
          <w:rFonts w:ascii="Times New Roman;sans-serif" w:hAnsi="Times New Roman;sans-serif"/>
          <w:b w:val="false"/>
          <w:color w:val="000000"/>
          <w:sz w:val="22"/>
          <w:u w:val="single"/>
        </w:rPr>
        <w:t>Refinanced Obligations</w:t>
      </w:r>
      <w:r>
        <w:rPr>
          <w:color w:val="000000"/>
        </w:rPr>
        <w:t>”</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 the principal amount of such Refinancing Indebtedness shall not exceed the principal amount of the Refinanced Obligations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any interest capitalized in connection with such Refinanced Obligations, the </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37</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amount of prepayment premium, if any, original issue discount, if any, and reasonable fees, costs, and expenses incurred in connection therewith), (b) such Refinancing Indebtedness shall have a final maturity that is no earlier than the final stated maturity date of such Refinanced Obligations, (c) such Refinancing Indebtedness shall have a Weighted Average Life to Maturity not less than the Weighted Average Life to Maturity of the Refinanced Obligations, (d) such Refinancing Indebtedness shall rank in right of payment no more senior than, and be subordinated (if subordinated) to the Secured Obligations on terms, taken as a whole, not materially less favorable to the Secured Parties than, the Refinanced Obligations, (e) as of the date of incurring such Refinancing Indebtedness and after giving effect thereto, no Default or Event of Default shall exist or have occurred and be continuing, (f) if the Refinanced Obligations or any Guarantees thereof are unsecured, such Refinancing Indebtedness and any Guarantees thereof shall be unsecured, (g) if the Refinanced Obligations or any Guarantees thereof are secured, (i) such Refinancing Indebtedness and any Guarantees thereof shall not be secured by a Lien on any assets other than the collateral securing the Refinanced Obligations or any Guarantees thereof, on terms, taken as a whole, not materially less favorable to the Secured Parties and (ii) the Liens to secure such Refinancing Indebtedness shall not have a priority, taken as a whole, more senior than the Liens securing the Refinanced Obligations and if subordinated to any other Liens on such property, shall be subordinated, taken as a whole, to the Administrative Agent’s Liens on terms and conditions, taken as a whole, not materially less favorable to the Secured Parties than those contained in the documentation governing the Refinanced Obligations, (h) the obligors in respect of the Refinanced Obligations immediately prior to such refinancing, refunding, extending, renewing, continuing, substituting or replacing thereof shall be the only obligors on such Refinancing Indebtedness, (i) if such Refinanced Obligations are the Senior Notes (or any Refinancing Indebtedness that refinanced the Senior Notes), such Refinancing Indebtedness shall have (x) no scheduled amortization or other scheduled payments of principal prior to the final stated maturity date of such Indebtedness and (y) not be subject to any mandatory redemption, repurchase, prepayment or sinking fund obligation (except customary asset sale or change of control or similar event provisions, in each case, that provide for the prior repayment in full of the Loans and all other Loan Document Obligations (other than unasserted contingent indemnification and unasserted expense reimbursement obligations in each case not yet due and payable)) and (j) the terms and conditions (excluding as to pricing, premiums and optional prepayment or redemption provisions) of any such Refinancing Indebtedness, taken as a whole, are not materially less favorable to the Loan Parties than the terms and conditions of the Refinanced Obligations.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Register</w:t>
      </w:r>
      <w:r>
        <w:rPr>
          <w:color w:val="000000"/>
        </w:rPr>
        <w:t xml:space="preserve">” </w:t>
      </w:r>
      <w:r>
        <w:rPr>
          <w:rFonts w:ascii="Times New Roman;sans-serif" w:hAnsi="Times New Roman;sans-serif"/>
          <w:b w:val="false"/>
          <w:color w:val="000000"/>
          <w:sz w:val="22"/>
        </w:rPr>
        <w:t xml:space="preserve">has the meaning assigned to such term in </w:t>
      </w:r>
      <w:r>
        <w:rPr>
          <w:rFonts w:ascii="Times New Roman;sans-serif" w:hAnsi="Times New Roman;sans-serif"/>
          <w:b w:val="false"/>
          <w:color w:val="000000"/>
          <w:sz w:val="22"/>
          <w:u w:val="single"/>
        </w:rPr>
        <w:t>Section 10.4(c)</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Regulation D</w:t>
      </w:r>
      <w:r>
        <w:rPr>
          <w:color w:val="000000"/>
        </w:rPr>
        <w:t xml:space="preserve">” </w:t>
      </w:r>
      <w:r>
        <w:rPr>
          <w:rFonts w:ascii="Times New Roman;sans-serif" w:hAnsi="Times New Roman;sans-serif"/>
          <w:b w:val="false"/>
          <w:color w:val="000000"/>
          <w:sz w:val="22"/>
        </w:rPr>
        <w:t>means Regulation D of the Board.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Regulation T, U or X</w:t>
      </w:r>
      <w:r>
        <w:rPr>
          <w:color w:val="000000"/>
        </w:rPr>
        <w:t xml:space="preserve">” </w:t>
      </w:r>
      <w:r>
        <w:rPr>
          <w:rFonts w:ascii="Times New Roman;sans-serif" w:hAnsi="Times New Roman;sans-serif"/>
          <w:b w:val="false"/>
          <w:color w:val="000000"/>
          <w:sz w:val="22"/>
        </w:rPr>
        <w:t>means Regulation T, U or X, respectively, of the Board.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Related Parties</w:t>
      </w:r>
      <w:r>
        <w:rPr>
          <w:color w:val="000000"/>
        </w:rPr>
        <w:t xml:space="preserve">” </w:t>
      </w:r>
      <w:r>
        <w:rPr>
          <w:rFonts w:ascii="Times New Roman;sans-serif" w:hAnsi="Times New Roman;sans-serif"/>
          <w:b w:val="false"/>
          <w:color w:val="000000"/>
          <w:sz w:val="22"/>
        </w:rPr>
        <w:t>means, with respect to any Person, such Person’s Affiliates and the partners, members, directors, officers, employees, agents, trustees, administrators, managers, advisors, attorneys-in-fact and representatives of such Person and of such Person’s Affiliates.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Release</w:t>
      </w:r>
      <w:r>
        <w:rPr>
          <w:color w:val="000000"/>
        </w:rPr>
        <w:t xml:space="preserve">” </w:t>
      </w:r>
      <w:r>
        <w:rPr>
          <w:rFonts w:ascii="Times New Roman;sans-serif" w:hAnsi="Times New Roman;sans-serif"/>
          <w:b w:val="false"/>
          <w:color w:val="000000"/>
          <w:sz w:val="22"/>
        </w:rPr>
        <w:t>means any actual or threatened releasing, spilling, leaking, pumping, pouring, leaching, seeping, emitting, migration, emptying, discharging, injecting, escaping, depositing, disposing, or dumping of Hazardous Materials into the indoor or outdoor environment, including the movement of any Hazardous Material through the air, soil, surface water, groundwater or property and any other conditions resulting in potential or actual human exposure to Hazardous Materials within a structure.</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38</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Relevant Governmental Body</w:t>
      </w:r>
      <w:r>
        <w:rPr>
          <w:color w:val="000000"/>
        </w:rPr>
        <w:t xml:space="preserve">” </w:t>
      </w:r>
      <w:r>
        <w:rPr>
          <w:rFonts w:ascii="Times New Roman;sans-serif" w:hAnsi="Times New Roman;sans-serif"/>
          <w:b w:val="false"/>
          <w:color w:val="000000"/>
          <w:sz w:val="22"/>
        </w:rPr>
        <w:t>means the Federal Reserve Board or the Federal Reserve Bank of New York, or a committee officially endorsed or convened by the Federal Reserve Board or the Federal Reserve Bank of New York, or any successor thereto.</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Required Lenders</w:t>
      </w:r>
      <w:r>
        <w:rPr>
          <w:color w:val="000000"/>
        </w:rPr>
        <w:t xml:space="preserve">” </w:t>
      </w:r>
      <w:r>
        <w:rPr>
          <w:rFonts w:ascii="Times New Roman;sans-serif" w:hAnsi="Times New Roman;sans-serif"/>
          <w:b w:val="false"/>
          <w:color w:val="000000"/>
          <w:sz w:val="22"/>
        </w:rPr>
        <w:t>means, at any time, unaffiliated Lenders having Loans representing more than 50% of the aggregate Outstanding Amount of Loans of all Lenders at such time.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Requirements of Law</w:t>
      </w:r>
      <w:r>
        <w:rPr>
          <w:color w:val="000000"/>
        </w:rPr>
        <w:t xml:space="preserve">” </w:t>
      </w:r>
      <w:r>
        <w:rPr>
          <w:rFonts w:ascii="Times New Roman;sans-serif" w:hAnsi="Times New Roman;sans-serif"/>
          <w:b w:val="false"/>
          <w:color w:val="000000"/>
          <w:sz w:val="22"/>
        </w:rPr>
        <w:t>shall mean, collectively, any and all applicable requirements of any Governmental Authority including any and all treaties, laws, judgments, orders, executive orders, decrees, ordinances, rules, regulations, other administrative pronouncements, statutes, common law, case law or treaties.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Resignation Effective Date</w:t>
      </w:r>
      <w:r>
        <w:rPr>
          <w:color w:val="000000"/>
        </w:rPr>
        <w:t xml:space="preserve">” </w:t>
      </w:r>
      <w:r>
        <w:rPr>
          <w:rFonts w:ascii="Times New Roman;sans-serif" w:hAnsi="Times New Roman;sans-serif"/>
          <w:b w:val="false"/>
          <w:color w:val="000000"/>
          <w:sz w:val="22"/>
        </w:rPr>
        <w:t xml:space="preserve">has the meaning assigned to such term in </w:t>
      </w:r>
      <w:r>
        <w:rPr>
          <w:rFonts w:ascii="Times New Roman;sans-serif" w:hAnsi="Times New Roman;sans-serif"/>
          <w:b w:val="false"/>
          <w:color w:val="000000"/>
          <w:sz w:val="22"/>
          <w:u w:val="single"/>
        </w:rPr>
        <w:t>Section 9.6(a)</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Resolution Authority</w:t>
      </w:r>
      <w:r>
        <w:rPr>
          <w:color w:val="000000"/>
        </w:rPr>
        <w:t xml:space="preserve">” </w:t>
      </w:r>
      <w:r>
        <w:rPr>
          <w:rFonts w:ascii="Times New Roman;sans-serif" w:hAnsi="Times New Roman;sans-serif"/>
          <w:b w:val="false"/>
          <w:color w:val="000000"/>
          <w:sz w:val="22"/>
        </w:rPr>
        <w:t>means an EEA Resolution Authority or, with respect to any UK Financial Institution, a UK Resolution Authority.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Responsible Officer</w:t>
      </w:r>
      <w:r>
        <w:rPr>
          <w:color w:val="000000"/>
        </w:rPr>
        <w:t xml:space="preserve">” </w:t>
      </w:r>
      <w:r>
        <w:rPr>
          <w:rFonts w:ascii="Times New Roman;sans-serif" w:hAnsi="Times New Roman;sans-serif"/>
          <w:b w:val="false"/>
          <w:color w:val="000000"/>
          <w:sz w:val="22"/>
        </w:rPr>
        <w:t>means the chief executive officer, president, vice president, chief financial officer, treasurer, assistant treasurer, or other similar officer of a Loan Party.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Restricted Junior Debt</w:t>
      </w:r>
      <w:r>
        <w:rPr>
          <w:color w:val="000000"/>
        </w:rPr>
        <w:t xml:space="preserve">” </w:t>
      </w:r>
      <w:r>
        <w:rPr>
          <w:rFonts w:ascii="Times New Roman;sans-serif" w:hAnsi="Times New Roman;sans-serif"/>
          <w:b w:val="false"/>
          <w:color w:val="000000"/>
          <w:sz w:val="22"/>
        </w:rPr>
        <w:t xml:space="preserve">means (i) Subordinated Debt, (ii) unsecured Indebtedness (x) of the type described in clause (a), (b) or (l) (solely with respect to Guarantees of the foregoing categories of Indebtedness) of the definition of “Indebtedness” or (y) constituting an earnout and (iii) Junior Lien Indebtedness, in each case, of the Borrower or any of its Subsidiaries.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Restricted Junior Debt Documents</w:t>
      </w:r>
      <w:r>
        <w:rPr>
          <w:color w:val="000000"/>
        </w:rPr>
        <w:t xml:space="preserve">” </w:t>
      </w:r>
      <w:r>
        <w:rPr>
          <w:rFonts w:ascii="Times New Roman;sans-serif" w:hAnsi="Times New Roman;sans-serif"/>
          <w:b w:val="false"/>
          <w:color w:val="000000"/>
          <w:sz w:val="22"/>
        </w:rPr>
        <w:t>means any agreement, indenture or instrument pursuant to which any Restricted Junior Debt is issued, in each case as amended to the extent permitted under the Loan Documents.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Restricted Payment</w:t>
      </w:r>
      <w:r>
        <w:rPr>
          <w:color w:val="000000"/>
        </w:rPr>
        <w:t xml:space="preserve">” </w:t>
      </w:r>
      <w:r>
        <w:rPr>
          <w:rFonts w:ascii="Times New Roman;sans-serif" w:hAnsi="Times New Roman;sans-serif"/>
          <w:b w:val="false"/>
          <w:color w:val="000000"/>
          <w:sz w:val="22"/>
        </w:rPr>
        <w:t>means, as to any Person, (a) any dividend or other distribution by such Person (whether in cash, securities or other property) with respect to any Equity Interests of such Person, (b) any payment (whether in cash, securities or other property), including any sinking fund or similar deposit, on account of the purchase, redemption, retirement, defeasance, acquisition, cancellation or termination of any such Equity Interest, or on account of any return of capital to the holders of Equity Interests of such Person, (c) the acquisition for value by such Person of any Equity Interests issued by such Person or any other Person that Controls such Person, (d) any payment with respect to any Earn-Out Obligation and (e) with respect to clauses (a) through (d) any transaction that has a substantially similar effect.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S&amp;P</w:t>
      </w:r>
      <w:r>
        <w:rPr>
          <w:color w:val="000000"/>
        </w:rPr>
        <w:t xml:space="preserve">” </w:t>
      </w:r>
      <w:r>
        <w:rPr>
          <w:rFonts w:ascii="Times New Roman;sans-serif" w:hAnsi="Times New Roman;sans-serif"/>
          <w:b w:val="false"/>
          <w:color w:val="000000"/>
          <w:sz w:val="22"/>
        </w:rPr>
        <w:t>means Standard &amp; Poor’s Financial Services LLC, a subsidiary of S&amp;P Global Inc., and any successor to its rating agency business.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Sale and Leaseback</w:t>
      </w:r>
      <w:r>
        <w:rPr>
          <w:color w:val="000000"/>
        </w:rPr>
        <w:t xml:space="preserve">” </w:t>
      </w:r>
      <w:r>
        <w:rPr>
          <w:rFonts w:ascii="Times New Roman;sans-serif" w:hAnsi="Times New Roman;sans-serif"/>
          <w:b w:val="false"/>
          <w:color w:val="000000"/>
          <w:sz w:val="22"/>
        </w:rPr>
        <w:t>means any transaction or series of related transactions pursuant to which any Loan Party or any of its Subsidiaries (a) sells, transfers or otherwise disposes of any property, real or personal, whether now owned or hereafter acquired, and (b) as part of such transaction, thereafter rents or leases such property or other property that it intends to use for substantially the same purpose or purposes as the property being sold, transferred or disposed.</w:t>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39</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Sanctioned Country</w:t>
      </w:r>
      <w:r>
        <w:rPr>
          <w:color w:val="000000"/>
        </w:rPr>
        <w:t xml:space="preserve">” </w:t>
      </w:r>
      <w:r>
        <w:rPr>
          <w:rFonts w:ascii="Times New Roman;sans-serif" w:hAnsi="Times New Roman;sans-serif"/>
          <w:b w:val="false"/>
          <w:color w:val="000000"/>
          <w:sz w:val="22"/>
        </w:rPr>
        <w:t>means any country, territory or region which is itself the subject or target of any comprehensive Sanctions (at the date of this Credit Agreement, the so-called Donetsk People’s Republic, the so-called Luhansk People’s Republic, the Crimean region of Ukraine, Cuba, Iran, North Korea, and Syria).</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Sanctioned Person</w:t>
      </w:r>
      <w:r>
        <w:rPr>
          <w:color w:val="000000"/>
        </w:rPr>
        <w:t xml:space="preserve">” </w:t>
      </w:r>
      <w:r>
        <w:rPr>
          <w:rFonts w:ascii="Times New Roman;sans-serif" w:hAnsi="Times New Roman;sans-serif"/>
          <w:b w:val="false"/>
          <w:color w:val="000000"/>
          <w:sz w:val="22"/>
        </w:rPr>
        <w:t>means any Person the subject or target of any Sanctions, including (a) any Person or group listed in any Sanctions related list of designated Persons maintained by OFAC, including the List of Specially Designated Nationals and Blocked Persons, or the U.S. Department of State, the United Nations Security Council, the European Union or any EU member state, His Majesty’s Treasury of the United Kingdom, or other relevant sanctions authority, (b) any Person subject to any law that would prohibit all or substantially all financial or other transactions with that Person or would require that assets of that Person that come into the possession of a third-party be blocked (c) any legal entity operating, organized or domiciled in a Sanctioned Country, (d) any agency, political subdivision or instrumentality of the government of a Sanctioned Country, (e) any natural person ordinarily resident in a Sanctioned Country, or (f) any Person 50% or more owned, directly or indirectly, individually or in the aggregate by any of the above.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Sanctions</w:t>
      </w:r>
      <w:r>
        <w:rPr>
          <w:color w:val="000000"/>
        </w:rPr>
        <w:t xml:space="preserve">” </w:t>
      </w:r>
      <w:r>
        <w:rPr>
          <w:rFonts w:ascii="Times New Roman;sans-serif" w:hAnsi="Times New Roman;sans-serif"/>
          <w:b w:val="false"/>
          <w:color w:val="000000"/>
          <w:sz w:val="22"/>
        </w:rPr>
        <w:t>means economic or financial sanctions or trade embargoes imposed, administered or enforced from time to time by (a) the U.S. government, including those administered by OFAC or the U.S. Department of State or (b) the United Nations Security Council, the European Union or any European Union member state, His Majesty’s Treasury of the United Kingdom or other relevant sanctions authority.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Secured Obligations</w:t>
      </w:r>
      <w:r>
        <w:rPr>
          <w:color w:val="000000"/>
        </w:rPr>
        <w:t xml:space="preserve">” </w:t>
      </w:r>
      <w:r>
        <w:rPr>
          <w:rFonts w:ascii="Times New Roman;sans-serif" w:hAnsi="Times New Roman;sans-serif"/>
          <w:b w:val="false"/>
          <w:color w:val="000000"/>
          <w:sz w:val="22"/>
        </w:rPr>
        <w:t>means the Loan Document Obligations.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Secured Parties</w:t>
      </w:r>
      <w:r>
        <w:rPr>
          <w:color w:val="000000"/>
        </w:rPr>
        <w:t xml:space="preserve">” </w:t>
      </w:r>
      <w:r>
        <w:rPr>
          <w:rFonts w:ascii="Times New Roman;sans-serif" w:hAnsi="Times New Roman;sans-serif"/>
          <w:b w:val="false"/>
          <w:color w:val="000000"/>
          <w:sz w:val="22"/>
        </w:rPr>
        <w:t>means, collectively, (a) the Administrative Agent, (b) each Lender, (c) [reserved], (d) [reserved], (e) the beneficiaries of each indemnification obligation undertaken by any Loan Party under any Loan Document and (f) the permitted successors and assigns of each of the foregoing.</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Securitization Program</w:t>
      </w:r>
      <w:r>
        <w:rPr>
          <w:color w:val="000000"/>
        </w:rPr>
        <w:t xml:space="preserve">” </w:t>
      </w:r>
      <w:r>
        <w:rPr>
          <w:rFonts w:ascii="Times New Roman;sans-serif" w:hAnsi="Times New Roman;sans-serif"/>
          <w:b w:val="false"/>
          <w:color w:val="000000"/>
          <w:sz w:val="22"/>
        </w:rPr>
        <w:t>means any accounts receivable securitization or factoring program maintained with (a) either Norddeutsche Landesbank Girozentrale, Citibank, or, in each case, any Affiliates thereof, each as in effect as of the Closing Date, or (b) another unaffiliated financial institution related to accounts receivable owed to the Loan Parties, that meets the following conditions: (i) the accounts receivables sold or factored pursuant to such program are sold by the Loan Parties on customary terms, (ii) the financing terms, covenants, termination events and other provisions thereof are on market terms (as determined in good faith by the Borrower), which may include Standard Securitization Undertakings and (iii) the obligations thereunder are non-recourse (except for customary representations, warranties, covenants, performance guarantees and indemnities made in connection with such facilities) to the Borrower or any Subsidiary.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Security Agreement</w:t>
      </w:r>
      <w:r>
        <w:rPr>
          <w:color w:val="000000"/>
        </w:rPr>
        <w:t xml:space="preserve">” </w:t>
      </w:r>
      <w:r>
        <w:rPr>
          <w:rFonts w:ascii="Times New Roman;sans-serif" w:hAnsi="Times New Roman;sans-serif"/>
          <w:b w:val="false"/>
          <w:color w:val="000000"/>
          <w:sz w:val="22"/>
        </w:rPr>
        <w:t>means the Pledge and Security Agreement, dated as of the Closing Date, among the Loan Parties and the Administrative Agent.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Senior Notes</w:t>
      </w:r>
      <w:r>
        <w:rPr>
          <w:color w:val="000000"/>
        </w:rPr>
        <w:t xml:space="preserve">” </w:t>
      </w:r>
      <w:r>
        <w:rPr>
          <w:rFonts w:ascii="Times New Roman;sans-serif" w:hAnsi="Times New Roman;sans-serif"/>
          <w:b w:val="false"/>
          <w:color w:val="000000"/>
          <w:sz w:val="22"/>
        </w:rPr>
        <w:t>means the Borrower’s 8.375% Senior Notes due 2026 issued pursuant to the Senior Notes Indenture.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Senior Notes Indenture</w:t>
      </w:r>
      <w:r>
        <w:rPr>
          <w:color w:val="000000"/>
        </w:rPr>
        <w:t xml:space="preserve">” </w:t>
      </w:r>
      <w:r>
        <w:rPr>
          <w:rFonts w:ascii="Times New Roman;sans-serif" w:hAnsi="Times New Roman;sans-serif"/>
          <w:b w:val="false"/>
          <w:color w:val="000000"/>
          <w:sz w:val="22"/>
        </w:rPr>
        <w:t>means that certain Indenture, dated as of June 30, 2021, as supplemented by the First Supplemental Indenture, dated as of June 30, 2021, between the Bank of New York Mellon Trust Company, N.A., as trustee, and the Borrower, as issuer.</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40</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Senior Note Repurchase Agreement</w:t>
      </w:r>
      <w:r>
        <w:rPr>
          <w:color w:val="000000"/>
        </w:rPr>
        <w:t xml:space="preserve">” </w:t>
      </w:r>
      <w:r>
        <w:rPr>
          <w:rFonts w:ascii="Times New Roman;sans-serif" w:hAnsi="Times New Roman;sans-serif"/>
          <w:b w:val="false"/>
          <w:color w:val="000000"/>
          <w:sz w:val="22"/>
        </w:rPr>
        <w:t>means that certain Note Repurchase Agreement dated as of June 28, 2024 by and between the Borrower and B. Riley Principal Investments, LLC.</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Series B Repurchase Agreement</w:t>
      </w:r>
      <w:r>
        <w:rPr>
          <w:color w:val="000000"/>
        </w:rPr>
        <w:t xml:space="preserve">” </w:t>
      </w:r>
      <w:r>
        <w:rPr>
          <w:rFonts w:ascii="Times New Roman;sans-serif" w:hAnsi="Times New Roman;sans-serif"/>
          <w:b w:val="false"/>
          <w:color w:val="000000"/>
          <w:sz w:val="22"/>
        </w:rPr>
        <w:t>means that certain Repurchase Agreement dated as of June 28, 2024 by and between the Borrower and BRF Investments, LLC.</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Series B Stock</w:t>
      </w:r>
      <w:r>
        <w:rPr>
          <w:color w:val="000000"/>
        </w:rPr>
        <w:t xml:space="preserve">” </w:t>
      </w:r>
      <w:r>
        <w:rPr>
          <w:rFonts w:ascii="Times New Roman;sans-serif" w:hAnsi="Times New Roman;sans-serif"/>
          <w:b w:val="false"/>
          <w:color w:val="000000"/>
          <w:sz w:val="22"/>
        </w:rPr>
        <w:t>means the Borrower’s issued and outstanding shares designated as “Series B Perpetual Non-Convertible Preferred Stock.”</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SOFR</w:t>
      </w:r>
      <w:r>
        <w:rPr>
          <w:color w:val="000000"/>
        </w:rPr>
        <w:t xml:space="preserve">” </w:t>
      </w:r>
      <w:r>
        <w:rPr>
          <w:rFonts w:ascii="Times New Roman;sans-serif" w:hAnsi="Times New Roman;sans-serif"/>
          <w:b w:val="false"/>
          <w:color w:val="000000"/>
          <w:sz w:val="22"/>
        </w:rPr>
        <w:t xml:space="preserve">means a rate equal to the secured overnight financing rate as administered by the SOFR Administrator.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SOFR Administrator</w:t>
      </w:r>
      <w:r>
        <w:rPr>
          <w:color w:val="000000"/>
        </w:rPr>
        <w:t xml:space="preserve">” </w:t>
      </w:r>
      <w:r>
        <w:rPr>
          <w:rFonts w:ascii="Times New Roman;sans-serif" w:hAnsi="Times New Roman;sans-serif"/>
          <w:b w:val="false"/>
          <w:color w:val="000000"/>
          <w:sz w:val="22"/>
        </w:rPr>
        <w:t>means the Federal Reserve Bank of New York (or a successor administrator of the secured overnight financing rate).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SOFR Borrowing</w:t>
      </w:r>
      <w:r>
        <w:rPr>
          <w:color w:val="000000"/>
        </w:rPr>
        <w:t xml:space="preserve">” </w:t>
      </w:r>
      <w:r>
        <w:rPr>
          <w:rFonts w:ascii="Times New Roman;sans-serif" w:hAnsi="Times New Roman;sans-serif"/>
          <w:b w:val="false"/>
          <w:color w:val="000000"/>
          <w:sz w:val="22"/>
        </w:rPr>
        <w:t>means, as to any Borrowing, the SOFR Loans comprising such Borrowing.</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SOFR Loan</w:t>
      </w:r>
      <w:r>
        <w:rPr>
          <w:color w:val="000000"/>
        </w:rPr>
        <w:t xml:space="preserve">” </w:t>
      </w:r>
      <w:r>
        <w:rPr>
          <w:rFonts w:ascii="Times New Roman;sans-serif" w:hAnsi="Times New Roman;sans-serif"/>
          <w:b w:val="false"/>
          <w:color w:val="000000"/>
          <w:sz w:val="22"/>
        </w:rPr>
        <w:t>means a Loan that bears interest at a rate based on Adjusted Term SOFR, other than pursuant to clause (c) of the definition of “Alternate Base Rate.”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Solvency Certificate</w:t>
      </w:r>
      <w:r>
        <w:rPr>
          <w:color w:val="000000"/>
        </w:rPr>
        <w:t xml:space="preserve">” </w:t>
      </w:r>
      <w:r>
        <w:rPr>
          <w:rFonts w:ascii="Times New Roman;sans-serif" w:hAnsi="Times New Roman;sans-serif"/>
          <w:b w:val="false"/>
          <w:color w:val="000000"/>
          <w:sz w:val="22"/>
        </w:rPr>
        <w:t xml:space="preserve">means a certificate, substantially in the form of </w:t>
      </w:r>
      <w:r>
        <w:rPr>
          <w:rFonts w:ascii="Times New Roman;sans-serif" w:hAnsi="Times New Roman;sans-serif"/>
          <w:b w:val="false"/>
          <w:color w:val="000000"/>
          <w:sz w:val="22"/>
          <w:u w:val="single"/>
        </w:rPr>
        <w:t>Exhibit H</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Solvent</w:t>
      </w:r>
      <w:r>
        <w:rPr>
          <w:color w:val="000000"/>
        </w:rPr>
        <w:t xml:space="preserve">” </w:t>
      </w:r>
      <w:r>
        <w:rPr>
          <w:rFonts w:ascii="Times New Roman;sans-serif" w:hAnsi="Times New Roman;sans-serif"/>
          <w:b w:val="false"/>
          <w:color w:val="000000"/>
          <w:sz w:val="22"/>
        </w:rPr>
        <w:t>and “</w:t>
      </w:r>
      <w:r>
        <w:rPr>
          <w:rFonts w:ascii="Times New Roman;sans-serif" w:hAnsi="Times New Roman;sans-serif"/>
          <w:b w:val="false"/>
          <w:color w:val="000000"/>
          <w:sz w:val="22"/>
          <w:u w:val="single"/>
        </w:rPr>
        <w:t>Solvency</w:t>
      </w:r>
      <w:r>
        <w:rPr>
          <w:color w:val="000000"/>
        </w:rPr>
        <w:t xml:space="preserve">” </w:t>
      </w:r>
      <w:r>
        <w:rPr>
          <w:rFonts w:ascii="Times New Roman;sans-serif" w:hAnsi="Times New Roman;sans-serif"/>
          <w:b w:val="false"/>
          <w:color w:val="000000"/>
          <w:sz w:val="22"/>
        </w:rPr>
        <w:t xml:space="preserve">mean, with respect to any Person on any date of determination, that on such date (a) the fair value of the present assets of such Person and its Subsidiaries, taken as a whole, is not less than the sum of the debt (including contingent liabilities) of such Person and its Subsidiaries, taken as a whole, (b) the present fair salable value of the assets of such Person and its Subsidiaries, taken as a whole, is not less than the amount that will be required to pay the probable liabilities (including contingent liabilities) of such Person and its Subsidiaries, taken as a whole, on their debts as they become absolute and matured, (c) the capital of such Person and its Subsidiaries, taken as a whole, is not unreasonably small in relation to the business of such Person or its Subsidiaries, taken as a whole, contemplated as of such date and (d) such Person and its Subsidiaries, taken as a whole, do not intend to incur, or believe that they will incur, debts (including current obligations and contingent liabilities) beyond their ability to pay such debts as they mature in the ordinary course of business;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amount of contingent liabilities at any time shall be computed as the amount that, in light of all the facts and circumstances existing at such time, represents the amount that can reasonably be expected to become an actual or matured liability.</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val="false"/>
          <w:color w:val="000000"/>
          <w:sz w:val="22"/>
          <w:u w:val="single"/>
        </w:rPr>
        <w:t>Specified Equity Contribution</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8.4</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Specified Tax Proceeds</w:t>
      </w:r>
      <w:r>
        <w:rPr>
          <w:color w:val="000000"/>
        </w:rPr>
        <w:t xml:space="preserve">” </w:t>
      </w:r>
      <w:r>
        <w:rPr>
          <w:rFonts w:ascii="Times New Roman;sans-serif" w:hAnsi="Times New Roman;sans-serif"/>
          <w:b w:val="false"/>
          <w:color w:val="000000"/>
          <w:sz w:val="22"/>
        </w:rPr>
        <w:t>means any tax refund amounts (including interest thereon) received by the Borrower or any of its Subsidiaries related to the Borrower’s U.S. federal income tax returns for the tax years 2013 through 2020.</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Specified Transaction</w:t>
      </w:r>
      <w:r>
        <w:rPr>
          <w:color w:val="000000"/>
        </w:rPr>
        <w:t xml:space="preserve">” </w:t>
      </w:r>
      <w:r>
        <w:rPr>
          <w:rFonts w:ascii="Times New Roman;sans-serif" w:hAnsi="Times New Roman;sans-serif"/>
          <w:b w:val="false"/>
          <w:color w:val="000000"/>
          <w:sz w:val="22"/>
        </w:rPr>
        <w:t>means any Investment, Disposition, incurrence or repayment of Indebtedness or Restricted Payment that by the terms of this Credit Agreement requires a test to be calculated on a “Pro Forma Basis” or after giving “Pro Forma Effect” thereto, or that the Borrower be in Pro Forma Compliance with a test.</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41</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Standard Securitization Undertakings</w:t>
      </w:r>
      <w:r>
        <w:rPr>
          <w:color w:val="000000"/>
        </w:rPr>
        <w:t xml:space="preserve">” </w:t>
      </w:r>
      <w:r>
        <w:rPr>
          <w:rFonts w:ascii="Times New Roman;sans-serif" w:hAnsi="Times New Roman;sans-serif"/>
          <w:b w:val="false"/>
          <w:color w:val="000000"/>
          <w:sz w:val="22"/>
        </w:rPr>
        <w:t>means representations, warranties, covenants and indemnities entered into by the Borrower or any Subsidiary that are customary for a Securitization Program.</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Subject Transaction</w:t>
      </w:r>
      <w:r>
        <w:rPr>
          <w:color w:val="000000"/>
        </w:rPr>
        <w:t xml:space="preserve">” </w:t>
      </w:r>
      <w:r>
        <w:rPr>
          <w:rFonts w:ascii="Times New Roman;sans-serif" w:hAnsi="Times New Roman;sans-serif"/>
          <w:b w:val="false"/>
          <w:color w:val="000000"/>
          <w:sz w:val="22"/>
        </w:rPr>
        <w:t>means, with respect to any Measurement Period, (a) any Permitted Acquisition or any other acquisition, whether by purchase, merger or otherwise, of all or substantially all of the assets of, or any business line, unit or division of, any Person or of a majority of the outstanding equity interests of any Person (and, in any event, including any Investment in (x) any Subsidiary of the Borrower the effect of which is to increase the equity ownership of the Borrower and its Subsidiaries in such Subsidiary or (y) any joint venture for the purpose of increasing the ownership interest of the Borrower and its Subsidiaries in such joint venture), in each case that is permitted by this Credit Agreement, (b) any Disposition of all or substantially all of the assets or equity interests of any Subsidiary of the Borrower (or any business unit, line of business or division of any Subsidiary of the Borrower) that is permitted by this Credit Agreement, (c) any incurrence or repayment of Indebtedness or (d) the making of any Restricted Payment or any other event, that by the terms of the Loan Documents requires Pro Forma Compliance with a test or covenant hereunder or requires such test or covenant to be calculated on a Pro Forma Basis or after giving Pro Forma Effect thereto.</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Subordinated Debt</w:t>
      </w:r>
      <w:r>
        <w:rPr>
          <w:color w:val="000000"/>
        </w:rPr>
        <w:t xml:space="preserve">” </w:t>
      </w:r>
      <w:r>
        <w:rPr>
          <w:rFonts w:ascii="Times New Roman;sans-serif" w:hAnsi="Times New Roman;sans-serif"/>
          <w:b w:val="false"/>
          <w:color w:val="000000"/>
          <w:sz w:val="22"/>
        </w:rPr>
        <w:t>means Indebtedness incurred by a Loan Party that is subordinated in right of payment to the prior payment of the Loan Document Obligations of such Loan Party on subordination terms acceptable to the Administrative Agent.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subsidiary</w:t>
      </w:r>
      <w:r>
        <w:rPr>
          <w:color w:val="000000"/>
        </w:rPr>
        <w:t xml:space="preserve">” </w:t>
      </w:r>
      <w:r>
        <w:rPr>
          <w:rFonts w:ascii="Times New Roman;sans-serif" w:hAnsi="Times New Roman;sans-serif"/>
          <w:b w:val="false"/>
          <w:color w:val="000000"/>
          <w:sz w:val="22"/>
        </w:rPr>
        <w:t>means, with respect to any Person (“</w:t>
      </w:r>
      <w:r>
        <w:rPr>
          <w:rFonts w:ascii="Times New Roman;sans-serif" w:hAnsi="Times New Roman;sans-serif"/>
          <w:b w:val="false"/>
          <w:color w:val="000000"/>
          <w:sz w:val="22"/>
          <w:u w:val="single"/>
        </w:rPr>
        <w:t>Topco</w:t>
      </w:r>
      <w:r>
        <w:rPr>
          <w:color w:val="000000"/>
        </w:rPr>
        <w:t>”</w:t>
      </w:r>
      <w:r>
        <w:rPr>
          <w:rFonts w:ascii="Times New Roman;sans-serif" w:hAnsi="Times New Roman;sans-serif"/>
          <w:b w:val="false"/>
          <w:color w:val="000000"/>
          <w:sz w:val="22"/>
        </w:rPr>
        <w:t>), as of any date, any corporation, limited liability company, partnership, association or other entity the accounts of which would be consolidated with those of Topco in Topco’s consolidated financial statements if such financial statements were prepared in accordance with GAAP as of such date, as well as any other corporation, limited liability company, partnership, association or other entity of which securities or other ownership interests representing more than 50% of the equity or more than 50% of the ordinary voting power is or, in the case of a partnership, more than 50% of the general partnership interests are, as of such date, owned, controlled or held by Topco or one or more subsidiaries of Topco.</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Subsidiary</w:t>
      </w:r>
      <w:r>
        <w:rPr>
          <w:color w:val="000000"/>
        </w:rPr>
        <w:t xml:space="preserve">” </w:t>
      </w:r>
      <w:r>
        <w:rPr>
          <w:rFonts w:ascii="Times New Roman;sans-serif" w:hAnsi="Times New Roman;sans-serif"/>
          <w:b w:val="false"/>
          <w:color w:val="000000"/>
          <w:sz w:val="22"/>
        </w:rPr>
        <w:t>means any direct or indirect subsidiary of the Borrower or a Loan Party, as the context may require.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Subsidiary Guarantors</w:t>
      </w:r>
      <w:r>
        <w:rPr>
          <w:color w:val="000000"/>
        </w:rPr>
        <w:t xml:space="preserve">” </w:t>
      </w:r>
      <w:r>
        <w:rPr>
          <w:rFonts w:ascii="Times New Roman;sans-serif" w:hAnsi="Times New Roman;sans-serif"/>
          <w:b w:val="false"/>
          <w:color w:val="000000"/>
          <w:sz w:val="22"/>
        </w:rPr>
        <w:t xml:space="preserve">means (x) each Subsidiary of the Borrower as of the Closing Date (other than any Excluded Subsidiary) and (y) each other Subsidiary of the Borrower that becomes a party to the Guarantee Agreement by the execution and delivery of a Subsidiary Joinder Agreement pursuant to and in accordance with </w:t>
      </w:r>
      <w:r>
        <w:rPr>
          <w:rFonts w:ascii="Times New Roman;sans-serif" w:hAnsi="Times New Roman;sans-serif"/>
          <w:b w:val="false"/>
          <w:color w:val="000000"/>
          <w:sz w:val="22"/>
          <w:u w:val="single"/>
        </w:rPr>
        <w:t>Section 6.12(a)</w:t>
      </w:r>
      <w:r>
        <w:rPr>
          <w:rFonts w:ascii="Times New Roman;sans-serif" w:hAnsi="Times New Roman;sans-serif"/>
          <w:b w:val="false"/>
          <w:color w:val="000000"/>
          <w:sz w:val="22"/>
        </w:rPr>
        <w:t>, and the permitted successors and assigns of each such Person.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Subsidiary Joinder Agreement</w:t>
      </w:r>
      <w:r>
        <w:rPr>
          <w:color w:val="000000"/>
        </w:rPr>
        <w:t xml:space="preserve">” </w:t>
      </w:r>
      <w:r>
        <w:rPr>
          <w:rFonts w:ascii="Times New Roman;sans-serif" w:hAnsi="Times New Roman;sans-serif"/>
          <w:b w:val="false"/>
          <w:color w:val="000000"/>
          <w:sz w:val="22"/>
        </w:rPr>
        <w:t xml:space="preserve">means a Subsidiary Joinder Agreement, substantially in the form of </w:t>
      </w:r>
      <w:r>
        <w:rPr>
          <w:rFonts w:ascii="Times New Roman;sans-serif" w:hAnsi="Times New Roman;sans-serif"/>
          <w:b w:val="false"/>
          <w:color w:val="000000"/>
          <w:sz w:val="22"/>
          <w:u w:val="single"/>
        </w:rPr>
        <w:t>Exhibit F</w:t>
      </w:r>
      <w:r>
        <w:rPr>
          <w:rFonts w:ascii="Times New Roman;sans-serif" w:hAnsi="Times New Roman;sans-serif"/>
          <w:b w:val="false"/>
          <w:color w:val="000000"/>
          <w:sz w:val="22"/>
        </w:rPr>
        <w:t>, pursuant to which a Subsidiary (other than an Excluded Subsidiary) becomes a party to the Guarantee Agreement, to the Security Agreement and to each other applicable Loan Document.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Swap Agreement</w:t>
      </w:r>
      <w:r>
        <w:rPr>
          <w:color w:val="000000"/>
        </w:rPr>
        <w:t xml:space="preserve">” </w:t>
      </w:r>
      <w:r>
        <w:rPr>
          <w:rFonts w:ascii="Times New Roman;sans-serif" w:hAnsi="Times New Roman;sans-serif"/>
          <w:b w:val="false"/>
          <w:color w:val="000000"/>
          <w:sz w:val="22"/>
        </w:rPr>
        <w:t xml:space="preserve">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42</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sans-serif" w:hAnsi="Times New Roman;sans-serif"/>
          <w:b w:val="false"/>
          <w:color w:val="000000"/>
          <w:sz w:val="22"/>
          <w:u w:val="single"/>
        </w:rPr>
        <w:t>Master Agreement</w:t>
      </w:r>
      <w:r>
        <w:rPr>
          <w:color w:val="000000"/>
        </w:rPr>
        <w:t>”</w:t>
      </w:r>
      <w:r>
        <w:rPr>
          <w:rFonts w:ascii="Times New Roman;sans-serif" w:hAnsi="Times New Roman;sans-serif"/>
          <w:b w:val="false"/>
          <w:color w:val="000000"/>
          <w:sz w:val="22"/>
        </w:rPr>
        <w:t>), including any such obligations or liabilities under any Master Agreement.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Swap Termination Value</w:t>
      </w:r>
      <w:r>
        <w:rPr>
          <w:color w:val="000000"/>
        </w:rPr>
        <w:t xml:space="preserve">” </w:t>
      </w:r>
      <w:r>
        <w:rPr>
          <w:rFonts w:ascii="Times New Roman;sans-serif" w:hAnsi="Times New Roman;sans-serif"/>
          <w:b w:val="false"/>
          <w:color w:val="000000"/>
          <w:sz w:val="22"/>
        </w:rPr>
        <w:t xml:space="preserve">means, in respect of any one or more Swap Agreements, after taking into account the effect of any legally enforceable netting agreement relating to such Swap Agreements, (a) for any date on or after the date such Swap Agreements have been closed out and termination value(s) determined in accordance therewith, such termination value(s), and (b) for any date prior to the date referenced in clause (a), the amount(s) determined as the mark-to-market value(s) for such Swap Agreements, as determined based upon one or more mid-market or other readily available quotations provided by any recognized dealer in such Swap Agreements (which may include a Lender or any Affiliate of a Lender).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Synthetic Debt</w:t>
      </w:r>
      <w:r>
        <w:rPr>
          <w:color w:val="000000"/>
        </w:rPr>
        <w:t xml:space="preserve">” </w:t>
      </w:r>
      <w:r>
        <w:rPr>
          <w:rFonts w:ascii="Times New Roman;sans-serif" w:hAnsi="Times New Roman;sans-serif"/>
          <w:b w:val="false"/>
          <w:color w:val="000000"/>
          <w:sz w:val="22"/>
        </w:rPr>
        <w:t>means, with respect to any Person as of any date of determination thereof, all obligations of such Person in respect of transactions entered into by such Person that are intended to function primarily as a borrowing of funds (including any minority interest transactions that function primarily as a borrowing) but are not otherwise included in the definition of “Indebtedness” or as a liability on the consolidated balance sheet of such Person and its Subsidiaries in accordance with GAAP.</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Synthetic Lease Obligation</w:t>
      </w:r>
      <w:r>
        <w:rPr>
          <w:color w:val="000000"/>
        </w:rPr>
        <w:t xml:space="preserve">” </w:t>
      </w:r>
      <w:r>
        <w:rPr>
          <w:rFonts w:ascii="Times New Roman;sans-serif" w:hAnsi="Times New Roman;sans-serif"/>
          <w:b w:val="false"/>
          <w:color w:val="000000"/>
          <w:sz w:val="22"/>
        </w:rPr>
        <w:t>means the monetary obligation of a Person at any time of determination under (i) a so called synthetic, off balance sheet or tax retention lease, or (ii) an agreement for the use or possession of property, in each case, creating obligations that do not appear on the balance sheet of such Person but which could be characterized as the indebtedness of such Person (without regard to accounting treatment) (other than operating leases arising as a result of Sale and Leaseback transactions).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Target</w:t>
      </w:r>
      <w:r>
        <w:rPr>
          <w:color w:val="000000"/>
        </w:rPr>
        <w:t xml:space="preserve">” </w:t>
      </w:r>
      <w:r>
        <w:rPr>
          <w:rFonts w:ascii="Times New Roman;sans-serif" w:hAnsi="Times New Roman;sans-serif"/>
          <w:b w:val="false"/>
          <w:color w:val="000000"/>
          <w:sz w:val="22"/>
        </w:rPr>
        <w:t>means, in the case of any acquisition, the Person, or business or all or a substantial portion of the assets of a Person, acquired in such acquisition.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Taxes</w:t>
      </w:r>
      <w:r>
        <w:rPr>
          <w:color w:val="000000"/>
        </w:rPr>
        <w:t xml:space="preserve">” </w:t>
      </w:r>
      <w:r>
        <w:rPr>
          <w:rFonts w:ascii="Times New Roman;sans-serif" w:hAnsi="Times New Roman;sans-serif"/>
          <w:b w:val="false"/>
          <w:color w:val="000000"/>
          <w:sz w:val="22"/>
        </w:rPr>
        <w:t>means all present or future taxes, levies, imposts, duties, deductions, withholdings (including backup withholding), assessments, fees or other charges imposed by any Governmental Authority, including any interest, additions to tax or penalties applicable thereto.</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Term SOFR</w:t>
      </w:r>
      <w:r>
        <w:rPr>
          <w:color w:val="000000"/>
        </w:rPr>
        <w:t xml:space="preserve">” </w:t>
      </w:r>
      <w:r>
        <w:rPr>
          <w:rFonts w:ascii="Times New Roman;sans-serif" w:hAnsi="Times New Roman;sans-serif"/>
          <w:b w:val="false"/>
          <w:color w:val="000000"/>
          <w:sz w:val="22"/>
        </w:rPr>
        <w:t xml:space="preserve">means, </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(a)    for any calculation with respect to a SOFR Loan, the Term SOFR Reference Rate for a tenor comparable to the applicable Interest Period on the day (such day, the “</w:t>
      </w:r>
      <w:r>
        <w:rPr>
          <w:rFonts w:ascii="Times New Roman;sans-serif" w:hAnsi="Times New Roman;sans-serif"/>
          <w:b w:val="false"/>
          <w:color w:val="000000"/>
          <w:sz w:val="22"/>
          <w:u w:val="single"/>
        </w:rPr>
        <w:t>Periodic Term SOFR Determination Day</w:t>
      </w:r>
      <w:r>
        <w:rPr>
          <w:color w:val="000000"/>
        </w:rPr>
        <w:t>”</w:t>
      </w:r>
      <w:r>
        <w:rPr>
          <w:rFonts w:ascii="Times New Roman;sans-serif" w:hAnsi="Times New Roman;sans-serif"/>
          <w:b w:val="false"/>
          <w:color w:val="000000"/>
          <w:sz w:val="22"/>
        </w:rPr>
        <w:t xml:space="preserve">) that is two (2) U.S. Government Securities Business Days prior to the first day of such Interest Period, as such rate is published by the Term SOFR Administrator;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43</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first preceding U.S. Government Securities Business Day is not more than three (3) U.S. Government Securities Business Days prior to such Periodic Term SOFR Determination Day, and</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(b)    for any calculation with respect to an ABR Loan on any day, the Term SOFR Reference Rate for a tenor of one month on the day (such day, the “</w:t>
      </w:r>
      <w:r>
        <w:rPr>
          <w:rFonts w:ascii="Times New Roman;sans-serif" w:hAnsi="Times New Roman;sans-serif"/>
          <w:b w:val="false"/>
          <w:color w:val="000000"/>
          <w:sz w:val="22"/>
          <w:u w:val="single"/>
        </w:rPr>
        <w:t>ABR Term SOFR Determination Day</w:t>
      </w:r>
      <w:r>
        <w:rPr>
          <w:color w:val="000000"/>
        </w:rPr>
        <w:t>”</w:t>
      </w:r>
      <w:r>
        <w:rPr>
          <w:rFonts w:ascii="Times New Roman;sans-serif" w:hAnsi="Times New Roman;sans-serif"/>
          <w:b w:val="false"/>
          <w:color w:val="000000"/>
          <w:sz w:val="22"/>
        </w:rPr>
        <w:t xml:space="preserve">) that is two (2) U.S. Government Securities Business Days prior to such day, as such rate is published by the Term SOFR Administrator;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if as of 5:00 p.m. (New York City time) on any ABR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ABR Term SOFR Determination Day. </w:t>
      </w:r>
    </w:p>
    <w:p>
      <w:pPr>
        <w:pStyle w:val="TextBody"/>
        <w:bidi w:val="0"/>
        <w:spacing w:lineRule="auto" w:line="288" w:before="0" w:after="120"/>
        <w:ind w:left="0" w:right="0" w:firstLine="720"/>
        <w:jc w:val="left"/>
        <w:rPr/>
      </w:pPr>
      <w:r>
        <w:rPr>
          <w:color w:val="000000"/>
        </w:rPr>
        <w:t>“</w:t>
      </w:r>
      <w:r>
        <w:rPr>
          <w:rFonts w:ascii="Times New Roman;sans-serif" w:hAnsi="Times New Roman;sans-serif"/>
          <w:b w:val="false"/>
          <w:color w:val="000000"/>
          <w:sz w:val="22"/>
          <w:u w:val="single"/>
        </w:rPr>
        <w:t>Term SOFR Adjustment</w:t>
      </w:r>
      <w:r>
        <w:rPr>
          <w:color w:val="000000"/>
        </w:rPr>
        <w:t xml:space="preserve">” </w:t>
      </w:r>
      <w:r>
        <w:rPr>
          <w:rFonts w:ascii="Times New Roman;sans-serif" w:hAnsi="Times New Roman;sans-serif"/>
          <w:b w:val="false"/>
          <w:color w:val="000000"/>
          <w:sz w:val="22"/>
        </w:rPr>
        <w:t>means a percentage equal to 0.10% per annum.</w:t>
      </w:r>
    </w:p>
    <w:p>
      <w:pPr>
        <w:pStyle w:val="TextBody"/>
        <w:bidi w:val="0"/>
        <w:spacing w:lineRule="auto" w:line="288" w:before="0" w:after="120"/>
        <w:ind w:left="0" w:right="0" w:firstLine="720"/>
        <w:jc w:val="left"/>
        <w:rPr/>
      </w:pPr>
      <w:r>
        <w:rPr>
          <w:color w:val="000000"/>
        </w:rPr>
        <w:t>“</w:t>
      </w:r>
      <w:r>
        <w:rPr>
          <w:rFonts w:ascii="Times New Roman;sans-serif" w:hAnsi="Times New Roman;sans-serif"/>
          <w:b w:val="false"/>
          <w:color w:val="000000"/>
          <w:sz w:val="22"/>
          <w:u w:val="single"/>
        </w:rPr>
        <w:t>Term SOFR Administrator</w:t>
      </w:r>
      <w:r>
        <w:rPr>
          <w:color w:val="000000"/>
        </w:rPr>
        <w:t xml:space="preserve">” </w:t>
      </w:r>
      <w:r>
        <w:rPr>
          <w:rFonts w:ascii="Times New Roman;sans-serif" w:hAnsi="Times New Roman;sans-serif"/>
          <w:b w:val="false"/>
          <w:color w:val="000000"/>
          <w:sz w:val="22"/>
        </w:rPr>
        <w:t xml:space="preserve">means CME Group Benchmark Administration Limited (CBA) (or a successor administrator of the Term SOFR Reference Rate selected by the Administrative Agent in its reasonable discretion). </w:t>
      </w:r>
    </w:p>
    <w:p>
      <w:pPr>
        <w:pStyle w:val="TextBody"/>
        <w:bidi w:val="0"/>
        <w:spacing w:lineRule="auto" w:line="288" w:before="0" w:after="120"/>
        <w:ind w:left="0" w:right="0" w:firstLine="720"/>
        <w:jc w:val="left"/>
        <w:rPr/>
      </w:pPr>
      <w:r>
        <w:rPr>
          <w:color w:val="000000"/>
        </w:rPr>
        <w:t>“</w:t>
      </w:r>
      <w:r>
        <w:rPr>
          <w:rFonts w:ascii="Times New Roman;sans-serif" w:hAnsi="Times New Roman;sans-serif"/>
          <w:b w:val="false"/>
          <w:color w:val="000000"/>
          <w:sz w:val="22"/>
          <w:u w:val="single"/>
        </w:rPr>
        <w:t>Term SOFR Reference Rate</w:t>
      </w:r>
      <w:r>
        <w:rPr>
          <w:color w:val="000000"/>
        </w:rPr>
        <w:t xml:space="preserve">” </w:t>
      </w:r>
      <w:r>
        <w:rPr>
          <w:rFonts w:ascii="Times New Roman;sans-serif" w:hAnsi="Times New Roman;sans-serif"/>
          <w:b w:val="false"/>
          <w:color w:val="000000"/>
          <w:sz w:val="22"/>
        </w:rPr>
        <w:t>means the forward-looking term rate based on SOFR.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Termination Date</w:t>
      </w:r>
      <w:r>
        <w:rPr>
          <w:color w:val="000000"/>
        </w:rPr>
        <w:t xml:space="preserve">” </w:t>
      </w:r>
      <w:r>
        <w:rPr>
          <w:rFonts w:ascii="Times New Roman;sans-serif" w:hAnsi="Times New Roman;sans-serif"/>
          <w:b w:val="false"/>
          <w:color w:val="000000"/>
          <w:sz w:val="22"/>
        </w:rPr>
        <w:t>means the date upon which all Commitments have terminated and the Loans, together with all interest and fees related thereto and other Loan Document Obligations (other than unasserted contingent indemnification and unasserted expense reimbursement obligations in each case not yet due and payable), have been indefeasibly paid in full in cash.</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Threshold Amount</w:t>
      </w:r>
      <w:r>
        <w:rPr>
          <w:color w:val="000000"/>
        </w:rPr>
        <w:t xml:space="preserve">” </w:t>
      </w:r>
      <w:r>
        <w:rPr>
          <w:rFonts w:ascii="Times New Roman;sans-serif" w:hAnsi="Times New Roman;sans-serif"/>
          <w:b w:val="false"/>
          <w:color w:val="000000"/>
          <w:sz w:val="22"/>
        </w:rPr>
        <w:t>means $2,000,000.</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Topco</w:t>
      </w:r>
      <w:r>
        <w:rPr>
          <w:color w:val="000000"/>
        </w:rPr>
        <w:t xml:space="preserve">” </w:t>
      </w:r>
      <w:r>
        <w:rPr>
          <w:rFonts w:ascii="Times New Roman;sans-serif" w:hAnsi="Times New Roman;sans-serif"/>
          <w:b w:val="false"/>
          <w:color w:val="000000"/>
          <w:sz w:val="22"/>
        </w:rPr>
        <w:t>has the meaning specified in the definition of “subsidiary.”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Trademark Security Agreement</w:t>
      </w:r>
      <w:r>
        <w:rPr>
          <w:color w:val="000000"/>
        </w:rPr>
        <w:t xml:space="preserve">” </w:t>
      </w:r>
      <w:r>
        <w:rPr>
          <w:rFonts w:ascii="Times New Roman;sans-serif" w:hAnsi="Times New Roman;sans-serif"/>
          <w:b w:val="false"/>
          <w:color w:val="000000"/>
          <w:sz w:val="22"/>
        </w:rPr>
        <w:t>has the meaning set forth in the Security Agreement.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Transaction Expenses</w:t>
      </w:r>
      <w:r>
        <w:rPr>
          <w:color w:val="000000"/>
        </w:rPr>
        <w:t xml:space="preserve">” </w:t>
      </w:r>
      <w:r>
        <w:rPr>
          <w:rFonts w:ascii="Times New Roman;sans-serif" w:hAnsi="Times New Roman;sans-serif"/>
          <w:b w:val="false"/>
          <w:color w:val="000000"/>
          <w:sz w:val="22"/>
        </w:rPr>
        <w:t>means any fees, premiums, expenses or other costs incurred or paid by the Borrower or any Subsidiary in connection with the Transactions, this Credit Agreement and the other Loan Documents and the transactions contemplated hereby and thereby in connection therewith (together with all amendments, waivers and consents with regards thereto from time to time).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Transactions</w:t>
      </w:r>
      <w:r>
        <w:rPr>
          <w:color w:val="000000"/>
        </w:rPr>
        <w:t xml:space="preserve">” </w:t>
      </w:r>
      <w:r>
        <w:rPr>
          <w:rFonts w:ascii="Times New Roman;sans-serif" w:hAnsi="Times New Roman;sans-serif"/>
          <w:b w:val="false"/>
          <w:color w:val="000000"/>
          <w:sz w:val="22"/>
        </w:rPr>
        <w:t>means (a) the execution, delivery and performance by each Loan Party of each Loan Document to which it is a party, (b) the borrowing of the Loans on the Closing Date, (c) the use of the proceeds of the Loans, (d) the satisfaction of the Collateral and Guarantee Requirement and (e) the payment of Transaction Expenses.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Treasury Rate</w:t>
      </w:r>
      <w:r>
        <w:rPr>
          <w:color w:val="000000"/>
        </w:rPr>
        <w:t xml:space="preserve">” </w:t>
      </w:r>
      <w:r>
        <w:rPr>
          <w:rFonts w:ascii="Times New Roman;sans-serif" w:hAnsi="Times New Roman;sans-serif"/>
          <w:b w:val="false"/>
          <w:color w:val="000000"/>
          <w:sz w:val="22"/>
        </w:rPr>
        <w:t xml:space="preserve">means, for any Make-Whole Prepayment Date, the yield to maturity at the time of computation of United States Treasury securities with a constant maturity (as compiled and published in the most recent Federal Reserve Statistical Release H.15(519) that has become publicly available at least two Business Days prior to the Make-Whole Prepayment Date (or, if such Statistical Release is no longer published or the relevant information does not appear thereon, any publicly available source of similar market data)) most nearly equal to the period from the Make-Whole Prepayment Date to the first </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44</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anniversary of the Closing Date;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if the period from the Make-Whole Prepayment Date to the first anniversary of the Closing Date is not equal to the constant maturity of a United States Treasury security for which a weekly average yield is given, the Treasury Rate shall be obtained by linear interpolation (calculated to the nearest one-twelfth of a year) from the weekly average yields of United States Treasury securities for which such yields are given, except that if the period from the Make-Whole Prepayment Date to the first anniversary of the Closing Date is less than one year, the weekly average yield on actively traded United States Treasury securities adjusted to a constant maturity of one year shall be used.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Type</w:t>
      </w:r>
      <w:r>
        <w:rPr>
          <w:rFonts w:ascii="Times New Roman;sans-serif" w:hAnsi="Times New Roman;sans-serif"/>
          <w:b w:val="false"/>
          <w:color w:val="000000"/>
          <w:sz w:val="22"/>
        </w:rPr>
        <w:t>,” when used in reference to any Loan or Borrowing, refers to whether the rate of interest on such Loan, or on the Loans comprising such Borrowing, is determined by reference to Adjusted Term SOFR or the Alternate Base Rate.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UK Financial Institution</w:t>
      </w:r>
      <w:r>
        <w:rPr>
          <w:color w:val="000000"/>
        </w:rPr>
        <w:t xml:space="preserve">” </w:t>
      </w:r>
      <w:r>
        <w:rPr>
          <w:rFonts w:ascii="Times New Roman;sans-serif" w:hAnsi="Times New Roman;sans-serif"/>
          <w:b w:val="false"/>
          <w:color w:val="000000"/>
          <w:sz w:val="22"/>
        </w:rPr>
        <w:t>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UK Resolution Authority</w:t>
      </w:r>
      <w:r>
        <w:rPr>
          <w:color w:val="000000"/>
        </w:rPr>
        <w:t xml:space="preserve">” </w:t>
      </w:r>
      <w:r>
        <w:rPr>
          <w:rFonts w:ascii="Times New Roman;sans-serif" w:hAnsi="Times New Roman;sans-serif"/>
          <w:b w:val="false"/>
          <w:color w:val="000000"/>
          <w:sz w:val="22"/>
        </w:rPr>
        <w:t>means the Bank of England or any other public administrative authority having responsibility for the resolution of any UK Financial Institution.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Unadjusted Benchmark Replacement</w:t>
      </w:r>
      <w:r>
        <w:rPr>
          <w:color w:val="000000"/>
        </w:rPr>
        <w:t xml:space="preserve">” </w:t>
      </w:r>
      <w:r>
        <w:rPr>
          <w:rFonts w:ascii="Times New Roman;sans-serif" w:hAnsi="Times New Roman;sans-serif"/>
          <w:b w:val="false"/>
          <w:color w:val="000000"/>
          <w:sz w:val="22"/>
        </w:rPr>
        <w:t>means the applicable Benchmark Replacement excluding the related Benchmark Replacement Adjustment.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Unaudited Financial Statements</w:t>
      </w:r>
      <w:r>
        <w:rPr>
          <w:color w:val="000000"/>
        </w:rPr>
        <w:t xml:space="preserve">” </w:t>
      </w:r>
      <w:r>
        <w:rPr>
          <w:rFonts w:ascii="Times New Roman;sans-serif" w:hAnsi="Times New Roman;sans-serif"/>
          <w:b w:val="false"/>
          <w:color w:val="000000"/>
          <w:sz w:val="22"/>
        </w:rPr>
        <w:t xml:space="preserve">means the Borrower’s quarterly report on Form 10-Q containing the unaudited consolidated balance sheets and related statements of income, comprehensive income, changes in equity and cash flows of the Borrower and its Subsidiaries, covering any of the first three Fiscal Quarters that have ended after the most recent Fiscal Year covered by the Audited Financial Statements and at least forty five (45) days before the Closing Date.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Uniform Commercial Code</w:t>
      </w:r>
      <w:r>
        <w:rPr>
          <w:color w:val="000000"/>
        </w:rPr>
        <w:t xml:space="preserve">” </w:t>
      </w:r>
      <w:r>
        <w:rPr>
          <w:rFonts w:ascii="Times New Roman;sans-serif" w:hAnsi="Times New Roman;sans-serif"/>
          <w:b w:val="false"/>
          <w:color w:val="000000"/>
          <w:sz w:val="22"/>
        </w:rPr>
        <w:t>or “</w:t>
      </w:r>
      <w:r>
        <w:rPr>
          <w:rFonts w:ascii="Times New Roman;sans-serif" w:hAnsi="Times New Roman;sans-serif"/>
          <w:b w:val="false"/>
          <w:color w:val="000000"/>
          <w:sz w:val="22"/>
          <w:u w:val="single"/>
        </w:rPr>
        <w:t>UCC</w:t>
      </w:r>
      <w:r>
        <w:rPr>
          <w:color w:val="000000"/>
        </w:rPr>
        <w:t xml:space="preserve">” </w:t>
      </w:r>
      <w:r>
        <w:rPr>
          <w:rFonts w:ascii="Times New Roman;sans-serif" w:hAnsi="Times New Roman;sans-serif"/>
          <w:b w:val="false"/>
          <w:color w:val="000000"/>
          <w:sz w:val="22"/>
        </w:rPr>
        <w:t xml:space="preserve">means the Uniform Commercial Code as the same may from time to time be in effect in the State of New York;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if perfection or the effect of perfection or non-perfection or the priority of any security interest in any Collateral is governed by the Uniform Commercial Code as in effect in a jurisdiction other than the State of New York, “Uniform Commercial Code” or “UCC” means the Uniform Commercial Code as in effect from time to time in such other jurisdiction for purposes of the provisions hereof relating to such perfection, effect of perfection or non-perfection or priority.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United States</w:t>
      </w:r>
      <w:r>
        <w:rPr>
          <w:color w:val="000000"/>
        </w:rPr>
        <w:t xml:space="preserve">” </w:t>
      </w:r>
      <w:r>
        <w:rPr>
          <w:rFonts w:ascii="Times New Roman;sans-serif" w:hAnsi="Times New Roman;sans-serif"/>
          <w:b w:val="false"/>
          <w:color w:val="000000"/>
          <w:sz w:val="22"/>
        </w:rPr>
        <w:t>and “</w:t>
      </w:r>
      <w:r>
        <w:rPr>
          <w:rFonts w:ascii="Times New Roman;sans-serif" w:hAnsi="Times New Roman;sans-serif"/>
          <w:b w:val="false"/>
          <w:color w:val="000000"/>
          <w:sz w:val="22"/>
          <w:u w:val="single"/>
        </w:rPr>
        <w:t>U.S.</w:t>
      </w:r>
      <w:r>
        <w:rPr>
          <w:color w:val="000000"/>
        </w:rPr>
        <w:t xml:space="preserve">” </w:t>
      </w:r>
      <w:r>
        <w:rPr>
          <w:rFonts w:ascii="Times New Roman;sans-serif" w:hAnsi="Times New Roman;sans-serif"/>
          <w:b w:val="false"/>
          <w:color w:val="000000"/>
          <w:sz w:val="22"/>
        </w:rPr>
        <w:t>mean the United States of America.</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Unrestricted Cash</w:t>
      </w:r>
      <w:r>
        <w:rPr>
          <w:color w:val="000000"/>
        </w:rPr>
        <w:t xml:space="preserve">” </w:t>
      </w:r>
      <w:r>
        <w:rPr>
          <w:rFonts w:ascii="Times New Roman;sans-serif" w:hAnsi="Times New Roman;sans-serif"/>
          <w:b w:val="false"/>
          <w:color w:val="000000"/>
          <w:sz w:val="22"/>
        </w:rPr>
        <w:t>means, as of any date of determination, the cash and Cash Equivalents of the Borrower and the other Loan Parties that is maintained in a Controlled Account or is otherwise “restricted” in favor of the Administrative Agent for the benefit of the Secured Parties.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USA PATRIOT Act</w:t>
      </w:r>
      <w:r>
        <w:rPr>
          <w:color w:val="000000"/>
        </w:rPr>
        <w:t xml:space="preserve">” </w:t>
      </w:r>
      <w:r>
        <w:rPr>
          <w:rFonts w:ascii="Times New Roman;sans-serif" w:hAnsi="Times New Roman;sans-serif"/>
          <w:b w:val="false"/>
          <w:color w:val="000000"/>
          <w:sz w:val="22"/>
        </w:rPr>
        <w:t>means The Uniting and Strengthening America by Providing Appropriate Tools Required to Intercept and Obstruct Terrorism Act of 2001 (Title III of Pub. L. No. 107-56 (signed into law October 26, 2001)).</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45</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U.S. Government Securities Business Day</w:t>
      </w:r>
      <w:r>
        <w:rPr>
          <w:color w:val="000000"/>
        </w:rPr>
        <w:t xml:space="preserve">” </w:t>
      </w:r>
      <w:r>
        <w:rPr>
          <w:rFonts w:ascii="Times New Roman;sans-serif" w:hAnsi="Times New Roman;sans-serif"/>
          <w:b w:val="false"/>
          <w:color w:val="000000"/>
          <w:sz w:val="22"/>
        </w:rPr>
        <w:t>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U.S. Person</w:t>
      </w:r>
      <w:r>
        <w:rPr>
          <w:color w:val="000000"/>
        </w:rPr>
        <w:t xml:space="preserve">” </w:t>
      </w:r>
      <w:r>
        <w:rPr>
          <w:rFonts w:ascii="Times New Roman;sans-serif" w:hAnsi="Times New Roman;sans-serif"/>
          <w:b w:val="false"/>
          <w:color w:val="000000"/>
          <w:sz w:val="22"/>
        </w:rPr>
        <w:t>means any Person that is a “United States Person” as defined in Section 7701(a)(30) of the Code.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U.S. Tax Compliance Certificate</w:t>
      </w:r>
      <w:r>
        <w:rPr>
          <w:color w:val="000000"/>
        </w:rPr>
        <w:t xml:space="preserve">” </w:t>
      </w:r>
      <w:r>
        <w:rPr>
          <w:rFonts w:ascii="Times New Roman;sans-serif" w:hAnsi="Times New Roman;sans-serif"/>
          <w:b w:val="false"/>
          <w:color w:val="000000"/>
          <w:sz w:val="22"/>
        </w:rPr>
        <w:t xml:space="preserve">has the meaning assigned to such term in </w:t>
      </w:r>
      <w:r>
        <w:rPr>
          <w:rFonts w:ascii="Times New Roman;sans-serif" w:hAnsi="Times New Roman;sans-serif"/>
          <w:b w:val="false"/>
          <w:color w:val="000000"/>
          <w:sz w:val="22"/>
          <w:u w:val="single"/>
        </w:rPr>
        <w:t>Section 3.6(g)(ii)(B)(3)</w:t>
      </w:r>
      <w:r>
        <w:rPr>
          <w:rFonts w:ascii="Times New Roman;sans-serif" w:hAnsi="Times New Roman;sans-serif"/>
          <w:b w:val="false"/>
          <w:color w:val="000000"/>
          <w:sz w:val="22"/>
        </w:rPr>
        <w:t>.</w:t>
      </w:r>
    </w:p>
    <w:p>
      <w:pPr>
        <w:pStyle w:val="TextBody"/>
        <w:bidi w:val="0"/>
        <w:spacing w:lineRule="auto" w:line="288" w:before="0" w:after="120"/>
        <w:ind w:left="0" w:right="0" w:firstLine="720"/>
        <w:jc w:val="left"/>
        <w:rPr/>
      </w:pPr>
      <w:r>
        <w:rPr>
          <w:color w:val="000000"/>
        </w:rPr>
        <w:t>“</w:t>
      </w:r>
      <w:r>
        <w:rPr>
          <w:rFonts w:ascii="Times New Roman;sans-serif" w:hAnsi="Times New Roman;sans-serif"/>
          <w:b w:val="false"/>
          <w:color w:val="000000"/>
          <w:sz w:val="22"/>
          <w:u w:val="single"/>
        </w:rPr>
        <w:t>[***]</w:t>
      </w:r>
      <w:r>
        <w:rPr>
          <w:color w:val="000000"/>
        </w:rPr>
        <w:t xml:space="preserve">” </w:t>
      </w:r>
      <w:r>
        <w:rPr>
          <w:rFonts w:ascii="Times New Roman;sans-serif" w:hAnsi="Times New Roman;sans-serif"/>
          <w:b w:val="false"/>
          <w:color w:val="000000"/>
          <w:sz w:val="22"/>
        </w:rPr>
        <w:t>means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 Contract</w:t>
      </w:r>
      <w:r>
        <w:rPr>
          <w:color w:val="000000"/>
        </w:rPr>
        <w:t xml:space="preserve">” </w:t>
      </w:r>
      <w:r>
        <w:rPr>
          <w:rFonts w:ascii="Times New Roman;sans-serif" w:hAnsi="Times New Roman;sans-serif"/>
          <w:b w:val="false"/>
          <w:color w:val="000000"/>
          <w:sz w:val="22"/>
        </w:rPr>
        <w:t xml:space="preserve">means a material customer contract between the Borrower or any of its Subsidiaries, on the one hand, and [***] or any of its subsidiaries or affiliates, on the other hand.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Voting Equity Interests</w:t>
      </w:r>
      <w:r>
        <w:rPr>
          <w:color w:val="000000"/>
        </w:rPr>
        <w:t xml:space="preserve">” </w:t>
      </w:r>
      <w:r>
        <w:rPr>
          <w:rFonts w:ascii="Times New Roman;sans-serif" w:hAnsi="Times New Roman;sans-serif"/>
          <w:b w:val="false"/>
          <w:color w:val="000000"/>
          <w:sz w:val="22"/>
        </w:rPr>
        <w:t>means, with respect to any Person, shares of such Person’s Equity Interests having the right to vote for the election of the members of the board of directors or other managing person of such Person under ordinary circumstances.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Weekly Liquidity</w:t>
      </w:r>
      <w:r>
        <w:rPr>
          <w:color w:val="000000"/>
        </w:rPr>
        <w:t xml:space="preserve">” </w:t>
      </w:r>
      <w:r>
        <w:rPr>
          <w:rFonts w:ascii="Times New Roman;sans-serif" w:hAnsi="Times New Roman;sans-serif"/>
          <w:b w:val="false"/>
          <w:color w:val="000000"/>
          <w:sz w:val="22"/>
        </w:rPr>
        <w:t>means, with respect to any Calendar Week, Liquidity as of the close of business on Friday in such Calendar Week.</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Weighted Average Life to Maturity</w:t>
      </w:r>
      <w:r>
        <w:rPr>
          <w:color w:val="000000"/>
        </w:rPr>
        <w:t xml:space="preserve">” </w:t>
      </w:r>
      <w:r>
        <w:rPr>
          <w:rFonts w:ascii="Times New Roman;sans-serif" w:hAnsi="Times New Roman;sans-serif"/>
          <w:b w:val="false"/>
          <w:color w:val="000000"/>
          <w:sz w:val="22"/>
        </w:rPr>
        <w:t>means, when applied to any Indebtedness at any date, the number of years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by (b) the then outstanding principal amount of such Indebtedness.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Wholly-Owned</w:t>
      </w:r>
      <w:r>
        <w:rPr>
          <w:color w:val="000000"/>
        </w:rPr>
        <w:t xml:space="preserve">” </w:t>
      </w:r>
      <w:r>
        <w:rPr>
          <w:rFonts w:ascii="Times New Roman;sans-serif" w:hAnsi="Times New Roman;sans-serif"/>
          <w:b w:val="false"/>
          <w:color w:val="000000"/>
          <w:sz w:val="22"/>
        </w:rPr>
        <w:t>means, with respect to a subsidiary of a Person, a subsidiary of such Person all of the outstanding Equity Interests of which (other than (x) director’s qualifying shares and (y) shares issued to foreign nationals to the extent required by applicable law) are owned directly by such Person and/or indirectly by one or more Wholly-Owned subsidiaries of such Person.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Withdrawal Liability</w:t>
      </w:r>
      <w:r>
        <w:rPr>
          <w:color w:val="000000"/>
        </w:rPr>
        <w:t xml:space="preserve">” </w:t>
      </w:r>
      <w:r>
        <w:rPr>
          <w:rFonts w:ascii="Times New Roman;sans-serif" w:hAnsi="Times New Roman;sans-serif"/>
          <w:b w:val="false"/>
          <w:color w:val="000000"/>
          <w:sz w:val="22"/>
        </w:rPr>
        <w:t>means a liability to a Multiemployer Plan as a result of a complete or partial withdrawal from such Multiemployer Plan, as such terms are defined in Part I of Subtitle E of Title IV of ERISA.</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Withholding Agent</w:t>
      </w:r>
      <w:r>
        <w:rPr>
          <w:color w:val="000000"/>
        </w:rPr>
        <w:t xml:space="preserve">” </w:t>
      </w:r>
      <w:r>
        <w:rPr>
          <w:rFonts w:ascii="Times New Roman;sans-serif" w:hAnsi="Times New Roman;sans-serif"/>
          <w:b w:val="false"/>
          <w:color w:val="000000"/>
          <w:sz w:val="22"/>
        </w:rPr>
        <w:t>means any Loan Party, the Administrative Agent and any other applicable withholding agent.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Working Capital</w:t>
      </w:r>
      <w:r>
        <w:rPr>
          <w:color w:val="000000"/>
        </w:rPr>
        <w:t xml:space="preserve">” </w:t>
      </w:r>
      <w:r>
        <w:rPr>
          <w:rFonts w:ascii="Times New Roman;sans-serif" w:hAnsi="Times New Roman;sans-serif"/>
          <w:b w:val="false"/>
          <w:color w:val="000000"/>
          <w:sz w:val="22"/>
        </w:rPr>
        <w:t xml:space="preserve">means, for any Person at any date, its Consolidated Current Assets at such date </w:t>
      </w:r>
      <w:r>
        <w:rPr>
          <w:rFonts w:ascii="Times New Roman;sans-serif" w:hAnsi="Times New Roman;sans-serif"/>
          <w:b w:val="false"/>
          <w:color w:val="000000"/>
          <w:sz w:val="22"/>
          <w:u w:val="single"/>
        </w:rPr>
        <w:t>minus</w:t>
      </w:r>
      <w:r>
        <w:rPr>
          <w:color w:val="000000"/>
        </w:rPr>
        <w:t xml:space="preserve"> </w:t>
      </w:r>
      <w:r>
        <w:rPr>
          <w:rFonts w:ascii="Times New Roman;sans-serif" w:hAnsi="Times New Roman;sans-serif"/>
          <w:b w:val="false"/>
          <w:color w:val="000000"/>
          <w:sz w:val="22"/>
        </w:rPr>
        <w:t xml:space="preserve">its Consolidated Current Liabilities at such date;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for purposes of calculating Excess Cash Flow, increases or decreases in Working Capital shall exclude, without duplication, (a) the impact of any of the items adjusted for in the definition of “Consolidated EBITDA” and (b) any changes in current assets or current liabilities as a result of (x) any reclassification in accordance with GAAP of assets or liabilities, as applicable, between current and noncurrent or (y) the effects of purchase accounting adjustments;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xml:space="preserve">, that, to the extent the Borrower or any of its Subsidiaries </w:t>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46</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consummates an Acquisition during such period, beginning of period working capital shall be recalculated on a pro forma basis to include working capital acquired in such Acquisition.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Write-Down and Conversion Powers</w:t>
      </w:r>
      <w:r>
        <w:rPr>
          <w:color w:val="000000"/>
        </w:rPr>
        <w:t xml:space="preserve">” </w:t>
      </w:r>
      <w:r>
        <w:rPr>
          <w:rFonts w:ascii="Times New Roman;sans-serif" w:hAnsi="Times New Roman;sans-serif"/>
          <w:b w:val="false"/>
          <w:color w:val="000000"/>
          <w:sz w:val="22"/>
        </w:rPr>
        <w:t>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1.2</w:t>
      </w:r>
      <w:r>
        <w:rPr>
          <w:rFonts w:ascii="Times New Roman;sans-serif" w:hAnsi="Times New Roman;sans-serif"/>
          <w:b w:val="false"/>
          <w:color w:val="000000"/>
          <w:sz w:val="22"/>
          <w:u w:val="single"/>
        </w:rPr>
        <w:t>Rates</w:t>
      </w:r>
      <w:r>
        <w:rPr>
          <w:rFonts w:ascii="Times New Roman;sans-serif" w:hAnsi="Times New Roman;sans-serif"/>
          <w:b w:val="false"/>
          <w:color w:val="000000"/>
          <w:sz w:val="22"/>
        </w:rPr>
        <w:t>. The Administrative Agent does not warrant or accept responsibility for, and shall not have any liability with respect to (a) the continuation of, administration of, submission of, calculation of or any other matter related to the Alternate Base Rate, the Term SOFR Reference Rate, Adjusted Term SOFR or Term SOFR,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the Alternate Base Rate, the Term SOFR Reference Rate, Adjusted Term SOFR, Term SOFR or any other Benchmark prior to its discontinuance or unavailability, or (b) the effect, implementation or composition of any Conforming Changes. The Administrative Agent and its affiliates or other related entities may engage in transactions that affect the calculation of the Alternate Base Rate, the Term SOFR Reference Rate, Adjusted Term SOFR, Term SOFR, any alternative, successor or replacement rate (including any Benchmark Replacement) or any relevant adjustments thereto, in each case, in a manner adverse to the Borrower. The Administrative Agent may select information sources or services in its reasonable discretion to ascertain the Alternate Base Rate, the Term SOFR Reference Rate, Term SOFR, Adjusted Term SOFR or any other Benchmark, in each case pursuant to the terms of this Credit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1.3</w:t>
      </w:r>
      <w:r>
        <w:rPr>
          <w:rFonts w:ascii="Times New Roman;sans-serif" w:hAnsi="Times New Roman;sans-serif"/>
          <w:b w:val="false"/>
          <w:color w:val="000000"/>
          <w:sz w:val="22"/>
          <w:u w:val="single"/>
        </w:rPr>
        <w:t>Terms Generally</w:t>
      </w:r>
      <w:r>
        <w:rPr>
          <w:rFonts w:ascii="Times New Roman;sans-serif" w:hAnsi="Times New Roman;sans-serif"/>
          <w:b w:val="false"/>
          <w:color w:val="000000"/>
          <w:sz w:val="22"/>
        </w:rPr>
        <w:t xml:space="preserve">.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In the computation of periods of time from a specified date to a later specified date, the word “from” means “from and including”; the words “to” and “until” each mean “to but excluding”; and the word “through” means “to and including.” Unless the context requires otherwise (a) any definition of or reference to any agreement, instrument or other document herein shall be construed as referring to such agreement, instrument or other document as from time to time amended, restated, supplemented or otherwise modified (subject to any restrictions on such amendments, restatements, supplements or modifications set forth herein), (b) any reference herein to any Person shall be construed to include such Person’s successors and assigns, (c) the words “herein,” “hereof” and “hereunder,” and words of similar import, shall be construed to refer to this Credit </w:t>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47</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Agreement in its entirety and not to any particular provision hereof, (d) all references herein to Articles, Sections, Exhibits and Schedules shall be construed to refer to Articles and Sections of, and Exhibits and Schedules to, this Credit Agreement, (e) any reference to any law or regulation herein shall, unless otherwise specified, refer to such law or regulation as amended, modified or supplemented from time to time, and (f) the words “asset” and “property” shall be construed to have the same meaning and effect and to refer to any and all tangible and intangible assets and properties, including cash, securities, accounts and contract rights. Any terms used in this Credit Agreement that are defined in the UCC shall be construed and defined as set forth in the UCC unless otherwise defined herein;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to the extent that the UCC is used to define any term herein and such term is defined differently in different Articles of the UCC, the definition of such term contained in Article 9 of the UCC shall govern.</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1.4</w:t>
      </w:r>
      <w:r>
        <w:rPr>
          <w:rFonts w:ascii="Times New Roman;sans-serif" w:hAnsi="Times New Roman;sans-serif"/>
          <w:b w:val="false"/>
          <w:color w:val="000000"/>
          <w:sz w:val="22"/>
          <w:u w:val="single"/>
        </w:rPr>
        <w:t>Accounting Terms; GAAP</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All accounting terms not specifically or completely defined herein shall be construed in conformity with, and all financial data (including financial ratios and other financial calculations) required to be submitted pursuant to this Credit Agreement shall be prepared in conformity with, GAAP, applied in a manner consistent with that used in preparing the Audited Financial Statements, except as otherwise specifically prescribed herein.</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Notwithstanding anything to the contrary herein, for purposes of determining compliance with any test contained in this Credit Agreement with respect to any period during which any Specified Transaction occurs, the Consolidated Secured Leverage Ratio shall be calculated with respect to such period and all Specified Transactions occurring during such period on a Pro Forma Basis.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 xml:space="preserve">If at any time any change in GAAP would affect the computation of any financial ratio or requirement set forth in any Loan Document, and either the Borrower or the Required Lenders shall so request, the Administrative Agent, the Lenders and the Borrower shall negotiate in good faith to amend such ratio or requirement to preserve the original intent thereof in light of such change in GAAP (subject to the approval of the Required Lenders);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until so amended, (i) such ratio or requirement shall continue to be computed in accordance with GAAP prior to such change therein and (ii) the Borrower shall provide to the Administrative Agent and the Lenders financial statements and other documents required under this Credit Agreement or as reasonably requested hereunder setting forth a reconciliation between calculations of such ratio or requirement made before and after giving effect to such change in GAAP.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Notwithstanding anything to the contrary herein or any changes in GAAP after the Closing Date, any lease of the Loan Parties and their Subsidiaries that would be characterized as an operating lease under GAAP in effect prior to December 15, 2018 (whether such lease is entered into before or after the Closing Date, and without giving effect to any applicable implementation of GAAP pending but not in effect on the Closing Date) shall not constitute Indebtedness, Attributable Indebtedness or a Financing Lease Obligation under this Credit Agreement or any other Loan Document as a result of such changes in GAAP.</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1.5</w:t>
      </w:r>
      <w:r>
        <w:rPr>
          <w:rFonts w:ascii="Times New Roman;sans-serif" w:hAnsi="Times New Roman;sans-serif"/>
          <w:b w:val="false"/>
          <w:color w:val="000000"/>
          <w:sz w:val="22"/>
          <w:u w:val="single"/>
        </w:rPr>
        <w:t>Rounding</w:t>
      </w:r>
      <w:r>
        <w:rPr>
          <w:rFonts w:ascii="Times New Roman;sans-serif" w:hAnsi="Times New Roman;sans-serif"/>
          <w:b w:val="false"/>
          <w:color w:val="000000"/>
          <w:sz w:val="22"/>
        </w:rPr>
        <w:t>. Any financial ratios required to be maintained by the Borrower pursuant to this Credit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48</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1.6</w:t>
      </w:r>
      <w:r>
        <w:rPr>
          <w:rFonts w:ascii="Times New Roman;sans-serif" w:hAnsi="Times New Roman;sans-serif"/>
          <w:b w:val="false"/>
          <w:color w:val="000000"/>
          <w:sz w:val="22"/>
          <w:u w:val="single"/>
        </w:rPr>
        <w:t>References to Time</w:t>
      </w:r>
      <w:r>
        <w:rPr>
          <w:rFonts w:ascii="Times New Roman;sans-serif" w:hAnsi="Times New Roman;sans-serif"/>
          <w:b w:val="false"/>
          <w:color w:val="000000"/>
          <w:sz w:val="22"/>
        </w:rPr>
        <w:t>. Unless the context otherwise requires, references to a time shall refer to Eastern Standard Time or Eastern Daylight Savings Time, as applicable.</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1.7</w:t>
      </w:r>
      <w:r>
        <w:rPr>
          <w:rFonts w:ascii="Times New Roman;sans-serif" w:hAnsi="Times New Roman;sans-serif"/>
          <w:b w:val="false"/>
          <w:color w:val="000000"/>
          <w:sz w:val="22"/>
          <w:u w:val="single"/>
        </w:rPr>
        <w:t>Resolution of Drafting Ambiguities</w:t>
      </w:r>
      <w:r>
        <w:rPr>
          <w:rFonts w:ascii="Times New Roman;sans-serif" w:hAnsi="Times New Roman;sans-serif"/>
          <w:b w:val="false"/>
          <w:color w:val="000000"/>
          <w:sz w:val="22"/>
        </w:rPr>
        <w:t>. Each Loan Party acknowledges and agrees that it was represented by counsel in connection with the execution and delivery of the Loan Documents to which it is a party, that it and its counsel reviewed and participated in the preparation and negotiation hereof and thereof and that any rule of construction to the effect that ambiguities are to be resolved against the drafting party shall not be employed in the interpretation hereof or thereof.</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1.8</w:t>
      </w:r>
      <w:r>
        <w:rPr>
          <w:rFonts w:ascii="Times New Roman;sans-serif" w:hAnsi="Times New Roman;sans-serif"/>
          <w:b w:val="false"/>
          <w:color w:val="000000"/>
          <w:sz w:val="22"/>
          <w:u w:val="single"/>
        </w:rPr>
        <w:t>Status of Loan Document Obligations</w:t>
      </w:r>
      <w:r>
        <w:rPr>
          <w:rFonts w:ascii="Times New Roman;sans-serif" w:hAnsi="Times New Roman;sans-serif"/>
          <w:b w:val="false"/>
          <w:color w:val="000000"/>
          <w:sz w:val="22"/>
        </w:rPr>
        <w:t>. In the event that any Loan Party shall at any time issue or have outstanding any Subordinated Debt, the Borrower shall take or cause each other Loan Party to take all such actions (including causing such Subordinated Debt to be subject to a subordination agreement in form and substance reasonably satisfactory to the Administrative Agent) as shall be necessary to cause the Secured Obligations to constitute senior indebtedness (however denominated) in respect of such Subordinated Debt and to enable the Administrative Agent and the Lenders to have and exercise any payment blockage or other remedies available or potentially available to holders of senior indebtedness under the terms of such Subordinated Debt. Without limiting the foregoing, the Secured Obligations are hereby designated as “senior indebtedness” and as “designated senior indebtedness” and words of similar import under and in respect of any Restricted Junior Debt Documents under which such Subordinated Debt is issued and are further given all such other designations as shall be required under the terms of any such Subordinated Debt in order that the Administrative Agent and the Lenders may have and exercise any payment blockage or other remedies available or potentially available to holders of senior indebtedness under the terms of such Subordinated Debt. Each of the Secured Parties authorizes the Administrative Agent, on behalf of the Secured Parties, to enter into any subordination agreement in form and substance reasonably satisfactory to the Administrative Agent to subordinate such Subordinated Debt to the Loan Document Obligations.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1.9</w:t>
      </w:r>
      <w:r>
        <w:rPr>
          <w:rFonts w:ascii="Times New Roman;sans-serif" w:hAnsi="Times New Roman;sans-serif"/>
          <w:b w:val="false"/>
          <w:color w:val="000000"/>
          <w:sz w:val="22"/>
          <w:u w:val="single"/>
        </w:rPr>
        <w:t>LLC Divisions</w:t>
      </w:r>
      <w:r>
        <w:rPr>
          <w:rFonts w:ascii="Times New Roman;sans-serif" w:hAnsi="Times New Roman;sans-serif"/>
          <w:b w:val="false"/>
          <w:color w:val="000000"/>
          <w:sz w:val="22"/>
        </w:rPr>
        <w:t xml:space="preserve">.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 Notwithstanding anything herein or any other Loan Document to the contrary, in the event that any Loan Party that is a limited liability company divides itself into two or more limited liability companies or series thereof, any limited liability companies or series thereof formed as a result of such division shall be required to comply with the obligations set forth in </w:t>
      </w:r>
      <w:r>
        <w:rPr>
          <w:rFonts w:ascii="Times New Roman;sans-serif" w:hAnsi="Times New Roman;sans-serif"/>
          <w:b w:val="false"/>
          <w:color w:val="000000"/>
          <w:sz w:val="22"/>
          <w:u w:val="single"/>
        </w:rPr>
        <w:t>Section 6.12</w:t>
      </w:r>
      <w:r>
        <w:rPr>
          <w:color w:val="000000"/>
        </w:rPr>
        <w:t xml:space="preserve"> </w:t>
      </w:r>
      <w:r>
        <w:rPr>
          <w:rFonts w:ascii="Times New Roman;sans-serif" w:hAnsi="Times New Roman;sans-serif"/>
          <w:b w:val="false"/>
          <w:color w:val="000000"/>
          <w:sz w:val="22"/>
        </w:rPr>
        <w:t>and the other further assurances obligations set forth in the Loan Documents and become a Guarantor under this Credit Agreement and the other Loan Documents.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1.10</w:t>
      </w:r>
      <w:r>
        <w:rPr>
          <w:rFonts w:ascii="Times New Roman;sans-serif" w:hAnsi="Times New Roman;sans-serif"/>
          <w:b w:val="false"/>
          <w:color w:val="000000"/>
          <w:sz w:val="22"/>
          <w:u w:val="single"/>
        </w:rPr>
        <w:t>Cashless Settlement</w:t>
      </w:r>
      <w:r>
        <w:rPr>
          <w:rFonts w:ascii="Times New Roman;sans-serif" w:hAnsi="Times New Roman;sans-serif"/>
          <w:b w:val="false"/>
          <w:color w:val="000000"/>
          <w:sz w:val="22"/>
        </w:rPr>
        <w:t>. Notwithstanding anything to the contrary contained in this Credit Agreement, any Lender may exchange, continue or rollover all or a portion of its Loans in connection with any refinancing, extension, loan modification or similar transaction permitted by the terms of this Credit Agreement, pursuant to a cashless settlement mechanism approved by the Borrower, the Administrative Agent and such Lender.</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49</w:t>
                      </w:r>
                    </w:p>
                  </w:txbxContent>
                </v:textbox>
                <w10:wrap type="none"/>
              </v:rect>
            </w:pict>
          </mc:Fallback>
        </mc:AlternateContent>
      </w:r>
    </w:p>
    <w:p>
      <w:pPr>
        <w:pStyle w:val="TextBody"/>
        <w:bidi w:val="0"/>
        <w:spacing w:lineRule="auto" w:line="288" w:before="0" w:after="240"/>
        <w:jc w:val="center"/>
        <w:rPr/>
      </w:pPr>
      <w:r>
        <w:rPr>
          <w:rFonts w:ascii="Times New Roman;sans-serif" w:hAnsi="Times New Roman;sans-serif"/>
          <w:b w:val="false"/>
          <w:color w:val="000000"/>
          <w:sz w:val="22"/>
        </w:rPr>
        <w:t>Article 2</w:t>
      </w:r>
      <w:r>
        <w:rPr>
          <w:rFonts w:ascii="Times New Roman;sans-serif" w:hAnsi="Times New Roman;sans-serif"/>
          <w:b w:val="false"/>
          <w:color w:val="000000"/>
          <w:sz w:val="22"/>
        </w:rPr>
        <w:br/>
        <w:br/>
        <w:t>THE CREDITS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2.1</w:t>
      </w:r>
      <w:r>
        <w:rPr>
          <w:rFonts w:ascii="Times New Roman;sans-serif" w:hAnsi="Times New Roman;sans-serif"/>
          <w:b w:val="false"/>
          <w:color w:val="000000"/>
          <w:sz w:val="22"/>
          <w:u w:val="single"/>
        </w:rPr>
        <w:t>Commitments</w:t>
      </w:r>
      <w:r>
        <w:rPr>
          <w:rFonts w:ascii="Times New Roman;sans-serif" w:hAnsi="Times New Roman;sans-serif"/>
          <w:b w:val="false"/>
          <w:color w:val="000000"/>
          <w:sz w:val="22"/>
        </w:rPr>
        <w:t xml:space="preserve">. Subject to the terms and conditions hereof and relying upon the representations and warranties herein set forth, each Lender agrees, severally and not jointly, to make a Loan to the Borrower in Dollars on the Closing Date in an aggregate principal amount equal to such Lender’s Commitment. Amounts paid or prepaid in respect of Loans may not be reborrowed. </w:t>
      </w:r>
      <w:r>
        <w:rPr>
          <w:rFonts w:ascii="Times New Roman;sans-serif" w:hAnsi="Times New Roman;sans-serif"/>
          <w:b w:val="false"/>
          <w:color w:val="000000"/>
          <w:sz w:val="22"/>
          <w:shd w:fill="FFFFFF" w:val="clear"/>
        </w:rPr>
        <w:t xml:space="preserve">Loans may be </w:t>
      </w:r>
      <w:r>
        <w:rPr>
          <w:rFonts w:ascii="Times New Roman;sans-serif" w:hAnsi="Times New Roman;sans-serif"/>
          <w:b w:val="false"/>
          <w:color w:val="000000"/>
          <w:sz w:val="22"/>
        </w:rPr>
        <w:t xml:space="preserve">ABR Loans </w:t>
      </w:r>
      <w:r>
        <w:rPr>
          <w:rFonts w:ascii="Times New Roman;sans-serif" w:hAnsi="Times New Roman;sans-serif"/>
          <w:b w:val="false"/>
          <w:color w:val="000000"/>
          <w:sz w:val="22"/>
          <w:shd w:fill="FFFFFF" w:val="clear"/>
        </w:rPr>
        <w:t>or SOFR Loans, as further provided herein.</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2.2</w:t>
      </w:r>
      <w:r>
        <w:rPr>
          <w:rFonts w:ascii="Times New Roman;sans-serif" w:hAnsi="Times New Roman;sans-serif"/>
          <w:b w:val="false"/>
          <w:color w:val="000000"/>
          <w:sz w:val="22"/>
          <w:u w:val="single"/>
        </w:rPr>
        <w:t>Borrowings, Conversions and Continuations of Loans</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Each Borrowing, each conversion of Loans from one Type to the other, and each continuation of SOFR Loans shall be made upon the Borrower’s irrevocable written notice to the Administrative Agent. Each such notice must be received by the Administrative Agent substantially in the form of a Committed Loan Notice (i) in the case of an ABR Borrowing, not later than 11:00 a.m. one Business Day prior to the date of the proposed Borrowing or (ii) in the case of any other Borrowing, not later than 11:00 a.m. three Business Days before the date of the proposed Borrowing.</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Each Committed Loan Notice shall be appropriately completed and signed by a Responsible Officer of the Borrower. Each Borrowing or conversion of Loans shall be in a principal amount of the Borrowing Minimum or a whole multiple of the Borrowing Multiple in excess thereof. Each Committed Loan Notice shall specify (A) whether the Borrower is requesting a Borrowing, a conversion of Loans from one Type to the other, or a continuation of SOFR Loans, (B) the requested date of the Borrowing, conversion or continuation, as the case may be (which shall be a Business Day), (C) [reserved], (D) the Type of Loans to be borrowed or to which existing Loans are to be converted, (E) if applicable, the duration of the Interest Period with respect thereto which shall be a period contemplated by the definition of the term “Interest Period” and (F) the location and number of the Borrower’s account to which funds are to be disbursed, which shall comply with the requirements of </w:t>
      </w:r>
      <w:r>
        <w:rPr>
          <w:rFonts w:ascii="Times New Roman;sans-serif" w:hAnsi="Times New Roman;sans-serif"/>
          <w:b w:val="false"/>
          <w:color w:val="000000"/>
          <w:sz w:val="22"/>
          <w:u w:val="single"/>
        </w:rPr>
        <w:t>Section 2.2</w:t>
      </w:r>
      <w:r>
        <w:rPr>
          <w:rFonts w:ascii="Times New Roman;sans-serif" w:hAnsi="Times New Roman;sans-serif"/>
          <w:b w:val="false"/>
          <w:color w:val="000000"/>
          <w:sz w:val="22"/>
        </w:rPr>
        <w:t>. Notwithstanding anything in this Credit Agreement to the contrary, if the Borrower:</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(i)requests a Borrowing of, conversion to, or continuation of SOFR Loans in any such Committed Loan Notice, but fails to specify an Interest Period, it will be deemed to have specified an Interest Period of one month; and</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(ii)fails to specify a Type of Loan in a Committed Loan Notice or fails to give a timely notice requesting a conversion or continuation, then the applicable Loans shall be made as, continued as, or converted to, ABR Loans.</w:t>
      </w:r>
    </w:p>
    <w:p>
      <w:pPr>
        <w:pStyle w:val="TextBody"/>
        <w:bidi w:val="0"/>
        <w:spacing w:lineRule="auto" w:line="288" w:before="0" w:after="120"/>
        <w:jc w:val="both"/>
        <w:rPr>
          <w:rFonts w:ascii="Times New Roman;sans-serif" w:hAnsi="Times New Roman;sans-serif"/>
          <w:b w:val="false"/>
          <w:color w:val="000000"/>
          <w:sz w:val="22"/>
        </w:rPr>
      </w:pPr>
      <w:r>
        <w:rPr>
          <w:rFonts w:ascii="Times New Roman;sans-serif" w:hAnsi="Times New Roman;sans-serif"/>
          <w:b w:val="false"/>
          <w:color w:val="000000"/>
          <w:sz w:val="22"/>
        </w:rPr>
        <w:t>For avoidance of doubt, the Borrower and Lenders acknowledge and agree that any conversion or continuation of an existing Loan shall be deemed to be a continuation of that Loan with a converted interest rate methodology and not a new Loan. Any automatic conversion or continuation as provided above shall be effective as of the last day of the Interest Period then in effect with respect to the applicable SOFR Loans.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 xml:space="preserve">Following receipt of a Committed Loan Notice, the Administrative Agent shall promptly notify each Lender of the amount of its Applicable Percentage of the Loans, and if no timely notice of a conversion or continuation is provided by the Borrower, the Administrative Agent shall notify each Lender of the details of any automatic conversion or continuation described in </w:t>
      </w:r>
      <w:r>
        <w:rPr>
          <w:rFonts w:ascii="Times New Roman;sans-serif" w:hAnsi="Times New Roman;sans-serif"/>
          <w:b w:val="false"/>
          <w:color w:val="000000"/>
          <w:sz w:val="22"/>
          <w:u w:val="single"/>
        </w:rPr>
        <w:t>Section 2.2(b)</w:t>
      </w:r>
      <w:r>
        <w:rPr>
          <w:rFonts w:ascii="Times New Roman;sans-serif" w:hAnsi="Times New Roman;sans-serif"/>
          <w:b w:val="false"/>
          <w:color w:val="000000"/>
          <w:sz w:val="22"/>
        </w:rPr>
        <w:t xml:space="preserve">. In the case of each Borrowing, each Lender shall make (or cause its Applicable Lending Office to make) the </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50</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amount of its Loan available to the Administrative Agent, by transfer in immediately available funds to the account of the Administrative Agent most recently designated by it for such purpose by notice to the Lenders, not later than 1:00 p.m. on the Business Day specified in the applicable Committed Loan Notice. Upon satisfaction or waiver of the applicable conditions set forth in </w:t>
      </w:r>
      <w:r>
        <w:rPr>
          <w:rFonts w:ascii="Times New Roman;sans-serif" w:hAnsi="Times New Roman;sans-serif"/>
          <w:b w:val="false"/>
          <w:color w:val="000000"/>
          <w:sz w:val="22"/>
          <w:u w:val="single"/>
        </w:rPr>
        <w:t>Section 4.1</w:t>
      </w:r>
      <w:r>
        <w:rPr>
          <w:rFonts w:ascii="Times New Roman;sans-serif" w:hAnsi="Times New Roman;sans-serif"/>
          <w:b w:val="false"/>
          <w:color w:val="000000"/>
          <w:sz w:val="22"/>
        </w:rPr>
        <w:t>, the Administrative Agent shall promptly make all funds so received available to the Borrower in like funds as received by transfer to the account of the Borrower designated in the Committed Loan Notice.</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 xml:space="preserve">Except as otherwise provided herein, a SOFR Loan may be continued or converted only on the last day of an Interest Period for such Loan unless the Borrower pays the amount due, if any, under </w:t>
      </w:r>
      <w:r>
        <w:rPr>
          <w:rFonts w:ascii="Times New Roman;sans-serif" w:hAnsi="Times New Roman;sans-serif"/>
          <w:b w:val="false"/>
          <w:color w:val="000000"/>
          <w:sz w:val="22"/>
          <w:u w:val="single"/>
        </w:rPr>
        <w:t>Section 3.5</w:t>
      </w:r>
      <w:r>
        <w:rPr>
          <w:color w:val="000000"/>
        </w:rPr>
        <w:t xml:space="preserve"> </w:t>
      </w:r>
      <w:r>
        <w:rPr>
          <w:rFonts w:ascii="Times New Roman;sans-serif" w:hAnsi="Times New Roman;sans-serif"/>
          <w:b w:val="false"/>
          <w:color w:val="000000"/>
          <w:sz w:val="22"/>
        </w:rPr>
        <w:t>in connection therewith. During the existence of an Event of Default, the Administrative Agent or the Required Lenders may require that (i) no Loans may be requested as, converted to or continued as SOFR Loans and (ii) unless repaid, each SOFR Loan be converted to an ABR Loan at the end of the Interest Period applicable thereto.</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rPr>
        <w:t>The Administrative Agent shall promptly notify the Borrower and the Lenders of the interest rate applicable to any Interest Period for SOFR Loans upon determination of such interest rate. The determination of Adjusted Term SOFR by the Administrative Agent shall be conclusive in the absence of manifest error.</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rPr>
        <w:t>Anything in clauses (a) through (d) above to the contrary notwithstanding, after giving effect to all Borrowings, all conversions of Loans from one Type to the other, and all continuations of Loans as the same Type, there shall not be more than six Interest Periods in effect at any time for all Borrowings of SOFR Loans.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(g)</w:t>
      </w:r>
      <w:r>
        <w:rPr>
          <w:rFonts w:ascii="Times New Roman;sans-serif" w:hAnsi="Times New Roman;sans-serif"/>
          <w:b w:val="false"/>
          <w:color w:val="000000"/>
          <w:sz w:val="22"/>
        </w:rPr>
        <w:t xml:space="preserve">The failure of any Lender to make any Loan required to be made by it shall not relieve any other Lender of its obligations hereunder;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Commitments of the Lenders are several, and no Lender shall be responsible for any other Lender’s failure to make Loans as required. </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2.3</w:t>
      </w:r>
      <w:r>
        <w:rPr>
          <w:rFonts w:ascii="Times New Roman;sans-serif" w:hAnsi="Times New Roman;sans-serif"/>
          <w:b w:val="false"/>
          <w:color w:val="000000"/>
          <w:sz w:val="22"/>
        </w:rPr>
        <w:t>[</w:t>
      </w:r>
      <w:r>
        <w:rPr>
          <w:rFonts w:ascii="Times New Roman;sans-serif" w:hAnsi="Times New Roman;sans-serif"/>
          <w:b w:val="false"/>
          <w:color w:val="000000"/>
          <w:sz w:val="22"/>
          <w:u w:val="single"/>
        </w:rPr>
        <w:t>Reserved</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2.4</w:t>
      </w:r>
      <w:r>
        <w:rPr>
          <w:rFonts w:ascii="Times New Roman;sans-serif" w:hAnsi="Times New Roman;sans-serif"/>
          <w:b w:val="false"/>
          <w:color w:val="000000"/>
          <w:sz w:val="22"/>
          <w:u w:val="single"/>
        </w:rPr>
        <w:t>[Reserved]</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2.5</w:t>
      </w:r>
      <w:r>
        <w:rPr>
          <w:rFonts w:ascii="Times New Roman;sans-serif" w:hAnsi="Times New Roman;sans-serif"/>
          <w:b w:val="false"/>
          <w:color w:val="000000"/>
          <w:sz w:val="22"/>
          <w:u w:val="single"/>
        </w:rPr>
        <w:t>Termination and Reduction of Commitments</w:t>
      </w:r>
      <w:r>
        <w:rPr>
          <w:rFonts w:ascii="Times New Roman;sans-serif" w:hAnsi="Times New Roman;sans-serif"/>
          <w:b w:val="false"/>
          <w:color w:val="000000"/>
          <w:sz w:val="22"/>
        </w:rPr>
        <w:t>. The Commitment of each Lender shall automatically and permanently terminate upon the funding by such Lender of Loans in an amount equal to the Commitment of such Lender under the Credit Facility on the Closing Date.</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2.6</w:t>
      </w:r>
      <w:r>
        <w:rPr>
          <w:rFonts w:ascii="Times New Roman;sans-serif" w:hAnsi="Times New Roman;sans-serif"/>
          <w:b w:val="false"/>
          <w:color w:val="000000"/>
          <w:sz w:val="22"/>
          <w:u w:val="single"/>
        </w:rPr>
        <w:t>Repayment of Loans; Evidence of Debt</w:t>
      </w:r>
      <w:r>
        <w:rPr>
          <w:rFonts w:ascii="Times New Roman;sans-serif" w:hAnsi="Times New Roman;sans-serif"/>
          <w:b w:val="false"/>
          <w:color w:val="000000"/>
          <w:sz w:val="22"/>
        </w:rPr>
        <w:t>.</w:t>
      </w:r>
    </w:p>
    <w:p>
      <w:pPr>
        <w:pStyle w:val="TextBody"/>
        <w:bidi w:val="0"/>
        <w:spacing w:lineRule="auto" w:line="288" w:before="0" w:after="20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Amortization; Payment at Maturity</w:t>
      </w:r>
      <w:r>
        <w:rPr>
          <w:rFonts w:ascii="Times New Roman;sans-serif" w:hAnsi="Times New Roman;sans-serif"/>
          <w:b w:val="false"/>
          <w:color w:val="000000"/>
          <w:sz w:val="22"/>
        </w:rPr>
        <w:t xml:space="preserve">. The Borrower shall repay to the Administrative Agent for the ratable account of the Lenders the aggregate principal amount of all Loans outstanding under the Credit Facility on the following dates in the respective amounts set forth opposite such dates (which amounts shall be reduced as a result of the application of prepayments in accordance with the order of priority set forth in </w:t>
      </w:r>
      <w:r>
        <w:rPr>
          <w:rFonts w:ascii="Times New Roman;sans-serif" w:hAnsi="Times New Roman;sans-serif"/>
          <w:b w:val="false"/>
          <w:color w:val="000000"/>
          <w:sz w:val="22"/>
          <w:u w:val="single"/>
        </w:rPr>
        <w:t>Section 2.7(i)</w:t>
      </w:r>
      <w:r>
        <w:rPr>
          <w:rFonts w:ascii="Times New Roman;sans-serif" w:hAnsi="Times New Roman;sans-serif"/>
          <w:b w:val="false"/>
          <w:color w:val="000000"/>
          <w:sz w:val="22"/>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51</w:t>
                      </w:r>
                    </w:p>
                  </w:txbxContent>
                </v:textbox>
                <w10:wrap type="none"/>
              </v:rect>
            </w:pict>
          </mc:Fallback>
        </mc:AlternateContent>
      </w:r>
    </w:p>
    <w:tbl>
      <w:tblPr>
        <w:tblW w:w="9466" w:type="dxa"/>
        <w:jc w:val="left"/>
        <w:tblInd w:w="0" w:type="dxa"/>
        <w:tblLayout w:type="fixed"/>
        <w:tblCellMar>
          <w:top w:w="28" w:type="dxa"/>
          <w:left w:w="28" w:type="dxa"/>
          <w:bottom w:w="28" w:type="dxa"/>
          <w:right w:w="28" w:type="dxa"/>
        </w:tblCellMar>
      </w:tblPr>
      <w:tblGrid>
        <w:gridCol w:w="2972"/>
        <w:gridCol w:w="2615"/>
        <w:gridCol w:w="2648"/>
        <w:gridCol w:w="359"/>
        <w:gridCol w:w="359"/>
        <w:gridCol w:w="513"/>
      </w:tblGrid>
      <w:tr>
        <w:trPr/>
        <w:tc>
          <w:tcPr>
            <w:tcW w:w="2972"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c>
          <w:tcPr>
            <w:tcW w:w="264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r>
      <w:tr>
        <w:trPr/>
        <w:tc>
          <w:tcPr>
            <w:tcW w:w="823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Date</w:t>
            </w:r>
          </w:p>
        </w:tc>
        <w:tc>
          <w:tcPr>
            <w:tcW w:w="123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Amount</w:t>
            </w:r>
          </w:p>
        </w:tc>
      </w:tr>
      <w:tr>
        <w:trPr/>
        <w:tc>
          <w:tcPr>
            <w:tcW w:w="823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September 30, 2024</w:t>
            </w:r>
          </w:p>
        </w:tc>
        <w:tc>
          <w:tcPr>
            <w:tcW w:w="123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$468,750</w:t>
            </w:r>
          </w:p>
        </w:tc>
      </w:tr>
      <w:tr>
        <w:trPr/>
        <w:tc>
          <w:tcPr>
            <w:tcW w:w="823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December 31, 2024</w:t>
            </w:r>
          </w:p>
        </w:tc>
        <w:tc>
          <w:tcPr>
            <w:tcW w:w="123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$468,750</w:t>
            </w:r>
          </w:p>
        </w:tc>
      </w:tr>
      <w:tr>
        <w:trPr/>
        <w:tc>
          <w:tcPr>
            <w:tcW w:w="823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March 31, 2025</w:t>
            </w:r>
          </w:p>
        </w:tc>
        <w:tc>
          <w:tcPr>
            <w:tcW w:w="123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$468,750</w:t>
            </w:r>
          </w:p>
        </w:tc>
      </w:tr>
      <w:tr>
        <w:trPr/>
        <w:tc>
          <w:tcPr>
            <w:tcW w:w="823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June 30, 2025</w:t>
            </w:r>
          </w:p>
        </w:tc>
        <w:tc>
          <w:tcPr>
            <w:tcW w:w="123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$468,750</w:t>
            </w:r>
          </w:p>
        </w:tc>
      </w:tr>
      <w:tr>
        <w:trPr/>
        <w:tc>
          <w:tcPr>
            <w:tcW w:w="823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September 30, 2025</w:t>
            </w:r>
          </w:p>
        </w:tc>
        <w:tc>
          <w:tcPr>
            <w:tcW w:w="123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$468,750</w:t>
            </w:r>
          </w:p>
        </w:tc>
      </w:tr>
      <w:tr>
        <w:trPr/>
        <w:tc>
          <w:tcPr>
            <w:tcW w:w="823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December 31, 2025</w:t>
            </w:r>
          </w:p>
        </w:tc>
        <w:tc>
          <w:tcPr>
            <w:tcW w:w="123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$468,750</w:t>
            </w:r>
          </w:p>
        </w:tc>
      </w:tr>
      <w:tr>
        <w:trPr/>
        <w:tc>
          <w:tcPr>
            <w:tcW w:w="823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March 31, 2026</w:t>
            </w:r>
          </w:p>
        </w:tc>
        <w:tc>
          <w:tcPr>
            <w:tcW w:w="123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$468,750</w:t>
            </w:r>
          </w:p>
        </w:tc>
      </w:tr>
      <w:tr>
        <w:trPr/>
        <w:tc>
          <w:tcPr>
            <w:tcW w:w="823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June 30, 2026</w:t>
            </w:r>
          </w:p>
        </w:tc>
        <w:tc>
          <w:tcPr>
            <w:tcW w:w="123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$468,750</w:t>
            </w:r>
          </w:p>
        </w:tc>
      </w:tr>
      <w:tr>
        <w:trPr/>
        <w:tc>
          <w:tcPr>
            <w:tcW w:w="823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September 30, 2026 and the last Business Day of each Fiscal Quarter ending thereafter</w:t>
            </w:r>
          </w:p>
        </w:tc>
        <w:tc>
          <w:tcPr>
            <w:tcW w:w="1231"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$1,875,000</w:t>
            </w:r>
          </w:p>
        </w:tc>
      </w:tr>
    </w:tbl>
    <w:p>
      <w:pPr>
        <w:pStyle w:val="TextBody"/>
        <w:bidi w:val="0"/>
        <w:spacing w:lineRule="auto" w:line="288" w:before="0" w:after="240"/>
        <w:jc w:val="both"/>
        <w:rPr/>
      </w:pPr>
      <w:r>
        <w:rPr>
          <w:rFonts w:ascii="Times New Roman;sans-serif" w:hAnsi="Times New Roman;sans-serif"/>
          <w:b w:val="false"/>
          <w:color w:val="000000"/>
          <w:sz w:val="22"/>
          <w:u w:val="single"/>
        </w:rPr>
        <w:br/>
        <w:t>provided</w:t>
      </w:r>
      <w:r>
        <w:rPr>
          <w:color w:val="000000"/>
        </w:rPr>
        <w:t xml:space="preserve"> </w:t>
      </w:r>
      <w:r>
        <w:rPr>
          <w:rFonts w:ascii="Times New Roman;sans-serif" w:hAnsi="Times New Roman;sans-serif"/>
          <w:b w:val="false"/>
          <w:color w:val="000000"/>
          <w:sz w:val="22"/>
        </w:rPr>
        <w:t>that, notwithstanding the foregoing, the final principal repayment installment of the Loans shall be repaid on the Maturity Date and in any event shall be in an amount equal to the aggregate principal amount of all Loans outstanding on such date.</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Notes</w:t>
      </w:r>
      <w:r>
        <w:rPr>
          <w:rFonts w:ascii="Times New Roman;sans-serif" w:hAnsi="Times New Roman;sans-serif"/>
          <w:b w:val="false"/>
          <w:color w:val="000000"/>
          <w:sz w:val="22"/>
        </w:rPr>
        <w:t xml:space="preserve">. Any Lender may request through the Administrative Agent that Loans made by it be evidenced by a promissory note. In such event, the Borrower shall execute and deliver to such Lender a Note payable to such Lender and its registered assigns in which case all Loans evidenced by such Note and interest thereon shall at all times (including after assignment pursuant to </w:t>
      </w:r>
      <w:r>
        <w:rPr>
          <w:rFonts w:ascii="Times New Roman;sans-serif" w:hAnsi="Times New Roman;sans-serif"/>
          <w:b w:val="false"/>
          <w:color w:val="000000"/>
          <w:sz w:val="22"/>
          <w:u w:val="single"/>
        </w:rPr>
        <w:t>Section 10.4</w:t>
      </w:r>
      <w:r>
        <w:rPr>
          <w:rFonts w:ascii="Times New Roman;sans-serif" w:hAnsi="Times New Roman;sans-serif"/>
          <w:b w:val="false"/>
          <w:color w:val="000000"/>
          <w:sz w:val="22"/>
        </w:rPr>
        <w:t>) be represented by one or more Notes in like form payable to the payee named therein and its registered assigns.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u w:val="single"/>
        </w:rPr>
        <w:t>Lender Records</w:t>
      </w:r>
      <w:r>
        <w:rPr>
          <w:rFonts w:ascii="Times New Roman;sans-serif" w:hAnsi="Times New Roman;sans-serif"/>
          <w:b w:val="false"/>
          <w:color w:val="000000"/>
          <w:sz w:val="22"/>
        </w:rPr>
        <w:t>. Each Lender shall maintain in accordance with its usual practice an account or accounts evidencing the indebtedness of the Borrower to such Lender resulting from each Loan owing to such Lender from time to time, including the amounts of principal and interest payable and paid to such Lender from time to time hereunder.</w:t>
      </w:r>
    </w:p>
    <w:p>
      <w:pPr>
        <w:pStyle w:val="TextBody"/>
        <w:bidi w:val="0"/>
        <w:spacing w:lineRule="auto" w:line="288" w:before="0" w:after="240"/>
        <w:ind w:left="0" w:right="0" w:firstLine="1440"/>
        <w:jc w:val="left"/>
        <w:rPr/>
      </w:pPr>
      <w:r>
        <w:rPr>
          <w:rFonts w:ascii="Times New Roman;sans-serif" w:hAnsi="Times New Roman;sans-serif"/>
          <w:b w:val="false"/>
          <w:color w:val="000000"/>
          <w:sz w:val="22"/>
        </w:rPr>
        <w:t>(d)</w:t>
      </w:r>
      <w:r>
        <w:rPr>
          <w:rFonts w:ascii="Times New Roman;sans-serif" w:hAnsi="Times New Roman;sans-serif"/>
          <w:b w:val="false"/>
          <w:color w:val="000000"/>
          <w:sz w:val="22"/>
          <w:u w:val="single"/>
        </w:rPr>
        <w:t>Register</w:t>
      </w:r>
      <w:r>
        <w:rPr>
          <w:rFonts w:ascii="Times New Roman;sans-serif" w:hAnsi="Times New Roman;sans-serif"/>
          <w:b w:val="false"/>
          <w:color w:val="000000"/>
          <w:sz w:val="22"/>
        </w:rPr>
        <w:t xml:space="preserve">. Entries made in good faith by the Administrative Agent in the Register pursuant to </w:t>
      </w:r>
      <w:r>
        <w:rPr>
          <w:rFonts w:ascii="Times New Roman;sans-serif" w:hAnsi="Times New Roman;sans-serif"/>
          <w:b w:val="false"/>
          <w:color w:val="000000"/>
          <w:sz w:val="22"/>
          <w:u w:val="single"/>
        </w:rPr>
        <w:t>Section 10.4(c)</w:t>
      </w:r>
      <w:r>
        <w:rPr>
          <w:rFonts w:ascii="Times New Roman;sans-serif" w:hAnsi="Times New Roman;sans-serif"/>
          <w:b w:val="false"/>
          <w:color w:val="000000"/>
          <w:sz w:val="22"/>
        </w:rPr>
        <w:t xml:space="preserve">, and by each Lender in its account or accounts pursuant to </w:t>
      </w:r>
      <w:r>
        <w:rPr>
          <w:rFonts w:ascii="Times New Roman;sans-serif" w:hAnsi="Times New Roman;sans-serif"/>
          <w:b w:val="false"/>
          <w:color w:val="000000"/>
          <w:sz w:val="22"/>
          <w:u w:val="single"/>
        </w:rPr>
        <w:t>Section 2.6(c)</w:t>
      </w:r>
      <w:r>
        <w:rPr>
          <w:rFonts w:ascii="Times New Roman;sans-serif" w:hAnsi="Times New Roman;sans-serif"/>
          <w:b w:val="false"/>
          <w:color w:val="000000"/>
          <w:sz w:val="22"/>
        </w:rPr>
        <w:t xml:space="preserve">, shall be prima facie evidence of the amount of principal and interest due and payable or to become due and payable from the Borrower to, in the case of the Register, each Lender and, in the case of such account or accounts, such Lender, under this Credit Agreement, absent manifest error;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 the failure of the Administrative Agent or such Lender to make an entry, or any finding that an entry is incorrect, in the Register or such account or accounts shall not limit or otherwise affect the obligations of any Loan Party under this Credit Agreement. In the event of any conflict between the records maintained by any Lender and the records maintained by the Administrative Agent in such matters, the records of the Administrative Agent shall control in the absence of manifest error.</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2.7</w:t>
      </w:r>
      <w:r>
        <w:rPr>
          <w:rFonts w:ascii="Times New Roman;sans-serif" w:hAnsi="Times New Roman;sans-serif"/>
          <w:b w:val="false"/>
          <w:color w:val="000000"/>
          <w:sz w:val="22"/>
          <w:u w:val="single"/>
        </w:rPr>
        <w:t>Prepayments</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Optional Prepayments</w:t>
      </w:r>
      <w:r>
        <w:rPr>
          <w:rFonts w:ascii="Times New Roman;sans-serif" w:hAnsi="Times New Roman;sans-serif"/>
          <w:b w:val="false"/>
          <w:color w:val="000000"/>
          <w:sz w:val="22"/>
        </w:rPr>
        <w:t xml:space="preserve">. The Borrower may, upon written notice to the Administrative Agent, at any time and from time to time, voluntarily prepay any Loans in whole or in part without premium or penalty (except as set forth in </w:t>
      </w:r>
      <w:r>
        <w:rPr>
          <w:rFonts w:ascii="Times New Roman;sans-serif" w:hAnsi="Times New Roman;sans-serif"/>
          <w:b w:val="false"/>
          <w:color w:val="000000"/>
          <w:sz w:val="22"/>
          <w:u w:val="single"/>
        </w:rPr>
        <w:t>Section 3.2(d)</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Section 3.5</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 such notice must be received by the Administrative Agent not later than 1:00 p.m. (x) three Business Days prior to any date of prepayment of a SOFR Borrowing and (y) one Business Day prior to the date of prepayment of an ABR Borrowing and (B) each prepayment shall be in a principal amount equal to the </w:t>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52</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Borrowing Minimum or a whole multiple of the Borrowing Multiple in excess thereof or, in each case, the entire principal amount thereof then outstanding. Each such notice shall specify the date and amount of such prepayment and the Type(s) of Loans to be prepaid. The Administrative Agent will promptly notify each Lender of its receipt of each such notice, and of the amount of such Lender’s Applicable Percentage of such prepayment. If such notice is given by the Borrower, the Borrower shall make such prepayment and the payment amount specified in such notice shall be due and payable on the date specified therein;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 notice of prepayment may state that such notice is conditioned upon the effectiveness of other credit facilities, in which case such notice may be revoked by the Borrower (by written notice to the Administrative Agent on or prior to the specified effective date) if such condition is not satisfied (but subject to the Borrower’s obligation to indemnify the Lenders pursuant to </w:t>
      </w:r>
      <w:r>
        <w:rPr>
          <w:rFonts w:ascii="Times New Roman;sans-serif" w:hAnsi="Times New Roman;sans-serif"/>
          <w:b w:val="false"/>
          <w:color w:val="000000"/>
          <w:sz w:val="22"/>
          <w:u w:val="single"/>
        </w:rPr>
        <w:t>Section 3.5</w:t>
      </w:r>
      <w:r>
        <w:rPr>
          <w:rFonts w:ascii="Times New Roman;sans-serif" w:hAnsi="Times New Roman;sans-serif"/>
          <w:b w:val="false"/>
          <w:color w:val="000000"/>
          <w:sz w:val="22"/>
        </w:rPr>
        <w:t xml:space="preserve">). Optional partial prepayments of Loans shall be applied to scheduled installments thereof, if any, as specified by the Borrower in such notice of prepayment and, in the absence of such direction, in the manner set forth in </w:t>
      </w:r>
      <w:r>
        <w:rPr>
          <w:rFonts w:ascii="Times New Roman;sans-serif" w:hAnsi="Times New Roman;sans-serif"/>
          <w:b w:val="false"/>
          <w:color w:val="000000"/>
          <w:sz w:val="22"/>
          <w:u w:val="single"/>
        </w:rPr>
        <w:t>Section 2.7(i)</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Excess Cash Flow</w:t>
      </w:r>
      <w:r>
        <w:rPr>
          <w:rFonts w:ascii="Times New Roman;sans-serif" w:hAnsi="Times New Roman;sans-serif"/>
          <w:b w:val="false"/>
          <w:color w:val="000000"/>
          <w:sz w:val="22"/>
        </w:rPr>
        <w:t xml:space="preserve">. No later than five (5) Business Days after the date on which the annual financial statements and corresponding Compliance Certificate are required to be delivered pursuant to </w:t>
      </w:r>
      <w:r>
        <w:rPr>
          <w:rFonts w:ascii="Times New Roman;sans-serif" w:hAnsi="Times New Roman;sans-serif"/>
          <w:b w:val="false"/>
          <w:color w:val="000000"/>
          <w:sz w:val="22"/>
          <w:u w:val="single"/>
        </w:rPr>
        <w:t>Section 6.1</w:t>
      </w:r>
      <w:r>
        <w:rPr>
          <w:color w:val="000000"/>
        </w:rPr>
        <w:t xml:space="preserve"> </w:t>
      </w:r>
      <w:r>
        <w:rPr>
          <w:rFonts w:ascii="Times New Roman;sans-serif" w:hAnsi="Times New Roman;sans-serif"/>
          <w:b w:val="false"/>
          <w:color w:val="000000"/>
          <w:sz w:val="22"/>
        </w:rPr>
        <w:t xml:space="preserve">(without giving effect to any grace period applicable thereto), commencing with the annual financial statements for the Fiscal Year ending December 31, 2025, the Borrower shall prepay Loans in an aggregate amount equal to (i) 50% of Excess Cash Flow for such Fiscal Year less (ii) the aggregate amount of voluntary prepayments of Loans made pursuant to </w:t>
      </w:r>
      <w:r>
        <w:rPr>
          <w:rFonts w:ascii="Times New Roman;sans-serif" w:hAnsi="Times New Roman;sans-serif"/>
          <w:b w:val="false"/>
          <w:color w:val="000000"/>
          <w:sz w:val="22"/>
          <w:u w:val="single"/>
        </w:rPr>
        <w:t>Section 2.7(a)</w:t>
      </w:r>
      <w:r>
        <w:rPr>
          <w:color w:val="000000"/>
        </w:rPr>
        <w:t xml:space="preserve"> </w:t>
      </w:r>
      <w:r>
        <w:rPr>
          <w:rFonts w:ascii="Times New Roman;sans-serif" w:hAnsi="Times New Roman;sans-serif"/>
          <w:b w:val="false"/>
          <w:color w:val="000000"/>
          <w:sz w:val="22"/>
        </w:rPr>
        <w:t>during such Fiscal Year, other than voluntary prepayments of Loans funded with the proceeds of Indebtedness or an issuance of Equity Interests.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u w:val="single"/>
        </w:rPr>
        <w:t>Dispositions</w:t>
      </w:r>
      <w:r>
        <w:rPr>
          <w:rFonts w:ascii="Times New Roman;sans-serif" w:hAnsi="Times New Roman;sans-serif"/>
          <w:b w:val="false"/>
          <w:color w:val="000000"/>
          <w:sz w:val="22"/>
        </w:rPr>
        <w:t xml:space="preserve">. Not later than five (5) Business Days following the receipt of any Net Cash Proceeds of any Disposition by the Borrower or any of its Subsidiaries, the Borrower shall prepay Loans in an aggregate amount equal to 100% of such Net Cash Proceeds;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(i)no such prepayment shall be required under this </w:t>
      </w:r>
      <w:r>
        <w:rPr>
          <w:rFonts w:ascii="Times New Roman;sans-serif" w:hAnsi="Times New Roman;sans-serif"/>
          <w:b w:val="false"/>
          <w:color w:val="000000"/>
          <w:sz w:val="22"/>
          <w:u w:val="single"/>
        </w:rPr>
        <w:t>Section 2.7(c)</w:t>
      </w:r>
      <w:r>
        <w:rPr>
          <w:color w:val="000000"/>
        </w:rPr>
        <w:t xml:space="preserve"> </w:t>
      </w:r>
      <w:r>
        <w:rPr>
          <w:rFonts w:ascii="Times New Roman;sans-serif" w:hAnsi="Times New Roman;sans-serif"/>
          <w:b w:val="false"/>
          <w:color w:val="000000"/>
          <w:sz w:val="22"/>
        </w:rPr>
        <w:t xml:space="preserve">with respect to (A) any Disposition permitted by </w:t>
      </w:r>
      <w:r>
        <w:rPr>
          <w:rFonts w:ascii="Times New Roman;sans-serif" w:hAnsi="Times New Roman;sans-serif"/>
          <w:b w:val="false"/>
          <w:color w:val="000000"/>
          <w:sz w:val="22"/>
          <w:u w:val="single"/>
        </w:rPr>
        <w:t>Section 7.5(a)</w:t>
      </w:r>
      <w:r>
        <w:rPr>
          <w:color w:val="000000"/>
        </w:rPr>
        <w:t xml:space="preserve"> </w:t>
      </w:r>
      <w:r>
        <w:rPr>
          <w:rFonts w:ascii="Times New Roman;sans-serif" w:hAnsi="Times New Roman;sans-serif"/>
          <w:b w:val="false"/>
          <w:color w:val="000000"/>
          <w:sz w:val="22"/>
        </w:rPr>
        <w:t xml:space="preserve">through </w:t>
      </w:r>
      <w:r>
        <w:rPr>
          <w:rFonts w:ascii="Times New Roman;sans-serif" w:hAnsi="Times New Roman;sans-serif"/>
          <w:b w:val="false"/>
          <w:color w:val="000000"/>
          <w:sz w:val="22"/>
          <w:u w:val="single"/>
        </w:rPr>
        <w:t>(g)</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7.5(j)</w:t>
      </w:r>
      <w:r>
        <w:rPr>
          <w:color w:val="000000"/>
        </w:rPr>
        <w:t xml:space="preserve"> </w:t>
      </w:r>
      <w:r>
        <w:rPr>
          <w:rFonts w:ascii="Times New Roman;sans-serif" w:hAnsi="Times New Roman;sans-serif"/>
          <w:b w:val="false"/>
          <w:color w:val="000000"/>
          <w:sz w:val="22"/>
        </w:rPr>
        <w:t xml:space="preserve">through </w:t>
      </w:r>
      <w:r>
        <w:rPr>
          <w:rFonts w:ascii="Times New Roman;sans-serif" w:hAnsi="Times New Roman;sans-serif"/>
          <w:b w:val="false"/>
          <w:color w:val="000000"/>
          <w:sz w:val="22"/>
          <w:u w:val="single"/>
        </w:rPr>
        <w:t>(q)</w:t>
      </w:r>
      <w:r>
        <w:rPr>
          <w:rFonts w:ascii="Times New Roman;sans-serif" w:hAnsi="Times New Roman;sans-serif"/>
          <w:b w:val="false"/>
          <w:color w:val="000000"/>
          <w:sz w:val="22"/>
        </w:rPr>
        <w:t>, (B) the disposition of property which constitutes a Casualty Event, or (C) Dispositions for fair market value resulting in no more than $1,000,000 in Net Cash Proceeds per Disposition (or series of related Dispositions) and less than $2,000,000 in Net Cash Proceeds for all such Dispositions in any Fiscal Year; and</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(ii)so long as no Default or Event of Default shall then exist or would arise therefrom, such proceeds shall not be required to be so applied on such date to the extent that the Borrower shall have delivered a certificate of a Responsible Officer to the Administrative Agent on or prior to such date stating that such Net Cash Proceeds are expected to be reinvested, or committed to be reinvested, in Capital Assets (other than inventory) to be used in the business of the Borrower or its Subsidiaries within twelve (12) months following the date of such Disposition;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if all or any portion of such Net Cash Proceeds is not so reinvested within such 12-month period, such unused portion shall be applied on the last day of such period (or such earlier date as the Borrower may elect) as a mandatory prepayment as provided in this </w:t>
      </w:r>
      <w:r>
        <w:rPr>
          <w:rFonts w:ascii="Times New Roman;sans-serif" w:hAnsi="Times New Roman;sans-serif"/>
          <w:b w:val="false"/>
          <w:color w:val="000000"/>
          <w:sz w:val="22"/>
          <w:u w:val="single"/>
        </w:rPr>
        <w:t>Section 2.7(c)</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xml:space="preserve">, that if the property subject to such Disposition constituted Collateral under the Collateral Documents, then all property purchased with the Net Cash Proceeds thereof pursuant to this clause (ii) shall be made subject to the Lien of the applicable Collateral Documents in favor of the Administrative Agent, for the benefit of the Secured Parties, in accordance with </w:t>
      </w:r>
      <w:r>
        <w:rPr>
          <w:rFonts w:ascii="Times New Roman;sans-serif" w:hAnsi="Times New Roman;sans-serif"/>
          <w:b w:val="false"/>
          <w:color w:val="000000"/>
          <w:sz w:val="22"/>
          <w:u w:val="single"/>
        </w:rPr>
        <w:t>Section 6.12</w:t>
      </w:r>
      <w:r>
        <w:rPr>
          <w:rFonts w:ascii="Times New Roman;sans-serif" w:hAnsi="Times New Roman;sans-serif"/>
          <w:b w:val="false"/>
          <w:color w:val="000000"/>
          <w:sz w:val="22"/>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8"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53</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u w:val="single"/>
        </w:rPr>
        <w:t>Casualty Events</w:t>
      </w:r>
      <w:r>
        <w:rPr>
          <w:rFonts w:ascii="Times New Roman;sans-serif" w:hAnsi="Times New Roman;sans-serif"/>
          <w:b w:val="false"/>
          <w:color w:val="000000"/>
          <w:sz w:val="22"/>
        </w:rPr>
        <w:t xml:space="preserve">. Not later than five (5) Business Days following the receipt of any Net Cash Proceeds from a Casualty Event by the Borrower or any of its Subsidiaries, the Borrower shall prepay Loans in an aggregate amount equal to 100% of such Net Cash Proceeds;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w:t>
      </w:r>
    </w:p>
    <w:p>
      <w:pPr>
        <w:pStyle w:val="TextBody"/>
        <w:bidi w:val="0"/>
        <w:spacing w:lineRule="auto" w:line="288" w:before="0" w:after="240"/>
        <w:ind w:left="0" w:right="0" w:firstLine="1008"/>
        <w:jc w:val="left"/>
        <w:rPr/>
      </w:pPr>
      <w:r>
        <w:rPr>
          <w:rFonts w:ascii="Times New Roman;sans-serif" w:hAnsi="Times New Roman;sans-serif"/>
          <w:b w:val="false"/>
          <w:color w:val="000000"/>
          <w:sz w:val="22"/>
        </w:rPr>
        <w:t xml:space="preserve">(i)no such prepayment shall be required under this </w:t>
      </w:r>
      <w:r>
        <w:rPr>
          <w:rFonts w:ascii="Times New Roman;sans-serif" w:hAnsi="Times New Roman;sans-serif"/>
          <w:b w:val="false"/>
          <w:color w:val="000000"/>
          <w:sz w:val="22"/>
          <w:u w:val="single"/>
        </w:rPr>
        <w:t>Section 2.7(d)</w:t>
      </w:r>
      <w:r>
        <w:rPr>
          <w:color w:val="000000"/>
        </w:rPr>
        <w:t xml:space="preserve"> </w:t>
      </w:r>
      <w:r>
        <w:rPr>
          <w:rFonts w:ascii="Times New Roman;sans-serif" w:hAnsi="Times New Roman;sans-serif"/>
          <w:b w:val="false"/>
          <w:color w:val="000000"/>
          <w:sz w:val="22"/>
        </w:rPr>
        <w:t>with respect to any Casualty Event to the extent such Casualty Event (together with any related Casualty Events) results in Net Cash Proceeds of $1,000,000 or less; and</w:t>
      </w:r>
    </w:p>
    <w:p>
      <w:pPr>
        <w:pStyle w:val="TextBody"/>
        <w:bidi w:val="0"/>
        <w:spacing w:lineRule="auto" w:line="288" w:before="0" w:after="240"/>
        <w:ind w:left="0" w:right="0" w:firstLine="1008"/>
        <w:jc w:val="left"/>
        <w:rPr/>
      </w:pPr>
      <w:r>
        <w:rPr>
          <w:rFonts w:ascii="Times New Roman;sans-serif" w:hAnsi="Times New Roman;sans-serif"/>
          <w:b w:val="false"/>
          <w:color w:val="000000"/>
          <w:sz w:val="22"/>
        </w:rPr>
        <w:t xml:space="preserve">(ii)so long as no Default or Event of Default shall then exist or would arise therefrom, such proceeds shall not be required to be so applied on such date to the extent that the Borrower shall have delivered a certificate of a Responsible Officer to the Administrative Agent on or prior to such date stating that such Net Cash Proceeds are expected to be used to repair, replace or restore any property in respect of which Net Cash Proceeds were paid or to be reinvested, or committed to be reinvested, in other Capital Assets (other than inventory) to be used in the business of the Borrower or its Subsidiaries within twelve (12) months following the date of receipt of such Net Cash Proceeds;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if all or any portion of such Net Cash Proceeds is not so reinvested within such 12-month period, such unused portion shall be applied on the last day of such period (or such earlier date as the Borrower may elect) as a mandatory prepayment as provided in this </w:t>
      </w:r>
      <w:r>
        <w:rPr>
          <w:rFonts w:ascii="Times New Roman;sans-serif" w:hAnsi="Times New Roman;sans-serif"/>
          <w:b w:val="false"/>
          <w:color w:val="000000"/>
          <w:sz w:val="22"/>
          <w:u w:val="single"/>
        </w:rPr>
        <w:t>Section 2.7(d)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xml:space="preserve">, that if the property subject to such Casualty Event constituted Collateral under the Collateral Documents, then all property purchased with the Net Cash Proceeds thereof pursuant to this clause (ii) shall be made subject to the Lien of the applicable Collateral Documents in favor of the Administrative Agent, for the benefit of the Secured Parties, in accordance with </w:t>
      </w:r>
      <w:r>
        <w:rPr>
          <w:rFonts w:ascii="Times New Roman;sans-serif" w:hAnsi="Times New Roman;sans-serif"/>
          <w:b w:val="false"/>
          <w:color w:val="000000"/>
          <w:sz w:val="22"/>
          <w:u w:val="single"/>
        </w:rPr>
        <w:t>Section 6.12</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u w:val="single"/>
        </w:rPr>
        <w:t>Debt Issuance</w:t>
      </w:r>
      <w:r>
        <w:rPr>
          <w:rFonts w:ascii="Times New Roman;sans-serif" w:hAnsi="Times New Roman;sans-serif"/>
          <w:b w:val="false"/>
          <w:color w:val="000000"/>
          <w:sz w:val="22"/>
        </w:rPr>
        <w:t xml:space="preserve">. Not later than one (1) Business Day following the receipt of any Net Cash Proceeds of any Debt Issuance by the Borrower or any of its Subsidiaries, the Borrower shall prepay Loans in an aggregate amount equal to 100% of such Net Cash Proceeds.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u w:val="single"/>
        </w:rPr>
        <w:t>Equity Issuance; Specified Equity Contribution</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(i)Not later than one (1) Business Day following the receipt of any Net Cash Proceeds of any Equity Issuance consummated after the Senior Notes have been refinanced, redeemed or repaid in full, the Borrower shall prepay Loans in an aggregate amount equal to 25% of such Net Cash Proceeds. </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(ii)Not later than one (1) Business Day following the receipt of a Specified Equity Contribution, the Borrower shall prepay Loans in an aggregate amount equal to 100% of the Cure Amount necessary to cure the applicable Financial Covenant Default(s).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(g)</w:t>
      </w:r>
      <w:r>
        <w:rPr>
          <w:rFonts w:ascii="Times New Roman;sans-serif" w:hAnsi="Times New Roman;sans-serif"/>
          <w:b w:val="false"/>
          <w:color w:val="000000"/>
          <w:sz w:val="22"/>
          <w:u w:val="single"/>
        </w:rPr>
        <w:t>Specified Tax Proceeds</w:t>
      </w:r>
      <w:r>
        <w:rPr>
          <w:rFonts w:ascii="Times New Roman;sans-serif" w:hAnsi="Times New Roman;sans-serif"/>
          <w:b w:val="false"/>
          <w:color w:val="000000"/>
          <w:sz w:val="22"/>
        </w:rPr>
        <w:t>. Not later than five (5) Business Days following the receipt of any Specified Tax Proceeds by the Borrower or any of its Subsidiaries, the Borrower shall (x) if such Specified Tax Proceeds are received prior to the refinancing, redemption or repayment in full of the Senior Notes, prepay Loans in an aggregate amount equal to 50% of such Specified Tax Proceeds and apply the remaining 50% of such Specified Tax Proceeds to optionally redeem, repurchase or otherwise acquire Senior Notes in accordance with the Senior Notes Indenture and (y) if such Specified Tax Proceeds are received after the refinancing, redemption or repayment in full of the Senior Notes, prepay Loans in an aggregate amount equal to 100% of such Specified Tax Proceeds.</w:t>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54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54</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(h)</w:t>
      </w:r>
      <w:r>
        <w:rPr>
          <w:rFonts w:ascii="Times New Roman;sans-serif" w:hAnsi="Times New Roman;sans-serif"/>
          <w:b w:val="false"/>
          <w:color w:val="000000"/>
          <w:sz w:val="22"/>
          <w:u w:val="single"/>
        </w:rPr>
        <w:t>Change of Control</w:t>
      </w:r>
      <w:r>
        <w:rPr>
          <w:rFonts w:ascii="Times New Roman;sans-serif" w:hAnsi="Times New Roman;sans-serif"/>
          <w:b w:val="false"/>
          <w:color w:val="000000"/>
          <w:sz w:val="22"/>
        </w:rPr>
        <w:t>. Upon the occurrence of a Change of Control, the Borrower shall prepay in full all of the unpaid principal balance of the outstanding Loans substantially concurrently with the consummation of such Change of Control.</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(i)</w:t>
      </w:r>
      <w:r>
        <w:rPr>
          <w:rFonts w:ascii="Times New Roman;sans-serif" w:hAnsi="Times New Roman;sans-serif"/>
          <w:b w:val="false"/>
          <w:color w:val="000000"/>
          <w:sz w:val="22"/>
          <w:u w:val="single"/>
        </w:rPr>
        <w:t>Application of Mandatory Prepayments</w:t>
      </w:r>
      <w:r>
        <w:rPr>
          <w:rFonts w:ascii="Times New Roman;sans-serif" w:hAnsi="Times New Roman;sans-serif"/>
          <w:b w:val="false"/>
          <w:color w:val="000000"/>
          <w:sz w:val="22"/>
        </w:rPr>
        <w:t xml:space="preserve">. Any prepayments pursuant to </w:t>
      </w:r>
      <w:r>
        <w:rPr>
          <w:rFonts w:ascii="Times New Roman;sans-serif" w:hAnsi="Times New Roman;sans-serif"/>
          <w:b w:val="false"/>
          <w:color w:val="000000"/>
          <w:sz w:val="22"/>
          <w:u w:val="single"/>
        </w:rPr>
        <w:t>Section 2.7(b)</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(c)</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(e)</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(g)</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(h)</w:t>
      </w:r>
      <w:r>
        <w:rPr>
          <w:color w:val="000000"/>
        </w:rPr>
        <w:t xml:space="preserve"> </w:t>
      </w:r>
      <w:r>
        <w:rPr>
          <w:rFonts w:ascii="Times New Roman;sans-serif" w:hAnsi="Times New Roman;sans-serif"/>
          <w:b w:val="false"/>
          <w:color w:val="000000"/>
          <w:sz w:val="22"/>
        </w:rPr>
        <w:t xml:space="preserve">shall be applied to principal installments on the Loans in the inverse order of maturity, pro rata against all such installments based on the respective amounts thereof. Amounts to be applied pursuant to this </w:t>
      </w:r>
      <w:r>
        <w:rPr>
          <w:rFonts w:ascii="Times New Roman;sans-serif" w:hAnsi="Times New Roman;sans-serif"/>
          <w:b w:val="false"/>
          <w:color w:val="000000"/>
          <w:sz w:val="22"/>
          <w:u w:val="single"/>
        </w:rPr>
        <w:t>Section 2.7</w:t>
      </w:r>
      <w:r>
        <w:rPr>
          <w:color w:val="000000"/>
        </w:rPr>
        <w:t xml:space="preserve"> </w:t>
      </w:r>
      <w:r>
        <w:rPr>
          <w:rFonts w:ascii="Times New Roman;sans-serif" w:hAnsi="Times New Roman;sans-serif"/>
          <w:b w:val="false"/>
          <w:color w:val="000000"/>
          <w:sz w:val="22"/>
        </w:rPr>
        <w:t>to the prepayment of Loans shall be applied, as applicable, first to reduce outstanding ABR Loans. Any amounts remaining after each such application shall be applied to prepay SOFR Loans.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(j)</w:t>
      </w:r>
      <w:r>
        <w:rPr>
          <w:rFonts w:ascii="Times New Roman;sans-serif" w:hAnsi="Times New Roman;sans-serif"/>
          <w:b w:val="false"/>
          <w:color w:val="000000"/>
          <w:sz w:val="22"/>
          <w:u w:val="single"/>
        </w:rPr>
        <w:t>Declined Proceeds</w:t>
      </w:r>
      <w:r>
        <w:rPr>
          <w:rFonts w:ascii="Times New Roman;sans-serif" w:hAnsi="Times New Roman;sans-serif"/>
          <w:b w:val="false"/>
          <w:color w:val="000000"/>
          <w:sz w:val="22"/>
        </w:rPr>
        <w:t xml:space="preserve">. Notwithstanding the foregoing any Lender may elect, by written notice to the Administrative Agent at least three (3) Business Days prior to the prepayment date, to decline all or any portion of any mandatory prepayment of its Loans pursuant to </w:t>
      </w:r>
      <w:r>
        <w:rPr>
          <w:rFonts w:ascii="Times New Roman;sans-serif" w:hAnsi="Times New Roman;sans-serif"/>
          <w:b w:val="false"/>
          <w:color w:val="000000"/>
          <w:sz w:val="22"/>
          <w:u w:val="single"/>
        </w:rPr>
        <w:t>Section 2.7(b)</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(c)</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(f)(i)</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(g)</w:t>
      </w:r>
      <w:r>
        <w:rPr>
          <w:rFonts w:ascii="Times New Roman;sans-serif" w:hAnsi="Times New Roman;sans-serif"/>
          <w:b w:val="false"/>
          <w:color w:val="000000"/>
          <w:sz w:val="22"/>
        </w:rPr>
        <w:t>, in which case the aggregate amount of the prepayment that would have been applied to prepay such Loans but was so declined shall be ratably offered to each Lender that initially accepted such mandatory prepayment. Each Lender that initially accepted its entire allocation of such mandatory prepayment may elect, by written notice to the Administrative Agent at least one (1) Business Day prior to the prepayment date, to decline all or any portion of its pro rata share of the remaining declined mandatory prepayments offered to it. Failure by any Lender to provide written notice to the Administrative Agent in accordance with the initial time frame established above shall result in such Lender accepting its pro rata share of the remaining declined mandatory prepayment offered to it. Any amounts rejected by such Lenders shall be retained or repaid to Borrower.</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(k)</w:t>
      </w:r>
      <w:r>
        <w:rPr>
          <w:rFonts w:ascii="Times New Roman;sans-serif" w:hAnsi="Times New Roman;sans-serif"/>
          <w:b w:val="false"/>
          <w:color w:val="000000"/>
          <w:sz w:val="22"/>
          <w:u w:val="single"/>
        </w:rPr>
        <w:t>No Implied Consent</w:t>
      </w:r>
      <w:r>
        <w:rPr>
          <w:rFonts w:ascii="Times New Roman;sans-serif" w:hAnsi="Times New Roman;sans-serif"/>
          <w:b w:val="false"/>
          <w:color w:val="000000"/>
          <w:sz w:val="22"/>
        </w:rPr>
        <w:t xml:space="preserve">. Provisions contained in this </w:t>
      </w:r>
      <w:r>
        <w:rPr>
          <w:rFonts w:ascii="Times New Roman;sans-serif" w:hAnsi="Times New Roman;sans-serif"/>
          <w:b w:val="false"/>
          <w:color w:val="000000"/>
          <w:sz w:val="22"/>
          <w:u w:val="single"/>
        </w:rPr>
        <w:t>Section 2.7</w:t>
      </w:r>
      <w:r>
        <w:rPr>
          <w:color w:val="000000"/>
        </w:rPr>
        <w:t xml:space="preserve"> </w:t>
      </w:r>
      <w:r>
        <w:rPr>
          <w:rFonts w:ascii="Times New Roman;sans-serif" w:hAnsi="Times New Roman;sans-serif"/>
          <w:b w:val="false"/>
          <w:color w:val="000000"/>
          <w:sz w:val="22"/>
        </w:rPr>
        <w:t>for the application of proceeds of certain transactions shall not be deemed to constitute consent of the Lenders to transactions that are not otherwise permitted by the terms hereof or the other Loan Documents.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(l)</w:t>
      </w:r>
      <w:r>
        <w:rPr>
          <w:rFonts w:ascii="Times New Roman;sans-serif" w:hAnsi="Times New Roman;sans-serif"/>
          <w:b w:val="false"/>
          <w:color w:val="000000"/>
          <w:sz w:val="22"/>
          <w:u w:val="single"/>
        </w:rPr>
        <w:t>General Rules</w:t>
      </w:r>
      <w:r>
        <w:rPr>
          <w:rFonts w:ascii="Times New Roman;sans-serif" w:hAnsi="Times New Roman;sans-serif"/>
          <w:b w:val="false"/>
          <w:color w:val="000000"/>
          <w:sz w:val="22"/>
        </w:rPr>
        <w:t xml:space="preserve">. All voluntary and mandatory prepayments shall be subject to </w:t>
      </w:r>
      <w:r>
        <w:rPr>
          <w:rFonts w:ascii="Times New Roman;sans-serif" w:hAnsi="Times New Roman;sans-serif"/>
          <w:b w:val="false"/>
          <w:color w:val="000000"/>
          <w:sz w:val="22"/>
          <w:u w:val="single"/>
        </w:rPr>
        <w:t>Section 3.2(d)</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Section 3.5</w:t>
      </w:r>
      <w:r>
        <w:rPr>
          <w:rFonts w:ascii="Times New Roman;sans-serif" w:hAnsi="Times New Roman;sans-serif"/>
          <w:b w:val="false"/>
          <w:color w:val="000000"/>
          <w:sz w:val="22"/>
        </w:rPr>
        <w:t xml:space="preserve">, but shall otherwise be without premium or penalty. Each voluntary and mandatory prepayment shall be applied ratably to the then-outstanding Loans. All voluntary and mandatory prepayments shall be accompanied by accrued interest thereon, the applicable Prepayment Premium (if any) and, in the case of any prepayment of a SOFR Loan, any additional amounts required pursuant to </w:t>
      </w:r>
      <w:r>
        <w:rPr>
          <w:rFonts w:ascii="Times New Roman;sans-serif" w:hAnsi="Times New Roman;sans-serif"/>
          <w:b w:val="false"/>
          <w:color w:val="000000"/>
          <w:sz w:val="22"/>
          <w:u w:val="single"/>
        </w:rPr>
        <w:t>Section 3.5</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2.8</w:t>
      </w:r>
      <w:r>
        <w:rPr>
          <w:rFonts w:ascii="Times New Roman;sans-serif" w:hAnsi="Times New Roman;sans-serif"/>
          <w:b w:val="false"/>
          <w:color w:val="000000"/>
          <w:sz w:val="22"/>
          <w:u w:val="single"/>
        </w:rPr>
        <w:t>Payments Generally; Administrative Agent’s Clawback</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General</w:t>
      </w:r>
      <w:r>
        <w:rPr>
          <w:rFonts w:ascii="Times New Roman;sans-serif" w:hAnsi="Times New Roman;sans-serif"/>
          <w:b w:val="false"/>
          <w:color w:val="000000"/>
          <w:sz w:val="22"/>
        </w:rPr>
        <w:t xml:space="preserve">. Each Loan Party shall make each payment required to be made by it hereunder or under any other Loan Document (whether of principal of Loans, interest or fees, or of amounts payable under </w:t>
      </w:r>
      <w:r>
        <w:rPr>
          <w:rFonts w:ascii="Times New Roman;sans-serif" w:hAnsi="Times New Roman;sans-serif"/>
          <w:b w:val="false"/>
          <w:color w:val="000000"/>
          <w:sz w:val="22"/>
          <w:u w:val="single"/>
        </w:rPr>
        <w:t>Sections 3.4</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3.5</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3.6</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10.3</w:t>
      </w:r>
      <w:r>
        <w:rPr>
          <w:rFonts w:ascii="Times New Roman;sans-serif" w:hAnsi="Times New Roman;sans-serif"/>
          <w:b w:val="false"/>
          <w:color w:val="000000"/>
          <w:sz w:val="22"/>
        </w:rPr>
        <w:t xml:space="preserve">, or otherwise) prior to 3:00 p.m. on the date when due, in immediately available funds. All payments to be made by a Loan Party hereunder shall be made free and clear of and without condition or deduction for any counterclaim, defense, recoupment or setoff, without setoff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Agent’s Payment Office, except that payments pursuant to </w:t>
      </w:r>
      <w:r>
        <w:rPr>
          <w:rFonts w:ascii="Times New Roman;sans-serif" w:hAnsi="Times New Roman;sans-serif"/>
          <w:b w:val="false"/>
          <w:color w:val="000000"/>
          <w:sz w:val="22"/>
          <w:u w:val="single"/>
        </w:rPr>
        <w:t>Sections 3.4</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3.5</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3.6</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10.3</w:t>
      </w:r>
      <w:r>
        <w:rPr>
          <w:color w:val="000000"/>
        </w:rPr>
        <w:t xml:space="preserve"> </w:t>
      </w:r>
      <w:r>
        <w:rPr>
          <w:rFonts w:ascii="Times New Roman;sans-serif" w:hAnsi="Times New Roman;sans-serif"/>
          <w:b w:val="false"/>
          <w:color w:val="000000"/>
          <w:sz w:val="22"/>
        </w:rPr>
        <w:t xml:space="preserve">shall be made directly to the Persons entitled thereto. The Administrative Agent shall distribute any such payments received by it for the account of any other Person to the appropriate recipient promptly following receipt thereof. If any payment hereunder shall be due on a day that is not a Business Day, the date for payment shall be </w:t>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55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55</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extended to the next succeeding Business Day, and, in the case of any payment accruing interest, interest thereon shall be payable for the period of such extension. All payments hereunder or under any other Loan Document shall be made in Dollars.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Pro Rata Treatment</w:t>
      </w:r>
      <w:r>
        <w:rPr>
          <w:rFonts w:ascii="Times New Roman;sans-serif" w:hAnsi="Times New Roman;sans-serif"/>
          <w:b w:val="false"/>
          <w:color w:val="000000"/>
          <w:sz w:val="22"/>
        </w:rPr>
        <w:t xml:space="preserve">. Except as otherwise provided in this </w:t>
      </w:r>
      <w:r>
        <w:rPr>
          <w:rFonts w:ascii="Times New Roman;sans-serif" w:hAnsi="Times New Roman;sans-serif"/>
          <w:b w:val="false"/>
          <w:color w:val="000000"/>
          <w:sz w:val="22"/>
          <w:u w:val="single"/>
        </w:rPr>
        <w:t>Section 2.8</w:t>
      </w:r>
      <w:r>
        <w:rPr>
          <w:color w:val="000000"/>
        </w:rPr>
        <w:t xml:space="preserve"> </w:t>
      </w:r>
      <w:r>
        <w:rPr>
          <w:rFonts w:ascii="Times New Roman;sans-serif" w:hAnsi="Times New Roman;sans-serif"/>
          <w:b w:val="false"/>
          <w:color w:val="000000"/>
          <w:sz w:val="22"/>
        </w:rPr>
        <w:t xml:space="preserve">and as otherwise required under </w:t>
      </w:r>
      <w:r>
        <w:rPr>
          <w:rFonts w:ascii="Times New Roman;sans-serif" w:hAnsi="Times New Roman;sans-serif"/>
          <w:b w:val="false"/>
          <w:color w:val="000000"/>
          <w:sz w:val="22"/>
          <w:u w:val="single"/>
        </w:rPr>
        <w:t>Section 3.4(e)</w:t>
      </w:r>
      <w:r>
        <w:rPr>
          <w:rFonts w:ascii="Times New Roman;sans-serif" w:hAnsi="Times New Roman;sans-serif"/>
          <w:b w:val="false"/>
          <w:color w:val="000000"/>
          <w:sz w:val="22"/>
        </w:rPr>
        <w:t>, each Borrowing, each payment or prepayment of principal of any Borrowing, each payment of interest on the Loans, each payment of fees or premium and each conversion of any Borrowing to or continuation of any Borrowing as a Borrowing of any Type shall be allocated pro rata among the Lenders in accordance with their respective applicable Commitments (or, if such Commitments shall have expired or been terminated, in accordance with the respective principal amounts of their outstanding Loans). Each Lender agrees that in computing such Lender’s portion of any Borrowing to be made hereunder, the Administrative Agent may, in its discretion, round each Lender’s percentage of such Borrowing to the next higher or lower whole Dollar amount.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u w:val="single"/>
        </w:rPr>
        <w:t>Administrative Agent’s Clawback</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(i)Funding by Lenders; Presumption by Administrative Agent. 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w:t>
      </w:r>
      <w:r>
        <w:rPr>
          <w:rFonts w:ascii="Times New Roman;sans-serif" w:hAnsi="Times New Roman;sans-serif"/>
          <w:b w:val="false"/>
          <w:color w:val="000000"/>
          <w:sz w:val="22"/>
          <w:u w:val="single"/>
        </w:rPr>
        <w:t>Section 2.2</w:t>
      </w:r>
      <w:r>
        <w:rPr>
          <w:color w:val="000000"/>
        </w:rPr>
        <w:t xml:space="preserve"> </w:t>
      </w:r>
      <w:r>
        <w:rPr>
          <w:rFonts w:ascii="Times New Roman;sans-serif" w:hAnsi="Times New Roman;sans-serif"/>
          <w:b w:val="false"/>
          <w:color w:val="000000"/>
          <w:sz w:val="22"/>
        </w:rPr>
        <w:t>and may, in reliance upon such assumption, make available to the Borrower a corresponding amount. In such event, if a Lender has not in fact made its share of the applicable Borrowing available to the Administrative Agent, then such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(A) in the case of a payment to be made by such Lender, the greater of the Federal Funds Effective Rate and a rate determined by the Administrative Agent in accordance with banking industry rules on interbank compensation, and (B) in the case of a payment to be made by the Borrower, the interest rate applicable to ABR Loans.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 Borrowing. Any payment by the Borrower shall be without prejudice to any claim the Borrower may have against a Lender that shall have failed to make such payment to the Administrative Agent.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(ii)</w:t>
      </w:r>
      <w:r>
        <w:rPr>
          <w:rFonts w:ascii="Times New Roman;sans-serif" w:hAnsi="Times New Roman;sans-serif"/>
          <w:b w:val="false"/>
          <w:color w:val="000000"/>
          <w:sz w:val="22"/>
          <w:u w:val="single"/>
        </w:rPr>
        <w:t>Payments by Borrower; Presumptions by Administrative Agent</w:t>
      </w:r>
      <w:r>
        <w:rPr>
          <w:rFonts w:ascii="Times New Roman;sans-serif" w:hAnsi="Times New Roman;sans-serif"/>
          <w:b w:val="false"/>
          <w:color w:val="000000"/>
          <w:sz w:val="22"/>
        </w:rPr>
        <w:t xml:space="preserve">. Unless the Administrative Agent shall have received notice from the Borrower prior to the date on which any payment is due to the Administrative Agent for the account of the Lenders hereunder that the Borrower will not make such payment, the Administrative Agent may assume that the Borrower has made such payment on such date in accordance herewith and may, in reliance upon such assumption, distribute to the Lenders the amount due. In such event, if the Borrower has not in fact made such payment, then each of the Lenders severally agrees to repay to the Administrative Agent forthwith on demand the amount so distributed to such Lender, with interest thereon, for each day from and including the date such amount is distributed to it to but excluding the date of payment to the Administrative Agent, at the greater of the Federal Funds Effective Rate and a rate </w:t>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56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56</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determined by the Administrative Agent in accordance with banking industry rules on interbank compensation.</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(iii)</w:t>
      </w:r>
      <w:r>
        <w:rPr>
          <w:rFonts w:ascii="Times New Roman;sans-serif" w:hAnsi="Times New Roman;sans-serif"/>
          <w:b w:val="false"/>
          <w:color w:val="000000"/>
          <w:sz w:val="22"/>
          <w:u w:val="single"/>
        </w:rPr>
        <w:t>Notice by Administrative Agent</w:t>
      </w:r>
      <w:r>
        <w:rPr>
          <w:rFonts w:ascii="Times New Roman;sans-serif" w:hAnsi="Times New Roman;sans-serif"/>
          <w:b w:val="false"/>
          <w:color w:val="000000"/>
          <w:sz w:val="22"/>
        </w:rPr>
        <w:t>. A notice from the Administrative Agent to any Lender or the Borrower with respect to any amount owing under this clause (c) shall be conclusive, absent manifest error.</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u w:val="single"/>
        </w:rPr>
        <w:t>Obligations of Lenders Several</w:t>
      </w:r>
      <w:r>
        <w:rPr>
          <w:rFonts w:ascii="Times New Roman;sans-serif" w:hAnsi="Times New Roman;sans-serif"/>
          <w:b w:val="false"/>
          <w:color w:val="000000"/>
          <w:sz w:val="22"/>
        </w:rPr>
        <w:t xml:space="preserve">. The obligations of the Lenders hereunder to make Loans and to make payments pursuant to </w:t>
      </w:r>
      <w:r>
        <w:rPr>
          <w:rFonts w:ascii="Times New Roman;sans-serif" w:hAnsi="Times New Roman;sans-serif"/>
          <w:b w:val="false"/>
          <w:color w:val="000000"/>
          <w:sz w:val="22"/>
          <w:u w:val="single"/>
        </w:rPr>
        <w:t>Section 10.3(c)</w:t>
      </w:r>
      <w:r>
        <w:rPr>
          <w:color w:val="000000"/>
        </w:rPr>
        <w:t xml:space="preserve"> </w:t>
      </w:r>
      <w:r>
        <w:rPr>
          <w:rFonts w:ascii="Times New Roman;sans-serif" w:hAnsi="Times New Roman;sans-serif"/>
          <w:b w:val="false"/>
          <w:color w:val="000000"/>
          <w:sz w:val="22"/>
        </w:rPr>
        <w:t xml:space="preserve">are several and not joint. The failure of any Lender to make any Loan or make any payment under </w:t>
      </w:r>
      <w:r>
        <w:rPr>
          <w:rFonts w:ascii="Times New Roman;sans-serif" w:hAnsi="Times New Roman;sans-serif"/>
          <w:b w:val="false"/>
          <w:color w:val="000000"/>
          <w:sz w:val="22"/>
          <w:u w:val="single"/>
        </w:rPr>
        <w:t>Section 10.3(c)</w:t>
      </w:r>
      <w:r>
        <w:rPr>
          <w:color w:val="000000"/>
        </w:rPr>
        <w:t xml:space="preserve"> </w:t>
      </w:r>
      <w:r>
        <w:rPr>
          <w:rFonts w:ascii="Times New Roman;sans-serif" w:hAnsi="Times New Roman;sans-serif"/>
          <w:b w:val="false"/>
          <w:color w:val="000000"/>
          <w:sz w:val="22"/>
        </w:rPr>
        <w:t xml:space="preserve">on any date required hereunder shall not relieve any other Lender of its corresponding obligation to do so on such date, and no Lender shall be responsible for the failure of any other Lender to so make its Loan or to make its payment under </w:t>
      </w:r>
      <w:r>
        <w:rPr>
          <w:rFonts w:ascii="Times New Roman;sans-serif" w:hAnsi="Times New Roman;sans-serif"/>
          <w:b w:val="false"/>
          <w:color w:val="000000"/>
          <w:sz w:val="22"/>
          <w:u w:val="single"/>
        </w:rPr>
        <w:t>Section 10.3(c)</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u w:val="single"/>
        </w:rPr>
        <w:t>Failure to Satisfy Conditions Precedent</w:t>
      </w:r>
      <w:r>
        <w:rPr>
          <w:rFonts w:ascii="Times New Roman;sans-serif" w:hAnsi="Times New Roman;sans-serif"/>
          <w:b w:val="false"/>
          <w:color w:val="000000"/>
          <w:sz w:val="22"/>
        </w:rPr>
        <w:t xml:space="preserve">. If any Lender makes available to the Administrative Agent funds for any Loan to be made by such Lender as provided in the foregoing provisions of this </w:t>
      </w:r>
      <w:r>
        <w:rPr>
          <w:rFonts w:ascii="Times New Roman;sans-serif" w:hAnsi="Times New Roman;sans-serif"/>
          <w:b w:val="false"/>
          <w:color w:val="000000"/>
          <w:sz w:val="22"/>
          <w:u w:val="single"/>
        </w:rPr>
        <w:t>Article 2</w:t>
      </w:r>
      <w:r>
        <w:rPr>
          <w:rFonts w:ascii="Times New Roman;sans-serif" w:hAnsi="Times New Roman;sans-serif"/>
          <w:b w:val="false"/>
          <w:color w:val="000000"/>
          <w:sz w:val="22"/>
        </w:rPr>
        <w:t xml:space="preserve">, and such funds are not made available to the Borrower by the Administrative Agent because the conditions to the borrowing of Loans set forth in </w:t>
      </w:r>
      <w:r>
        <w:rPr>
          <w:rFonts w:ascii="Times New Roman;sans-serif" w:hAnsi="Times New Roman;sans-serif"/>
          <w:b w:val="false"/>
          <w:color w:val="000000"/>
          <w:sz w:val="22"/>
          <w:u w:val="single"/>
        </w:rPr>
        <w:t>Article 4</w:t>
      </w:r>
      <w:r>
        <w:rPr>
          <w:color w:val="000000"/>
        </w:rPr>
        <w:t xml:space="preserve"> </w:t>
      </w:r>
      <w:r>
        <w:rPr>
          <w:rFonts w:ascii="Times New Roman;sans-serif" w:hAnsi="Times New Roman;sans-serif"/>
          <w:b w:val="false"/>
          <w:color w:val="000000"/>
          <w:sz w:val="22"/>
        </w:rPr>
        <w:t>are not satisfied or waived in accordance with the terms hereof, the Administrative Agent shall promptly return such funds (in like funds as received from such Lender) to such Lender, without interest.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u w:val="single"/>
        </w:rPr>
        <w:t>Funding Source</w:t>
      </w:r>
      <w:r>
        <w:rPr>
          <w:rFonts w:ascii="Times New Roman;sans-serif" w:hAnsi="Times New Roman;sans-serif"/>
          <w:b w:val="false"/>
          <w:color w:val="000000"/>
          <w:sz w:val="22"/>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(g)</w:t>
      </w:r>
      <w:r>
        <w:rPr>
          <w:rFonts w:ascii="Times New Roman;sans-serif" w:hAnsi="Times New Roman;sans-serif"/>
          <w:b w:val="false"/>
          <w:color w:val="000000"/>
          <w:sz w:val="22"/>
          <w:u w:val="single"/>
        </w:rPr>
        <w:t>Insufficient Payment</w:t>
      </w:r>
      <w:r>
        <w:rPr>
          <w:rFonts w:ascii="Times New Roman;sans-serif" w:hAnsi="Times New Roman;sans-serif"/>
          <w:b w:val="false"/>
          <w:color w:val="000000"/>
          <w:sz w:val="22"/>
        </w:rPr>
        <w:t xml:space="preserve">. Subject to the provisions of </w:t>
      </w:r>
      <w:r>
        <w:rPr>
          <w:rFonts w:ascii="Times New Roman;sans-serif" w:hAnsi="Times New Roman;sans-serif"/>
          <w:b w:val="false"/>
          <w:color w:val="000000"/>
          <w:sz w:val="22"/>
          <w:u w:val="single"/>
        </w:rPr>
        <w:t>Article 8</w:t>
      </w:r>
      <w:r>
        <w:rPr>
          <w:rFonts w:ascii="Times New Roman;sans-serif" w:hAnsi="Times New Roman;sans-serif"/>
          <w:b w:val="false"/>
          <w:color w:val="000000"/>
          <w:sz w:val="22"/>
        </w:rPr>
        <w:t>, whenever any payment received by the Administrative Agent under this Credit Agreement or any of the other Loan Documents is insufficient to pay in full all amounts due and payable to the Credit Parties under or in respect of this Credit Agreement and the other Loan Documents on any date, such payment shall be distributed by the Administrative Agent and applied by the Administrative Agent (i) first, towards payment of all fees and expenses due to the Administrative Agent under the Loan Documents, (ii) second, towards payment of all expenses then due hereunder, ratably among the parties entitled thereto in accordance herewith, (iii) third, towards payment of interest, fees, premium and commissions then due hereunder, ratably among the parties entitled thereto in accordance with the amounts of interest, fees, premium and commissions then due to such parties, and (iv) fourth, towards payment of principal of Loans then due hereunder, ratably among the parties entitled thereto in accordance with the amounts of principal of Loans then due to such parties.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(h)</w:t>
      </w:r>
      <w:r>
        <w:rPr>
          <w:rFonts w:ascii="Times New Roman;sans-serif" w:hAnsi="Times New Roman;sans-serif"/>
          <w:b w:val="false"/>
          <w:color w:val="000000"/>
          <w:sz w:val="22"/>
          <w:u w:val="single"/>
        </w:rPr>
        <w:t>Sharing of Payments by Lenders</w:t>
      </w:r>
      <w:r>
        <w:rPr>
          <w:rFonts w:ascii="Times New Roman;sans-serif" w:hAnsi="Times New Roman;sans-serif"/>
          <w:b w:val="false"/>
          <w:color w:val="000000"/>
          <w:sz w:val="22"/>
        </w:rPr>
        <w:t xml:space="preserve">. If any Lender shall, by exercising any right of setoff or counterclaim or otherwise, obtain payment in respect of any principal of or interest on any of its Loans or other obligations hereunder resulting in such Lender receiving payment of a proportion of the aggregate amount of its Loans and accrued interest thereon or other such obligations greater than its pro rata share thereof as provided herein, then such Lender shall (x) notify the Administrative Agent of such fact, and (y) purchase (for cash at face value) participations in the Loans and such other obligations of the other Lenders, or make such other adjustments as shall be equitable, so that the benefit of all such payments shall be shared by the Lenders ratably in accordance with the aggregate amount of principal of and accrued interest on their respective Loans and other amounts owing them;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w:t>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57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57</w:t>
                      </w:r>
                    </w:p>
                  </w:txbxContent>
                </v:textbox>
                <w10:wrap type="none"/>
              </v:rect>
            </w:pict>
          </mc:Fallback>
        </mc:AlternateConten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(i)if any such participations are purchased and all or any portion of the payment giving rise thereto is recovered, such participations shall be rescinded and the purchase price restored to the extent of such recovery, without interest; and</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(ii)the provisions of this clause (h) shall not be construed to apply to (x) any payment made by the Borrower pursuant to and in accordance with the express terms of this Credit Agreement, or (y) any payment obtained by a Lender as consideration for the assignment of or sale of a participation in any of its Loans to any assignee or participant.</w:t>
      </w:r>
    </w:p>
    <w:p>
      <w:pPr>
        <w:pStyle w:val="TextBody"/>
        <w:bidi w:val="0"/>
        <w:spacing w:lineRule="auto" w:line="288" w:before="0" w:after="120"/>
        <w:jc w:val="left"/>
        <w:rPr>
          <w:rFonts w:ascii="Times New Roman;sans-serif" w:hAnsi="Times New Roman;sans-serif"/>
          <w:b w:val="false"/>
          <w:color w:val="000000"/>
          <w:sz w:val="22"/>
        </w:rPr>
      </w:pPr>
      <w:r>
        <w:rPr>
          <w:rFonts w:ascii="Times New Roman;sans-serif" w:hAnsi="Times New Roman;sans-serif"/>
          <w:b w:val="false"/>
          <w:color w:val="000000"/>
          <w:sz w:val="22"/>
        </w:rPr>
        <w:t>The Borrower consents to the foregoing and agrees, to the extent it may effectively do so under applicable law, that any Lender acquiring a participation pursuant to the foregoing arrangements may exercise against each Loan Party rights of setoff and counterclaim with respect to such participation as fully as if such Lender were a direct creditor of each Loan Party in the amount of such participation. For purposes of clause (b)(i) of the definition of “Excluded Taxes,” a participation acquired pursuant to this Section 2.8(h) shall be treated as having been acquired on the earlier date(s) on which the applicable Lender acquired the applicable interest in the Commitment(s) or Loan(s) to which such participation relates.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(i)</w:t>
      </w:r>
      <w:r>
        <w:rPr>
          <w:rFonts w:ascii="Times New Roman;sans-serif" w:hAnsi="Times New Roman;sans-serif"/>
          <w:b w:val="false"/>
          <w:color w:val="000000"/>
          <w:sz w:val="22"/>
        </w:rPr>
        <w:t xml:space="preserve">Deductions by Administrative Agent. If any Lender shall fail to make any payment required to be made by it pursuant to </w:t>
      </w:r>
      <w:r>
        <w:rPr>
          <w:rFonts w:ascii="Times New Roman;sans-serif" w:hAnsi="Times New Roman;sans-serif"/>
          <w:b w:val="false"/>
          <w:color w:val="000000"/>
          <w:sz w:val="22"/>
          <w:u w:val="single"/>
        </w:rPr>
        <w:t>Section 2.2</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2.8(h)</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10.3(c)</w:t>
      </w:r>
      <w:r>
        <w:rPr>
          <w:rFonts w:ascii="Times New Roman;sans-serif" w:hAnsi="Times New Roman;sans-serif"/>
          <w:b w:val="false"/>
          <w:color w:val="000000"/>
          <w:sz w:val="22"/>
        </w:rPr>
        <w:t>, then the Administrative Agent may, in its discretion and notwithstanding any contrary provision hereof, (i) apply any amounts thereafter received by the Administrative Agent for the account of such Lender for the benefit of the Administrative Agent to satisfy such Lender’s obligations to the Administrative Agent until all such unsatisfied obligations are fully paid or (ii) hold any such amounts in a segregated account as cash collateral for, and for application to, any future funding obligations of such Lender under any such Section, in the case of each of clauses (i) and (ii) above, in any order as determined by the Administrative Agent in its sole discretion.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2.9</w:t>
      </w:r>
      <w:r>
        <w:rPr>
          <w:rFonts w:ascii="Times New Roman;sans-serif" w:hAnsi="Times New Roman;sans-serif"/>
          <w:b w:val="false"/>
          <w:color w:val="000000"/>
          <w:sz w:val="22"/>
          <w:u w:val="single"/>
        </w:rPr>
        <w:t>[Reserved]</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2.10</w:t>
      </w:r>
      <w:r>
        <w:rPr>
          <w:rFonts w:ascii="Times New Roman;sans-serif" w:hAnsi="Times New Roman;sans-serif"/>
          <w:b w:val="false"/>
          <w:color w:val="000000"/>
          <w:sz w:val="22"/>
          <w:u w:val="single"/>
        </w:rPr>
        <w:t>[Reserved]</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2.11</w:t>
      </w:r>
      <w:r>
        <w:rPr>
          <w:rFonts w:ascii="Times New Roman;sans-serif" w:hAnsi="Times New Roman;sans-serif"/>
          <w:b w:val="false"/>
          <w:color w:val="000000"/>
          <w:sz w:val="22"/>
          <w:u w:val="single"/>
        </w:rPr>
        <w:t>[Reserved]</w:t>
      </w:r>
      <w:r>
        <w:rPr>
          <w:rFonts w:ascii="Times New Roman;sans-serif" w:hAnsi="Times New Roman;sans-serif"/>
          <w:b w:val="false"/>
          <w:color w:val="000000"/>
          <w:sz w:val="22"/>
        </w:rPr>
        <w:t>.</w:t>
      </w:r>
    </w:p>
    <w:p>
      <w:pPr>
        <w:pStyle w:val="TextBody"/>
        <w:bidi w:val="0"/>
        <w:spacing w:lineRule="auto" w:line="288" w:before="0" w:after="240"/>
        <w:jc w:val="center"/>
        <w:rPr/>
      </w:pPr>
      <w:r>
        <w:rPr>
          <w:rFonts w:ascii="Times New Roman;sans-serif" w:hAnsi="Times New Roman;sans-serif"/>
          <w:b w:val="false"/>
          <w:color w:val="000000"/>
          <w:sz w:val="22"/>
        </w:rPr>
        <w:t>Article 3</w:t>
      </w:r>
      <w:r>
        <w:rPr>
          <w:rFonts w:ascii="Times New Roman;sans-serif" w:hAnsi="Times New Roman;sans-serif"/>
          <w:b/>
          <w:color w:val="000000"/>
          <w:sz w:val="22"/>
          <w:u w:val="single"/>
        </w:rPr>
        <w:br/>
        <w:br/>
      </w:r>
      <w:r>
        <w:rPr>
          <w:rFonts w:ascii="Times New Roman;sans-serif" w:hAnsi="Times New Roman;sans-serif"/>
          <w:b w:val="false"/>
          <w:color w:val="000000"/>
          <w:sz w:val="22"/>
        </w:rPr>
        <w:t>INTEREST, FEES, YIELD PROTECTION, ETC.</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3.1</w:t>
      </w:r>
      <w:r>
        <w:rPr>
          <w:rFonts w:ascii="Times New Roman;sans-serif" w:hAnsi="Times New Roman;sans-serif"/>
          <w:b w:val="false"/>
          <w:color w:val="000000"/>
          <w:sz w:val="22"/>
          <w:u w:val="single"/>
        </w:rPr>
        <w:t>Interest</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Interest Rate Generally</w:t>
      </w:r>
      <w:r>
        <w:rPr>
          <w:rFonts w:ascii="Times New Roman;sans-serif" w:hAnsi="Times New Roman;sans-serif"/>
          <w:b w:val="false"/>
          <w:color w:val="000000"/>
          <w:sz w:val="22"/>
        </w:rPr>
        <w:t xml:space="preserve">. All ABR Loans shall bear interest at a rate per annum equal to the sum of the Alternate Base Rate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the Applicable Margin. Each SOFR Loan shall bear interest at a rate per annum equal to the sum of Adjusted Term SOFR for the Interest Period in effect for such Loan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the Applicable Margin.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Default Rate</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(i)Notwithstanding the foregoing, if any principal of or interest on any Loan or any fee, premium or other amount payable by the Borrower hereunder is not paid when due, whether at stated maturity, upon acceleration or otherwise, such overdue amount shall bear </w:t>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3"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58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58</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interest, after as well as before judgment, at a rate per annum equal to the Default Rate to the fullest extent permitted by applicable law.</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(ii)Notwithstanding the foregoing, if an Event of Default has occurred and is continuing and the Administrative Agent, at the request of the Required Lenders, so notifies the Borrower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no such notification shall be required, and the following interest shall automatically be payable, in the case of an Event of Default under </w:t>
      </w:r>
      <w:r>
        <w:rPr>
          <w:rFonts w:ascii="Times New Roman;sans-serif" w:hAnsi="Times New Roman;sans-serif"/>
          <w:b w:val="false"/>
          <w:color w:val="000000"/>
          <w:sz w:val="22"/>
          <w:u w:val="single"/>
        </w:rPr>
        <w:t>Sections 8.1(a)</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(b)</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 xml:space="preserve">(h)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(i))</w:t>
      </w:r>
      <w:r>
        <w:rPr>
          <w:rFonts w:ascii="Times New Roman;sans-serif" w:hAnsi="Times New Roman;sans-serif"/>
          <w:b w:val="false"/>
          <w:color w:val="000000"/>
          <w:sz w:val="22"/>
        </w:rPr>
        <w:t>, then, so long as such Event of Default is continuing, all outstanding principal of each Loan shall, without duplication of amounts payable under the preceding sentence, bear interest, after as well as before judgment, at a rate per annum equal to the Default Rate to the fullest extent permitted by applicable law.</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(iii)Accrued and unpaid interest on past due amounts (including interest on past due interest) shall be due and payable upon demand.</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u w:val="single"/>
        </w:rPr>
        <w:t>Interest Payment Dates</w:t>
      </w:r>
      <w:r>
        <w:rPr>
          <w:rFonts w:ascii="Times New Roman;sans-serif" w:hAnsi="Times New Roman;sans-serif"/>
          <w:b w:val="false"/>
          <w:color w:val="000000"/>
          <w:sz w:val="22"/>
        </w:rPr>
        <w:t xml:space="preserve">. Accrued interest on each Loan shall be payable in arrears on each Interest Payment Date for such Loan and at such other times as may be specified herein;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 interest accrued pursuant to clause (b) of this Section shall be payable on demand, (ii) in the event of any repayment or prepayment of any Loan, accrued interest on the principal amount repaid or prepaid shall be payable on the date of such repayment or prepayment, and (iii) in the event of any conversion of any SOFR Loan prior to the end of the current Interest Period therefor, accrued interest on such Loan shall be payable on the effective date of such conversion.</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u w:val="single"/>
        </w:rPr>
        <w:t>Computation of Interest</w:t>
      </w:r>
      <w:r>
        <w:rPr>
          <w:rFonts w:ascii="Times New Roman;sans-serif" w:hAnsi="Times New Roman;sans-serif"/>
          <w:b w:val="false"/>
          <w:color w:val="000000"/>
          <w:sz w:val="22"/>
        </w:rPr>
        <w:t>. All interest hereunder shall be computed on the basis of a year of 360 days, except that interest computed by reference to the Alternate Base Rate at times when the Alternate Base Rate is based on the Prime Rate shall be computed on the basis of a year of 365 days (or 366 days in a leap year), and in each case shall be payable for the actual number of days elapsed (including the first day but excluding the last day). The applicable Alternate Base Rate and Adjusted Term SOFR shall be determined by the Administrative Agent, and such determination shall be conclusive absent clearly manifest error. For the avoidance of doubt, no date of payment shall be included in any computation.</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u w:val="single"/>
        </w:rPr>
        <w:t>Term SOFR Conforming Changes</w:t>
      </w:r>
      <w:r>
        <w:rPr>
          <w:rFonts w:ascii="Times New Roman;sans-serif" w:hAnsi="Times New Roman;sans-serif"/>
          <w:b w:val="false"/>
          <w:color w:val="000000"/>
          <w:sz w:val="22"/>
        </w:rPr>
        <w:t>. In connection with the use or administration of Term SOFR,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Credit Agreement or any other Loan Document. The Administrative Agent will promptly notify the Borrower and the Lenders of the effectiveness of any Conforming Changes in connection with the use or administration of Term SOFR.</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3.2</w:t>
      </w:r>
      <w:r>
        <w:rPr>
          <w:rFonts w:ascii="Times New Roman;sans-serif" w:hAnsi="Times New Roman;sans-serif"/>
          <w:b w:val="false"/>
          <w:color w:val="000000"/>
          <w:sz w:val="22"/>
          <w:u w:val="single"/>
        </w:rPr>
        <w:t>Fees</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Fee Letter</w:t>
      </w:r>
      <w:r>
        <w:rPr>
          <w:rFonts w:ascii="Times New Roman;sans-serif" w:hAnsi="Times New Roman;sans-serif"/>
          <w:b w:val="false"/>
          <w:color w:val="000000"/>
          <w:sz w:val="22"/>
        </w:rPr>
        <w:t xml:space="preserve">. The Borrower agrees to pay the fees payable in the amounts and at the times set forth in the Fee Letter.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Other Fees</w:t>
      </w:r>
      <w:r>
        <w:rPr>
          <w:rFonts w:ascii="Times New Roman;sans-serif" w:hAnsi="Times New Roman;sans-serif"/>
          <w:b w:val="false"/>
          <w:color w:val="000000"/>
          <w:sz w:val="22"/>
        </w:rPr>
        <w:t>. The Borrower agrees to pay to each Credit Party, for its own account, fees and other amounts payable in the amounts and at the times separately agreed upon between the Borrower and such Credit Party.</w:t>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59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59</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u w:val="single"/>
        </w:rPr>
        <w:t>Payment of Fees Generally</w:t>
      </w:r>
      <w:r>
        <w:rPr>
          <w:rFonts w:ascii="Times New Roman;sans-serif" w:hAnsi="Times New Roman;sans-serif"/>
          <w:b w:val="false"/>
          <w:color w:val="000000"/>
          <w:sz w:val="22"/>
        </w:rPr>
        <w:t>. All fees and other amounts payable hereunder shall be paid on the dates due, in immediately available funds. Fees and other amounts paid shall not be refundable under any circumstances. Each determination by the Administrative Agent of a fee hereunder shall be conclusive absent manifest error.</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u w:val="single"/>
        </w:rPr>
        <w:t>Prepayment Premium</w:t>
      </w:r>
      <w:r>
        <w:rPr>
          <w:rFonts w:ascii="Times New Roman;sans-serif" w:hAnsi="Times New Roman;sans-serif"/>
          <w:b w:val="false"/>
          <w:color w:val="000000"/>
          <w:sz w:val="22"/>
        </w:rPr>
        <w:t xml:space="preserve">. In the event that any Prepayment Premium Event occurs with respect to all or any portion of the Loans for any reason whatsoever prior to the Maturity Date (including, without limitation, as a result of any acceleration of all or any portion of the Loans, or termination or reduction of all or any portion of the Commitments, resulting from an Event of Default), in addition to the payment of the subject principal amount and all unpaid accrued interest thereon, the Borrower shall be required to pay to the Administrative Agent, for the benefit of the Lenders based on their respective Applicable Percentages of the Loans subject to such Prepayment Premium Event, the applicable Prepayment Premium (as liquidated damages and compensation for the costs of the Lenders being prepared to make funds available hereunder with respect to the Loans and Commitments). For the avoidance of doubt, if the Loans are accelerated or otherwise become due prior to the Maturity Date, in each case, as a result of an Event of Default (including upon the occurrence of an insolvency proceeding or the acceleration of claims by operation of law), the amount of principal of and premium on the Loans that become due and payable shall equal one hundred percent (100%) of the principal amount of Loans accelerated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the applicable Prepayment Premium in effect on the date of such acceleration or such other prior due date, as if such acceleration or other occurrence were a voluntary prepayment requiring the payment of the applicable Prepayment Premium on such portion of the Loans accelerated or otherwise becoming due and shall constitute part of the Loan Document Obligations, in view of the impracticability and extreme difficulty of ascertaining actual damages and by mutual agreement of the parties as to a reasonable calculation of each Lender’s lost profits as a result thereof.</w:t>
      </w:r>
    </w:p>
    <w:p>
      <w:pPr>
        <w:pStyle w:val="TextBody"/>
        <w:bidi w:val="0"/>
        <w:spacing w:lineRule="auto" w:line="288" w:before="0" w:after="120"/>
        <w:jc w:val="both"/>
        <w:rPr/>
      </w:pPr>
      <w:r>
        <w:rPr>
          <w:color w:val="000000"/>
        </w:rPr>
        <w:t>    </w:t>
      </w:r>
      <w:r>
        <w:rPr>
          <w:rFonts w:ascii="Times New Roman;sans-serif" w:hAnsi="Times New Roman;sans-serif"/>
          <w:b w:val="false"/>
          <w:color w:val="000000"/>
          <w:sz w:val="22"/>
        </w:rPr>
        <w:t xml:space="preserve">Each such Prepayment Premium shall be deemed fully earned, and shall be immediately due and payable, upon the date that the Prepayment Premium Event occurs (regardless of whether or not all or any portion of the principal amount subject to such Prepayment Premium Event has actually then been paid or otherwise), and shall not be refundable in whole or in part and shall not be subject to reduction or set-off. The Borrower acknowledges and agrees that (x) the provisions of this </w:t>
      </w:r>
      <w:r>
        <w:rPr>
          <w:rFonts w:ascii="Times New Roman;sans-serif" w:hAnsi="Times New Roman;sans-serif"/>
          <w:b w:val="false"/>
          <w:color w:val="000000"/>
          <w:sz w:val="22"/>
          <w:u w:val="single"/>
        </w:rPr>
        <w:t>Section 3.2(d)</w:t>
      </w:r>
      <w:r>
        <w:rPr>
          <w:color w:val="000000"/>
        </w:rPr>
        <w:t xml:space="preserve"> </w:t>
      </w:r>
      <w:r>
        <w:rPr>
          <w:rFonts w:ascii="Times New Roman;sans-serif" w:hAnsi="Times New Roman;sans-serif"/>
          <w:b w:val="false"/>
          <w:color w:val="000000"/>
          <w:sz w:val="22"/>
        </w:rPr>
        <w:t xml:space="preserve">shall remain in full force and effect notwithstanding any rescission by the Administrative Agent or the Required Lenders of an acceleration with respect to all or any portion of the Loan Document Obligations pursuant to </w:t>
      </w:r>
      <w:r>
        <w:rPr>
          <w:rFonts w:ascii="Times New Roman;sans-serif" w:hAnsi="Times New Roman;sans-serif"/>
          <w:b w:val="false"/>
          <w:color w:val="000000"/>
          <w:sz w:val="22"/>
          <w:u w:val="single"/>
        </w:rPr>
        <w:t>Section 8.2</w:t>
      </w:r>
      <w:r>
        <w:rPr>
          <w:color w:val="000000"/>
        </w:rPr>
        <w:t xml:space="preserve"> </w:t>
      </w:r>
      <w:r>
        <w:rPr>
          <w:rFonts w:ascii="Times New Roman;sans-serif" w:hAnsi="Times New Roman;sans-serif"/>
          <w:b w:val="false"/>
          <w:color w:val="000000"/>
          <w:sz w:val="22"/>
        </w:rPr>
        <w:t xml:space="preserve">or otherwise, and (y) the payment of any Prepayment Premium under this </w:t>
      </w:r>
      <w:r>
        <w:rPr>
          <w:rFonts w:ascii="Times New Roman;sans-serif" w:hAnsi="Times New Roman;sans-serif"/>
          <w:b w:val="false"/>
          <w:color w:val="000000"/>
          <w:sz w:val="22"/>
          <w:u w:val="single"/>
        </w:rPr>
        <w:t>Section 3.2(d)</w:t>
      </w:r>
      <w:r>
        <w:rPr>
          <w:color w:val="000000"/>
        </w:rPr>
        <w:t xml:space="preserve"> </w:t>
      </w:r>
      <w:r>
        <w:rPr>
          <w:rFonts w:ascii="Times New Roman;sans-serif" w:hAnsi="Times New Roman;sans-serif"/>
          <w:b w:val="false"/>
          <w:color w:val="000000"/>
          <w:sz w:val="22"/>
        </w:rPr>
        <w:t xml:space="preserve">constitutes liquidated damages and not a penalty. The Borrower acknowledges, and the parties hereto agree, that each Lender has the right to maintain its investment in the Loans free from repayment by the Borrower (except as herein specifically provided for) and that the provision for the obligation to pay the Prepayment Premium by the Borrower in the event that the Loans are prepaid or are accelerated is intended to provide compensation for the deprivation of such right under such circumstances. The Borrower further acknowledges, and the parties hereto also agree, that actual damages to the Lenders from the loss of the bargained-for yield for the term of the Loans as a result of early repayment (or the fixing of the obligation to do so as the result of acceleration) are difficult at this time to determine and calculate and that the Prepayment Premium (if any) is a reasonable estimate of, and certainly not disproportionate to, such likely actual damages. THE BORROWER EXPRESSLY WAIVES THE PROVISIONS OF ANY PRESENT OR FUTURE STATUTE OR LAW THAT PROHIBITS OR MAY PROHIBIT THE COLLECTION OF ANY PREPAYMENT PREMIUM IN CONNECTION WITH ANY ACCELERATION OF ANY OR ALL THE LOAN DOCUMENT OBLIGATIONS. The Borrower expressly agrees that (A) any Prepayment Premium payable in accordance with this </w:t>
      </w:r>
      <w:r>
        <w:rPr>
          <w:rFonts w:ascii="Times New Roman;sans-serif" w:hAnsi="Times New Roman;sans-serif"/>
          <w:b w:val="false"/>
          <w:color w:val="000000"/>
          <w:sz w:val="22"/>
          <w:u w:val="single"/>
        </w:rPr>
        <w:t>Section 3.2(d)</w:t>
      </w:r>
      <w:r>
        <w:rPr>
          <w:color w:val="000000"/>
        </w:rPr>
        <w:t xml:space="preserve"> </w:t>
      </w:r>
      <w:r>
        <w:rPr>
          <w:rFonts w:ascii="Times New Roman;sans-serif" w:hAnsi="Times New Roman;sans-serif"/>
          <w:b w:val="false"/>
          <w:color w:val="000000"/>
          <w:sz w:val="22"/>
        </w:rPr>
        <w:t xml:space="preserve">shall be presumed to be equal to the liquidated damages sustained by the Administrative Agent and the Lenders as a result of the occurrence of each Prepayment Premium Event, (B) the amount of any Prepayment </w:t>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60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60</w:t>
                      </w:r>
                    </w:p>
                  </w:txbxContent>
                </v:textbox>
                <w10:wrap type="none"/>
              </v:rect>
            </w:pict>
          </mc:Fallback>
        </mc:AlternateContent>
      </w:r>
    </w:p>
    <w:p>
      <w:pPr>
        <w:pStyle w:val="TextBody"/>
        <w:bidi w:val="0"/>
        <w:spacing w:lineRule="auto" w:line="288" w:before="0" w:after="120"/>
        <w:jc w:val="both"/>
        <w:rPr/>
      </w:pPr>
      <w:r>
        <w:rPr>
          <w:rFonts w:ascii="Times New Roman;sans-serif" w:hAnsi="Times New Roman;sans-serif"/>
          <w:b w:val="false"/>
          <w:color w:val="000000"/>
          <w:sz w:val="22"/>
        </w:rPr>
        <w:t xml:space="preserve">Premium payable under this </w:t>
      </w:r>
      <w:r>
        <w:rPr>
          <w:rFonts w:ascii="Times New Roman;sans-serif" w:hAnsi="Times New Roman;sans-serif"/>
          <w:b w:val="false"/>
          <w:color w:val="000000"/>
          <w:sz w:val="22"/>
          <w:u w:val="single"/>
        </w:rPr>
        <w:t>Section 3.2(d)</w:t>
      </w:r>
      <w:r>
        <w:rPr>
          <w:color w:val="000000"/>
        </w:rPr>
        <w:t xml:space="preserve"> </w:t>
      </w:r>
      <w:r>
        <w:rPr>
          <w:rFonts w:ascii="Times New Roman;sans-serif" w:hAnsi="Times New Roman;sans-serif"/>
          <w:b w:val="false"/>
          <w:color w:val="000000"/>
          <w:sz w:val="22"/>
        </w:rPr>
        <w:t xml:space="preserve">is reasonable under the circumstances currently existing and is the product of an arm’s-length transaction between sophisticated business people, ably represented by counsel, (C) the Prepayment Premium shall be payable notwithstanding the then-prevailing market rates at the time payment is made, (D) there has been a course of conduct among the Administrative Agent, the Lenders and the Borrower giving specific consideration in this transaction for such agreement to pay the Prepayment Premium, (E) the Borrower shall be estopped hereafter from claiming differently than agreed to in this </w:t>
      </w:r>
      <w:r>
        <w:rPr>
          <w:rFonts w:ascii="Times New Roman;sans-serif" w:hAnsi="Times New Roman;sans-serif"/>
          <w:b w:val="false"/>
          <w:color w:val="000000"/>
          <w:sz w:val="22"/>
          <w:u w:val="single"/>
        </w:rPr>
        <w:t>Section 3.2(d)</w:t>
      </w:r>
      <w:r>
        <w:rPr>
          <w:rFonts w:ascii="Times New Roman;sans-serif" w:hAnsi="Times New Roman;sans-serif"/>
          <w:b w:val="false"/>
          <w:color w:val="000000"/>
          <w:sz w:val="22"/>
        </w:rPr>
        <w:t xml:space="preserve">, (F) the Borrower’s agreement to pay the Prepayment Premium is a material inducement to the Administrative Agent and the Lenders to make the Loans and provide the Commitments, (G) the Administrative Agent and the Lenders may include the Prepayment Premium payable under this </w:t>
      </w:r>
      <w:r>
        <w:rPr>
          <w:rFonts w:ascii="Times New Roman;sans-serif" w:hAnsi="Times New Roman;sans-serif"/>
          <w:b w:val="false"/>
          <w:color w:val="000000"/>
          <w:sz w:val="22"/>
          <w:u w:val="single"/>
        </w:rPr>
        <w:t>Section 3.2(d)</w:t>
      </w:r>
      <w:r>
        <w:rPr>
          <w:color w:val="000000"/>
        </w:rPr>
        <w:t xml:space="preserve"> </w:t>
      </w:r>
      <w:r>
        <w:rPr>
          <w:rFonts w:ascii="Times New Roman;sans-serif" w:hAnsi="Times New Roman;sans-serif"/>
          <w:b w:val="false"/>
          <w:color w:val="000000"/>
          <w:sz w:val="22"/>
        </w:rPr>
        <w:t>in any applicable bankruptcy or insolvency claim filed with respect to the Borrower, and (H) the Prepayment Premium represents a good faith, reasonable estimate and calculation of the lost profits or damages of the Administrative Agent and Lenders and it would be impractical and extremely difficult to ascertain the actual amount of damages to the Administrative Agent and the Lenders or profits lost by the Administrative Agent and the Lenders as a result of the Prepayment Premium Event.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u w:val="single"/>
        </w:rPr>
        <w:t>Exit Fee</w:t>
      </w:r>
      <w:r>
        <w:rPr>
          <w:rFonts w:ascii="Times New Roman;sans-serif" w:hAnsi="Times New Roman;sans-serif"/>
          <w:b w:val="false"/>
          <w:color w:val="000000"/>
          <w:sz w:val="22"/>
        </w:rPr>
        <w:t xml:space="preserve">. Upon the earliest to occur of a Maturity Date after March 31, 2026, the acceleration of the Loan Document Obligations pursuant to </w:t>
      </w:r>
      <w:r>
        <w:rPr>
          <w:rFonts w:ascii="Times New Roman;sans-serif" w:hAnsi="Times New Roman;sans-serif"/>
          <w:b w:val="false"/>
          <w:color w:val="000000"/>
          <w:sz w:val="22"/>
          <w:u w:val="single"/>
        </w:rPr>
        <w:t>Article 8</w:t>
      </w:r>
      <w:r>
        <w:rPr>
          <w:color w:val="000000"/>
        </w:rPr>
        <w:t xml:space="preserve"> </w:t>
      </w:r>
      <w:r>
        <w:rPr>
          <w:rFonts w:ascii="Times New Roman;sans-serif" w:hAnsi="Times New Roman;sans-serif"/>
          <w:b w:val="false"/>
          <w:color w:val="000000"/>
          <w:sz w:val="22"/>
        </w:rPr>
        <w:t>after March 31, 2026 and the date after March 31, 2026 on which the outstanding principal amount of the Loans is paid in full in cash (such earliest date, the “</w:t>
      </w:r>
      <w:r>
        <w:rPr>
          <w:rFonts w:ascii="Times New Roman;sans-serif" w:hAnsi="Times New Roman;sans-serif"/>
          <w:b w:val="false"/>
          <w:color w:val="000000"/>
          <w:sz w:val="22"/>
          <w:u w:val="single"/>
        </w:rPr>
        <w:t>Exit Fee Trigger Date</w:t>
      </w:r>
      <w:r>
        <w:rPr>
          <w:color w:val="000000"/>
        </w:rPr>
        <w:t>”</w:t>
      </w:r>
      <w:r>
        <w:rPr>
          <w:rFonts w:ascii="Times New Roman;sans-serif" w:hAnsi="Times New Roman;sans-serif"/>
          <w:b w:val="false"/>
          <w:color w:val="000000"/>
          <w:sz w:val="22"/>
        </w:rPr>
        <w:t>), the Borrower agrees to pay to the Administrative Agent, for the benefit of the Lenders based on their respective Applicable Percentages as of immediately prior to the Exit Fee Trigger Date, an exit fee (the “</w:t>
      </w:r>
      <w:r>
        <w:rPr>
          <w:rFonts w:ascii="Times New Roman;sans-serif" w:hAnsi="Times New Roman;sans-serif"/>
          <w:b w:val="false"/>
          <w:color w:val="000000"/>
          <w:sz w:val="22"/>
          <w:u w:val="single"/>
        </w:rPr>
        <w:t>Exit Fee</w:t>
      </w:r>
      <w:r>
        <w:rPr>
          <w:color w:val="000000"/>
        </w:rPr>
        <w:t>”</w:t>
      </w:r>
      <w:r>
        <w:rPr>
          <w:rFonts w:ascii="Times New Roman;sans-serif" w:hAnsi="Times New Roman;sans-serif"/>
          <w:b w:val="false"/>
          <w:color w:val="000000"/>
          <w:sz w:val="22"/>
        </w:rPr>
        <w:t xml:space="preserve">) in an amount equal to $1,500,000. The Exit Fee shall be fully earned on March 31, 2026 and shall be due and payable on the Exit Fee Trigger Date. </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3.3</w:t>
      </w:r>
      <w:r>
        <w:rPr>
          <w:rFonts w:ascii="Times New Roman;sans-serif" w:hAnsi="Times New Roman;sans-serif"/>
          <w:b w:val="false"/>
          <w:color w:val="000000"/>
          <w:sz w:val="22"/>
          <w:u w:val="single"/>
        </w:rPr>
        <w:t>Alternate Rate of Interest</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Inability to Determine Rates</w:t>
      </w:r>
      <w:r>
        <w:rPr>
          <w:rFonts w:ascii="Times New Roman;sans-serif" w:hAnsi="Times New Roman;sans-serif"/>
          <w:b w:val="false"/>
          <w:color w:val="000000"/>
          <w:sz w:val="22"/>
        </w:rPr>
        <w:t xml:space="preserve">. Subject to </w:t>
      </w:r>
      <w:r>
        <w:rPr>
          <w:rFonts w:ascii="Times New Roman;sans-serif" w:hAnsi="Times New Roman;sans-serif"/>
          <w:b w:val="false"/>
          <w:color w:val="000000"/>
          <w:sz w:val="22"/>
          <w:u w:val="single"/>
        </w:rPr>
        <w:t>Section 3.3(b)</w:t>
      </w:r>
      <w:r>
        <w:rPr>
          <w:rFonts w:ascii="Times New Roman;sans-serif" w:hAnsi="Times New Roman;sans-serif"/>
          <w:b w:val="false"/>
          <w:color w:val="000000"/>
          <w:sz w:val="22"/>
        </w:rPr>
        <w:t>, if, on or prior to the first day of any Interest Period for any SOFR Loan:</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(i)the Administrative Agent determines (which determination shall be conclusive and binding absent manifest error) that Adjusted Term SOFR cannot be determined pursuant to the definition thereof; or</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(ii)the Required Lenders determine that for any reason in connection with any request for a SOFR Loan or a conversion thereto or a continuation thereof that Adjusted Term SOFR for any requested Interest Period with respect to a proposed SOFR Loan does not adequately and fairly reflect the cost to such Lenders of making and maintaining such Loan, and the Required Lenders have provided notice of such determination to the Administrative Agent,</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then, in each case, the Administrative Agent will promptly so notify the Borrower and each Lender. Upon notice thereof by the Administrative Agent to the Borrower, any obligation of the Lenders to make SOFR Loans, and any right of the Borrower to continue SOFR Loans or to convert ABR Loans to SOFR Loans, shall be suspended (to the extent of the affected SOFR Loans or affected Interest Periods) until the Administrative Agent (with respect to clause (ii), at the instruction of the Required Lenders) revokes such notice. Upon receipt of such notice, (x) the Borrower may revoke any pending request for a borrowing of, conversion to or continuation of SOFR Loans (to the extent of the affected SOFR Loans or affected Interest Periods) or, failing that, the Borrower will be deemed to have converted any such request into a request for a Borrowing of or conversion to ABR Loans in the amount specified therein and (y) any outstanding affected SOFR Loans will be deemed to have been converted into ABR Loans at the end of the applicable Interest Period. Upon any such conversion, the Borrower shall also pay accrued interest on </w:t>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61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61</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the amount so converted, together with any additional amounts required pursuant to </w:t>
      </w:r>
      <w:r>
        <w:rPr>
          <w:rFonts w:ascii="Times New Roman;sans-serif" w:hAnsi="Times New Roman;sans-serif"/>
          <w:b w:val="false"/>
          <w:color w:val="000000"/>
          <w:sz w:val="22"/>
          <w:u w:val="single"/>
        </w:rPr>
        <w:t>Section 3.5</w:t>
      </w:r>
      <w:r>
        <w:rPr>
          <w:rFonts w:ascii="Times New Roman;sans-serif" w:hAnsi="Times New Roman;sans-serif"/>
          <w:b w:val="false"/>
          <w:color w:val="000000"/>
          <w:sz w:val="22"/>
        </w:rPr>
        <w:t xml:space="preserve">. Subject to </w:t>
      </w:r>
      <w:r>
        <w:rPr>
          <w:rFonts w:ascii="Times New Roman;sans-serif" w:hAnsi="Times New Roman;sans-serif"/>
          <w:b w:val="false"/>
          <w:color w:val="000000"/>
          <w:sz w:val="22"/>
          <w:u w:val="single"/>
        </w:rPr>
        <w:t>Section 3.3(b)</w:t>
      </w:r>
      <w:r>
        <w:rPr>
          <w:rFonts w:ascii="Times New Roman;sans-serif" w:hAnsi="Times New Roman;sans-serif"/>
          <w:b w:val="false"/>
          <w:color w:val="000000"/>
          <w:sz w:val="22"/>
        </w:rPr>
        <w:t>, if the Administrative Agent determines (which determination shall be conclusive and binding absent manifest error) that Adjusted Term SOFR cannot be determined pursuant to the definition thereof on any given day, the interest rate on ABR Loans shall be determined by the Administrative Agent without reference to clause (c) of the definition of “Alternate Base Rate” until the Administrative Agent revokes such determination.</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Benchmark Replacement Setting</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(i)</w:t>
      </w:r>
      <w:r>
        <w:rPr>
          <w:rFonts w:ascii="Times New Roman;sans-serif" w:hAnsi="Times New Roman;sans-serif"/>
          <w:b w:val="false"/>
          <w:color w:val="000000"/>
          <w:sz w:val="22"/>
          <w:u w:val="single"/>
        </w:rPr>
        <w:t>Benchmark Replacement</w:t>
      </w:r>
      <w:r>
        <w:rPr>
          <w:rFonts w:ascii="Times New Roman;sans-serif" w:hAnsi="Times New Roman;sans-serif"/>
          <w:b w:val="false"/>
          <w:color w:val="000000"/>
          <w:sz w:val="22"/>
        </w:rPr>
        <w:t>. Notwithstanding anything to the contrary herein or in any other Loan Document, if a Benchmark Transition Event and its related Benchmark Replacement Date have occurred prior any setting of the then-current Benchmark, then (x) if a Benchmark Replacement is determined in accordance with clause (a)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Credit Agreement or any other Loan Document and the definition of “Adjusted Term SOFR” shall be deemed modified to delete the addition of the Term SOFR Adjustment to Term SOFR for any calculation and (y) if a Benchmark Replacement is determined in accordance with clause (b) of the definition of “Benchmark Replacement” for such Benchmark Replacement Date, such Benchmark Replacement will replace such Benchmark for all purposes hereunder and under any Loan Document in respect of any Benchmark setting at or after 5:00 p.m. (New York City time) on the fifth (5</w:t>
      </w:r>
      <w:r>
        <w:rPr>
          <w:rFonts w:ascii="Times New Roman;sans-serif" w:hAnsi="Times New Roman;sans-serif"/>
          <w:b w:val="false"/>
          <w:color w:val="000000"/>
          <w:sz w:val="14"/>
        </w:rPr>
        <w:t>th</w:t>
      </w:r>
      <w:r>
        <w:rPr>
          <w:rFonts w:ascii="Times New Roman;sans-serif" w:hAnsi="Times New Roman;sans-serif"/>
          <w:b w:val="false"/>
          <w:color w:val="000000"/>
          <w:sz w:val="22"/>
        </w:rPr>
        <w:t xml:space="preserve">) Business Day after the date notice of such Benchmark Replacement is provided to the Lenders without any amendment to, or further action or consent of any other party to, this Credit Agreement or any other Loan Document so long as the Administrative Agent has not received, by such time, written notice of objection to such Benchmark Replacement from Lenders comprising the Required Lenders. If the Benchmark Replacement is Daily Simple SOFR, all interest payments will be payable on a monthly basis.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(ii)</w:t>
      </w:r>
      <w:r>
        <w:rPr>
          <w:rFonts w:ascii="Times New Roman;sans-serif" w:hAnsi="Times New Roman;sans-serif"/>
          <w:b w:val="false"/>
          <w:color w:val="000000"/>
          <w:sz w:val="22"/>
          <w:u w:val="single"/>
        </w:rPr>
        <w:t>Benchmark Replacement Conforming Changes</w:t>
      </w:r>
      <w:r>
        <w:rPr>
          <w:rFonts w:ascii="Times New Roman;sans-serif" w:hAnsi="Times New Roman;sans-serif"/>
          <w:b w:val="false"/>
          <w:color w:val="000000"/>
          <w:sz w:val="22"/>
        </w:rPr>
        <w:t xml:space="preserve">. In connection with the use, administration, adoption or implementation of a Benchmark Replacement,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Credit Agreement or any other Loan Document.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(iii)</w:t>
      </w:r>
      <w:r>
        <w:rPr>
          <w:rFonts w:ascii="Times New Roman;sans-serif" w:hAnsi="Times New Roman;sans-serif"/>
          <w:b w:val="false"/>
          <w:color w:val="000000"/>
          <w:sz w:val="22"/>
          <w:u w:val="single"/>
        </w:rPr>
        <w:t>Notices; Standards for Decisions and Determinations</w:t>
      </w:r>
      <w:r>
        <w:rPr>
          <w:rFonts w:ascii="Times New Roman;sans-serif" w:hAnsi="Times New Roman;sans-serif"/>
          <w:b w:val="false"/>
          <w:color w:val="000000"/>
          <w:sz w:val="22"/>
        </w:rPr>
        <w:t xml:space="preserve">. The Administrative Agent will promptly notify the Borrower and the Lenders of (i) the implementation of any Benchmark Replacement and (ii) the effectiveness of any Conforming Changes in connection with the use, administration, adoption or implementation of a Benchmark Replacement. The Administrative Agent will notify the Borrower of (x) the removal or reinstatement of any tenor of a Benchmark pursuant to </w:t>
      </w:r>
      <w:r>
        <w:rPr>
          <w:rFonts w:ascii="Times New Roman;sans-serif" w:hAnsi="Times New Roman;sans-serif"/>
          <w:b w:val="false"/>
          <w:color w:val="000000"/>
          <w:sz w:val="22"/>
          <w:u w:val="single"/>
        </w:rPr>
        <w:t>Section 3.3(b)(iv)</w:t>
      </w:r>
      <w:r>
        <w:rPr>
          <w:color w:val="000000"/>
        </w:rPr>
        <w:t xml:space="preserve"> </w:t>
      </w:r>
      <w:r>
        <w:rPr>
          <w:rFonts w:ascii="Times New Roman;sans-serif" w:hAnsi="Times New Roman;sans-serif"/>
          <w:b w:val="false"/>
          <w:color w:val="000000"/>
          <w:sz w:val="22"/>
        </w:rPr>
        <w:t xml:space="preserve">and (y) the commencement of any Benchmark Unavailability Period. Any determination, decision or election that may be made by the Administrative Agent or, if applicable, any Lender (or group of Lenders) pursuant to this </w:t>
      </w:r>
      <w:r>
        <w:rPr>
          <w:rFonts w:ascii="Times New Roman;sans-serif" w:hAnsi="Times New Roman;sans-serif"/>
          <w:b w:val="false"/>
          <w:color w:val="000000"/>
          <w:sz w:val="22"/>
          <w:u w:val="single"/>
        </w:rPr>
        <w:t>Section 3.3(b)</w:t>
      </w:r>
      <w:r>
        <w:rPr>
          <w:rFonts w:ascii="Times New Roman;sans-serif" w:hAnsi="Times New Roman;sans-serif"/>
          <w:b w:val="false"/>
          <w:color w:val="000000"/>
          <w:sz w:val="22"/>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w:t>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62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62</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any other party to this Credit Agreement or any other Loan Document, except, in each case, as expressly required pursuant to this </w:t>
      </w:r>
      <w:r>
        <w:rPr>
          <w:rFonts w:ascii="Times New Roman;sans-serif" w:hAnsi="Times New Roman;sans-serif"/>
          <w:b w:val="false"/>
          <w:color w:val="000000"/>
          <w:sz w:val="22"/>
          <w:u w:val="single"/>
        </w:rPr>
        <w:t>Section 3.3(b)</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(iv)</w:t>
      </w:r>
      <w:r>
        <w:rPr>
          <w:rFonts w:ascii="Times New Roman;sans-serif" w:hAnsi="Times New Roman;sans-serif"/>
          <w:b w:val="false"/>
          <w:color w:val="000000"/>
          <w:sz w:val="22"/>
          <w:u w:val="single"/>
        </w:rPr>
        <w:t>Unavailability of Tenor of Benchmark</w:t>
      </w:r>
      <w:r>
        <w:rPr>
          <w:rFonts w:ascii="Times New Roman;sans-serif" w:hAnsi="Times New Roman;sans-serif"/>
          <w:b w:val="false"/>
          <w:color w:val="000000"/>
          <w:sz w:val="22"/>
        </w:rPr>
        <w:t xml:space="preserve">. Notwithstanding anything to the contrary herein or in any other Loan Document, at any time (including in connection with the implementation of a Benchmark Replacement), (x) if the then-current Benchmark is a term rate (including the Term SOFR Reference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(y) if a tenor that was removed pursuant to clause (x) 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(v)</w:t>
      </w:r>
      <w:r>
        <w:rPr>
          <w:rFonts w:ascii="Times New Roman;sans-serif" w:hAnsi="Times New Roman;sans-serif"/>
          <w:b w:val="false"/>
          <w:color w:val="000000"/>
          <w:sz w:val="22"/>
          <w:u w:val="single"/>
        </w:rPr>
        <w:t>Benchmark Unavailability Period</w:t>
      </w:r>
      <w:r>
        <w:rPr>
          <w:rFonts w:ascii="Times New Roman;sans-serif" w:hAnsi="Times New Roman;sans-serif"/>
          <w:b w:val="false"/>
          <w:color w:val="000000"/>
          <w:sz w:val="22"/>
        </w:rPr>
        <w:t>. Upon the Borrower’s receipt of notice of the commencement of a Benchmark Unavailability Period, the Borrower may revoke any pending request for a SOFR Borrowing of, conversion to or continuation of SOFR Loans to be made, converted or continued during any Benchmark Unavailability Period and, failing that, the Borrower will be deemed to have converted any such request into a request for a Borrowing of or conversion to ABR Loans. During a Benchmark Unavailability Period or at any time that a tenor for the then-current Benchmark is not an Available Tenor, the component of the Alternate Base Rate based upon the then-current Benchmark or such tenor for such Benchmark, as applicable, will not be used in any determination of the Alternate Base Rate.</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3.4</w:t>
      </w:r>
      <w:r>
        <w:rPr>
          <w:rFonts w:ascii="Times New Roman;sans-serif" w:hAnsi="Times New Roman;sans-serif"/>
          <w:b w:val="false"/>
          <w:color w:val="000000"/>
          <w:sz w:val="22"/>
          <w:u w:val="single"/>
        </w:rPr>
        <w:t>Increased Costs; Illegality</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Increased Costs Generally</w:t>
      </w:r>
      <w:r>
        <w:rPr>
          <w:rFonts w:ascii="Times New Roman;sans-serif" w:hAnsi="Times New Roman;sans-serif"/>
          <w:b w:val="false"/>
          <w:color w:val="000000"/>
          <w:sz w:val="22"/>
        </w:rPr>
        <w:t>. If any Change in Law shall:</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(i)impose, modify or deem applicable any reserve (including pursuant to regulations issued from time to time by the Federal Reserve Board for determining the maximum reserve requirement (including any emergency, special, supplemental or other marginal reserve requirement) with respect to eurocurrency funding (currently referred to as “Eurocurrency liabilities” in Regulation D)), special deposit, compulsory loan, insurance charge or similar requirement against assets of, deposits with or for the account of, or credit extended or participated in by, any Lender;</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(ii)subject any Recipient to any Taxes (other than (A) Indemnified Taxes, (B) Taxes described in clauses (b) through (d) of the definition of “Excluded Taxes” and (C) Connection Income Taxes) with respect to its loans, letters of credit, commitments, or other obligations, or its deposits, reserves, other liabilities or capital attributable thereto; or</w:t>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63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63</w:t>
                      </w:r>
                    </w:p>
                  </w:txbxContent>
                </v:textbox>
                <w10:wrap type="none"/>
              </v:rect>
            </w:pict>
          </mc:Fallback>
        </mc:AlternateConten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(iii)impose on any Lender any other condition, cost or expense (other than Taxes) affecting this Credit Agreement or Loans made by such Lender;</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and the result of any of the foregoing shall be to increase the cost to such Lender or such other Recipient of making, converting to, continuing or maintaining any Loan or of maintaining its obligation to make any such Loan, or to reduce the amount of any sum received or receivable by such Lender or other Recipient hereunder (whether of principal, interest or any other amount) then, upon request of such Lender or other Recipient, the Borrower will pay to such Lender or other Recipient, as the case may be, such additional amount or amounts as will compensate such Lender or other Recipient, as the case may be, for such additional costs incurred or reduction suffered.</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Capital Requirements</w:t>
      </w:r>
      <w:r>
        <w:rPr>
          <w:rFonts w:ascii="Times New Roman;sans-serif" w:hAnsi="Times New Roman;sans-serif"/>
          <w:b w:val="false"/>
          <w:color w:val="000000"/>
          <w:sz w:val="22"/>
        </w:rPr>
        <w:t>. If any Lender determines that any Change in Law affecting such Lender or any Applicable Lending Office of such Lender or such Lender’s holding company, if any, regarding capital or liquidity requirements, has or would have the effect of reducing the rate of return on such Lender’s capital or on the capital of such Lender’s holding company, if any, as a consequence of this Credit Agreement, the Commitments of such Lender or the Loans made by such Lender to a level below that which such Lender or such Lender’s holding company could have achieved but for such Change in Law (taking into consideration such Lender’s policies and the policies of such Lender’s holding company with respect to capital adequacy and liquidity), then from time to time the Borrower will pay to such Lender such additional amount or amounts as will compensate such Lender or such Lender’s holding company for any such reduction suffered.</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u w:val="single"/>
        </w:rPr>
        <w:t>Certificates for Reimbursement</w:t>
      </w:r>
      <w:r>
        <w:rPr>
          <w:rFonts w:ascii="Times New Roman;sans-serif" w:hAnsi="Times New Roman;sans-serif"/>
          <w:b w:val="false"/>
          <w:color w:val="000000"/>
          <w:sz w:val="22"/>
        </w:rPr>
        <w:t xml:space="preserve">. A certificate of a Lender setting forth the amount or amounts necessary to compensate such Lender or its holding company, as the case may be, as specified in clause (a) or (b) of this </w:t>
      </w:r>
      <w:r>
        <w:rPr>
          <w:rFonts w:ascii="Times New Roman;sans-serif" w:hAnsi="Times New Roman;sans-serif"/>
          <w:b w:val="false"/>
          <w:color w:val="000000"/>
          <w:sz w:val="22"/>
          <w:u w:val="single"/>
        </w:rPr>
        <w:t>Section 3.4</w:t>
      </w:r>
      <w:r>
        <w:rPr>
          <w:color w:val="000000"/>
        </w:rPr>
        <w:t xml:space="preserve"> </w:t>
      </w:r>
      <w:r>
        <w:rPr>
          <w:rFonts w:ascii="Times New Roman;sans-serif" w:hAnsi="Times New Roman;sans-serif"/>
          <w:b w:val="false"/>
          <w:color w:val="000000"/>
          <w:sz w:val="22"/>
        </w:rPr>
        <w:t>and delivered to the Borrower, shall be conclusive absent manifest error. The Borrower shall pay such Lender the amount shown as due on any such certificate within ten days after receipt thereof.</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u w:val="single"/>
        </w:rPr>
        <w:t>Delay in Requests</w:t>
      </w:r>
      <w:r>
        <w:rPr>
          <w:rFonts w:ascii="Times New Roman;sans-serif" w:hAnsi="Times New Roman;sans-serif"/>
          <w:b w:val="false"/>
          <w:color w:val="000000"/>
          <w:sz w:val="22"/>
        </w:rPr>
        <w:t xml:space="preserve">. Failure or delay on the part of any Lender to demand compensation pursuant to this </w:t>
      </w:r>
      <w:r>
        <w:rPr>
          <w:rFonts w:ascii="Times New Roman;sans-serif" w:hAnsi="Times New Roman;sans-serif"/>
          <w:b w:val="false"/>
          <w:color w:val="000000"/>
          <w:sz w:val="22"/>
          <w:u w:val="single"/>
        </w:rPr>
        <w:t>Section 3.4</w:t>
      </w:r>
      <w:r>
        <w:rPr>
          <w:color w:val="000000"/>
        </w:rPr>
        <w:t xml:space="preserve"> </w:t>
      </w:r>
      <w:r>
        <w:rPr>
          <w:rFonts w:ascii="Times New Roman;sans-serif" w:hAnsi="Times New Roman;sans-serif"/>
          <w:b w:val="false"/>
          <w:color w:val="000000"/>
          <w:sz w:val="22"/>
        </w:rPr>
        <w:t xml:space="preserve">shall not constitute a waiver of such Lender’s right to demand such compensation;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Borrower shall not be required to compensate a Lender pursuant to this </w:t>
      </w:r>
      <w:r>
        <w:rPr>
          <w:rFonts w:ascii="Times New Roman;sans-serif" w:hAnsi="Times New Roman;sans-serif"/>
          <w:b w:val="false"/>
          <w:color w:val="000000"/>
          <w:sz w:val="22"/>
          <w:u w:val="single"/>
        </w:rPr>
        <w:t>Section 3.4</w:t>
      </w:r>
      <w:r>
        <w:rPr>
          <w:color w:val="000000"/>
        </w:rPr>
        <w:t xml:space="preserve"> </w:t>
      </w:r>
      <w:r>
        <w:rPr>
          <w:rFonts w:ascii="Times New Roman;sans-serif" w:hAnsi="Times New Roman;sans-serif"/>
          <w:b w:val="false"/>
          <w:color w:val="000000"/>
          <w:sz w:val="22"/>
        </w:rPr>
        <w:t>for any increased costs incurred or reductions suffered more than nine months prior to the date that such Lender notifies the Borrower of the Change in Law giving rise to such increased costs or reductions, and of such Lender’s intention to claim compensation therefor (except that, if the Change in Law giving rise to such increased costs or reductions is retroactive, then the nine-month period referred to above shall be extended to include the period of retroactive effect thereof).</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u w:val="single"/>
        </w:rPr>
        <w:t>Illegality</w:t>
      </w:r>
      <w:r>
        <w:rPr>
          <w:rFonts w:ascii="Times New Roman;sans-serif" w:hAnsi="Times New Roman;sans-serif"/>
          <w:b w:val="false"/>
          <w:color w:val="000000"/>
          <w:sz w:val="22"/>
        </w:rPr>
        <w:t>. Notwithstanding any other provision of this Credit Agreement, if, after the Closing Date, any Change in Law shall make it unlawful for any Lender to make or maintain any SOFR Loan or to give effect to its obligations as contemplated hereby with respect to any SOFR Loan, then, by written notice to the Borrower and to the Administrative Agent:</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(i)such Lender may declare that SOFR Loans will not thereafter (for the duration of such unlawfulness) be made by such Lender hereunder (or be continued for additional Interest Periods) and ABR Loans will not thereafter (for such duration) be converted into SOFR Loans, whereupon any request for a SOFR Borrowing or to convert an ABR Borrowing to a SOFR Borrowing or to continue a SOFR Borrowing, as applicable, for an additional Interest Period shall, as to such Lender only, be deemed a request for an ABR Loan (or a request to </w:t>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9"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64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64</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continue an ABR Loan as such for an additional Interest Period or to convert a SOFR Loan into an ABR Loan, as applicable), unless such declaration shall be subsequently withdrawn; and</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(ii)such Lender may require that all outstanding SOFR Loans made by it be converted to ABR Loans, in which event all such SOFR Loans shall be automatically converted to ABR Loans, as of the effective date of such notice as provided in the last sentence of this clause (e).</w:t>
      </w:r>
    </w:p>
    <w:p>
      <w:pPr>
        <w:pStyle w:val="TextBody"/>
        <w:bidi w:val="0"/>
        <w:spacing w:lineRule="auto" w:line="288" w:before="0" w:after="240"/>
        <w:jc w:val="both"/>
        <w:rPr/>
      </w:pPr>
      <w:r>
        <w:rPr>
          <w:rFonts w:ascii="Times New Roman;sans-serif" w:hAnsi="Times New Roman;sans-serif"/>
          <w:b w:val="false"/>
          <w:color w:val="000000"/>
          <w:sz w:val="22"/>
        </w:rPr>
        <w:t xml:space="preserve">In the event any Lender shall exercise its rights under clause (i) or (ii) of this </w:t>
      </w:r>
      <w:r>
        <w:rPr>
          <w:rFonts w:ascii="Times New Roman;sans-serif" w:hAnsi="Times New Roman;sans-serif"/>
          <w:b w:val="false"/>
          <w:color w:val="000000"/>
          <w:sz w:val="22"/>
          <w:u w:val="single"/>
        </w:rPr>
        <w:t>Section 3.4(e)</w:t>
      </w:r>
      <w:r>
        <w:rPr>
          <w:rFonts w:ascii="Times New Roman;sans-serif" w:hAnsi="Times New Roman;sans-serif"/>
          <w:b w:val="false"/>
          <w:color w:val="000000"/>
          <w:sz w:val="22"/>
        </w:rPr>
        <w:t xml:space="preserve">, all payments and prepayments of principal that would otherwise have been applied to repay the SOFR Loans that would have been made by such Lender or the converted SOFR Loans of such Lender shall instead be applied to repay the ABR Loans made by such Lender in lieu of, or resulting from the conversion of, such SOFR Loans, as applicable. For purposes of this </w:t>
      </w:r>
      <w:r>
        <w:rPr>
          <w:rFonts w:ascii="Times New Roman;sans-serif" w:hAnsi="Times New Roman;sans-serif"/>
          <w:b w:val="false"/>
          <w:color w:val="000000"/>
          <w:sz w:val="22"/>
          <w:u w:val="single"/>
        </w:rPr>
        <w:t>Section 3.4(e)</w:t>
      </w:r>
      <w:r>
        <w:rPr>
          <w:rFonts w:ascii="Times New Roman;sans-serif" w:hAnsi="Times New Roman;sans-serif"/>
          <w:b w:val="false"/>
          <w:color w:val="000000"/>
          <w:sz w:val="22"/>
        </w:rPr>
        <w:t>, a notice to the Borrower by any Lender shall be effective as to each SOFR Loan made by such Lender, if lawful, on the last day of the Interest Period currently applicable to such SOFR Loan; in all other cases such notice shall be effective on the date of receipt by the Borrower.</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3.5</w:t>
      </w:r>
      <w:r>
        <w:rPr>
          <w:rFonts w:ascii="Times New Roman;sans-serif" w:hAnsi="Times New Roman;sans-serif"/>
          <w:b w:val="false"/>
          <w:color w:val="000000"/>
          <w:sz w:val="22"/>
          <w:u w:val="single"/>
        </w:rPr>
        <w:t>Break Funding Payments</w:t>
      </w:r>
      <w:r>
        <w:rPr>
          <w:rFonts w:ascii="Times New Roman;sans-serif" w:hAnsi="Times New Roman;sans-serif"/>
          <w:b w:val="false"/>
          <w:color w:val="000000"/>
          <w:sz w:val="22"/>
        </w:rPr>
        <w:t xml:space="preserve">. In the event of (a) the payment or prepayment of any principal of any SOFR Loan other than on the last day of an Interest Period applicable thereto (whether voluntary, mandatory, automatic, by reason of acceleration (including as a result of a bankruptcy filing, or otherwise)), (b) the conversion of any SOFR Loan other than on the last day of the Interest Period applicable thereto, (c) the failure to borrow, convert, continue or prepay any SOFR Loan on the date specified in any notice delivered pursuant hereto (regardless of whether such notice may be revoked under </w:t>
      </w:r>
      <w:r>
        <w:rPr>
          <w:rFonts w:ascii="Times New Roman;sans-serif" w:hAnsi="Times New Roman;sans-serif"/>
          <w:b w:val="false"/>
          <w:color w:val="000000"/>
          <w:sz w:val="22"/>
          <w:u w:val="single"/>
        </w:rPr>
        <w:t>Section 2.7(a)</w:t>
      </w:r>
      <w:r>
        <w:rPr>
          <w:color w:val="000000"/>
        </w:rPr>
        <w:t xml:space="preserve"> </w:t>
      </w:r>
      <w:r>
        <w:rPr>
          <w:rFonts w:ascii="Times New Roman;sans-serif" w:hAnsi="Times New Roman;sans-serif"/>
          <w:b w:val="false"/>
          <w:color w:val="000000"/>
          <w:sz w:val="22"/>
        </w:rPr>
        <w:t xml:space="preserve">and is revoked in accordance therewith), or (d) the assignment of any SOFR Loan other than on the last day of the Interest Period or maturity date applicable thereto as a result of a request by the Borrower pursuant to </w:t>
      </w:r>
      <w:r>
        <w:rPr>
          <w:rFonts w:ascii="Times New Roman;sans-serif" w:hAnsi="Times New Roman;sans-serif"/>
          <w:b w:val="false"/>
          <w:color w:val="000000"/>
          <w:sz w:val="22"/>
          <w:u w:val="single"/>
        </w:rPr>
        <w:t>Section 3.7(b)</w:t>
      </w:r>
      <w:r>
        <w:rPr>
          <w:rFonts w:ascii="Times New Roman;sans-serif" w:hAnsi="Times New Roman;sans-serif"/>
          <w:b w:val="false"/>
          <w:color w:val="000000"/>
          <w:sz w:val="22"/>
        </w:rPr>
        <w:t xml:space="preserve">, then, in any such event, the Borrower shall compensate each applicable Lender for the loss, cost and expense attributable to such event. A certificate of any Lender setting forth any amount or amounts that such Lender is entitled to receive pursuant to this </w:t>
      </w:r>
      <w:r>
        <w:rPr>
          <w:rFonts w:ascii="Times New Roman;sans-serif" w:hAnsi="Times New Roman;sans-serif"/>
          <w:b w:val="false"/>
          <w:color w:val="000000"/>
          <w:sz w:val="22"/>
          <w:u w:val="single"/>
        </w:rPr>
        <w:t>Section 3.5</w:t>
      </w:r>
      <w:r>
        <w:rPr>
          <w:color w:val="000000"/>
        </w:rPr>
        <w:t xml:space="preserve"> </w:t>
      </w:r>
      <w:r>
        <w:rPr>
          <w:rFonts w:ascii="Times New Roman;sans-serif" w:hAnsi="Times New Roman;sans-serif"/>
          <w:b w:val="false"/>
          <w:color w:val="000000"/>
          <w:sz w:val="22"/>
        </w:rPr>
        <w:t>shall be delivered to the Borrower and shall be conclusive absent manifest error. The Borrower shall pay such Lender the amount shown as due on any such certificate within ten (10) days after receipt thereof.</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3.6</w:t>
      </w:r>
      <w:r>
        <w:rPr>
          <w:rFonts w:ascii="Times New Roman;sans-serif" w:hAnsi="Times New Roman;sans-serif"/>
          <w:b w:val="false"/>
          <w:color w:val="000000"/>
          <w:sz w:val="22"/>
          <w:u w:val="single"/>
        </w:rPr>
        <w:t>Taxes</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Defined Terms</w:t>
      </w:r>
      <w:r>
        <w:rPr>
          <w:rFonts w:ascii="Times New Roman;sans-serif" w:hAnsi="Times New Roman;sans-serif"/>
          <w:b w:val="false"/>
          <w:color w:val="000000"/>
          <w:sz w:val="22"/>
        </w:rPr>
        <w:t xml:space="preserve">. For purposes of this </w:t>
      </w:r>
      <w:r>
        <w:rPr>
          <w:rFonts w:ascii="Times New Roman;sans-serif" w:hAnsi="Times New Roman;sans-serif"/>
          <w:b w:val="false"/>
          <w:color w:val="000000"/>
          <w:sz w:val="22"/>
          <w:u w:val="single"/>
        </w:rPr>
        <w:t>Section 3.6</w:t>
      </w:r>
      <w:r>
        <w:rPr>
          <w:rFonts w:ascii="Times New Roman;sans-serif" w:hAnsi="Times New Roman;sans-serif"/>
          <w:b w:val="false"/>
          <w:color w:val="000000"/>
          <w:sz w:val="22"/>
        </w:rPr>
        <w:t>, the term “applicable law” includes FATCA.</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Payments Free of Taxes</w:t>
      </w:r>
      <w:r>
        <w:rPr>
          <w:rFonts w:ascii="Times New Roman;sans-serif" w:hAnsi="Times New Roman;sans-serif"/>
          <w:b w:val="false"/>
          <w:color w:val="000000"/>
          <w:sz w:val="22"/>
        </w:rPr>
        <w:t xml:space="preserve">. All payments by or on account of any obligation of any Loan Party under any Loan Document shall be made without deduction or withholding for any Taxes, except as required by applicable law. If any applicable law (as determined in the good faith discretion of an applicable Withholding Agent) requires the deduction or withholding of any Tax with respect to any such payment by any applicable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w:t>
      </w:r>
      <w:r>
        <w:rPr>
          <w:rFonts w:ascii="Times New Roman;sans-serif" w:hAnsi="Times New Roman;sans-serif"/>
          <w:b w:val="false"/>
          <w:color w:val="000000"/>
          <w:sz w:val="22"/>
          <w:u w:val="single"/>
        </w:rPr>
        <w:t>Section 3.6</w:t>
      </w:r>
      <w:r>
        <w:rPr>
          <w:rFonts w:ascii="Times New Roman;sans-serif" w:hAnsi="Times New Roman;sans-serif"/>
          <w:b w:val="false"/>
          <w:color w:val="000000"/>
          <w:sz w:val="22"/>
        </w:rPr>
        <w:t>), each Lender (or, in the case of a payment made to the Administrative Agent for its own account, the Administrative Agent) receives an amount equal to the sum it would have received had no such deduction or withholding been made.</w:t>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20"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65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65</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u w:val="single"/>
        </w:rPr>
        <w:t>Payment of Other Taxes by the Loan Parties</w:t>
      </w:r>
      <w:r>
        <w:rPr>
          <w:rFonts w:ascii="Times New Roman;sans-serif" w:hAnsi="Times New Roman;sans-serif"/>
          <w:b w:val="false"/>
          <w:color w:val="000000"/>
          <w:sz w:val="22"/>
        </w:rPr>
        <w:t>. Each of the Loan Parties shall timely pay to the relevant Governmental Authority in accordance with applicable law, or at the option of the Administrative Agent timely reimburse it for the payment of, any Other Taxes.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u w:val="single"/>
        </w:rPr>
        <w:t>Indemnification by the Loan Parties</w:t>
      </w:r>
      <w:r>
        <w:rPr>
          <w:rFonts w:ascii="Times New Roman;sans-serif" w:hAnsi="Times New Roman;sans-serif"/>
          <w:b w:val="false"/>
          <w:color w:val="000000"/>
          <w:sz w:val="22"/>
        </w:rPr>
        <w:t xml:space="preserve">. Each of the Loan Parties shall jointly and severally indemnify each Recipient, within ten days after demand therefor, for the full amount of any Indemnified Taxes (including Indemnified Taxes imposed or asserted on or attributable to amounts payable under this </w:t>
      </w:r>
      <w:r>
        <w:rPr>
          <w:rFonts w:ascii="Times New Roman;sans-serif" w:hAnsi="Times New Roman;sans-serif"/>
          <w:b w:val="false"/>
          <w:color w:val="000000"/>
          <w:sz w:val="22"/>
          <w:u w:val="single"/>
        </w:rPr>
        <w:t>Section 3.6</w:t>
      </w:r>
      <w:r>
        <w:rPr>
          <w:rFonts w:ascii="Times New Roman;sans-serif" w:hAnsi="Times New Roman;sans-serif"/>
          <w:b w:val="false"/>
          <w:color w:val="000000"/>
          <w:sz w:val="22"/>
        </w:rPr>
        <w:t xml:space="preserve">)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any of such payment or liability delivered to the Borrower by a Lender (with a copy to the Administrative Agent), or by the Administrative Agent on its own behalf or on behalf of a Lender, shall be conclusive absent manifest error. Each of the Loan Parties shall also jointly and severally indemnify the Administrative Agent, and shall make payment in respect thereof within ten (10) days after demand therefor, for any amount which a Lender for any reason fails to pay indefeasibly to the Administrative Agent as required pursuant to </w:t>
      </w:r>
      <w:r>
        <w:rPr>
          <w:rFonts w:ascii="Times New Roman;sans-serif" w:hAnsi="Times New Roman;sans-serif"/>
          <w:b w:val="false"/>
          <w:color w:val="000000"/>
          <w:sz w:val="22"/>
          <w:u w:val="single"/>
        </w:rPr>
        <w:t>Section 3.6(e)(ii)</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u w:val="single"/>
        </w:rPr>
        <w:t>Indemnification by the Lenders</w:t>
      </w:r>
      <w:r>
        <w:rPr>
          <w:rFonts w:ascii="Times New Roman;sans-serif" w:hAnsi="Times New Roman;sans-serif"/>
          <w:b w:val="false"/>
          <w:color w:val="000000"/>
          <w:sz w:val="22"/>
        </w:rPr>
        <w:t xml:space="preserve">. Each Lender shall severally indemnify the Administrative Agent, within ten days after demand therefor, for (i) any Indemnified Taxes attributable to such Lender (but only to the extent that any Loan Party has not already indemnified the Administrative Agent for such Indemnified Taxes and without limiting the obligation of the Loan Parties to do so), (ii) any Taxes attributable to such Lender’s failure to comply with the provisions of </w:t>
      </w:r>
      <w:r>
        <w:rPr>
          <w:rFonts w:ascii="Times New Roman;sans-serif" w:hAnsi="Times New Roman;sans-serif"/>
          <w:b w:val="false"/>
          <w:color w:val="000000"/>
          <w:sz w:val="22"/>
          <w:u w:val="single"/>
        </w:rPr>
        <w:t>Section 10.4(d)</w:t>
      </w:r>
      <w:r>
        <w:rPr>
          <w:color w:val="000000"/>
        </w:rPr>
        <w:t xml:space="preserve"> </w:t>
      </w:r>
      <w:r>
        <w:rPr>
          <w:rFonts w:ascii="Times New Roman;sans-serif" w:hAnsi="Times New Roman;sans-serif"/>
          <w:b w:val="false"/>
          <w:color w:val="000000"/>
          <w:sz w:val="22"/>
        </w:rPr>
        <w:t xml:space="preserve">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against any amount due to the Administrative Agent under this </w:t>
      </w:r>
      <w:r>
        <w:rPr>
          <w:rFonts w:ascii="Times New Roman;sans-serif" w:hAnsi="Times New Roman;sans-serif"/>
          <w:b w:val="false"/>
          <w:color w:val="000000"/>
          <w:sz w:val="22"/>
          <w:u w:val="single"/>
        </w:rPr>
        <w:t>Section 3.6(e)</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u w:val="single"/>
        </w:rPr>
        <w:t>Evidence of Payments</w:t>
      </w:r>
      <w:r>
        <w:rPr>
          <w:rFonts w:ascii="Times New Roman;sans-serif" w:hAnsi="Times New Roman;sans-serif"/>
          <w:b w:val="false"/>
          <w:color w:val="000000"/>
          <w:sz w:val="22"/>
        </w:rPr>
        <w:t xml:space="preserve">. As soon as practicable after any payment of Taxes by any Loan Party to a Governmental Authority pursuant to this </w:t>
      </w:r>
      <w:r>
        <w:rPr>
          <w:rFonts w:ascii="Times New Roman;sans-serif" w:hAnsi="Times New Roman;sans-serif"/>
          <w:b w:val="false"/>
          <w:color w:val="000000"/>
          <w:sz w:val="22"/>
          <w:u w:val="single"/>
        </w:rPr>
        <w:t>Section 3.6</w:t>
      </w:r>
      <w:r>
        <w:rPr>
          <w:rFonts w:ascii="Times New Roman;sans-serif" w:hAnsi="Times New Roman;sans-serif"/>
          <w:b w:val="false"/>
          <w:color w:val="000000"/>
          <w:sz w:val="22"/>
        </w:rPr>
        <w:t>,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(g)</w:t>
      </w:r>
      <w:r>
        <w:rPr>
          <w:rFonts w:ascii="Times New Roman;sans-serif" w:hAnsi="Times New Roman;sans-serif"/>
          <w:b w:val="false"/>
          <w:color w:val="000000"/>
          <w:sz w:val="22"/>
          <w:u w:val="single"/>
        </w:rPr>
        <w:t>Status of Lenders</w:t>
      </w:r>
      <w:r>
        <w:rPr>
          <w:rFonts w:ascii="Times New Roman;sans-serif" w:hAnsi="Times New Roman;sans-serif"/>
          <w:b w:val="false"/>
          <w:color w:val="000000"/>
          <w:sz w:val="22"/>
        </w:rPr>
        <w:t>. (i) Any Lender that is entitled to an exemption from or reduction of withholding Tax with respect to any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w:t>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21"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66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66</w:t>
                      </w:r>
                    </w:p>
                  </w:txbxContent>
                </v:textbox>
                <w10:wrap type="none"/>
              </v:rect>
            </w:pict>
          </mc:Fallback>
        </mc:AlternateConten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(ii)Without limiting the generality of the foregoing,</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(A)any Lender that is a U.S. Person shall deliver to the Borrower and the Administrative Agent on or prior to the date on which such Lender becomes a Lender under this Credit Agreement (and from time to time thereafter upon the reasonable request of the Borrower or the Administrative Agent), two executed copies of IRS Form W-9 certifying that such Lender is exempt from U.S. federal backup withholding tax;</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(B)any Foreign Lender shall, to the extent it is legally eligible to do so, deliver to the Borrower and the Administrative Agent on or prior to the date on which such Foreign Lender becomes a Lender under this Credit Agreement (and from time to time thereafter upon the reasonable request of the Borrower or the Administrative Agent), two of whichever of the following is applicable:</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(1)in the case of a Foreign Lender claiming the benefits of an income tax treaty to which the United States is a party, executed copies of IRS Form W-8BEN or IRS Form W-8BEN-E, as applicable, establishing an exemption from, or reduction of, U.S. federal withholding Tax pursuant to such tax treaty;</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(2)executed copies of IRS Form W-8ECI;</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(3)in the case of a Foreign Lender claiming the benefits of the exemption for portfolio interest under Section 881(c) of the Code, (A) a certificate substantially in the form of </w:t>
      </w:r>
      <w:r>
        <w:rPr>
          <w:rFonts w:ascii="Times New Roman;sans-serif" w:hAnsi="Times New Roman;sans-serif"/>
          <w:b w:val="false"/>
          <w:color w:val="000000"/>
          <w:sz w:val="22"/>
          <w:u w:val="single"/>
        </w:rPr>
        <w:t>Exhibit G-1</w:t>
      </w:r>
      <w:r>
        <w:rPr>
          <w:color w:val="000000"/>
        </w:rPr>
        <w:t xml:space="preserve"> </w:t>
      </w:r>
      <w:r>
        <w:rPr>
          <w:rFonts w:ascii="Times New Roman;sans-serif" w:hAnsi="Times New Roman;sans-serif"/>
          <w:b w:val="false"/>
          <w:color w:val="000000"/>
          <w:sz w:val="22"/>
        </w:rPr>
        <w:t>to the effect that such Foreign Lender is not a “</w:t>
      </w:r>
      <w:r>
        <w:rPr>
          <w:rFonts w:ascii="Times New Roman;sans-serif" w:hAnsi="Times New Roman;sans-serif"/>
          <w:b w:val="false"/>
          <w:color w:val="000000"/>
          <w:sz w:val="22"/>
          <w:u w:val="single"/>
        </w:rPr>
        <w:t>bank</w:t>
      </w:r>
      <w:r>
        <w:rPr>
          <w:color w:val="000000"/>
        </w:rPr>
        <w:t xml:space="preserve">” </w:t>
      </w:r>
      <w:r>
        <w:rPr>
          <w:rFonts w:ascii="Times New Roman;sans-serif" w:hAnsi="Times New Roman;sans-serif"/>
          <w:b w:val="false"/>
          <w:color w:val="000000"/>
          <w:sz w:val="22"/>
        </w:rPr>
        <w:t>within the meaning of Section 881(c)(3)(A) of the Code, a “10 percent shareholder” of the Borrower within the meaning of Section 881(c)(3)(B) of the Code, or a “</w:t>
      </w:r>
      <w:r>
        <w:rPr>
          <w:rFonts w:ascii="Times New Roman;sans-serif" w:hAnsi="Times New Roman;sans-serif"/>
          <w:b w:val="false"/>
          <w:color w:val="000000"/>
          <w:sz w:val="22"/>
          <w:u w:val="single"/>
        </w:rPr>
        <w:t>controlled foreign corporation</w:t>
      </w:r>
      <w:r>
        <w:rPr>
          <w:color w:val="000000"/>
        </w:rPr>
        <w:t xml:space="preserve">” </w:t>
      </w:r>
      <w:r>
        <w:rPr>
          <w:rFonts w:ascii="Times New Roman;sans-serif" w:hAnsi="Times New Roman;sans-serif"/>
          <w:b w:val="false"/>
          <w:color w:val="000000"/>
          <w:sz w:val="22"/>
        </w:rPr>
        <w:t>related to the Borrower as described in Section 881(c)(3)(C) of the Code and that no payments under any Loan Document are effectively connected with such Lender’s conduct of a U.S. trade or business (a “</w:t>
      </w:r>
      <w:r>
        <w:rPr>
          <w:rFonts w:ascii="Times New Roman;sans-serif" w:hAnsi="Times New Roman;sans-serif"/>
          <w:b w:val="false"/>
          <w:color w:val="000000"/>
          <w:sz w:val="22"/>
          <w:u w:val="single"/>
        </w:rPr>
        <w:t>U.S. Tax Compliance Certificate</w:t>
      </w:r>
      <w:r>
        <w:rPr>
          <w:color w:val="000000"/>
        </w:rPr>
        <w:t>”</w:t>
      </w:r>
      <w:r>
        <w:rPr>
          <w:rFonts w:ascii="Times New Roman;sans-serif" w:hAnsi="Times New Roman;sans-serif"/>
          <w:b w:val="false"/>
          <w:color w:val="000000"/>
          <w:sz w:val="22"/>
        </w:rPr>
        <w:t>) and (B) executed copies of IRS Form W-8BEN or IRS Form W-8BEN-E, as applicable; or</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(4)to the extent a Foreign Lender is not the beneficial owner (for example, where the Lender is a partnership or a participating Lender), executed copies of IRS Form W-8IMY, accompanied by IRS Form W-8ECI, IRS Form W-8BEN or IRS Form W-8BEN-E, as applicable, a U.S. Tax Compliance Certificate substantially in the form of </w:t>
      </w:r>
      <w:r>
        <w:rPr>
          <w:rFonts w:ascii="Times New Roman;sans-serif" w:hAnsi="Times New Roman;sans-serif"/>
          <w:b w:val="false"/>
          <w:color w:val="000000"/>
          <w:sz w:val="22"/>
          <w:u w:val="single"/>
        </w:rPr>
        <w:t>Exhibit G-2</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Exhibit G-3</w:t>
      </w:r>
      <w:r>
        <w:rPr>
          <w:rFonts w:ascii="Times New Roman;sans-serif" w:hAnsi="Times New Roman;sans-serif"/>
          <w:b w:val="false"/>
          <w:color w:val="000000"/>
          <w:sz w:val="22"/>
        </w:rPr>
        <w:t xml:space="preserve">, IRS Form W-9, and/or other certification documents from each beneficial owner, as applicable;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if the Foreign Lender is a partnership and not a participating Lender, and one or more direct or indirect partners of such Foreign Lender are claiming the portfolio interest exemption, such Foreign Lender may provide a U.S. Tax Compliance Certificate substantially in the form of </w:t>
      </w:r>
      <w:r>
        <w:rPr>
          <w:rFonts w:ascii="Times New Roman;sans-serif" w:hAnsi="Times New Roman;sans-serif"/>
          <w:b w:val="false"/>
          <w:color w:val="000000"/>
          <w:sz w:val="22"/>
          <w:u w:val="single"/>
        </w:rPr>
        <w:t>Exhibit G-4</w:t>
      </w:r>
      <w:r>
        <w:rPr>
          <w:color w:val="000000"/>
        </w:rPr>
        <w:t xml:space="preserve"> </w:t>
      </w:r>
      <w:r>
        <w:rPr>
          <w:rFonts w:ascii="Times New Roman;sans-serif" w:hAnsi="Times New Roman;sans-serif"/>
          <w:b w:val="false"/>
          <w:color w:val="000000"/>
          <w:sz w:val="22"/>
        </w:rPr>
        <w:t>on behalf of such direct and indirect partner(s);</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(C)any Foreign Lender shall, to the extent it is legally eligible to do so, deliver to the Borrower and the Administrative Agent on or prior to the date on which </w:t>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22"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67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67</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such Foreign Lender becomes a Lender under this Credit Agreement (and from time to time thereafter upon the reasonable request of the Borrower or the Administrative Agent), two executed copies of any other documentation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if any, required to be made; and</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(D)if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applicable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whether such Lender has complied with such Lender’s obligations under FATCA or to determine the amount, if any, to deduct and withhold from such payment. Solely for purposes of this clause (D), “FATCA” shall include any amendments made to FATCA after the date of this Credit Agreement.</w:t>
      </w:r>
    </w:p>
    <w:p>
      <w:pPr>
        <w:pStyle w:val="TextBody"/>
        <w:bidi w:val="0"/>
        <w:spacing w:lineRule="auto" w:line="288" w:before="0" w:after="120"/>
        <w:jc w:val="left"/>
        <w:rPr/>
      </w:pPr>
      <w:r>
        <w:rPr>
          <w:rFonts w:ascii="Times New Roman;sans-serif" w:hAnsi="Times New Roman;sans-serif"/>
          <w:b w:val="false"/>
          <w:color w:val="000000"/>
          <w:sz w:val="22"/>
        </w:rPr>
        <w:t xml:space="preserve">Each Lender agrees that if any documentation it previously delivered expires or becomes obsolete or inaccurate in any respect, it shall update such documentation or promptly notify the Borrower and the Administrative Agent in writing of its legal ineligibility to do so. Each Lender hereby authorizes the Administrative Agent to deliver to the Loan Parties and to any successor Administrative Agent any documentation provided by such Lender to the Administrative Agent pursuant to this </w:t>
      </w:r>
      <w:r>
        <w:rPr>
          <w:rFonts w:ascii="Times New Roman;sans-serif" w:hAnsi="Times New Roman;sans-serif"/>
          <w:b w:val="false"/>
          <w:color w:val="000000"/>
          <w:sz w:val="22"/>
          <w:u w:val="single"/>
        </w:rPr>
        <w:t>Section 3.6(g)</w:t>
      </w:r>
      <w:r>
        <w:rPr>
          <w:rFonts w:ascii="Times New Roman;sans-serif" w:hAnsi="Times New Roman;sans-serif"/>
          <w:b w:val="false"/>
          <w:color w:val="000000"/>
          <w:sz w:val="22"/>
        </w:rPr>
        <w:t xml:space="preserve">. Notwithstanding any other provision of this </w:t>
      </w:r>
      <w:r>
        <w:rPr>
          <w:rFonts w:ascii="Times New Roman;sans-serif" w:hAnsi="Times New Roman;sans-serif"/>
          <w:b w:val="false"/>
          <w:color w:val="000000"/>
          <w:sz w:val="22"/>
          <w:u w:val="single"/>
        </w:rPr>
        <w:t>Section 3.6(g)</w:t>
      </w:r>
      <w:r>
        <w:rPr>
          <w:rFonts w:ascii="Times New Roman;sans-serif" w:hAnsi="Times New Roman;sans-serif"/>
          <w:b w:val="false"/>
          <w:color w:val="000000"/>
          <w:sz w:val="22"/>
        </w:rPr>
        <w:t>, a Lender shall not be required to deliver any documentation that such Lender is not legally eligible to deliver.</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(h)</w:t>
      </w:r>
      <w:r>
        <w:rPr>
          <w:rFonts w:ascii="Times New Roman;sans-serif" w:hAnsi="Times New Roman;sans-serif"/>
          <w:b w:val="false"/>
          <w:color w:val="000000"/>
          <w:sz w:val="22"/>
          <w:u w:val="single"/>
        </w:rPr>
        <w:t>Treatment of Certain Refunds</w:t>
      </w:r>
      <w:r>
        <w:rPr>
          <w:rFonts w:ascii="Times New Roman;sans-serif" w:hAnsi="Times New Roman;sans-serif"/>
          <w:b w:val="false"/>
          <w:color w:val="000000"/>
          <w:sz w:val="22"/>
        </w:rPr>
        <w:t xml:space="preserve">. If any Recipient determines, in its sole discretion exercised in good faith, that it has received a refund of any Taxes as to which it has been indemnified pursuant to this </w:t>
      </w:r>
      <w:r>
        <w:rPr>
          <w:rFonts w:ascii="Times New Roman;sans-serif" w:hAnsi="Times New Roman;sans-serif"/>
          <w:b w:val="false"/>
          <w:color w:val="000000"/>
          <w:sz w:val="22"/>
          <w:u w:val="single"/>
        </w:rPr>
        <w:t>Section 3.6</w:t>
      </w:r>
      <w:r>
        <w:rPr>
          <w:color w:val="000000"/>
        </w:rPr>
        <w:t xml:space="preserve"> </w:t>
      </w:r>
      <w:r>
        <w:rPr>
          <w:rFonts w:ascii="Times New Roman;sans-serif" w:hAnsi="Times New Roman;sans-serif"/>
          <w:b w:val="false"/>
          <w:color w:val="000000"/>
          <w:sz w:val="22"/>
        </w:rPr>
        <w:t xml:space="preserve">(including by the payment of additional amounts pursuant to this </w:t>
      </w:r>
      <w:r>
        <w:rPr>
          <w:rFonts w:ascii="Times New Roman;sans-serif" w:hAnsi="Times New Roman;sans-serif"/>
          <w:b w:val="false"/>
          <w:color w:val="000000"/>
          <w:sz w:val="22"/>
          <w:u w:val="single"/>
        </w:rPr>
        <w:t>Section 3.6</w:t>
      </w:r>
      <w:r>
        <w:rPr>
          <w:rFonts w:ascii="Times New Roman;sans-serif" w:hAnsi="Times New Roman;sans-serif"/>
          <w:b w:val="false"/>
          <w:color w:val="000000"/>
          <w:sz w:val="22"/>
        </w:rPr>
        <w:t xml:space="preserve">), it shall pay to the applicable Loan Party an amount equal to such refund (but only to the extent of indemnity payments made under this Section 3.6 with respect to the Taxes giving rise to such refund), net of all out-of-pocket expenses (including Taxes) of such Recipient and without interest (other than any interest paid by the relevant Governmental Authority with respect to such refund). Such Loan Party, upon the request of such Recipient, shall repay to such Recipient the amount paid over pursuant to this </w:t>
      </w:r>
      <w:r>
        <w:rPr>
          <w:rFonts w:ascii="Times New Roman;sans-serif" w:hAnsi="Times New Roman;sans-serif"/>
          <w:b w:val="false"/>
          <w:color w:val="000000"/>
          <w:sz w:val="22"/>
          <w:u w:val="single"/>
        </w:rPr>
        <w:t>Section 3.6(h)</w:t>
      </w:r>
      <w:r>
        <w:rPr>
          <w:color w:val="000000"/>
        </w:rPr>
        <w:t xml:space="preserve"> </w:t>
      </w:r>
      <w:r>
        <w:rPr>
          <w:rFonts w:ascii="Times New Roman;sans-serif" w:hAnsi="Times New Roman;sans-serif"/>
          <w:b w:val="false"/>
          <w:color w:val="000000"/>
          <w:sz w:val="22"/>
        </w:rPr>
        <w:t>(</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any penalties, interest or other charges imposed by the relevant Governmental Authority) in the event that such Recipient is required to repay such refund to such Governmental Authority. Notwithstanding anything to the contrary in this </w:t>
      </w:r>
      <w:r>
        <w:rPr>
          <w:rFonts w:ascii="Times New Roman;sans-serif" w:hAnsi="Times New Roman;sans-serif"/>
          <w:b w:val="false"/>
          <w:color w:val="000000"/>
          <w:sz w:val="22"/>
          <w:u w:val="single"/>
        </w:rPr>
        <w:t>Section 3.6(h)</w:t>
      </w:r>
      <w:r>
        <w:rPr>
          <w:rFonts w:ascii="Times New Roman;sans-serif" w:hAnsi="Times New Roman;sans-serif"/>
          <w:b w:val="false"/>
          <w:color w:val="000000"/>
          <w:sz w:val="22"/>
        </w:rPr>
        <w:t xml:space="preserve">, in no event will any Recipient be required to pay any amount to a Loan Party pursuant to this </w:t>
      </w:r>
      <w:r>
        <w:rPr>
          <w:rFonts w:ascii="Times New Roman;sans-serif" w:hAnsi="Times New Roman;sans-serif"/>
          <w:b w:val="false"/>
          <w:color w:val="000000"/>
          <w:sz w:val="22"/>
          <w:u w:val="single"/>
        </w:rPr>
        <w:t>Section 3.6(h)</w:t>
      </w:r>
      <w:r>
        <w:rPr>
          <w:color w:val="000000"/>
        </w:rPr>
        <w:t xml:space="preserve"> </w:t>
      </w:r>
      <w:r>
        <w:rPr>
          <w:rFonts w:ascii="Times New Roman;sans-serif" w:hAnsi="Times New Roman;sans-serif"/>
          <w:b w:val="false"/>
          <w:color w:val="000000"/>
          <w:sz w:val="22"/>
        </w:rPr>
        <w:t>the payment of which would place the Recipient in a less favorable net after-Tax position than the Recipient would have been in if the Tax subject to indemnification and giving rise to such refund had not been deducted, withheld or otherwise imposed and the indemnification payments or additional amounts with respect to such Tax had never been paid.</w:t>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3"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68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68</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(i)</w:t>
      </w:r>
      <w:r>
        <w:rPr>
          <w:rFonts w:ascii="Times New Roman;sans-serif" w:hAnsi="Times New Roman;sans-serif"/>
          <w:b w:val="false"/>
          <w:color w:val="000000"/>
          <w:sz w:val="22"/>
          <w:u w:val="single"/>
        </w:rPr>
        <w:t>Survival</w:t>
      </w:r>
      <w:r>
        <w:rPr>
          <w:rFonts w:ascii="Times New Roman;sans-serif" w:hAnsi="Times New Roman;sans-serif"/>
          <w:b w:val="false"/>
          <w:color w:val="000000"/>
          <w:sz w:val="22"/>
        </w:rPr>
        <w:t xml:space="preserve">. Each party’s obligations under this </w:t>
      </w:r>
      <w:r>
        <w:rPr>
          <w:rFonts w:ascii="Times New Roman;sans-serif" w:hAnsi="Times New Roman;sans-serif"/>
          <w:b w:val="false"/>
          <w:color w:val="000000"/>
          <w:sz w:val="22"/>
          <w:u w:val="single"/>
        </w:rPr>
        <w:t>Section 3.6</w:t>
      </w:r>
      <w:r>
        <w:rPr>
          <w:color w:val="000000"/>
        </w:rPr>
        <w:t xml:space="preserve"> </w:t>
      </w:r>
      <w:r>
        <w:rPr>
          <w:rFonts w:ascii="Times New Roman;sans-serif" w:hAnsi="Times New Roman;sans-serif"/>
          <w:b w:val="false"/>
          <w:color w:val="000000"/>
          <w:sz w:val="22"/>
        </w:rPr>
        <w:t>shall survive the resignation or replacement of the Administrative Agent or any assignment of rights by, or the replacement of, a Lender and the Termination Date.</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(j)</w:t>
      </w:r>
      <w:r>
        <w:rPr>
          <w:rFonts w:ascii="Times New Roman;sans-serif" w:hAnsi="Times New Roman;sans-serif"/>
          <w:b w:val="false"/>
          <w:color w:val="000000"/>
          <w:sz w:val="22"/>
          <w:u w:val="single"/>
        </w:rPr>
        <w:t>Confidentiality</w:t>
      </w:r>
      <w:r>
        <w:rPr>
          <w:rFonts w:ascii="Times New Roman;sans-serif" w:hAnsi="Times New Roman;sans-serif"/>
          <w:b w:val="false"/>
          <w:color w:val="000000"/>
          <w:sz w:val="22"/>
        </w:rPr>
        <w:t>. Nothing contained in this Section shall require any Credit Party or any other indemnified party to make available any of its Tax returns (or any other information that it deems to be confidential or proprietary) to the indemnifying party or any other Person.</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3.7</w:t>
      </w:r>
      <w:r>
        <w:rPr>
          <w:rFonts w:ascii="Times New Roman;sans-serif" w:hAnsi="Times New Roman;sans-serif"/>
          <w:b w:val="false"/>
          <w:color w:val="000000"/>
          <w:sz w:val="22"/>
          <w:u w:val="single"/>
        </w:rPr>
        <w:t>Mitigation Obligations; Replacement of Lenders</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Designation of a Different Lending Office</w:t>
      </w:r>
      <w:r>
        <w:rPr>
          <w:rFonts w:ascii="Times New Roman;sans-serif" w:hAnsi="Times New Roman;sans-serif"/>
          <w:b w:val="false"/>
          <w:color w:val="000000"/>
          <w:sz w:val="22"/>
        </w:rPr>
        <w:t xml:space="preserve">. If any Lender requests compensation under </w:t>
      </w:r>
      <w:r>
        <w:rPr>
          <w:rFonts w:ascii="Times New Roman;sans-serif" w:hAnsi="Times New Roman;sans-serif"/>
          <w:b w:val="false"/>
          <w:color w:val="000000"/>
          <w:sz w:val="22"/>
          <w:u w:val="single"/>
        </w:rPr>
        <w:t>Section 3.4</w:t>
      </w:r>
      <w:r>
        <w:rPr>
          <w:rFonts w:ascii="Times New Roman;sans-serif" w:hAnsi="Times New Roman;sans-serif"/>
          <w:b w:val="false"/>
          <w:color w:val="000000"/>
          <w:sz w:val="22"/>
        </w:rPr>
        <w:t xml:space="preserve">, or requires the Borrower to pay any Indemnified Taxes or additional amounts to any Lender or any Governmental Authority for the account of any Lender pursuant to </w:t>
      </w:r>
      <w:r>
        <w:rPr>
          <w:rFonts w:ascii="Times New Roman;sans-serif" w:hAnsi="Times New Roman;sans-serif"/>
          <w:b w:val="false"/>
          <w:color w:val="000000"/>
          <w:sz w:val="22"/>
          <w:u w:val="single"/>
        </w:rPr>
        <w:t>Section 3.6</w:t>
      </w:r>
      <w:r>
        <w:rPr>
          <w:rFonts w:ascii="Times New Roman;sans-serif" w:hAnsi="Times New Roman;sans-serif"/>
          <w:b w:val="false"/>
          <w:color w:val="000000"/>
          <w:sz w:val="22"/>
        </w:rPr>
        <w:t xml:space="preserve">, then such Lender shall (at the request of the Borrower) use reasonable efforts to designate a different Applicable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Times New Roman;sans-serif" w:hAnsi="Times New Roman;sans-serif"/>
          <w:b w:val="false"/>
          <w:color w:val="000000"/>
          <w:sz w:val="22"/>
          <w:u w:val="single"/>
        </w:rPr>
        <w:t>Section 3.4</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3.6</w:t>
      </w:r>
      <w:r>
        <w:rPr>
          <w:rFonts w:ascii="Times New Roman;sans-serif" w:hAnsi="Times New Roman;sans-serif"/>
          <w:b w:val="false"/>
          <w:color w:val="000000"/>
          <w:sz w:val="22"/>
        </w:rPr>
        <w:t>, as the case may be, in the future, and (ii) 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Replacement of Lenders</w:t>
      </w:r>
      <w:r>
        <w:rPr>
          <w:rFonts w:ascii="Times New Roman;sans-serif" w:hAnsi="Times New Roman;sans-serif"/>
          <w:b w:val="false"/>
          <w:color w:val="000000"/>
          <w:sz w:val="22"/>
        </w:rPr>
        <w:t xml:space="preserve">. If any Lender requests compensation under </w:t>
      </w:r>
      <w:r>
        <w:rPr>
          <w:rFonts w:ascii="Times New Roman;sans-serif" w:hAnsi="Times New Roman;sans-serif"/>
          <w:b w:val="false"/>
          <w:color w:val="000000"/>
          <w:sz w:val="22"/>
          <w:u w:val="single"/>
        </w:rPr>
        <w:t>Section 3.4</w:t>
      </w:r>
      <w:r>
        <w:rPr>
          <w:color w:val="000000"/>
        </w:rPr>
        <w:t xml:space="preserve"> </w:t>
      </w:r>
      <w:r>
        <w:rPr>
          <w:rFonts w:ascii="Times New Roman;sans-serif" w:hAnsi="Times New Roman;sans-serif"/>
          <w:b w:val="false"/>
          <w:color w:val="000000"/>
          <w:sz w:val="22"/>
        </w:rPr>
        <w:t xml:space="preserve">or if the Borrower is required to pay any Indemnified Taxes or additional amounts to any Lender or any Governmental Authority for the account of any Lender pursuant to </w:t>
      </w:r>
      <w:r>
        <w:rPr>
          <w:rFonts w:ascii="Times New Roman;sans-serif" w:hAnsi="Times New Roman;sans-serif"/>
          <w:b w:val="false"/>
          <w:color w:val="000000"/>
          <w:sz w:val="22"/>
          <w:u w:val="single"/>
        </w:rPr>
        <w:t>Section 3.6</w:t>
      </w:r>
      <w:r>
        <w:rPr>
          <w:color w:val="000000"/>
        </w:rPr>
        <w:t xml:space="preserve"> </w:t>
      </w:r>
      <w:r>
        <w:rPr>
          <w:rFonts w:ascii="Times New Roman;sans-serif" w:hAnsi="Times New Roman;sans-serif"/>
          <w:b w:val="false"/>
          <w:color w:val="000000"/>
          <w:sz w:val="22"/>
        </w:rPr>
        <w:t xml:space="preserve">and, in each case, such Lender has declined or is unable to designate a different Applicable Lending Office in accordance with </w:t>
      </w:r>
      <w:r>
        <w:rPr>
          <w:rFonts w:ascii="Times New Roman;sans-serif" w:hAnsi="Times New Roman;sans-serif"/>
          <w:b w:val="false"/>
          <w:color w:val="000000"/>
          <w:sz w:val="22"/>
          <w:u w:val="single"/>
        </w:rPr>
        <w:t>Section 3.7(a)</w:t>
      </w:r>
      <w:r>
        <w:rPr>
          <w:rFonts w:ascii="Times New Roman;sans-serif" w:hAnsi="Times New Roman;sans-serif"/>
          <w:b w:val="false"/>
          <w:color w:val="000000"/>
          <w:sz w:val="22"/>
        </w:rPr>
        <w:t xml:space="preserve">, or if any Lender is a Non-Consenting Lender, then the Borrower may, at its sole expense and effort, upon notice to such Lender and the Administrative Agent, require such Lender to assign and delegate, without recourse (in accordance with and subject to the restrictions contained in, and consents required by, </w:t>
      </w:r>
      <w:r>
        <w:rPr>
          <w:rFonts w:ascii="Times New Roman;sans-serif" w:hAnsi="Times New Roman;sans-serif"/>
          <w:b w:val="false"/>
          <w:color w:val="000000"/>
          <w:sz w:val="22"/>
          <w:u w:val="single"/>
        </w:rPr>
        <w:t>Section 10.4</w:t>
      </w:r>
      <w:r>
        <w:rPr>
          <w:rFonts w:ascii="Times New Roman;sans-serif" w:hAnsi="Times New Roman;sans-serif"/>
          <w:b w:val="false"/>
          <w:color w:val="000000"/>
          <w:sz w:val="22"/>
        </w:rPr>
        <w:t xml:space="preserve">), all of its interests, rights (other than its existing rights to payments pursuant to </w:t>
      </w:r>
      <w:r>
        <w:rPr>
          <w:rFonts w:ascii="Times New Roman;sans-serif" w:hAnsi="Times New Roman;sans-serif"/>
          <w:b w:val="false"/>
          <w:color w:val="000000"/>
          <w:sz w:val="22"/>
          <w:u w:val="single"/>
        </w:rPr>
        <w:t>Section 3.4</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3.6</w:t>
      </w:r>
      <w:r>
        <w:rPr>
          <w:rFonts w:ascii="Times New Roman;sans-serif" w:hAnsi="Times New Roman;sans-serif"/>
          <w:b w:val="false"/>
          <w:color w:val="000000"/>
          <w:sz w:val="22"/>
        </w:rPr>
        <w:t xml:space="preserve">) and obligations under this Credit Agreement and the related Loan Documents to an Eligible Assignee that shall assume such obligations (which assignee may be another Lender, if a Lender accepts such assignment);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(i)unless waived by the Administrative Agent in its sole discretion, the Borrower shall have paid to the Administrative Agent the assignment fee (if any) specified in </w:t>
      </w:r>
      <w:r>
        <w:rPr>
          <w:rFonts w:ascii="Times New Roman;sans-serif" w:hAnsi="Times New Roman;sans-serif"/>
          <w:b w:val="false"/>
          <w:color w:val="000000"/>
          <w:sz w:val="22"/>
          <w:u w:val="single"/>
        </w:rPr>
        <w:t>Section 10.4</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(ii)such Lender shall have received payment of an amount equal to the outstanding principal of its Loans, accrued interest thereon, the Prepayment Premium (if any), accrued fees (other than the Exit Fee, if applicable) and all other amounts payable to it hereunder and under the other Loan Documents (including any amounts under </w:t>
      </w:r>
      <w:r>
        <w:rPr>
          <w:rFonts w:ascii="Times New Roman;sans-serif" w:hAnsi="Times New Roman;sans-serif"/>
          <w:b w:val="false"/>
          <w:color w:val="000000"/>
          <w:sz w:val="22"/>
          <w:u w:val="single"/>
        </w:rPr>
        <w:t>Section 3.5</w:t>
      </w:r>
      <w:r>
        <w:rPr>
          <w:rFonts w:ascii="Times New Roman;sans-serif" w:hAnsi="Times New Roman;sans-serif"/>
          <w:b w:val="false"/>
          <w:color w:val="000000"/>
          <w:sz w:val="22"/>
        </w:rPr>
        <w:t>) from the assignee (to the extent of such outstanding principal and accrued interest and fees) or the Borrower (in the case of all other amounts);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(iii)in the case of any such assignment resulting from a claim for compensation under </w:t>
      </w:r>
      <w:r>
        <w:rPr>
          <w:rFonts w:ascii="Times New Roman;sans-serif" w:hAnsi="Times New Roman;sans-serif"/>
          <w:b w:val="false"/>
          <w:color w:val="000000"/>
          <w:sz w:val="22"/>
          <w:u w:val="single"/>
        </w:rPr>
        <w:t>Section 3.4</w:t>
      </w:r>
      <w:r>
        <w:rPr>
          <w:color w:val="000000"/>
        </w:rPr>
        <w:t xml:space="preserve"> </w:t>
      </w:r>
      <w:r>
        <w:rPr>
          <w:rFonts w:ascii="Times New Roman;sans-serif" w:hAnsi="Times New Roman;sans-serif"/>
          <w:b w:val="false"/>
          <w:color w:val="000000"/>
          <w:sz w:val="22"/>
        </w:rPr>
        <w:t xml:space="preserve">or payments required to be made pursuant to </w:t>
      </w:r>
      <w:r>
        <w:rPr>
          <w:rFonts w:ascii="Times New Roman;sans-serif" w:hAnsi="Times New Roman;sans-serif"/>
          <w:b w:val="false"/>
          <w:color w:val="000000"/>
          <w:sz w:val="22"/>
          <w:u w:val="single"/>
        </w:rPr>
        <w:t>Section 3.6</w:t>
      </w:r>
      <w:r>
        <w:rPr>
          <w:rFonts w:ascii="Times New Roman;sans-serif" w:hAnsi="Times New Roman;sans-serif"/>
          <w:b w:val="false"/>
          <w:color w:val="000000"/>
          <w:sz w:val="22"/>
        </w:rPr>
        <w:t>, such assignment will result in a reduction in such compensation or payments thereafter;</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(iv)such assignment does not conflict with applicable law; and</w:t>
      </w: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4"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69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69</w:t>
                      </w:r>
                    </w:p>
                  </w:txbxContent>
                </v:textbox>
                <w10:wrap type="none"/>
              </v:rect>
            </w:pict>
          </mc:Fallback>
        </mc:AlternateConten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(v)in the case of any assignment resulting from a Lender becoming a Non-Consenting Lender, the applicable assignee shall have consented (or is willing to consent upon becoming a Lender) to the applicable amendment, waiver or consent.</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Lender shall not be required to make any such assignment or delegation if, prior thereto, as a result of a waiver by such Lender or otherwise, the circumstances entitling the Borrower to require such assignment and delegation cease to apply. </w:t>
      </w:r>
    </w:p>
    <w:p>
      <w:pPr>
        <w:pStyle w:val="TextBody"/>
        <w:bidi w:val="0"/>
        <w:spacing w:lineRule="auto" w:line="288" w:before="0" w:after="240"/>
        <w:jc w:val="center"/>
        <w:rPr/>
      </w:pPr>
      <w:r>
        <w:rPr>
          <w:rFonts w:ascii="Times New Roman;sans-serif" w:hAnsi="Times New Roman;sans-serif"/>
          <w:b w:val="false"/>
          <w:color w:val="000000"/>
          <w:sz w:val="22"/>
        </w:rPr>
        <w:t>Article 4</w:t>
      </w:r>
      <w:r>
        <w:rPr>
          <w:rFonts w:ascii="Times New Roman;sans-serif" w:hAnsi="Times New Roman;sans-serif"/>
          <w:b w:val="false"/>
          <w:color w:val="000000"/>
          <w:sz w:val="22"/>
        </w:rPr>
        <w:br/>
        <w:br/>
        <w:t>CONDITIONS PRECEDENT TO CREDIT EXTENSIONS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4.1</w:t>
      </w:r>
      <w:r>
        <w:rPr>
          <w:rFonts w:ascii="Times New Roman;sans-serif" w:hAnsi="Times New Roman;sans-serif"/>
          <w:b w:val="false"/>
          <w:color w:val="000000"/>
          <w:sz w:val="22"/>
          <w:u w:val="single"/>
        </w:rPr>
        <w:t>Conditions to Initial Credit Extensions</w:t>
      </w:r>
      <w:r>
        <w:rPr>
          <w:rFonts w:ascii="Times New Roman;sans-serif" w:hAnsi="Times New Roman;sans-serif"/>
          <w:b w:val="false"/>
          <w:color w:val="000000"/>
          <w:sz w:val="22"/>
        </w:rPr>
        <w:t>. The effectiveness of this Credit Agreement and the obligation of each Lender to make its Credit Extension hereunder on the Closing Date is subject to satisfaction (or waiver by each Lender and the Administrative Agent) of the following conditions precedent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delivery of any document or the performance of any obligation required to be delivered or performed under </w:t>
      </w:r>
      <w:r>
        <w:rPr>
          <w:rFonts w:ascii="Times New Roman;sans-serif" w:hAnsi="Times New Roman;sans-serif"/>
          <w:b w:val="false"/>
          <w:color w:val="000000"/>
          <w:sz w:val="22"/>
          <w:u w:val="single"/>
        </w:rPr>
        <w:t>Section 6.14</w:t>
      </w:r>
      <w:r>
        <w:rPr>
          <w:color w:val="000000"/>
        </w:rPr>
        <w:t xml:space="preserve"> </w:t>
      </w:r>
      <w:r>
        <w:rPr>
          <w:rFonts w:ascii="Times New Roman;sans-serif" w:hAnsi="Times New Roman;sans-serif"/>
          <w:b w:val="false"/>
          <w:color w:val="000000"/>
          <w:sz w:val="22"/>
        </w:rPr>
        <w:t>shall not be a condition precedent to the Credit Extension on the Closing Date):</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Credit Agreement</w:t>
      </w:r>
      <w:r>
        <w:rPr>
          <w:rFonts w:ascii="Times New Roman;sans-serif" w:hAnsi="Times New Roman;sans-serif"/>
          <w:b w:val="false"/>
          <w:color w:val="000000"/>
          <w:sz w:val="22"/>
        </w:rPr>
        <w:t>. The Administrative Agent (or its counsel) shall have received a counterpart of this Credit Agreement (which may include electronic mail transmission of a signed signature page of this Credit Agreement) that, when taken together, bear the signatures of the Borrower and each Lender.</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Notes</w:t>
      </w:r>
      <w:r>
        <w:rPr>
          <w:rFonts w:ascii="Times New Roman;sans-serif" w:hAnsi="Times New Roman;sans-serif"/>
          <w:b w:val="false"/>
          <w:color w:val="000000"/>
          <w:sz w:val="22"/>
        </w:rPr>
        <w:t>. The Administrative Agent shall have received a Note for each Lender that shall have requested one no later than two (2) Business Days prior to the Closing Date, signed on behalf of the Borrower.</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u w:val="single"/>
        </w:rPr>
        <w:t>Legal Opinion</w:t>
      </w:r>
      <w:r>
        <w:rPr>
          <w:rFonts w:ascii="Times New Roman;sans-serif" w:hAnsi="Times New Roman;sans-serif"/>
          <w:b w:val="false"/>
          <w:color w:val="000000"/>
          <w:sz w:val="22"/>
        </w:rPr>
        <w:t>. The Administrative Agent shall have received favorable written opinions (addressed to the Credit Parties and dated the Closing Date) from each of (i) Gunderson Dettmer Stough Villeneuve Franklin &amp; Hachigian, LLP, as special counsel to the Loan Parties, (ii) Rutan and Tucker LP, as special counsel to the Loan Parties, and (iii) Walkers (Ireland) LLP, Irish counsel to the Loan Parties, in each case, in form, scope and substance customary for transactions of this type and reasonably satisfactory to the Administrative Agent. The Borrower hereby requests such counsels to deliver such opinions.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u w:val="single"/>
        </w:rPr>
        <w:t>Officers’ Closing Certificate</w:t>
      </w:r>
      <w:r>
        <w:rPr>
          <w:rFonts w:ascii="Times New Roman;sans-serif" w:hAnsi="Times New Roman;sans-serif"/>
          <w:b w:val="false"/>
          <w:color w:val="000000"/>
          <w:sz w:val="22"/>
        </w:rPr>
        <w:t xml:space="preserve">. The Administrative Agent shall have received a certificate of the President or a Vice President and the Secretary or Assistant Secretary or other Responsible Officer of each Loan Party, dated the Closing Date, substantially in the form of </w:t>
      </w:r>
      <w:r>
        <w:rPr>
          <w:rFonts w:ascii="Times New Roman;sans-serif" w:hAnsi="Times New Roman;sans-serif"/>
          <w:b w:val="false"/>
          <w:color w:val="000000"/>
          <w:sz w:val="22"/>
          <w:u w:val="single"/>
        </w:rPr>
        <w:t>Exhibit E.</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u w:val="single"/>
        </w:rPr>
        <w:t>Fees and Expenses</w:t>
      </w:r>
      <w:r>
        <w:rPr>
          <w:rFonts w:ascii="Times New Roman;sans-serif" w:hAnsi="Times New Roman;sans-serif"/>
          <w:b w:val="false"/>
          <w:color w:val="000000"/>
          <w:sz w:val="22"/>
        </w:rPr>
        <w:t>. The Administrative Agent (or its counsel) shall have received a counterpart of the Fee Letter (which may include electronic mail transmission of a signed signature page of the Fee Letter) duly executed by the Borrower. Substantially contemporaneously with the making of the Loans to be made on the Closing Date, the Borrower shall have paid all fees and expenses that under the terms hereof or of the Fee Letter are due and payable on or prior to the Closing Date, as well as the reasonable fees, disbursements and other charges of counsel to the Administrative Agent and the Lead Arranger in connection with the Transactions to the extent invoiced on or prior to the Closing Date.</w:t>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5"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70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70</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u w:val="single"/>
        </w:rPr>
        <w:t>Collateral and Guarantee Requirement</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(i)The Collateral Documents set forth in </w:t>
      </w:r>
      <w:r>
        <w:rPr>
          <w:rFonts w:ascii="Times New Roman;sans-serif" w:hAnsi="Times New Roman;sans-serif"/>
          <w:b w:val="false"/>
          <w:color w:val="000000"/>
          <w:sz w:val="22"/>
          <w:u w:val="single"/>
        </w:rPr>
        <w:t>Schedule 4.1(f)</w:t>
      </w:r>
      <w:r>
        <w:rPr>
          <w:color w:val="000000"/>
        </w:rPr>
        <w:t xml:space="preserve"> </w:t>
      </w:r>
      <w:r>
        <w:rPr>
          <w:rFonts w:ascii="Times New Roman;sans-serif" w:hAnsi="Times New Roman;sans-serif"/>
          <w:b w:val="false"/>
          <w:color w:val="000000"/>
          <w:sz w:val="22"/>
        </w:rPr>
        <w:t>shall have been duly executed and/or delivered by each Loan Party that is to be a party thereto and shall be in full force and effect. The Administrative Agent on behalf of the Secured Parties shall have a security interest in the Collateral of the type and the priority described in each such Collateral Document; and</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(ii)The Administrative Agent shall have received all stock certificates or other instruments (if any) representing all such Equity Interests required to be pledged under the Loan Documents entered into on the Closing Date, together with stock powers or other instruments of transfer with respect thereto endorsed in blank;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pledge of any shares in respect of any Subsidiaries that are not Wholly-Owned Subsidiaries shall be limited to the shares actually owned by the applicable pledgor.</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(g)</w:t>
      </w:r>
      <w:r>
        <w:rPr>
          <w:rFonts w:ascii="Times New Roman;sans-serif" w:hAnsi="Times New Roman;sans-serif"/>
          <w:b w:val="false"/>
          <w:color w:val="000000"/>
          <w:sz w:val="22"/>
          <w:u w:val="single"/>
        </w:rPr>
        <w:t>Guarantee Agreement</w:t>
      </w:r>
      <w:r>
        <w:rPr>
          <w:rFonts w:ascii="Times New Roman;sans-serif" w:hAnsi="Times New Roman;sans-serif"/>
          <w:b w:val="false"/>
          <w:color w:val="000000"/>
          <w:sz w:val="22"/>
        </w:rPr>
        <w:t>. The Administrative Agent (or its counsel) shall have received a counterpart of the Guarantee Agreement (which may include electronic mail transmission of a signed signature page of the Guarantee Agreement) that, when taken together, bear the signatures of each Subsidiary Guarantor as of the Closing Date.</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(h)</w:t>
      </w:r>
      <w:r>
        <w:rPr>
          <w:rFonts w:ascii="Times New Roman;sans-serif" w:hAnsi="Times New Roman;sans-serif"/>
          <w:b w:val="false"/>
          <w:color w:val="000000"/>
          <w:sz w:val="22"/>
          <w:u w:val="single"/>
        </w:rPr>
        <w:t>Solvency Certificate</w:t>
      </w:r>
      <w:r>
        <w:rPr>
          <w:rFonts w:ascii="Times New Roman;sans-serif" w:hAnsi="Times New Roman;sans-serif"/>
          <w:b w:val="false"/>
          <w:color w:val="000000"/>
          <w:sz w:val="22"/>
        </w:rPr>
        <w:t>. The Administrative Agent shall have received a Solvency Certificate attesting to the Solvency of each Loan Party and its Subsidiaries (taken as a whole) on the Closing Date immediately before and after giving effect to the Transactions, from the chief financial officer or an authorized person performing similar functions of the Borrower.</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(i)</w:t>
      </w:r>
      <w:r>
        <w:rPr>
          <w:rFonts w:ascii="Times New Roman;sans-serif" w:hAnsi="Times New Roman;sans-serif"/>
          <w:b w:val="false"/>
          <w:color w:val="000000"/>
          <w:sz w:val="22"/>
          <w:u w:val="single"/>
        </w:rPr>
        <w:t>Committed Loan Notice</w:t>
      </w:r>
      <w:r>
        <w:rPr>
          <w:rFonts w:ascii="Times New Roman;sans-serif" w:hAnsi="Times New Roman;sans-serif"/>
          <w:b w:val="false"/>
          <w:color w:val="000000"/>
          <w:sz w:val="22"/>
        </w:rPr>
        <w:t>. The Administrative Agent shall have received a completed Committed Loan Notice, duly executed by a Responsible Officer of the Borrower with respect to the Credit Extension to be made on the Closing Date.</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(j)</w:t>
      </w:r>
      <w:r>
        <w:rPr>
          <w:rFonts w:ascii="Times New Roman;sans-serif" w:hAnsi="Times New Roman;sans-serif"/>
          <w:b w:val="false"/>
          <w:color w:val="000000"/>
          <w:sz w:val="22"/>
          <w:u w:val="single"/>
        </w:rPr>
        <w:t>Insurance</w:t>
      </w:r>
      <w:r>
        <w:rPr>
          <w:rFonts w:ascii="Times New Roman;sans-serif" w:hAnsi="Times New Roman;sans-serif"/>
          <w:b w:val="false"/>
          <w:color w:val="000000"/>
          <w:sz w:val="22"/>
        </w:rPr>
        <w:t>. The Administrative Agent shall have received evidence that all insurance required to be maintained pursuant to the Loan Documents has been obtained and is in effect and that the Administrative Agent has been named as lender’s loss payee and/or additional insured, as applicable, under each insurance policy with respect thereto, in each case, in accordance with the terms of the Loan Documents, and the Administrative Agent is otherwise satisfied with all of the insurance arrangements of the Loan Parties and their Subsidiaries.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(k)</w:t>
      </w:r>
      <w:r>
        <w:rPr>
          <w:rFonts w:ascii="Times New Roman;sans-serif" w:hAnsi="Times New Roman;sans-serif"/>
          <w:b w:val="false"/>
          <w:color w:val="000000"/>
          <w:sz w:val="22"/>
          <w:u w:val="single"/>
        </w:rPr>
        <w:t>Pro-Forma Compliance Certificate</w:t>
      </w:r>
      <w:r>
        <w:rPr>
          <w:rFonts w:ascii="Times New Roman;sans-serif" w:hAnsi="Times New Roman;sans-serif"/>
          <w:b w:val="false"/>
          <w:color w:val="000000"/>
          <w:sz w:val="22"/>
        </w:rPr>
        <w:t>. The Administrative Agent shall have received a certificate, dated the Closing Date and signed by a Financial Officer of the Borrower, setting forth reasonably detailed calculations demonstrating that on a Pro Forma Basis, immediately after giving effect to the Transactions occurring on the Closing Date the Loan Parties shall have Liquidity of at least $5,000,000.</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(l)</w:t>
      </w:r>
      <w:r>
        <w:rPr>
          <w:rFonts w:ascii="Times New Roman;sans-serif" w:hAnsi="Times New Roman;sans-serif"/>
          <w:b w:val="false"/>
          <w:color w:val="000000"/>
          <w:sz w:val="22"/>
          <w:u w:val="single"/>
        </w:rPr>
        <w:t>USA PATRIOT Act; KYC</w:t>
      </w:r>
      <w:r>
        <w:rPr>
          <w:rFonts w:ascii="Times New Roman;sans-serif" w:hAnsi="Times New Roman;sans-serif"/>
          <w:b w:val="false"/>
          <w:color w:val="000000"/>
          <w:sz w:val="22"/>
        </w:rPr>
        <w:t>. The Lenders shall have received, no later than three (3) Business Days prior to the Closing Date, (i) all documentation and other information requested by them and required by regulatory authorities under applicable “know your customer” and anti-money laundering rules and regulations, including the USA PATRIOT Act and (ii) to the extent the Borrower qualifies as a “legal entity customer” under the Beneficial Ownership Regulation, a Beneficial Ownership Certification in relation to the Borrower.</w:t>
      </w: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6"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71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71</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(m)</w:t>
      </w:r>
      <w:r>
        <w:rPr>
          <w:rFonts w:ascii="Times New Roman;sans-serif" w:hAnsi="Times New Roman;sans-serif"/>
          <w:b w:val="false"/>
          <w:color w:val="000000"/>
          <w:sz w:val="22"/>
          <w:u w:val="single"/>
        </w:rPr>
        <w:t>Financial Statements</w:t>
      </w:r>
      <w:r>
        <w:rPr>
          <w:rFonts w:ascii="Times New Roman;sans-serif" w:hAnsi="Times New Roman;sans-serif"/>
          <w:b w:val="false"/>
          <w:color w:val="000000"/>
          <w:sz w:val="22"/>
        </w:rPr>
        <w:t xml:space="preserve">. The Administrative Agent shall have received (i) the Audited Financial Statements and (ii) the Unaudited Financial Statements. Availability of the Audited Financial Statements and the Unaudited Financial Statements on EDGAR Online or the Borrower’s website on the Internet at the website address listed in </w:t>
      </w:r>
      <w:r>
        <w:rPr>
          <w:rFonts w:ascii="Times New Roman;sans-serif" w:hAnsi="Times New Roman;sans-serif"/>
          <w:b w:val="false"/>
          <w:color w:val="000000"/>
          <w:sz w:val="22"/>
          <w:u w:val="single"/>
        </w:rPr>
        <w:t>Section 10.1</w:t>
      </w:r>
      <w:r>
        <w:rPr>
          <w:color w:val="000000"/>
        </w:rPr>
        <w:t xml:space="preserve"> </w:t>
      </w:r>
      <w:r>
        <w:rPr>
          <w:rFonts w:ascii="Times New Roman;sans-serif" w:hAnsi="Times New Roman;sans-serif"/>
          <w:b w:val="false"/>
          <w:color w:val="000000"/>
          <w:sz w:val="22"/>
        </w:rPr>
        <w:t xml:space="preserve">(to the extent such report complies with the requirements of the applicable definitions), shall be deemed to be compliance by the Borrower with this </w:t>
      </w:r>
      <w:r>
        <w:rPr>
          <w:rFonts w:ascii="Times New Roman;sans-serif" w:hAnsi="Times New Roman;sans-serif"/>
          <w:b w:val="false"/>
          <w:color w:val="000000"/>
          <w:sz w:val="22"/>
          <w:u w:val="single"/>
        </w:rPr>
        <w:t>Section 4.1(m)</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(n)</w:t>
      </w:r>
      <w:r>
        <w:rPr>
          <w:rFonts w:ascii="Times New Roman;sans-serif" w:hAnsi="Times New Roman;sans-serif"/>
          <w:b w:val="false"/>
          <w:color w:val="000000"/>
          <w:sz w:val="22"/>
          <w:u w:val="single"/>
        </w:rPr>
        <w:t>Legal Impediments</w:t>
      </w:r>
      <w:r>
        <w:rPr>
          <w:rFonts w:ascii="Times New Roman;sans-serif" w:hAnsi="Times New Roman;sans-serif"/>
          <w:b w:val="false"/>
          <w:color w:val="000000"/>
          <w:sz w:val="22"/>
        </w:rPr>
        <w:t>. No law or regulation shall be applicable that restrains, prevents or imposes materially adverse conditions upon the Credit Facility.</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(o)</w:t>
      </w:r>
      <w:r>
        <w:rPr>
          <w:rFonts w:ascii="Times New Roman;sans-serif" w:hAnsi="Times New Roman;sans-serif"/>
          <w:b w:val="false"/>
          <w:color w:val="000000"/>
          <w:sz w:val="22"/>
          <w:u w:val="single"/>
        </w:rPr>
        <w:t>No Material Adverse Effect</w:t>
      </w:r>
      <w:r>
        <w:rPr>
          <w:rFonts w:ascii="Times New Roman;sans-serif" w:hAnsi="Times New Roman;sans-serif"/>
          <w:b w:val="false"/>
          <w:color w:val="000000"/>
          <w:sz w:val="22"/>
        </w:rPr>
        <w:t>. Since December 31, 2023, there shall not have occurred a Material Adverse Effect or any event or circumstance that would reasonably be expected to result in a Material Adverse Effect.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(p)</w:t>
      </w:r>
      <w:r>
        <w:rPr>
          <w:rFonts w:ascii="Times New Roman;sans-serif" w:hAnsi="Times New Roman;sans-serif"/>
          <w:b w:val="false"/>
          <w:color w:val="000000"/>
          <w:sz w:val="22"/>
          <w:u w:val="single"/>
        </w:rPr>
        <w:t>Representations and Warranties</w:t>
      </w:r>
      <w:r>
        <w:rPr>
          <w:rFonts w:ascii="Times New Roman;sans-serif" w:hAnsi="Times New Roman;sans-serif"/>
          <w:b w:val="false"/>
          <w:color w:val="000000"/>
          <w:sz w:val="22"/>
        </w:rPr>
        <w:t xml:space="preserve">. Each of the representations and warranties of the Loan Parties set forth in the Loan Documents shall be true and correct in all material respects, in each case on and as of such date as if made on and as of such date;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to the extent that such representations and warranties specifically refer to an earlier date, they shall be true and correct in all material respects as of such earlier date; </w:t>
      </w:r>
      <w:r>
        <w:rPr>
          <w:rFonts w:ascii="Times New Roman;sans-serif" w:hAnsi="Times New Roman;sans-serif"/>
          <w:b w:val="false"/>
          <w:color w:val="000000"/>
          <w:sz w:val="22"/>
          <w:u w:val="single"/>
        </w:rPr>
        <w:t>provided, further,</w:t>
      </w:r>
      <w:r>
        <w:rPr>
          <w:color w:val="000000"/>
        </w:rPr>
        <w:t xml:space="preserve"> </w:t>
      </w:r>
      <w:r>
        <w:rPr>
          <w:rFonts w:ascii="Times New Roman;sans-serif" w:hAnsi="Times New Roman;sans-serif"/>
          <w:b w:val="false"/>
          <w:color w:val="000000"/>
          <w:sz w:val="22"/>
        </w:rPr>
        <w:t>that any representation and warranty that is qualified as to “materiality,” “Material Adverse Effect” or similar language shall be true and correct (after giving effect to any qualification therein) in all respects on such respective dates.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(q)</w:t>
      </w:r>
      <w:r>
        <w:rPr>
          <w:rFonts w:ascii="Times New Roman;sans-serif" w:hAnsi="Times New Roman;sans-serif"/>
          <w:b w:val="false"/>
          <w:color w:val="000000"/>
          <w:sz w:val="22"/>
          <w:u w:val="single"/>
        </w:rPr>
        <w:t>No Default</w:t>
      </w:r>
      <w:r>
        <w:rPr>
          <w:rFonts w:ascii="Times New Roman;sans-serif" w:hAnsi="Times New Roman;sans-serif"/>
          <w:b w:val="false"/>
          <w:color w:val="000000"/>
          <w:sz w:val="22"/>
        </w:rPr>
        <w:t>. No Default or Event of Default shall exist or would result from such proposed Credit Extension or from the application of the proceeds therefrom.</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(r)</w:t>
      </w:r>
      <w:r>
        <w:rPr>
          <w:rFonts w:ascii="Times New Roman;sans-serif" w:hAnsi="Times New Roman;sans-serif"/>
          <w:b w:val="false"/>
          <w:color w:val="000000"/>
          <w:sz w:val="22"/>
          <w:u w:val="single"/>
        </w:rPr>
        <w:t>Financial Officer Certificate</w:t>
      </w:r>
      <w:r>
        <w:rPr>
          <w:rFonts w:ascii="Times New Roman;sans-serif" w:hAnsi="Times New Roman;sans-serif"/>
          <w:b w:val="false"/>
          <w:color w:val="000000"/>
          <w:sz w:val="22"/>
        </w:rPr>
        <w:t xml:space="preserve">. The Administrative Agent shall have received a certificate, dated the Closing Date and signed by a Financial Officer of the Borrower confirming that the conditions set forth in clauses (o), (p) and (q) of this </w:t>
      </w:r>
      <w:r>
        <w:rPr>
          <w:rFonts w:ascii="Times New Roman;sans-serif" w:hAnsi="Times New Roman;sans-serif"/>
          <w:b w:val="false"/>
          <w:color w:val="000000"/>
          <w:sz w:val="22"/>
          <w:u w:val="single"/>
        </w:rPr>
        <w:t>Section 4.1</w:t>
      </w:r>
      <w:r>
        <w:rPr>
          <w:color w:val="000000"/>
        </w:rPr>
        <w:t xml:space="preserve"> </w:t>
      </w:r>
      <w:r>
        <w:rPr>
          <w:rFonts w:ascii="Times New Roman;sans-serif" w:hAnsi="Times New Roman;sans-serif"/>
          <w:b w:val="false"/>
          <w:color w:val="000000"/>
          <w:sz w:val="22"/>
        </w:rPr>
        <w:t>shall be satisfied.</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(s)</w:t>
      </w:r>
      <w:r>
        <w:rPr>
          <w:rFonts w:ascii="Times New Roman;sans-serif" w:hAnsi="Times New Roman;sans-serif"/>
          <w:b w:val="false"/>
          <w:color w:val="000000"/>
          <w:sz w:val="22"/>
          <w:u w:val="single"/>
        </w:rPr>
        <w:t>Series B Stock Repurchase</w:t>
      </w:r>
      <w:r>
        <w:rPr>
          <w:rFonts w:ascii="Times New Roman;sans-serif" w:hAnsi="Times New Roman;sans-serif"/>
          <w:b w:val="false"/>
          <w:color w:val="000000"/>
          <w:sz w:val="22"/>
        </w:rPr>
        <w:t>. On or prior to the Closing Date the Borrower shall have delivered to the Administrative Agent satisfactory evidence that, substantially concurrently with the Closing Date, all of the outstanding shares of Series B Stock (including any accrued but unpaid dividends thereon) have been or will be repurchased by the Borrower in cash in accordance with the terms of the Series B Repurchase Agreement.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(t)</w:t>
      </w:r>
      <w:r>
        <w:rPr>
          <w:rFonts w:ascii="Times New Roman;sans-serif" w:hAnsi="Times New Roman;sans-serif"/>
          <w:b w:val="false"/>
          <w:color w:val="000000"/>
          <w:sz w:val="22"/>
          <w:u w:val="single"/>
        </w:rPr>
        <w:t>Repurchase of Senior Notes</w:t>
      </w:r>
      <w:r>
        <w:rPr>
          <w:rFonts w:ascii="Times New Roman;sans-serif" w:hAnsi="Times New Roman;sans-serif"/>
          <w:b w:val="false"/>
          <w:color w:val="000000"/>
          <w:sz w:val="22"/>
        </w:rPr>
        <w:t>. On or prior to the Closing Date the Borrower shall have delivered to the Administrative Agent satisfactory evidence that, substantially concurrently with the Closing Date, $16,500,000 aggregate principal amount of the Senior Notes have been or will be repurchased by the Borrower in cash in accordance with the terms of the Senior Note Repurchase Agreement.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(u)</w:t>
      </w:r>
      <w:r>
        <w:rPr>
          <w:rFonts w:ascii="Times New Roman;sans-serif" w:hAnsi="Times New Roman;sans-serif"/>
          <w:b w:val="false"/>
          <w:color w:val="000000"/>
          <w:sz w:val="22"/>
          <w:u w:val="single"/>
        </w:rPr>
        <w:t>Consents</w:t>
      </w:r>
      <w:r>
        <w:rPr>
          <w:rFonts w:ascii="Times New Roman;sans-serif" w:hAnsi="Times New Roman;sans-serif"/>
          <w:b w:val="false"/>
          <w:color w:val="000000"/>
          <w:sz w:val="22"/>
        </w:rPr>
        <w:t>. All consents, authorizations and approvals of, and filings and registrations with, and all other actions in respect of, any Governmental Authority or other Person required in connection with the making of the Loans or the conduct of the Loan Parties’ business to effect the Transactions shall have been obtained and shall be in full force and effect (or shall be made substantially concurrently with the closing hereof).</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(v)</w:t>
      </w:r>
      <w:r>
        <w:rPr>
          <w:rFonts w:ascii="Times New Roman;sans-serif" w:hAnsi="Times New Roman;sans-serif"/>
          <w:b w:val="false"/>
          <w:color w:val="000000"/>
          <w:sz w:val="22"/>
          <w:u w:val="single"/>
        </w:rPr>
        <w:t>Lien Searches</w:t>
      </w:r>
      <w:r>
        <w:rPr>
          <w:rFonts w:ascii="Times New Roman;sans-serif" w:hAnsi="Times New Roman;sans-serif"/>
          <w:b w:val="false"/>
          <w:color w:val="000000"/>
          <w:sz w:val="22"/>
        </w:rPr>
        <w:t xml:space="preserve">. The Administrative Agent shall have received the results of a Lien search (including a search as to judgments, bankruptcy, tax and intellectual property matters), in form and substance reasonably satisfactory thereto, made against the Loans Parties under the Uniform </w:t>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7"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72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72</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Commercial Code (or applicable judicial docket) as in effect in each jurisdiction in which filings or recordations under the applicable Uniform Commercial Code should be made to evidence or perfect security interests in all assets of such Loan Party and such other jurisdictions reasonably requested by the Administrative Agent, indicating among other things that the assets of each such Loan Party are free and clear of any Lien (except for Liens terminated on or prior to the Closing Date and Liens permitted under </w:t>
      </w:r>
      <w:r>
        <w:rPr>
          <w:rFonts w:ascii="Times New Roman;sans-serif" w:hAnsi="Times New Roman;sans-serif"/>
          <w:b w:val="false"/>
          <w:color w:val="000000"/>
          <w:sz w:val="22"/>
          <w:u w:val="single"/>
        </w:rPr>
        <w:t>Section 7.2</w:t>
      </w:r>
      <w:r>
        <w:rPr>
          <w:rFonts w:ascii="Times New Roman;sans-serif" w:hAnsi="Times New Roman;sans-serif"/>
          <w:b w:val="false"/>
          <w:color w:val="000000"/>
          <w:sz w:val="22"/>
        </w:rPr>
        <w:t>).</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For purposes of determining whether the Closing Date has occurred, each Lender that has executed this Credit Agreement shall be deemed to have consented to, approved or accepted, or to be satisfied with, each document or other matter required hereunder to be consented to or approved by or acceptable or satisfactory to such Lender, unless such Lender has notified the Administrative Agent of any disagreement prior to the Credit Extension hereunder. </w:t>
      </w:r>
    </w:p>
    <w:p>
      <w:pPr>
        <w:pStyle w:val="TextBody"/>
        <w:bidi w:val="0"/>
        <w:spacing w:lineRule="auto" w:line="288" w:before="0" w:after="240"/>
        <w:jc w:val="center"/>
        <w:rPr/>
      </w:pPr>
      <w:r>
        <w:rPr>
          <w:rFonts w:ascii="Times New Roman;sans-serif" w:hAnsi="Times New Roman;sans-serif"/>
          <w:b w:val="false"/>
          <w:color w:val="000000"/>
          <w:sz w:val="22"/>
        </w:rPr>
        <w:t>Article 5</w:t>
      </w:r>
      <w:r>
        <w:rPr>
          <w:rFonts w:ascii="Times New Roman;sans-serif" w:hAnsi="Times New Roman;sans-serif"/>
          <w:b w:val="false"/>
          <w:color w:val="000000"/>
          <w:sz w:val="22"/>
        </w:rPr>
        <w:br/>
        <w:br/>
        <w:t>REPRESENTATIONS AND WARRANTIES</w:t>
      </w:r>
    </w:p>
    <w:p>
      <w:pPr>
        <w:pStyle w:val="TextBody"/>
        <w:bidi w:val="0"/>
        <w:spacing w:lineRule="auto" w:line="288" w:before="0" w:after="120"/>
        <w:jc w:val="left"/>
        <w:rPr>
          <w:rFonts w:ascii="Times New Roman;sans-serif" w:hAnsi="Times New Roman;sans-serif"/>
          <w:b w:val="false"/>
          <w:color w:val="000000"/>
          <w:sz w:val="22"/>
        </w:rPr>
      </w:pPr>
      <w:r>
        <w:rPr>
          <w:rFonts w:ascii="Times New Roman;sans-serif" w:hAnsi="Times New Roman;sans-serif"/>
          <w:b w:val="false"/>
          <w:color w:val="000000"/>
          <w:sz w:val="22"/>
        </w:rPr>
        <w:t>The Borrower represents and warrants to the Administrative Agent and the Lenders that: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5.1</w:t>
      </w:r>
      <w:r>
        <w:rPr>
          <w:rFonts w:ascii="Times New Roman;sans-serif" w:hAnsi="Times New Roman;sans-serif"/>
          <w:b w:val="false"/>
          <w:color w:val="000000"/>
          <w:sz w:val="22"/>
          <w:u w:val="single"/>
        </w:rPr>
        <w:t>Existence, Qualification and Power; Compliance with Laws</w:t>
      </w:r>
      <w:r>
        <w:rPr>
          <w:rFonts w:ascii="Times New Roman;sans-serif" w:hAnsi="Times New Roman;sans-serif"/>
          <w:b w:val="false"/>
          <w:color w:val="000000"/>
          <w:sz w:val="22"/>
        </w:rPr>
        <w:t xml:space="preserve">. Each Loan Party and each of its Subsidiaries (a) is duly incorporated, organized or formed, and validly existing and, where applicable, in good standing under the laws of the jurisdiction of its incorporation or organization, (b) has all requisite power and authority to (i) own or lease its assets and carry on its business as now conducted and (ii) execute, deliver and perform its obligations under the Loan Documents to which it is a party, (c) is duly qualified and, where applicable, in good standing under the laws of each jurisdiction where its ownership, lease or operation of properties or the conduct of its business requires such qualification, and (d) has all requisite governmental licenses, authorizations, consents and approvals to operate its business as currently conducted, except, in each case referred to in clause (c) or (d), to the extent that failure to do so could not, individually or in the aggregate, reasonably be expected to result in a Material Adverse Effect. The Borrower and its Subsidiaries are in compliance with all laws, rules, regulations and orders of any Governmental Authority applicable to it or its property and maintain all permits and licenses necessary to conduct their business, except where the failure to do so, individually or in the aggregate, could not reasonably be expected to result in a Material Adverse Effect. </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5.2</w:t>
      </w:r>
      <w:r>
        <w:rPr>
          <w:rFonts w:ascii="Times New Roman;sans-serif" w:hAnsi="Times New Roman;sans-serif"/>
          <w:b w:val="false"/>
          <w:color w:val="000000"/>
          <w:sz w:val="22"/>
          <w:u w:val="single"/>
        </w:rPr>
        <w:t>Authorization; No Contravention</w:t>
      </w:r>
      <w:r>
        <w:rPr>
          <w:rFonts w:ascii="Times New Roman;sans-serif" w:hAnsi="Times New Roman;sans-serif"/>
          <w:b w:val="false"/>
          <w:color w:val="000000"/>
          <w:sz w:val="22"/>
        </w:rPr>
        <w:t>. The execution, delivery and performance by each Loan Party of each Loan Document to which such Loan Party is a party, and the consummation of the Transactions, are within such Loan Party’s corporate, limited liability company or other analogous powers, have been duly authorized by all necessary corporate, limited liability company or other analogous action, and do not and will not (a) contravene the terms of any of such Person’s Organizational Documents, (b) conflict with or result in any breach or contravention of, or the creation of any Lien under (other than Liens under the Loan Documents), or require any payment to be made under (i) any Contractual Obligation to which such Person is a party or affecting such Person or the properties of such Person or any of its Subsidiaries or (ii) any order, injunction, writ or decree of any Governmental Authority or any arbitral award to which such Person or its property is subject; or (c) violate any law, except, with respect to any conflict, breach or contravention or payment (but not creation of Liens) referred to in clause (b)(i), to the extent that such conflict, breach, contravention or payment could not, individually or in the aggregate, reasonably be expected to result in a Material Adverse Effect.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5.3</w:t>
      </w:r>
      <w:r>
        <w:rPr>
          <w:rFonts w:ascii="Times New Roman;sans-serif" w:hAnsi="Times New Roman;sans-serif"/>
          <w:b w:val="false"/>
          <w:color w:val="000000"/>
          <w:sz w:val="22"/>
          <w:u w:val="single"/>
        </w:rPr>
        <w:t>Governmental Authorization; Other Consents</w:t>
      </w:r>
      <w:r>
        <w:rPr>
          <w:rFonts w:ascii="Times New Roman;sans-serif" w:hAnsi="Times New Roman;sans-serif"/>
          <w:b w:val="false"/>
          <w:color w:val="000000"/>
          <w:sz w:val="22"/>
        </w:rPr>
        <w:t xml:space="preserve">. No approval, consent, exemption, authorization, or other action by, or notice to, or filing with, any Governmental Authority is necessary or </w:t>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8"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73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73</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required to be obtained by any Loan Party in connection with (a) the execution, delivery or performance by, or enforcement against, any Loan Party of any Loan Document to which it is a party, or for the consummation of the Transactions, (b) the grant by any Loan Party of the Liens granted by it pursuant to the Collateral Documents, (c) the perfection or maintenance of the Liens created under the Collateral Documents (including the priority thereof) or (d) the exercise by the Administrative Agent or any Lender of its rights under the Loan Documents or the remedies in respect of the Collateral pursuant to the Loan Documents, except for (i) notices, agreements, filings and recordings necessary to satisfy the Collateral and Guarantee Requirement and (ii) the approvals, consents, exemptions, authorizations, actions, notices and filings which have been duly obtained, taken, given or made and are in full force and effect.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5.4</w:t>
      </w:r>
      <w:r>
        <w:rPr>
          <w:rFonts w:ascii="Times New Roman;sans-serif" w:hAnsi="Times New Roman;sans-serif"/>
          <w:b w:val="false"/>
          <w:color w:val="000000"/>
          <w:sz w:val="22"/>
          <w:u w:val="single"/>
        </w:rPr>
        <w:t>Binding Effect</w:t>
      </w:r>
      <w:r>
        <w:rPr>
          <w:rFonts w:ascii="Times New Roman;sans-serif" w:hAnsi="Times New Roman;sans-serif"/>
          <w:b w:val="false"/>
          <w:color w:val="000000"/>
          <w:sz w:val="22"/>
        </w:rPr>
        <w:t>. Each Loan Document has been duly executed and delivered by each Loan Party that is party thereto and constitutes a legal, valid and binding obligation of each such Loan Party, enforceable in accordance with its terms, subject to applicable bankruptcy, insolvency, reorganization, moratorium or other similar laws affecting creditors’ rights generally and subject to general principles of equity, regardless of whether considered in a proceeding in equity or at law.</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5.5</w:t>
      </w:r>
      <w:r>
        <w:rPr>
          <w:rFonts w:ascii="Times New Roman;sans-serif" w:hAnsi="Times New Roman;sans-serif"/>
          <w:b w:val="false"/>
          <w:color w:val="000000"/>
          <w:sz w:val="22"/>
          <w:u w:val="single"/>
        </w:rPr>
        <w:t>Financial Statements; No Material Adverse Effect</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The Audited Financial Statements and Unaudited Financial Statements: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(i)fairly present in all material respects the financial condition of the Borrower</w:t>
      </w:r>
      <w:r>
        <w:rPr>
          <w:color w:val="000000"/>
        </w:rPr>
        <w:t xml:space="preserve"> </w:t>
      </w:r>
      <w:r>
        <w:rPr>
          <w:rFonts w:ascii="Times New Roman;sans-serif" w:hAnsi="Times New Roman;sans-serif"/>
          <w:b w:val="false"/>
          <w:color w:val="000000"/>
          <w:sz w:val="22"/>
        </w:rPr>
        <w:t>and its consolidated Subsidiaries, as applicable, as of the dates thereof and their results of operations for the period covered thereby in accordance with GAAP consistently applied throughout the periods covered thereby, subject, in the case of the Unaudited Financial Statements, to normal year-end audit adjustments and the absence of footnotes; and</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(ii)show all material Indebtedness and other liabilities, direct or contingent, of the Borrower and its Subsidiaries, as applicable, as of the date thereof, including liabilities for Taxes, material commitments and contingent obligations.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Since December 31, 2023, there has been no event or circumstance, either individually or in the aggregate, that has had or would reasonably be expected to result in a Material Adverse Effect.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5.6</w:t>
      </w:r>
      <w:r>
        <w:rPr>
          <w:rFonts w:ascii="Times New Roman;sans-serif" w:hAnsi="Times New Roman;sans-serif"/>
          <w:b w:val="false"/>
          <w:color w:val="000000"/>
          <w:sz w:val="22"/>
          <w:u w:val="single"/>
        </w:rPr>
        <w:t>Litigation</w:t>
      </w:r>
      <w:r>
        <w:rPr>
          <w:rFonts w:ascii="Times New Roman;sans-serif" w:hAnsi="Times New Roman;sans-serif"/>
          <w:b w:val="false"/>
          <w:color w:val="000000"/>
          <w:sz w:val="22"/>
        </w:rPr>
        <w:t xml:space="preserve">. There are no actions, suits or proceedings by or before any arbitrator or Governmental Authority pending against any Loan Party or any of its Subsidiaries or, to the knowledge of the Borrower, threatened in writing against or affecting the Loan Parties or any of their Subsidiaries (a) that would reasonably be expected, individually or in the aggregate, to result in a Material Adverse Effect or (b) that involve or affect, or that purport to or could reasonably be expected to involve or affect, any Loan Document or the Transactions. </w:t>
      </w:r>
    </w:p>
    <w:p>
      <w:pPr>
        <w:pStyle w:val="TextBody"/>
        <w:bidi w:val="0"/>
        <w:spacing w:before="0" w:after="120"/>
        <w:jc w:val="left"/>
        <w:rPr/>
      </w:pPr>
      <w:r>
        <w:rPr/>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5.7</w:t>
      </w:r>
      <w:r>
        <w:rPr>
          <w:rFonts w:ascii="Times New Roman;sans-serif" w:hAnsi="Times New Roman;sans-serif"/>
          <w:b w:val="false"/>
          <w:color w:val="000000"/>
          <w:sz w:val="22"/>
          <w:u w:val="single"/>
        </w:rPr>
        <w:t>Environmental Matters</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Except as could not reasonably be expected, individually or in the aggregate, to result in a Material Adverse Effect:</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(i)each Loan Party and its Subsidiaries possess all Environmental Permits required under applicable Environmental Law to conduct their respective businesses and are, and </w:t>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9"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74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74</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within applicable statutes of limitation, have been, in compliance with the terms of such Environmental Permits. No Loan Party or any of its Subsidiaries has received written notice that any Environmental Permits possessed by any of them will be revoked, suspended or will not be renewed;</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(ii)the execution and delivery of this Credit Agreement and the consummation by the Loan Parties of the Transactions does not require any notification, registration, reporting, filing, investigation, or environmental response action under any Environmental Law;</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(iii)each of the Loan Parties and their Subsidiaries are currently, and within applicable statutes of limitation, have been, in compliance with all applicable Environmental Law;</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(iv)no Loan Party nor any of its Subsidiaries has received (A) notice of any pending or threatened civil, criminal or administrative action, suit, demand, claim, hearing, notice of violation, investigation, notice or demand letter or request for information under any Environmental Law, or (B) notice of actual or potential liability under any Environmental Law including any Environmental Liability that such Loan Party or Subsidiary may have retained or assumed either contractually or by operation of law or of any Environmental Claim, in either case with respect to clause (A) or (B) that reasonably could be expected to result in material expenditure by such Loan Party or Subsidiary. No Loan Party or any of its Subsidiaries has knowledge of any circumstances that reasonably could be expected to result in an Environmental Liability;</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(v)as of the Closing Date: (A) no property or facility currently, or to the knowledge of each Loan Party, formerly owned, operated or leased by any Loan Party or any of its current or former Subsidiaries or by any respective predecessor in interest, and (B) no property at which Hazardous Materials generated, owned or controlled by any Loan Party, any of its present or former Subsidiaries or any predecessor in interest have been stored, treated or disposed of, have been identified by a Governmental Authority as recommended for or requiring or potentially requiring environmental assessment and/or response actions under Environmental Law;</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(vi)(A) there has been no disposal, spill, discharge or Release of any Hazardous Material generated, used, owned, stored or controlled by any Loan Party, any of its Subsidiaries or any predecessor in interest, on, at or under any property currently or formerly owned, leased or operated by any Loan Party, any of its current or former Subsidiaries or any predecessor in interest, (B) there are no Hazardous Materials located in, at, on or under such facility or property, or at any other location, in either case (A) or (B), that reasonably could be expected to require investigation, removal, remedial or corrective measures by any Loan Party or any of its Subsidiaries or that reasonably could result in liabilities of, or losses, damages or costs to, any Loan Party or any of its Subsidiaries under any Environmental Law, and (C) neither the Loan Parties nor any of their Subsidiaries has retained or assumed any liability contractually or by operation of law with regard to the generation, treatment, storage or disposal of Hazardous Materials or compliance with Environmental Law that could reasonably be expected to result in material expenditures by any Loan Party or any of its Subsidiaries;</w:t>
      </w: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30"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75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75</w:t>
                      </w:r>
                    </w:p>
                  </w:txbxContent>
                </v:textbox>
                <w10:wrap type="none"/>
              </v:rect>
            </w:pict>
          </mc:Fallback>
        </mc:AlternateConten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(vii)(A) there has not been any underground or aboveground storage tank or other underground storage receptacle or related piping, or any impoundment or other disposal area in each case containing Hazardous Materials located on any facility or property currently or formerly owned, leased or operated by any Loan Party or any of its Subsidiaries, and (B) no asbestos or polychlorinated biphenyls have been used or disposed of, or have been located at, on or under any facility or property currently or formerly owned, leased or operated by any Loan Party or any of its Subsidiaries, in either case (A) or (B) except in compliance with applicable Environmental Laws or as would not result in Environmental Liability; and</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(viii)no Lien has been recorded against any properties, assets or facilities currently owned, leased or operated by any Loan Party or any of its Subsidiaries under any Environmental Law.</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The Loan Parties and their Subsidiaries have provided to the Administrative Agent and its authorized representatives all material records and files, including all material assessments, reports, studies, analyses, audits, tests and data in their possession or under their control concerning any Environmental Claim, the existence of Hazardous Materials or any other environmental concern at properties, assets or facilities currently or formerly owned, operated or leased by any Loan Party or any of their present or former Subsidiaries or predecessor in interest, or concerning compliance by any Loan Party or any such Subsidiary with, or liability under any Environmental Law.</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5.8</w:t>
      </w:r>
      <w:r>
        <w:rPr>
          <w:rFonts w:ascii="Times New Roman;sans-serif" w:hAnsi="Times New Roman;sans-serif"/>
          <w:b w:val="false"/>
          <w:color w:val="000000"/>
          <w:sz w:val="22"/>
          <w:u w:val="single"/>
        </w:rPr>
        <w:t>Ownership of Properties; Liens</w:t>
      </w:r>
      <w:r>
        <w:rPr>
          <w:rFonts w:ascii="Times New Roman;sans-serif" w:hAnsi="Times New Roman;sans-serif"/>
          <w:b w:val="false"/>
          <w:color w:val="000000"/>
          <w:sz w:val="22"/>
        </w:rPr>
        <w:t xml:space="preserve">. Each Loan Party and its Subsidiaries (a) has good title to, or valid leasehold interests in, all its real and personal property material to its business, except for minor defects in title that do not interfere with its ability to conduct its business as currently conducted or to utilize such properties for their intended purposes, (b) to its knowledge, owns, or is entitled to use, all trademarks, service marks, trade names, domain names, copyrights, patents, patent rights, technology, software, know-how database rights, design rights and other intellectual property rights material to its business, and the use thereof by the Loan Parties and their respective Subsidiaries does not infringe upon the rights of any other Person, except for any such infringements that, individually or in the aggregate, could not reasonably be expected to result in a Material Adverse Effect, (c) has complied in all material respects with all obligations under all material leases to which it is a party and all such leases are in full force and effect and (d) enjoys peaceful and undisturbed possession under all such material leases. The conduct of the business of the Borrower and its Subsidiaries as currently conducted or as contemplated to be conducted does not, to its and their knowledge, infringe upon or violate any rights held by any other Person, except to the extent that such infringements and violations, either individually or in the aggregate, could not reasonably be expected to have a Material Adverse Effect. No claim or litigation regarding any of the foregoing is pending or, to the knowledge of the Borrower, threatened that could reasonably be expected to have a Material Adverse Effect. </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5.9</w:t>
      </w:r>
      <w:r>
        <w:rPr>
          <w:rFonts w:ascii="Times New Roman;sans-serif" w:hAnsi="Times New Roman;sans-serif"/>
          <w:b w:val="false"/>
          <w:color w:val="000000"/>
          <w:sz w:val="22"/>
          <w:u w:val="single"/>
        </w:rPr>
        <w:t>Casualty, Etc</w:t>
      </w:r>
      <w:r>
        <w:rPr>
          <w:rFonts w:ascii="Times New Roman;sans-serif" w:hAnsi="Times New Roman;sans-serif"/>
          <w:b w:val="false"/>
          <w:color w:val="000000"/>
          <w:sz w:val="22"/>
        </w:rPr>
        <w:t>. Neither the businesses nor the properties of any Loan Party or any of its Subsidiaries are affected by any fire, explosion, accident, strike, lockout or other labor dispute, drought, storm, hail, earthquake, embargo, act of God or of the public enemy or other casualty (whether or not covered by insurance) that, either individually or in the aggregate, would reasonably be expected to result in a Material Adverse Effect.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5.10</w:t>
      </w:r>
      <w:r>
        <w:rPr>
          <w:rFonts w:ascii="Times New Roman;sans-serif" w:hAnsi="Times New Roman;sans-serif"/>
          <w:b w:val="false"/>
          <w:color w:val="000000"/>
          <w:sz w:val="22"/>
          <w:u w:val="single"/>
        </w:rPr>
        <w:t>Investment Company Status, Etc</w:t>
      </w:r>
      <w:r>
        <w:rPr>
          <w:rFonts w:ascii="Times New Roman;sans-serif" w:hAnsi="Times New Roman;sans-serif"/>
          <w:b w:val="false"/>
          <w:color w:val="000000"/>
          <w:sz w:val="22"/>
        </w:rPr>
        <w:t>. No Loan Party or any of its Subsidiaries is (a) an “investment company” as defined in, or subject to regulation under, the Investment Company Act of 1940 or (b) otherwise subject to any other regulatory scheme limiting its ability to incur debt.</w:t>
      </w: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1"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76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76</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5.11</w:t>
      </w:r>
      <w:r>
        <w:rPr>
          <w:rFonts w:ascii="Times New Roman;sans-serif" w:hAnsi="Times New Roman;sans-serif"/>
          <w:b w:val="false"/>
          <w:color w:val="000000"/>
          <w:sz w:val="22"/>
          <w:u w:val="single"/>
        </w:rPr>
        <w:t>Taxes</w:t>
      </w:r>
      <w:r>
        <w:rPr>
          <w:rFonts w:ascii="Times New Roman;sans-serif" w:hAnsi="Times New Roman;sans-serif"/>
          <w:b w:val="false"/>
          <w:color w:val="000000"/>
          <w:sz w:val="22"/>
        </w:rPr>
        <w:t>. Each of the Loan Parties and each of its Subsidiaries has timely filed or caused to be filed all federal, provincial, state, municipal, foreign and other Tax returns and reports required to have been filed, and have timely paid all federal, provincial, state, municipal, foreign and other Taxes levied or imposed upon them or their properties, income or assets otherwise that have become due and payable, in each case, including in its capacity as a withholding agent, except failures to file or pay as could not, either individually or in the aggregate, reasonably be expected to result in a Material Adverse Effect. There are no Tax audits, deficiencies, assessments or other claims with respect to any Loan Party or any of its Subsidiaries, that could, either individually or in the aggregate, reasonably be expected to result in a Material Adverse Effect.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5.12</w:t>
      </w:r>
      <w:r>
        <w:rPr>
          <w:rFonts w:ascii="Times New Roman;sans-serif" w:hAnsi="Times New Roman;sans-serif"/>
          <w:b w:val="false"/>
          <w:color w:val="000000"/>
          <w:sz w:val="22"/>
          <w:u w:val="single"/>
        </w:rPr>
        <w:t>ERISA</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Each Loan Party and each of its ERISA Affiliates is in compliance in all material respects with the applicable provisions of ERISA and the Code and the regulations and published interpretations thereunder. No ERISA Event has occurred or is reasonably expected to occur that, when taken together with all other such ERISA Events for which liability is reasonably expected to occur, would reasonably be expected to result in a Material Adverse Effect. No event described in Section 4062(e) of ERISA has occurred and is continuing with respect to any Pension Plan. The present value of all accumulated benefit obligations under each Pension Plan (based on the assumptions used for purposes of Accounting Standards Codification No. 715) did not, as of the date of the most recent financial statements reflecting such amounts, exceed the fair market value of the assets of such Pension Plan and the present value of all accumulated benefit obligations of all underfunded Pension Plans (based on the assumptions used for purposes of Accounting Standards Codification No. 715) did not, as of the date of the most recent financial statements reflecting such amounts, exceed the fair market value of the assets of all such underfunded Pension Plans.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Each employee pension benefit plan (as defined in Section 3(2) of ERISA) sponsored or maintained by any Loan Party or any ERISA Affiliate that is intended to qualify under Section 401(a) of the Code has received a favorable determination letter from the IRS or an application for such a letter is currently being processed by the IRS with respect thereto and, to the knowledge of the Loan Parties, nothing has occurred which would prevent, or cause the loss of, such qualification. Each Loan Party and ERISA Affiliate has made all required contributions to each Pension Plan subject to Section 412 of the Code, and no application for a funding waiver pursuant to Section 412 of the Code has been made with respect to any Pension Plan.</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There are no pending or, to the knowledge of the Loan Parties, threatened claims, actions, or lawsuits, or action by any Governmental Authority, with respect to any Pension Plan that would reasonably be expected to result in a Material Adverse Effect. There has been no violation of the fiduciary responsibility rules of ERISA with respect to any Pension Plan that has resulted in or would reasonably be expected to result in a Material Adverse Effect.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No Loan Party or ERISA Affiliate (i) has incurred, or reasonably expects to incur, any liability under Title IV of ERISA with respect to any Pension Plan (other than premiums due and not delinquent under Section 4007 of ERISA), (ii) has incurred, or reasonably expects to incur, any liability (and no event has occurred which, with the giving of notice under Section 4219 of ERISA, would result in such liability) under Section 4201 of ERISA with respect to a Multiemployer Plan, or (iii) has engaged in a transaction that could be subject to Section 4069 or Section 4212(c) of ERISA.</w:t>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2"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77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77</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rPr>
        <w:t>No such Pension Plan or trust created thereunder, or party in interest (as defined in Section 3(14) of ERISA), or any fiduciary (as defined in Section 3(21) of ERISA), has engaged in a “prohibited transaction” (as such term is defined in Section 406 of ERISA or Section 4975 of the Code) which would subject such Pension Plan or any other plan of any Loan Party or any of its ERISA Affiliates, any trust created thereunder, or any such party in interest or fiduciary, or any party dealing with any such Pension Plan or any such trust, to any material penalty or tax on “prohibited transactions” imposed by Section 502 of ERISA or Section 4975 of the Code.</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rPr>
        <w:t>With respect to any Foreign Plan, (i) all employer and employee contributions required by law or by the terms of the Foreign Plan have been made, or, if applicable, accrued, in accordance with normal accounting practices; (ii) the fair market value of the assets of each funded Foreign Plan, the liability of each insurer for any Foreign Plan funded through insurance, or the book reserve established for any Foreign Plan, together with any accrued contributions, is sufficient to procure or provide for the accrued benefit obligations with respect to all current and former participants in such Foreign Plan according to the actuarial assumptions and valuations most recently used to account for such obligations in accordance with applicable generally accepted accounting principles; and (iii) it has been registered as required and has been maintained in good standing with applicable regulatory authorities.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5.13</w:t>
      </w:r>
      <w:r>
        <w:rPr>
          <w:rFonts w:ascii="Times New Roman;sans-serif" w:hAnsi="Times New Roman;sans-serif"/>
          <w:b w:val="false"/>
          <w:color w:val="000000"/>
          <w:sz w:val="22"/>
          <w:u w:val="single"/>
        </w:rPr>
        <w:t>Subsidiaries; Equity Interests</w:t>
      </w:r>
      <w:r>
        <w:rPr>
          <w:rFonts w:ascii="Times New Roman;sans-serif" w:hAnsi="Times New Roman;sans-serif"/>
          <w:b w:val="false"/>
          <w:color w:val="000000"/>
          <w:sz w:val="22"/>
        </w:rPr>
        <w:t xml:space="preserve">. As of the Closing Date, no Loan Party has any direct or indirect Subsidiaries or investments (other than Cash Equivalents) in, or joint ventures or partnerships with, any Person, except as disclosed in </w:t>
      </w:r>
      <w:r>
        <w:rPr>
          <w:rFonts w:ascii="Times New Roman;sans-serif" w:hAnsi="Times New Roman;sans-serif"/>
          <w:b w:val="false"/>
          <w:color w:val="000000"/>
          <w:sz w:val="22"/>
          <w:u w:val="single"/>
        </w:rPr>
        <w:t>Schedule 5.13</w:t>
      </w:r>
      <w:r>
        <w:rPr>
          <w:rFonts w:ascii="Times New Roman;sans-serif" w:hAnsi="Times New Roman;sans-serif"/>
          <w:b w:val="false"/>
          <w:color w:val="000000"/>
          <w:sz w:val="22"/>
        </w:rPr>
        <w:t>. Such Schedule sets forth (a) the name and jurisdiction of organization or incorporation of each Subsidiary and identifies each Subsidiary that is an Excluded Subsidiary and/or Subsidiary Guarantor on the Closing Date, (b) the ownership interest of each Loan Party and its respective Subsidiaries in each of their respective subsidiaries, including the percentage of such ownership and (c) identifies each Person the Equity Interests of which are required to be pledged on the Closing Date pursuant to the Collateral and Guarantee Requirement. Neither any Loan Party nor any of its Subsidiaries has issued any Disqualified Equity Interests and there are no outstanding options or warrants to purchase Equity Interests of any Loan Party or any of its Subsidiaries of any class or kind, and there are no agreements, voting trusts or understandings with respect thereto or affecting in any manner the sale, pledge, assignment or other disposition thereof, including any right of first refusal, option, redemption, call or other rights with respect thereto, whether similar or dissimilar to any of the foregoing. All of the issued and outstanding Equity Interests owned by any Loan Party in its Subsidiaries have been duly authorized and issued and are fully paid and non-assessable and are free and clear of all Liens other than Liens in favor of the Administrative Agent under the Collateral Documents.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5.14</w:t>
      </w:r>
      <w:r>
        <w:rPr>
          <w:rFonts w:ascii="Times New Roman;sans-serif" w:hAnsi="Times New Roman;sans-serif"/>
          <w:b w:val="false"/>
          <w:color w:val="000000"/>
          <w:sz w:val="22"/>
          <w:u w:val="single"/>
        </w:rPr>
        <w:t>Insurance</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Schedule 5.14</w:t>
      </w:r>
      <w:r>
        <w:rPr>
          <w:color w:val="000000"/>
        </w:rPr>
        <w:t xml:space="preserve"> </w:t>
      </w:r>
      <w:r>
        <w:rPr>
          <w:rFonts w:ascii="Times New Roman;sans-serif" w:hAnsi="Times New Roman;sans-serif"/>
          <w:b w:val="false"/>
          <w:color w:val="000000"/>
          <w:sz w:val="22"/>
        </w:rPr>
        <w:t>sets forth a description of all insurance maintained by or on behalf of the Loan Parties and their Subsidiaries on the Closing Date (including names of carriers, policy number, expiration dates, insurance types and coverage amounts). As of the Closing Date, all premiums in respect of such insurance that are due and payable have been paid.</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5.15</w:t>
      </w:r>
      <w:r>
        <w:rPr>
          <w:rFonts w:ascii="Times New Roman;sans-serif" w:hAnsi="Times New Roman;sans-serif"/>
          <w:b w:val="false"/>
          <w:color w:val="000000"/>
          <w:sz w:val="22"/>
          <w:u w:val="single"/>
        </w:rPr>
        <w:t>Federal Reserve Regulations, Etc</w:t>
      </w:r>
      <w:r>
        <w:rPr>
          <w:rFonts w:ascii="Times New Roman;sans-serif" w:hAnsi="Times New Roman;sans-serif"/>
          <w:b w:val="false"/>
          <w:color w:val="000000"/>
          <w:sz w:val="22"/>
        </w:rPr>
        <w:t xml:space="preserve">. Neither any Loan Party nor any of its Subsidiaries is engaged principally, or as one of their important activities, in the business of extending credit for the purpose of buying or carrying Margin Stock. Immediately before and after giving effect to the making of the Loans, Margin Stock will constitute less than 25% of each Loan Party’s assets as determined in accordance with Regulation U. No part of the proceeds of any Loan will be used, whether directly or indirectly, and whether immediately, incidentally or ultimately, (a) to purchase, acquire or carry any Margin Stock or for any purpose that entails a violation of, or that is inconsistent with, the </w:t>
      </w: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3"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78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78</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provisions of the regulations of the Board, including Regulation T, U or X or (b) for any purpose that would violate any Anti-Corruption Laws or applicable Sanctions.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5.16</w:t>
      </w:r>
      <w:r>
        <w:rPr>
          <w:rFonts w:ascii="Times New Roman;sans-serif" w:hAnsi="Times New Roman;sans-serif"/>
          <w:b w:val="false"/>
          <w:color w:val="000000"/>
          <w:sz w:val="22"/>
          <w:u w:val="single"/>
        </w:rPr>
        <w:t>Collateral Documents</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720"/>
        <w:jc w:val="both"/>
        <w:rPr/>
      </w:pPr>
      <w:r>
        <w:rPr>
          <w:color w:val="000000"/>
        </w:rPr>
        <w:t>    </w:t>
      </w:r>
      <w:r>
        <w:rPr>
          <w:rFonts w:ascii="Times New Roman;sans-serif" w:hAnsi="Times New Roman;sans-serif"/>
          <w:b w:val="false"/>
          <w:color w:val="000000"/>
          <w:sz w:val="22"/>
        </w:rPr>
        <w:t xml:space="preserve">(a) The Security Agreement, upon execution and delivery thereof by the parties thereto, will create in favor of the Administrative Agent, for the ratable benefit of the Secured Parties, a legal, valid and enforceable security interest in the Collateral (as defined in the Security Agreement) and the proceeds thereof and (i) when the Pledged Equity Interests (other than uncertificated Equity Interests) and the Pledged Debt Securities (as each such term is defined in the Security Agreement) are delivered to the Administrative Agent together with the proper endorsements, the Lien created under Security Agreement shall constitute a fully perfected first priority Lien on, and security interest in, all right, title and interest of the Loan Parties in such Pledged Equity Interests and Pledged Debt Securities to the extent that the laws of the United States or any state, commonwealth or other political subdivision thereof govern the creation and perfection of any such security interest, in each case prior and superior in right to any other Lien or right of any other Person and (ii) when financing statements in appropriate form are filed in the offices specified on </w:t>
      </w:r>
      <w:r>
        <w:rPr>
          <w:rFonts w:ascii="Times New Roman;sans-serif" w:hAnsi="Times New Roman;sans-serif"/>
          <w:b w:val="false"/>
          <w:color w:val="000000"/>
          <w:sz w:val="22"/>
          <w:u w:val="single"/>
        </w:rPr>
        <w:t>Schedule 5.16(a)</w:t>
      </w:r>
      <w:r>
        <w:rPr>
          <w:color w:val="000000"/>
        </w:rPr>
        <w:t xml:space="preserve"> </w:t>
      </w:r>
      <w:r>
        <w:rPr>
          <w:rFonts w:ascii="Times New Roman;sans-serif" w:hAnsi="Times New Roman;sans-serif"/>
          <w:b w:val="false"/>
          <w:color w:val="000000"/>
          <w:sz w:val="22"/>
        </w:rPr>
        <w:t xml:space="preserve">and, with respect to Collateral consisting of Intellectual Property, when the Security Agreement (or Copyright Security Agreements, Patent Security Agreements and/or Trademark Security Agreements, as applicable) are filed with the United States Patent and Trademark Office or the United States Copyright Office, as applicable, and in each case, all applicable filing fees have been paid, the Lien created under the Security Agreement will constitute a fully perfected Lien on, and security interest in, all right, title and interest of the Loan Parties in the Collateral to the extent such security interest may be perfected by the filing of a UCC financing statement and, with respect to Intellectual Property, the filing of such Copyright Security Agreements, Patent Security Agreements and/or Trademark Security Agreements with the United States Patent and Trademark Office or the United States Copyright Office, as applicable, in each case prior and superior in right to any other Lien or right of any other Person, other than Liens expressly permitted by </w:t>
      </w:r>
      <w:r>
        <w:rPr>
          <w:rFonts w:ascii="Times New Roman;sans-serif" w:hAnsi="Times New Roman;sans-serif"/>
          <w:b w:val="false"/>
          <w:color w:val="000000"/>
          <w:sz w:val="22"/>
          <w:u w:val="single"/>
        </w:rPr>
        <w:t>Section 7.2</w:t>
      </w:r>
      <w:r>
        <w:rPr>
          <w:color w:val="000000"/>
        </w:rPr>
        <w:t xml:space="preserve"> </w:t>
      </w:r>
      <w:r>
        <w:rPr>
          <w:rFonts w:ascii="Times New Roman;sans-serif" w:hAnsi="Times New Roman;sans-serif"/>
          <w:b w:val="false"/>
          <w:color w:val="000000"/>
          <w:sz w:val="22"/>
        </w:rPr>
        <w:t>which by operation of law or contract have priority over the Liens securing the Secured Obligations (it being understood that subsequent recordings of newly acquired Intellectual Property in the United States Patent and Trademark Office or the United States Copyright Office, as applicable, may be required to perfect a Lien on such Intellectual Property).</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    The Mortgages, when executed and delivered, shall be effective to create in favor of the Administrative Agent (for the benefit of the Secured Parties), legal, valid and enforceable Liens on all of the Loan Parties’ rights, titles and interests in and to the Mortgaged Property thereunder and the proceeds thereof, and when such Mortgages are validly recorded in the proper real estate recording offices and all relevant mortgage taxes and recording charges are duly paid, the Administrative Agent (for the benefit of the Secured Parties) shall have valid Liens with record notice to third parties on, and security interests in, all rights, titles and interests of the Loan Parties in such Mortgaged Property and, to the extent applicable, subject to Section 9-315 of the Uniform Commercial Code, the proceeds thereof.</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5.17</w:t>
      </w:r>
      <w:r>
        <w:rPr>
          <w:rFonts w:ascii="Times New Roman;sans-serif" w:hAnsi="Times New Roman;sans-serif"/>
          <w:b w:val="false"/>
          <w:color w:val="000000"/>
          <w:sz w:val="22"/>
          <w:u w:val="single"/>
        </w:rPr>
        <w:t>Solvency</w:t>
      </w:r>
      <w:r>
        <w:rPr>
          <w:rFonts w:ascii="Times New Roman;sans-serif" w:hAnsi="Times New Roman;sans-serif"/>
          <w:b w:val="false"/>
          <w:color w:val="000000"/>
          <w:sz w:val="22"/>
        </w:rPr>
        <w:t>. Immediately before and after the consummation of each Transaction, each of the Loan Parties and its Subsidiaries, on a consolidated basis, are Solvent.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5.18</w:t>
      </w:r>
      <w:r>
        <w:rPr>
          <w:rFonts w:ascii="Times New Roman;sans-serif" w:hAnsi="Times New Roman;sans-serif"/>
          <w:b w:val="false"/>
          <w:color w:val="000000"/>
          <w:sz w:val="22"/>
          <w:u w:val="single"/>
        </w:rPr>
        <w:t>Anti-Corruption Laws; Sanctions; Anti-Terrorism Laws</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Each Loan Party, its Subsidiaries and their respective officers, employees, directors and agents are in compliance with Anti-Corruption Laws and applicable Sanctions. Neither any Loan Party, any of its Subsidiaries or any of their respective directors, officers or employees is a </w:t>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4"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79</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Sanctioned Person. Each Loan Party and each of its Subsidiaries has implemented and maintains in effect policies and procedures reasonably designed to ensure compliance by the Loan Party, its Subsidiaries and their respective directors, officers, employees and agents with Anti-Corruption Laws and all applicable Sanctions.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No Loan, use of the proceeds of any Loan or other transactions contemplated hereby will violate Anti-Corruption Laws or applicable Sanctions. No part of the proceeds of the Loans will be used, 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Anti-Corruption Laws.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Neither the making of the Loans hereunder nor the use of the proceeds thereof will violate the regulations passed under the USA PATRIOT Act or will violate the Trading with the Enemy Act, the International Emergency Economic Powers Act, or any regulations passed thereunder, including the foreign assets control regulations of the United States Treasury Department (31 C.F.R., Subtitle B, Chapter V) or any enabling legislation or executive order relating thereto or successor statute thereto (together with Sanctions, “</w:t>
      </w:r>
      <w:r>
        <w:rPr>
          <w:rFonts w:ascii="Times New Roman;sans-serif" w:hAnsi="Times New Roman;sans-serif"/>
          <w:b w:val="false"/>
          <w:color w:val="000000"/>
          <w:sz w:val="22"/>
          <w:u w:val="single"/>
        </w:rPr>
        <w:t>Anti-Terrorism Laws</w:t>
      </w:r>
      <w:r>
        <w:rPr>
          <w:color w:val="000000"/>
        </w:rPr>
        <w:t>”</w:t>
      </w:r>
      <w:r>
        <w:rPr>
          <w:rFonts w:ascii="Times New Roman;sans-serif" w:hAnsi="Times New Roman;sans-serif"/>
          <w:b w:val="false"/>
          <w:color w:val="000000"/>
          <w:sz w:val="22"/>
        </w:rPr>
        <w:t>). Each Loan Party and each of its Subsidiaries are in compliance with applicable Anti-Terrorism Laws.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5.19</w:t>
      </w:r>
      <w:r>
        <w:rPr>
          <w:rFonts w:ascii="Times New Roman;sans-serif" w:hAnsi="Times New Roman;sans-serif"/>
          <w:b w:val="false"/>
          <w:color w:val="000000"/>
          <w:sz w:val="22"/>
          <w:u w:val="single"/>
        </w:rPr>
        <w:t>Accuracy of Information, Etc</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Each Loan Party has disclosed to the Credit Parties all agreements, instruments and corporate or other restrictions to which it or any of its Subsidiaries is subject, and all other matters known to it, that, individually or in the aggregate, would reasonably be expected to result in a Material Adverse Effect. No reports, financial statements, certificates or other information furnished (whether in writing or orally) by or on behalf of any Loan Party to any Credit Party in connection with the transactions contemplated hereby and the negotiation of this Credit Agreement or delivered hereunder or under any other Loan Document (in each case as modified or supplemented by other information so furnished) contains any material misstatement of fact or omits to state any material fact necessary to make the statements therein, in the light of the circumstances under which they were made, not misleading;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with respect to projected financial information, the Loan Parties represent only that such information was prepared in good faith based upon assumptions believed to be reasonable at the time.</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As of the Closing Date, the information included in the Beneficial Ownership Certification is true and correct in all respects.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5.20</w:t>
      </w:r>
      <w:r>
        <w:rPr>
          <w:rFonts w:ascii="Times New Roman;sans-serif" w:hAnsi="Times New Roman;sans-serif"/>
          <w:b w:val="false"/>
          <w:color w:val="000000"/>
          <w:sz w:val="22"/>
          <w:u w:val="single"/>
        </w:rPr>
        <w:t>Labor Matters</w:t>
      </w:r>
      <w:r>
        <w:rPr>
          <w:rFonts w:ascii="Times New Roman;sans-serif" w:hAnsi="Times New Roman;sans-serif"/>
          <w:b w:val="false"/>
          <w:color w:val="000000"/>
          <w:sz w:val="22"/>
        </w:rPr>
        <w:t>. There are no strikes, lockouts or slowdowns against any Loan Party or any of its Subsidiaries pending or, to the knowledge of any Loan Party, threatened. The hours worked by and payments made to employees of the Loan Parties and their Subsidiaries have not been in violation in any material respect of the Fair Labor Standards Act or any other applicable Federal, state, local or foreign law dealing with such matters. All material payments due from the Loan Parties or any of their Subsidiaries, or for which any claim may be made against any of the Loan Parties or any of their Subsidiaries, on account of wages and employee health and welfare insurance and other benefits, have been paid or accrued as a liability on the books of such Loan Party or such Subsidiary. The consummation of the Transactions will not give rise to any right of termination or right of renegotiation on the part of any union under any collective bargaining agreement to which any of the Loan Parties or any of their Subsidiaries is bound.</w:t>
      </w: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5"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80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80</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5.21</w:t>
      </w:r>
      <w:r>
        <w:rPr>
          <w:rFonts w:ascii="Times New Roman;sans-serif" w:hAnsi="Times New Roman;sans-serif"/>
          <w:b w:val="false"/>
          <w:color w:val="000000"/>
          <w:sz w:val="22"/>
          <w:u w:val="single"/>
        </w:rPr>
        <w:t>Absence of Certain Restrictions</w:t>
      </w:r>
      <w:r>
        <w:rPr>
          <w:rFonts w:ascii="Times New Roman;sans-serif" w:hAnsi="Times New Roman;sans-serif"/>
          <w:b w:val="false"/>
          <w:color w:val="000000"/>
          <w:sz w:val="22"/>
        </w:rPr>
        <w:t>. No indenture, certificate of designation for preferred stock, agreement or instrument to which any Loan Party or any of its Subsidiaries is a party (other than this Credit Agreement), prohibits or limits in any way, directly or indirectly the ability of any Subsidiary to make Restricted Payments or loans to, to make any advance on behalf of, or to repay any Indebtedness owed to, any Loan Party or to another Subsidiary.</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5.22</w:t>
      </w:r>
      <w:r>
        <w:rPr>
          <w:rFonts w:ascii="Times New Roman;sans-serif" w:hAnsi="Times New Roman;sans-serif"/>
          <w:b w:val="false"/>
          <w:color w:val="000000"/>
          <w:sz w:val="22"/>
          <w:u w:val="single"/>
        </w:rPr>
        <w:t>No Default</w:t>
      </w:r>
      <w:r>
        <w:rPr>
          <w:rFonts w:ascii="Times New Roman;sans-serif" w:hAnsi="Times New Roman;sans-serif"/>
          <w:b w:val="false"/>
          <w:color w:val="000000"/>
          <w:sz w:val="22"/>
        </w:rPr>
        <w:t>. No Loan Party nor any of its Subsidiaries is in default in the performance, observance or fulfillment of any of the obligations, covenants or conditions contained in any agreement, instrument or other undertaking to which such Person is a party or by which it or any of its property is bound in any respect that would reasonably be expected to result in a Material Adverse Effect. No Default or Event of Default has occurred and is continuing.</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5.23</w:t>
      </w:r>
      <w:r>
        <w:rPr>
          <w:rFonts w:ascii="Times New Roman;sans-serif" w:hAnsi="Times New Roman;sans-serif"/>
          <w:b w:val="false"/>
          <w:color w:val="000000"/>
          <w:sz w:val="22"/>
          <w:u w:val="single"/>
        </w:rPr>
        <w:t>Common Enterprise</w:t>
      </w:r>
      <w:r>
        <w:rPr>
          <w:rFonts w:ascii="Times New Roman;sans-serif" w:hAnsi="Times New Roman;sans-serif"/>
          <w:b w:val="false"/>
          <w:color w:val="000000"/>
          <w:sz w:val="22"/>
        </w:rPr>
        <w:t>. The successful operation and condition of each of the Loan Parties is dependent on the continued successful performance of the functions of the group of the Loan Parties as a whole and the successful operation of each of the Loan Parties is dependent on the successful performance and operation of each other Loan Party. Each Loan Party expects to derive benefit (and its board of directors or other governing body has determined that it may reasonably be expected to derive benefit), directly and indirectly, from (a) successful operations of each of the other Loan Parties and (b) the credit extended by the Lenders to the Borrower hereunder, both in their separate capacities and as members of the group of companies. Each Loan Party has determined that execution, delivery, and performance of this Credit Agreement and any other Loan Documents to be executed by such Loan Party is within its purpose, will be of direct and indirect benefit to such Loan Party, and is in its best interest.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5.24</w:t>
      </w:r>
      <w:r>
        <w:rPr>
          <w:rFonts w:ascii="Times New Roman;sans-serif" w:hAnsi="Times New Roman;sans-serif"/>
          <w:b w:val="false"/>
          <w:color w:val="000000"/>
          <w:sz w:val="22"/>
          <w:u w:val="single"/>
        </w:rPr>
        <w:t>[Reserved]</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5.25</w:t>
      </w:r>
      <w:r>
        <w:rPr>
          <w:rFonts w:ascii="Times New Roman;sans-serif" w:hAnsi="Times New Roman;sans-serif"/>
          <w:b w:val="false"/>
          <w:color w:val="000000"/>
          <w:sz w:val="22"/>
          <w:u w:val="single"/>
        </w:rPr>
        <w:t>EEA Financial Institutions</w:t>
      </w:r>
      <w:r>
        <w:rPr>
          <w:rFonts w:ascii="Times New Roman;sans-serif" w:hAnsi="Times New Roman;sans-serif"/>
          <w:b w:val="false"/>
          <w:color w:val="000000"/>
          <w:sz w:val="22"/>
        </w:rPr>
        <w:t>. No Loan Party is an EEA Financial Institution.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5.26</w:t>
      </w:r>
      <w:r>
        <w:rPr>
          <w:rFonts w:ascii="Times New Roman;sans-serif" w:hAnsi="Times New Roman;sans-serif"/>
          <w:b w:val="false"/>
          <w:color w:val="000000"/>
          <w:sz w:val="22"/>
          <w:u w:val="single"/>
        </w:rPr>
        <w:t>[***] Contracts</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Schedule 5.26</w:t>
      </w:r>
      <w:r>
        <w:rPr>
          <w:color w:val="000000"/>
        </w:rPr>
        <w:t xml:space="preserve"> </w:t>
      </w:r>
      <w:r>
        <w:rPr>
          <w:rFonts w:ascii="Times New Roman;sans-serif" w:hAnsi="Times New Roman;sans-serif"/>
          <w:b w:val="false"/>
          <w:color w:val="000000"/>
          <w:sz w:val="22"/>
        </w:rPr>
        <w:t xml:space="preserve">contains a true, correct and complete list of all [***] Contracts in effect as of the Closing Date and correctly sets forth the scheduled termination date, if any, of each such [***] Contract. Each such [***] Contract is in full force and effect as of the Closing Date. Neither the Borrower nor any of its Subsidiaries is a party to or has knowledge of any investigation, notice of apparent liability, violation, forfeiture or other order or complaint issued by or before any Governmental Authority or of any other proceedings that could in any manner threaten or adversely affect the validity or continued effectiveness of any [***] Contract. As of the Closing Date, neither the Borrower nor any of its Subsidiaries has received notice from [***] that any of the [***] Contracts set forth on </w:t>
      </w:r>
      <w:r>
        <w:rPr>
          <w:rFonts w:ascii="Times New Roman;sans-serif" w:hAnsi="Times New Roman;sans-serif"/>
          <w:b w:val="false"/>
          <w:color w:val="000000"/>
          <w:sz w:val="22"/>
          <w:u w:val="single"/>
        </w:rPr>
        <w:t>Schedule 5.26</w:t>
      </w:r>
      <w:r>
        <w:rPr>
          <w:color w:val="000000"/>
        </w:rPr>
        <w:t xml:space="preserve"> </w:t>
      </w:r>
      <w:r>
        <w:rPr>
          <w:rFonts w:ascii="Times New Roman;sans-serif" w:hAnsi="Times New Roman;sans-serif"/>
          <w:b w:val="false"/>
          <w:color w:val="000000"/>
          <w:sz w:val="22"/>
        </w:rPr>
        <w:t>will not be renewed by [***] in the ordinary course following the expiration of their respective current terms.</w:t>
      </w:r>
    </w:p>
    <w:p>
      <w:pPr>
        <w:pStyle w:val="TextBody"/>
        <w:bidi w:val="0"/>
        <w:spacing w:lineRule="auto" w:line="288" w:before="0" w:after="240"/>
        <w:jc w:val="center"/>
        <w:rPr/>
      </w:pPr>
      <w:r>
        <w:rPr>
          <w:rFonts w:ascii="Times New Roman;sans-serif" w:hAnsi="Times New Roman;sans-serif"/>
          <w:b w:val="false"/>
          <w:color w:val="000000"/>
          <w:sz w:val="22"/>
        </w:rPr>
        <w:t>Article 6</w:t>
      </w:r>
      <w:r>
        <w:rPr>
          <w:rFonts w:ascii="Times New Roman;sans-serif" w:hAnsi="Times New Roman;sans-serif"/>
          <w:b w:val="false"/>
          <w:color w:val="000000"/>
          <w:sz w:val="22"/>
        </w:rPr>
        <w:br/>
        <w:br/>
        <w:t>AFFIRMATIVE COVENANTS</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Until the Termination Date, the Borrower covenants and agrees with the Credit Parties that: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6.1</w:t>
      </w:r>
      <w:r>
        <w:rPr>
          <w:rFonts w:ascii="Times New Roman;sans-serif" w:hAnsi="Times New Roman;sans-serif"/>
          <w:b w:val="false"/>
          <w:color w:val="000000"/>
          <w:sz w:val="22"/>
          <w:u w:val="single"/>
        </w:rPr>
        <w:t>Financial Statements and Other Information</w:t>
      </w:r>
      <w:r>
        <w:rPr>
          <w:rFonts w:ascii="Times New Roman;sans-serif" w:hAnsi="Times New Roman;sans-serif"/>
          <w:b w:val="false"/>
          <w:color w:val="000000"/>
          <w:sz w:val="22"/>
        </w:rPr>
        <w:t>. The Borrower will furnish or caused to be furnished to the Administrative Agent (for prompt further distribution to the Lenders) either in hard copy or by electronic communication (including by email, internet and intranet websites) pursuant to procedures approved by the Administrative Agent:</w:t>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6"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81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81</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within 90 days after the end of each Fiscal Year (or, if earlier, the date required to be filed with the Securities and Exchange Commission), the Borrower’s annual report on Form 10-K containing the audited consolidated balance sheet of the Borrower and its Subsidiaries together with the related statements of income, comprehensive income, stockholders’ equity and cash flows as of the end of and for such year, setting forth in each case in comparative form the figures for the previous Fiscal Year, all reported on by Ernst &amp; Young</w:t>
      </w:r>
      <w:r>
        <w:rPr>
          <w:color w:val="000000"/>
        </w:rPr>
        <w:t xml:space="preserve"> </w:t>
      </w:r>
      <w:r>
        <w:rPr>
          <w:rFonts w:ascii="Times New Roman;sans-serif" w:hAnsi="Times New Roman;sans-serif"/>
          <w:b w:val="false"/>
          <w:color w:val="000000"/>
          <w:sz w:val="22"/>
        </w:rPr>
        <w:t xml:space="preserve">LLP or another registered independent public accounting firm of recognized national standing (without a “going concern” or like qualification or exception and without any qualification or exception as to the scope of such audit other than a qualification resulting solely from (i) an upcoming maturity date for the Loans occurring within one year from the time such opinion is delivered or (ii) an anticipated breach of a Financial Covenant) to the effect that such consolidated financial statements present fairly in all material respects the financial condition and results of operations of the Borrower and its Subsidiaries on a consolidated basis in accordance with GAAP consistently applied;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delivery by the Borrower to the Administrative Agent of the Borrower’s annual report on Form 10-K to the Securities and Exchange Commission with respect to any Fiscal Year, or the availability of such report on EDGAR Online or the Borrower’s website on the Internet at the website address listed in </w:t>
      </w:r>
      <w:r>
        <w:rPr>
          <w:rFonts w:ascii="Times New Roman;sans-serif" w:hAnsi="Times New Roman;sans-serif"/>
          <w:b w:val="false"/>
          <w:color w:val="000000"/>
          <w:sz w:val="22"/>
          <w:u w:val="single"/>
        </w:rPr>
        <w:t>Section 10.1</w:t>
      </w:r>
      <w:r>
        <w:rPr>
          <w:color w:val="000000"/>
        </w:rPr>
        <w:t xml:space="preserve"> </w:t>
      </w:r>
      <w:r>
        <w:rPr>
          <w:rFonts w:ascii="Times New Roman;sans-serif" w:hAnsi="Times New Roman;sans-serif"/>
          <w:b w:val="false"/>
          <w:color w:val="000000"/>
          <w:sz w:val="22"/>
        </w:rPr>
        <w:t xml:space="preserve">(to the extent such report complies with the requirements of this clause (a)), within the period specified above shall be deemed to be compliance by the Borrower with this </w:t>
      </w:r>
      <w:r>
        <w:rPr>
          <w:rFonts w:ascii="Times New Roman;sans-serif" w:hAnsi="Times New Roman;sans-serif"/>
          <w:b w:val="false"/>
          <w:color w:val="000000"/>
          <w:sz w:val="22"/>
          <w:u w:val="single"/>
        </w:rPr>
        <w:t>Section 6.1(a)</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within 45 days after the end of each of the first three Fiscal Quarters of each Fiscal Year (or, if earlier, the date required to be filed with the Securities and Exchange Commission), the unaudited consolidated balance sheet of the Borrower and its Subsidiaries and the related unaudited statements of income, comprehensive income, stockholders’ equity and cash flows as of the end of and for such Fiscal Quarter and the then-elapsed portion of the Fiscal Year, setting forth in each case in comparative form the figures for the corresponding period or periods of (or, in the case of the balance sheet, as of the end of) the previous Fiscal Year, all certified by one of its Financial Officers as presenting fairly in all material respects the financial condition and results of operations of the Borrower and its Subsidiaries on a consolidated basis in accordance with GAAP consistently applied, subject to normal year-end audit adjustments and the absence of footnotes;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delivery by the Borrower to the Administrative Agent of the Borrower’s quarterly report on Form 10-Q to the Securities and Exchange Commission with respect to any Fiscal Quarter, or the availability of such report on EDGAR Online or the Borrower’s website on the Internet at the website address listed in </w:t>
      </w:r>
      <w:r>
        <w:rPr>
          <w:rFonts w:ascii="Times New Roman;sans-serif" w:hAnsi="Times New Roman;sans-serif"/>
          <w:b w:val="false"/>
          <w:color w:val="000000"/>
          <w:sz w:val="22"/>
          <w:u w:val="single"/>
        </w:rPr>
        <w:t>Section 10.1</w:t>
      </w:r>
      <w:r>
        <w:rPr>
          <w:color w:val="000000"/>
        </w:rPr>
        <w:t xml:space="preserve"> </w:t>
      </w:r>
      <w:r>
        <w:rPr>
          <w:rFonts w:ascii="Times New Roman;sans-serif" w:hAnsi="Times New Roman;sans-serif"/>
          <w:b w:val="false"/>
          <w:color w:val="000000"/>
          <w:sz w:val="22"/>
        </w:rPr>
        <w:t xml:space="preserve">(to the extent such report complies with the requirements of this clause (b)), within the period specified above shall be deemed to be compliance by the Borrower with this </w:t>
      </w:r>
      <w:r>
        <w:rPr>
          <w:rFonts w:ascii="Times New Roman;sans-serif" w:hAnsi="Times New Roman;sans-serif"/>
          <w:b w:val="false"/>
          <w:color w:val="000000"/>
          <w:sz w:val="22"/>
          <w:u w:val="single"/>
        </w:rPr>
        <w:t>Section 6.1(b)</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 xml:space="preserve">concurrently with any delivery of financial statements under clause (a) or (b) above, a Compliance Certificate signed by a Financial Officer of the Borrower (i) stating whether any change in GAAP or in the application thereof has occurred since the date of the Audited Financial Statements and, if any such change has occurred, specifying the effect of such change on the financial statements accompanying such Compliance Certificate, (ii) containing either a certification that no Default or Event of Default exists or specifying the nature of each such Default and/or Event of Default, the nature and status thereof and any action taken or proposed to be taken with respect thereto, (iii) certifying that there have been no changes to the jurisdiction of organization or legal name of any Loan Party since the date of the last Compliance Certificate delivered pursuant to this Credit Agreement (or, with respect to the first Compliance Certificate delivered after the Closing Date, since the Closing Date), (iv) attaching reasonably detailed calculations demonstrating compliance with </w:t>
      </w:r>
      <w:r>
        <w:rPr>
          <w:rFonts w:ascii="Times New Roman;sans-serif" w:hAnsi="Times New Roman;sans-serif"/>
          <w:b w:val="false"/>
          <w:color w:val="000000"/>
          <w:sz w:val="22"/>
          <w:u w:val="single"/>
        </w:rPr>
        <w:t>Section 7.12(a)</w:t>
      </w:r>
      <w:r>
        <w:rPr>
          <w:rFonts w:ascii="Times New Roman;sans-serif" w:hAnsi="Times New Roman;sans-serif"/>
          <w:b w:val="false"/>
          <w:color w:val="000000"/>
          <w:sz w:val="22"/>
        </w:rPr>
        <w:t xml:space="preserve">, (v) in the case of a Compliance Certificate delivered concurrently with any annual financial statements under clause (a) above (beginning with the Fiscal Year ending December 31, 2025), setting forth the Borrower’s calculation of Excess Cash Flow for the most recently ended Fiscal Year and (vi) certifying that the </w:t>
      </w: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7"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82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82</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Borrower has no Subsidiaries other than (A) those that existed on the Closing Date and were reflected in the Perfection Certificate delivered on such date, (B) those formed or acquired after the Closing Date with respect to which the Administrative Agent was previously notified either pursuant to </w:t>
      </w:r>
      <w:r>
        <w:rPr>
          <w:rFonts w:ascii="Times New Roman;sans-serif" w:hAnsi="Times New Roman;sans-serif"/>
          <w:b w:val="false"/>
          <w:color w:val="000000"/>
          <w:sz w:val="22"/>
          <w:u w:val="single"/>
        </w:rPr>
        <w:t>Section 6.12</w:t>
      </w:r>
      <w:r>
        <w:rPr>
          <w:color w:val="000000"/>
        </w:rPr>
        <w:t xml:space="preserve"> </w:t>
      </w:r>
      <w:r>
        <w:rPr>
          <w:rFonts w:ascii="Times New Roman;sans-serif" w:hAnsi="Times New Roman;sans-serif"/>
          <w:b w:val="false"/>
          <w:color w:val="000000"/>
          <w:sz w:val="22"/>
        </w:rPr>
        <w:t>of this Credit Agreement or in a previous Compliance Certificate, and (C) those other Subsidiaries set forth on the relevant Schedule to such Compliance Certificate, which Schedule sets forth for each such Subsidiary whether such Subsidiary is (w) a Domestic Subsidiary, (x) a Subsidiary Guarantor (including the basis for it not being a Subsidiary Guarantor, if applicable), (y) a first tier Foreign Subsidiary or (z) an Excluded Subsidiary (including the basis for its constituting an Excluded Subsidiary).</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Within five (5) Business Days after the last day of each four consecutive Calendar Week period (each such period, a “</w:t>
      </w:r>
      <w:r>
        <w:rPr>
          <w:rFonts w:ascii="Times New Roman;sans-serif" w:hAnsi="Times New Roman;sans-serif"/>
          <w:b w:val="false"/>
          <w:color w:val="000000"/>
          <w:sz w:val="22"/>
          <w:u w:val="single"/>
        </w:rPr>
        <w:t>Four Week Reporting Period</w:t>
      </w:r>
      <w:r>
        <w:rPr>
          <w:color w:val="000000"/>
        </w:rPr>
        <w:t>”</w:t>
      </w:r>
      <w:r>
        <w:rPr>
          <w:rFonts w:ascii="Times New Roman;sans-serif" w:hAnsi="Times New Roman;sans-serif"/>
          <w:b w:val="false"/>
          <w:color w:val="000000"/>
          <w:sz w:val="22"/>
        </w:rPr>
        <w:t xml:space="preserve">) (commencing with the Four Week Reporting Period ending July 26, 2024), a Liquidity Certificate signed by a Financial Officer of the Borrower (i) containing either a certification that no Default or Event of Default exists or specifying the nature of each such Default and/or Event of Default, the nature and status thereof and any action taken or proposed to be taken with respect thereto, (ii) setting forth a detailed calculation of the Weekly Liquidity for each Calendar Week during the immediately preceding Four Week Reporting Period then ended and Average Liquidity for such Four Week Reporting Period and (iii) certifying that the Borrower and its Subsidiaries were in compliance with the requirements of </w:t>
      </w:r>
      <w:r>
        <w:rPr>
          <w:rFonts w:ascii="Times New Roman;sans-serif" w:hAnsi="Times New Roman;sans-serif"/>
          <w:b w:val="false"/>
          <w:color w:val="000000"/>
          <w:sz w:val="22"/>
          <w:u w:val="single"/>
        </w:rPr>
        <w:t>Section 7.12(b)</w:t>
      </w:r>
      <w:r>
        <w:rPr>
          <w:color w:val="000000"/>
        </w:rPr>
        <w:t xml:space="preserve"> </w:t>
      </w:r>
      <w:r>
        <w:rPr>
          <w:rFonts w:ascii="Times New Roman;sans-serif" w:hAnsi="Times New Roman;sans-serif"/>
          <w:b w:val="false"/>
          <w:color w:val="000000"/>
          <w:sz w:val="22"/>
        </w:rPr>
        <w:t>for such Four Week Reporting Period.</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rPr>
        <w:t>(i) within [***] days after the beginning of each Fiscal Year (commencing with the Fiscal Year beginning January 1, 2025), an annual consolidated forecast for the Borrower and its Subsidiaries for such Fiscal Year, including projected consolidated statements of income and comprehensive income of the Borrower and its Subsidiaries, all in reasonable detail acceptable to the Administrative Agent; (ii) such other forecasts that the Borrower or any Subsidiary may prepare and deliver to the Borrower’s board of directors (and for the avoidance of doubt, only in the event such forecasts are approved by the Borrower’s board of directors), and any revisions approved by the Borrower’s board of directors that may be made to any forecast previously delivered to the Administrative Agent and the Lenders; and (iii) no later than [***] days after the end of each Fiscal Quarter in which there has been a material deviation from a forecast provided to the Administrative Agent and the Lenders, a certificate of a Financial Officer of the Borrower explaining the deviation and the action, if any, that has been taken or is proposed to be taken with respect thereto; in each case the foregoing forecasts shall state all underlying assumptions;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rPr>
        <w:t>concurrently with the delivery of any Compliance Certificate under clause (c) above, a discussion and analysis of the financial condition and results of operations of the Borrower and its Subsidiaries for the portion of the Fiscal Year then elapsed, including a discussion of the reasons for any significant variations from the figures for the corresponding period of the previous Fiscal Year;</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(g)</w:t>
      </w:r>
      <w:r>
        <w:rPr>
          <w:rFonts w:ascii="Times New Roman;sans-serif" w:hAnsi="Times New Roman;sans-serif"/>
          <w:b w:val="false"/>
          <w:color w:val="000000"/>
          <w:sz w:val="22"/>
        </w:rPr>
        <w:t>for each Acquisition for which the value of the total consideration paid by the Borrower or any Subsidiary (whether in cash or otherwise) is greater than or equal to $5,000,000, within five (5) Business Days following the consummation of such acquisition, (1) a notice of such acquisition, which notice shall set forth evidence of Pro Forma Compliance with all the financial covenants under the Loan Documents, and (1) true and complete copies of each material acquisition document together with all schedules thereto, each executed by all of the parties thereto; and</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(h)</w:t>
      </w:r>
      <w:r>
        <w:rPr>
          <w:rFonts w:ascii="Times New Roman;sans-serif" w:hAnsi="Times New Roman;sans-serif"/>
          <w:b w:val="false"/>
          <w:color w:val="000000"/>
          <w:sz w:val="22"/>
        </w:rPr>
        <w:t xml:space="preserve">promptly following any request therefor, (i) such other information and documentation reasonably requested by the Administrative Agent or any Lender for purposes of compliance with applicable “know your customer” requirements under the USA Patriot Act, the </w:t>
      </w: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8"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83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83</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Beneficial Ownership Regulation or other applicable Anti-Corruption and Anti-Terrorism Laws (including those passed pursuant to the USA PATRIOT Act), and (ii) such other information regarding the operations, business affairs and financial condition of the Borrower or any Subsidiary, or compliance with the terms of the Loan Documents, as the Administrative Agent may reasonably request;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notwithstanding any provision hereof or any other Loan Document to the contrary, no Loan Party nor any Subsidiary thereof shall be required to disclose or discuss, or permit the inspection, examination or making of extracts of, any records, books, information or account or other matter (i) in respect of which disclosure to the Administrative Agent, any other Credit Party or their representatives is then prohibited by applicable law or any agreement with an unaffiliated third party binding on any Loan Party or any Subsidiary thereof, (ii) that is protected from disclosure by the attorney-client privilege or the attorney work product privilege, or (iii) that constitutes non-financial trade secrets or non-financial proprietary information (the “</w:t>
      </w:r>
      <w:r>
        <w:rPr>
          <w:rFonts w:ascii="Times New Roman;sans-serif" w:hAnsi="Times New Roman;sans-serif"/>
          <w:b w:val="false"/>
          <w:color w:val="000000"/>
          <w:sz w:val="22"/>
          <w:u w:val="single"/>
        </w:rPr>
        <w:t>Disclosure Exceptions</w:t>
      </w:r>
      <w:r>
        <w:rPr>
          <w:color w:val="000000"/>
        </w:rPr>
        <w:t>”</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6.2</w:t>
      </w:r>
      <w:r>
        <w:rPr>
          <w:rFonts w:ascii="Times New Roman;sans-serif" w:hAnsi="Times New Roman;sans-serif"/>
          <w:b w:val="false"/>
          <w:color w:val="000000"/>
          <w:sz w:val="22"/>
          <w:u w:val="single"/>
        </w:rPr>
        <w:t>Notices of Material Events</w:t>
      </w:r>
      <w:r>
        <w:rPr>
          <w:rFonts w:ascii="Times New Roman;sans-serif" w:hAnsi="Times New Roman;sans-serif"/>
          <w:b w:val="false"/>
          <w:color w:val="000000"/>
          <w:sz w:val="22"/>
        </w:rPr>
        <w:t>. The Borrower will furnish or cause to be furnished to the Administrative Agent (for prompt further distribution to the Lenders) prompt written notice of the following:</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the occurrence of any Default or Event of Default, specifying the nature and extent thereof;</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the filing or commencement of, or any threat or notice of intention of any Person to file or commence, any action, suit or proceeding, whether at law or in equity or by or before any Governmental Authority, against, or affecting, any Loan Party or any of its Subsidiaries that would reasonably be expected to result in a Material Adverse Effect;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 xml:space="preserve">(i) if requested by the Administrative Agent from time to time, (A) copies of any annual report required to be filed in connection with each Pension Plan or Foreign Plan and (B)(I) any documents described in Section 101(k)(1) of ERISA that any Loan Party or any ERISA Affiliate may request with respect to any Multiemployer Plan and (II) any notices described in Section 101(l)(1) of ERISA that any Loan Party or any ERISA Affiliate may request with respect to any Multiemployer Plan;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if any Loan Party or any ERISA Affiliate has not requested such documents or notices from the administrator or sponsor of the applicable Multiemployer Plan, the Loan Party or the applicable ERISA Affiliate shall promptly make a request for such documents and notices from such administrator or sponsor and shall provide copies of such documents and notices promptly after receipt thereof, and (ii) as soon as possible after, and in any event within ten days after any Loan Party or any ERISA Affiliate knows or has reason to know that, any ERISA Event (or any similar event with respect to a Foreign Plan) has occurred that, alone or together with any other ERISA Event (or any similar event with respect to a Foreign Plan) would reasonably be expected to result in liability of any Loan Party or any ERISA Affiliate in an aggregate amount exceeding the Threshold Amount and, when known, any action taken or threatened by the PBGC or any other Governmental Authority or the Multiemployer Plan sponsor with respect thereto;</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as soon as possible and in no event later than five (5) Business Days after the receipt by any Loan Party or any of its Subsidiaries, a copy of any notice, summons, citation or other written communication concerning any actual, alleged, suspected or threatened violation of any Environmental Law by, Environmental Claim against or Environmental Liability of, any Loan Party or any of its Subsidiaries, in each case, which would reasonably be expected to result in a Material Adverse Effect;</w:t>
      </w: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9"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84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84</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rPr>
        <w:t>to the extent applicable, promptly after the same become publicly available, copies of all periodic and other reports, proxy statements and other materials filed by any Loan Party or any of its Subsidiaries with the Securities and Exchange Commission, or any Governmental Authority succeeding to any or all of the functions of the Securities and Exchange Commission, or with any national securities exchange, or distributed by any Loan Party to its shareholders generally, as the case may be;</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rPr>
        <w:t xml:space="preserve">to the extent applicable, promptly after the furnishing thereof, copies of any statement or report furnished to any holder of indebtedness of any Loan Party or of any of its Subsidiaries pursuant to the terms of any indenture, loan or credit or similar agreement and not otherwise required to be furnished to the Lenders pursuant to any other clause of this </w:t>
      </w:r>
      <w:r>
        <w:rPr>
          <w:rFonts w:ascii="Times New Roman;sans-serif" w:hAnsi="Times New Roman;sans-serif"/>
          <w:b w:val="false"/>
          <w:color w:val="000000"/>
          <w:sz w:val="22"/>
          <w:u w:val="single"/>
        </w:rPr>
        <w:t>Section 6.2</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(g)</w:t>
      </w:r>
      <w:r>
        <w:rPr>
          <w:rFonts w:ascii="Times New Roman;sans-serif" w:hAnsi="Times New Roman;sans-serif"/>
          <w:b w:val="false"/>
          <w:color w:val="000000"/>
          <w:sz w:val="22"/>
        </w:rPr>
        <w:t xml:space="preserve">promptly after any Loan Party or any of its Subsidiaries (i) being required to file reports under Section 15(d) of the Securities Exchange Act of 1934, or (ii) registering securities under Section 12 of the Securities Exchange Act of 1934;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(h)</w:t>
      </w:r>
      <w:r>
        <w:rPr>
          <w:rFonts w:ascii="Times New Roman;sans-serif" w:hAnsi="Times New Roman;sans-serif"/>
          <w:b w:val="false"/>
          <w:color w:val="000000"/>
          <w:sz w:val="22"/>
        </w:rPr>
        <w:t xml:space="preserve">in the event that any Person shall become, or cease to be, a Subsidiary or a Guarantor, the Borrower shall promptly furnish to the Administrative Agent an updated list of Subsidiaries or Guarantors, as the case may be;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(i)</w:t>
      </w:r>
      <w:r>
        <w:rPr>
          <w:rFonts w:ascii="Times New Roman;sans-serif" w:hAnsi="Times New Roman;sans-serif"/>
          <w:b w:val="false"/>
          <w:color w:val="000000"/>
          <w:sz w:val="22"/>
        </w:rPr>
        <w:t>the occurrence of any other development that has resulted in, or would reasonably be expected to result in, a Material Adverse Effect;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(j)</w:t>
      </w:r>
      <w:r>
        <w:rPr>
          <w:rFonts w:ascii="Times New Roman;sans-serif" w:hAnsi="Times New Roman;sans-serif"/>
          <w:b w:val="false"/>
          <w:color w:val="000000"/>
          <w:sz w:val="22"/>
        </w:rPr>
        <w:t xml:space="preserve">any material change in accounting or financial reporting practices by the Borrower or any Subsidiary;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(k)</w:t>
      </w:r>
      <w:r>
        <w:rPr>
          <w:rFonts w:ascii="Times New Roman;sans-serif" w:hAnsi="Times New Roman;sans-serif"/>
          <w:b w:val="false"/>
          <w:color w:val="000000"/>
          <w:sz w:val="22"/>
        </w:rPr>
        <w:t>receipt of written notice of (i) any forfeiture, non-renewal, cancellation, termination, revocation, suspension, impairment or material modification of any [***] Contract that is reasonably expected to result in a material reduction in such contract’s commitment, committed term duration or contract pricing, causing a loss in aggregate revenue for the Borrower in excess of five percent (5%) annually, (ii) any default under, or breach of, any [***] Contract, (iii) any intent by [***] or any of its subsidiaries or affiliates to terminate, not renew or not extend any [***] Contract or (iv) any refusal by [***] or any of its Subsidiaries or affiliates to renew or extend any [***] Contract; and</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(l)</w:t>
      </w:r>
      <w:r>
        <w:rPr>
          <w:rFonts w:ascii="Times New Roman;sans-serif" w:hAnsi="Times New Roman;sans-serif"/>
          <w:b w:val="false"/>
          <w:color w:val="000000"/>
          <w:sz w:val="22"/>
        </w:rPr>
        <w:t xml:space="preserve">promptly, but in any event within five (5) Business Days, any change in the information provided in the Beneficial Ownership Certification that would result in a change to the list of beneficial owners identified in such certification. </w:t>
      </w:r>
    </w:p>
    <w:p>
      <w:pPr>
        <w:pStyle w:val="TextBody"/>
        <w:bidi w:val="0"/>
        <w:spacing w:lineRule="auto" w:line="288" w:before="0" w:after="240"/>
        <w:jc w:val="both"/>
        <w:rPr/>
      </w:pPr>
      <w:r>
        <w:rPr>
          <w:rFonts w:ascii="Times New Roman;sans-serif" w:hAnsi="Times New Roman;sans-serif"/>
          <w:b w:val="false"/>
          <w:color w:val="000000"/>
          <w:sz w:val="22"/>
        </w:rPr>
        <w:t xml:space="preserve">Each notice delivered under this </w:t>
      </w:r>
      <w:r>
        <w:rPr>
          <w:rFonts w:ascii="Times New Roman;sans-serif" w:hAnsi="Times New Roman;sans-serif"/>
          <w:b w:val="false"/>
          <w:color w:val="000000"/>
          <w:sz w:val="22"/>
          <w:u w:val="single"/>
        </w:rPr>
        <w:t>Section 6.2</w:t>
      </w:r>
      <w:r>
        <w:rPr>
          <w:color w:val="000000"/>
        </w:rPr>
        <w:t xml:space="preserve"> </w:t>
      </w:r>
      <w:r>
        <w:rPr>
          <w:rFonts w:ascii="Times New Roman;sans-serif" w:hAnsi="Times New Roman;sans-serif"/>
          <w:b w:val="false"/>
          <w:color w:val="000000"/>
          <w:sz w:val="22"/>
        </w:rPr>
        <w:t>shall be accompanied by a statement of a Financial Officer of the Borrower or other executive officer of the Borrower setting forth the details of the event or development requiring such notice and any action taken or proposed to be taken with respect thereto.</w:t>
      </w:r>
    </w:p>
    <w:p>
      <w:pPr>
        <w:pStyle w:val="TextBody"/>
        <w:bidi w:val="0"/>
        <w:spacing w:lineRule="auto" w:line="288" w:before="0" w:after="240"/>
        <w:jc w:val="both"/>
        <w:rPr/>
      </w:pPr>
      <w:r>
        <w:rPr>
          <w:rFonts w:ascii="Times New Roman;sans-serif" w:hAnsi="Times New Roman;sans-serif"/>
          <w:b w:val="false"/>
          <w:color w:val="000000"/>
          <w:sz w:val="22"/>
        </w:rPr>
        <w:t xml:space="preserve">Documents required to be delivered pursuant to </w:t>
      </w:r>
      <w:r>
        <w:rPr>
          <w:rFonts w:ascii="Times New Roman;sans-serif" w:hAnsi="Times New Roman;sans-serif"/>
          <w:b w:val="false"/>
          <w:color w:val="000000"/>
          <w:sz w:val="22"/>
          <w:u w:val="single"/>
        </w:rPr>
        <w:t>Section 6.2(e)</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(f)</w:t>
      </w:r>
      <w:r>
        <w:rPr>
          <w:color w:val="000000"/>
        </w:rPr>
        <w:t xml:space="preserve"> </w:t>
      </w:r>
      <w:r>
        <w:rPr>
          <w:rFonts w:ascii="Times New Roman;sans-serif" w:hAnsi="Times New Roman;sans-serif"/>
          <w:b w:val="false"/>
          <w:color w:val="000000"/>
          <w:sz w:val="22"/>
        </w:rPr>
        <w:t xml:space="preserve">(to the extent any such documents are included in materials otherwise filed with the Securities and Exchange Commission) may be delivered electronically and, if so delivered, shall be deemed to have been delivered on the date (i) on which such materials are publicly available as posted on the Electronic Data Gathering, Analysis and Retrieval system (EDGAR); or (ii) on which such documents are posted on the Borrower’s behalf on an Internet or intranet website, if any, to which each Lender and the Administrative Agent have access (whether a commercial, third-party website or whether sponsored by the Administrative Agent);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Borrower shall notify the Administrative Agent and each Lender (by electronic mail) of the posting of any </w:t>
      </w: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40"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85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85</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such documents and provide to the Administrative Agent by electronic mail electronic versions (i.e., soft copies) of such documents. </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6.3</w:t>
      </w:r>
      <w:r>
        <w:rPr>
          <w:rFonts w:ascii="Times New Roman;sans-serif" w:hAnsi="Times New Roman;sans-serif"/>
          <w:b w:val="false"/>
          <w:color w:val="000000"/>
          <w:sz w:val="22"/>
          <w:u w:val="single"/>
        </w:rPr>
        <w:t>Existence; Conduct of Business</w:t>
      </w:r>
      <w:r>
        <w:rPr>
          <w:rFonts w:ascii="Times New Roman;sans-serif" w:hAnsi="Times New Roman;sans-serif"/>
          <w:b w:val="false"/>
          <w:color w:val="000000"/>
          <w:sz w:val="22"/>
        </w:rPr>
        <w:t xml:space="preserve">. The Borrower will, and will cause each of its Subsidiaries to, do or cause to be done all things necessary to preserve, renew and keep in full force and effect its legal existence and the rights, licenses, permits, privileges and franchises material to the conduct of its business;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foregoing shall not prohibit any merger, consolidation, liquidation, receivership, examinership, rescue proceeding or dissolution permitted under </w:t>
      </w:r>
      <w:r>
        <w:rPr>
          <w:rFonts w:ascii="Times New Roman;sans-serif" w:hAnsi="Times New Roman;sans-serif"/>
          <w:b w:val="false"/>
          <w:color w:val="000000"/>
          <w:sz w:val="22"/>
          <w:u w:val="single"/>
        </w:rPr>
        <w:t>Section 7.3</w:t>
      </w:r>
      <w:r>
        <w:rPr>
          <w:color w:val="000000"/>
        </w:rPr>
        <w:t xml:space="preserve"> </w:t>
      </w:r>
      <w:r>
        <w:rPr>
          <w:rFonts w:ascii="Times New Roman;sans-serif" w:hAnsi="Times New Roman;sans-serif"/>
          <w:b w:val="false"/>
          <w:color w:val="000000"/>
          <w:sz w:val="22"/>
        </w:rPr>
        <w:t xml:space="preserve">or any sale, lease, transfer or other disposition permitted by </w:t>
      </w:r>
      <w:r>
        <w:rPr>
          <w:rFonts w:ascii="Times New Roman;sans-serif" w:hAnsi="Times New Roman;sans-serif"/>
          <w:b w:val="false"/>
          <w:color w:val="000000"/>
          <w:sz w:val="22"/>
          <w:u w:val="single"/>
        </w:rPr>
        <w:t>Section 7.5</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6.4</w:t>
      </w:r>
      <w:r>
        <w:rPr>
          <w:rFonts w:ascii="Times New Roman;sans-serif" w:hAnsi="Times New Roman;sans-serif"/>
          <w:b w:val="false"/>
          <w:color w:val="000000"/>
          <w:sz w:val="22"/>
          <w:u w:val="single"/>
        </w:rPr>
        <w:t>Payment and Performance of Obligations</w:t>
      </w:r>
      <w:r>
        <w:rPr>
          <w:rFonts w:ascii="Times New Roman;sans-serif" w:hAnsi="Times New Roman;sans-serif"/>
          <w:b w:val="false"/>
          <w:color w:val="000000"/>
          <w:sz w:val="22"/>
        </w:rPr>
        <w:t xml:space="preserve">. The Borrower will, and will cause each of its Subsidiaries to, pay or perform its obligations, including Tax liabilities (including in its capacity as a withholding agent), before the same shall become delinquent or in default, except where (a) the validity or amount thereof is being Contested in Good Faith and (b) the failure to make payment pending such contest could not reasonably be expected to, individually or in the aggregate, result in a Material Adverse Effect;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nothing in this </w:t>
      </w:r>
      <w:r>
        <w:rPr>
          <w:rFonts w:ascii="Times New Roman;sans-serif" w:hAnsi="Times New Roman;sans-serif"/>
          <w:b w:val="false"/>
          <w:color w:val="000000"/>
          <w:sz w:val="22"/>
          <w:u w:val="single"/>
        </w:rPr>
        <w:t>Section 6.4</w:t>
      </w:r>
      <w:r>
        <w:rPr>
          <w:color w:val="000000"/>
        </w:rPr>
        <w:t xml:space="preserve"> </w:t>
      </w:r>
      <w:r>
        <w:rPr>
          <w:rFonts w:ascii="Times New Roman;sans-serif" w:hAnsi="Times New Roman;sans-serif"/>
          <w:b w:val="false"/>
          <w:color w:val="000000"/>
          <w:sz w:val="22"/>
        </w:rPr>
        <w:t>shall be deemed to require any Loan Party to pay any Subordinated Debt in violation of the subordination provisions applicable thereto.</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6.5</w:t>
      </w:r>
      <w:r>
        <w:rPr>
          <w:rFonts w:ascii="Times New Roman;sans-serif" w:hAnsi="Times New Roman;sans-serif"/>
          <w:b w:val="false"/>
          <w:color w:val="000000"/>
          <w:sz w:val="22"/>
          <w:u w:val="single"/>
        </w:rPr>
        <w:t>Maintenance of Properties</w:t>
      </w:r>
      <w:r>
        <w:rPr>
          <w:rFonts w:ascii="Times New Roman;sans-serif" w:hAnsi="Times New Roman;sans-serif"/>
          <w:b w:val="false"/>
          <w:color w:val="000000"/>
          <w:sz w:val="22"/>
        </w:rPr>
        <w:t>. The Borrower will, and will cause each of its Subsidiaries to, keep and maintain all property material to the conduct of its business in good working order and condition, ordinary wear and tear and damage by fire or other casualty excepted.</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6.6</w:t>
      </w:r>
      <w:r>
        <w:rPr>
          <w:rFonts w:ascii="Times New Roman;sans-serif" w:hAnsi="Times New Roman;sans-serif"/>
          <w:b w:val="false"/>
          <w:color w:val="000000"/>
          <w:sz w:val="22"/>
          <w:u w:val="single"/>
        </w:rPr>
        <w:t>Books and Records; Inspection Rights</w:t>
      </w:r>
      <w:r>
        <w:rPr>
          <w:rFonts w:ascii="Times New Roman;sans-serif" w:hAnsi="Times New Roman;sans-serif"/>
          <w:b w:val="false"/>
          <w:color w:val="000000"/>
          <w:sz w:val="22"/>
        </w:rPr>
        <w:t>. The Borrower will, and will cause each of its Subsidiaries to, (a) keep proper books of record and account in which full, true and correct entries are made of all dealings and transactions in relation to its business and activities and (b) subject to the Disclosure Exceptions, permit any representatives designated by any Credit Party, upon reasonable prior notice, to visit and inspect its properties, to examine and make extracts from its books and records, and to discuss its affairs, finances and condition with its officers and independent accounting firm, all at the expense of the Borrower and at such reasonable times and as often as reasonably requested. In the absence of a continuing Event of Default only one (1) such examination in any period of twelve (12) consecutive calendar months shall be conducted (as coordinated by the Administrative Agent) and shall be at the Borrower’s expense, and during the continuance of an Event of Default all such examinations shall be at the Borrower’s expense (and may occur with greater frequency during normal business hours and without advance notice).</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6.7</w:t>
      </w:r>
      <w:r>
        <w:rPr>
          <w:rFonts w:ascii="Times New Roman;sans-serif" w:hAnsi="Times New Roman;sans-serif"/>
          <w:b w:val="false"/>
          <w:color w:val="000000"/>
          <w:sz w:val="22"/>
          <w:u w:val="single"/>
        </w:rPr>
        <w:t>Compliance with Laws</w:t>
      </w:r>
      <w:r>
        <w:rPr>
          <w:rFonts w:ascii="Times New Roman;sans-serif" w:hAnsi="Times New Roman;sans-serif"/>
          <w:b w:val="false"/>
          <w:color w:val="000000"/>
          <w:sz w:val="22"/>
        </w:rPr>
        <w:t>. The Borrower will, and will cause each of its Subsidiaries to, comply with all laws, rules, regulations and orders of any Governmental Authority applicable to it or its property and maintain all permits and licenses necessary to conduct its business, except where the failure to do so, individually or in the aggregate, could not reasonably be expected to result in a Material Adverse Effect. In addition, and without limiting the foregoing sentence, each Loan Party will, and will cause each of its Subsidiaries to, comply with all applicable Environmental Laws in all material respects, and with Anti-Corruption Laws, applicable Sanctions and the USA PATRIOT Act and the regulations promulgated thereunder in all respects.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6.8</w:t>
      </w:r>
      <w:r>
        <w:rPr>
          <w:rFonts w:ascii="Times New Roman;sans-serif" w:hAnsi="Times New Roman;sans-serif"/>
          <w:b w:val="false"/>
          <w:color w:val="000000"/>
          <w:sz w:val="22"/>
          <w:u w:val="single"/>
        </w:rPr>
        <w:t>Use of Proceeds</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The Borrower shall utilize the proceeds of the Loans (x) on the Closing Date (i) to fund a portion of the repurchase price of all of the outstanding shares of Series B Stock (including any accrued but unpaid dividends thereon) in accordance with the terms of the Series B Repurchase </w:t>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41"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86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86</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Agreement, (ii) to repurchase not less than $16,500,000 aggregate principal amount of Senior Notes in cash pursuant to the terms of the Senior Note Repurchase Agreement and (iii) to pay transaction fees and expenses associated with the closing of the transactions contemplated by this Credit Agreement on the Closing Date and (y) after the Closing Date to fund the “Second Payment” (as defined in the Series B Repurchase Agreement as in effect on the Closing Date) in accordance with the Series B Repurchase Agreement as in effect on the Closing Date in an amount not to exceed $2,600,000. To the extent any proceeds of the Loans remain after the payments described in clauses (x) and (y) above, the Borrower may use any excess proceeds on or after the Closing Date for general working capital purposes.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No part of the proceeds of any Loan will be used, whether directly or indirectly, and whether immediately, incidentally or ultimately, (i) to purchase, acquire or carry any Margin Stock or (ii) for any purpose that entails a violation of any of the regulations of the Board, including Regulations T, U and X. The Borrower will not request any Credit Extension, and the Borrower shall not use, and shall ensure that each Loan Party, their respective Subsidiaries and their respective directors, officers, employees and agents shall not use, the proceeds of any Credit Extension (x) in furtherance of an offer, payment, promise to pay, or authorization of the payment or giving of money, or anything else of value, to any Person in violation of any Anti-Corruption Laws or (y) in any manner that would result in the violation of any applicable Sanctions or any Anti-Terrorism Laws by any Person, including any Credit Party.</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6.9</w:t>
      </w:r>
      <w:r>
        <w:rPr>
          <w:rFonts w:ascii="Times New Roman;sans-serif" w:hAnsi="Times New Roman;sans-serif"/>
          <w:b w:val="false"/>
          <w:color w:val="000000"/>
          <w:sz w:val="22"/>
          <w:u w:val="single"/>
        </w:rPr>
        <w:t>Information Concerning Collateral</w:t>
      </w:r>
      <w:r>
        <w:rPr>
          <w:rFonts w:ascii="Times New Roman;sans-serif" w:hAnsi="Times New Roman;sans-serif"/>
          <w:b w:val="false"/>
          <w:color w:val="000000"/>
          <w:sz w:val="22"/>
        </w:rPr>
        <w:t>. The Borrower will furnish to the Administrative Agent at least ten (10) days’ prior written notice of any change in (a) the legal name or jurisdiction of incorporation or formation of any Loan Party, (b) the location of the chief executive office of any Loan Party or its principal place of business, (c) the identity or organizational structure of any Loan Party such that a filed financing statement becomes misleading or (d) the Federal Taxpayer Identification Number or company organizational number of any Loan Party. The Borrower agrees not to effect or permit any change referred to in the preceding sentence unless all filings have been made under the UCC or otherwise that are required in order for the Administrative Agent to continue at all times following such change to have a valid, legal and perfected security interest in all the Collateral. The Borrower also agrees promptly to notify the Administrative Agent if any material portion of the Collateral is damaged or destroyed.</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6.10</w:t>
      </w:r>
      <w:r>
        <w:rPr>
          <w:rFonts w:ascii="Times New Roman;sans-serif" w:hAnsi="Times New Roman;sans-serif"/>
          <w:b w:val="false"/>
          <w:color w:val="000000"/>
          <w:sz w:val="22"/>
          <w:u w:val="single"/>
        </w:rPr>
        <w:t>Insurance</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The Borrower will, and will cause each of its Subsidiaries to, maintain, with financially sound and reputable insurance companies, adequate insurance for its insurable properties, all to such extent and against such risks, including fire, casualty, business interruption, flood and other risks insured against by extended coverage, as is customary for companies in the same or similar businesses operating in the same or similar locations and of same or similar size, including public liability insurance against claims for personal injury or death or property damage occurring upon, in, about or in connection with the use of any properties owned, occupied or controlled by it (including the insurance required pursuant to the Collateral Documents); and maintain such other insurance as may be required by law (it being agreed that insurance that is substantially similar to that in effect on the Closing Date shall satisfy this </w:t>
      </w:r>
      <w:r>
        <w:rPr>
          <w:rFonts w:ascii="Times New Roman;sans-serif" w:hAnsi="Times New Roman;sans-serif"/>
          <w:b w:val="false"/>
          <w:color w:val="000000"/>
          <w:sz w:val="22"/>
          <w:u w:val="single"/>
        </w:rPr>
        <w:t>Section 6.10(a)</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[Reserved].</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 xml:space="preserve">The Borrower will, and will cause each of its Subsidiaries to, (i) cause all such policies of such Loan Party and its Subsidiaries to be endorsed or otherwise amended to include a </w:t>
      </w: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42"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87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87</w:t>
                      </w:r>
                    </w:p>
                  </w:txbxContent>
                </v:textbox>
                <w10:wrap type="none"/>
              </v:rect>
            </w:pict>
          </mc:Fallback>
        </mc:AlternateContent>
      </w:r>
    </w:p>
    <w:p>
      <w:pPr>
        <w:pStyle w:val="TextBody"/>
        <w:bidi w:val="0"/>
        <w:spacing w:lineRule="auto" w:line="288" w:before="0" w:after="240"/>
        <w:jc w:val="both"/>
        <w:rPr>
          <w:color w:val="000000"/>
        </w:rPr>
      </w:pPr>
      <w:r>
        <w:rPr>
          <w:color w:val="000000"/>
        </w:rPr>
        <w:t>“</w:t>
      </w:r>
      <w:r>
        <w:rPr>
          <w:rFonts w:ascii="Times New Roman;sans-serif" w:hAnsi="Times New Roman;sans-serif"/>
          <w:b w:val="false"/>
          <w:color w:val="000000"/>
          <w:sz w:val="22"/>
        </w:rPr>
        <w:t>standard” or “New York” lender’s loss payable or additional insured endorsement, as applicable, in form and substance reasonably satisfactory to the Administrative Agent, which endorsement or amendment shall provide that, from and after the Closing Date, if the insurance carrier shall have received written notice from the Administrative Agent of the occurrence of an Event of Default, the insurance carrier shall pay all proceeds otherwise payable to such Loan Party under such policies directly to the Administrative Agent, (ii) cause all such policies to provide that neither such Loan Party, any Subsidiary or the Administrative Agent nor any other party shall be a co-insurer thereunder and to contain a “Replacement Cost Endorsement,” without any deduction for depreciation, and such other provisions as the Administrative Agent may reasonably require from time to time to protect its interests, (iii) deliver original or certified copies of all such policies to the Administrative Agent, (iv) cause each such policy to provide that it shall not be canceled, modified or not renewed for any other reason upon not less than 30 days’ prior written notice thereof by the insurer to the Administrative Agent and (v) deliver to the Administrative Agent, prior to the cancellation, modification or non-renewal of any such policy of insurance, a copy of a renewal or replacement policy (or other evidence of renewal of a policy previously delivered to the Administrative Agent) together with evidence satisfactory to the Administrative Agent of payment of the premium therefor.</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 xml:space="preserve">The Borrower will promptly upon request of the Administrative Agent or any other Lender, deliver to the Administrative Agent (for distribution to all Lenders), evidence of compliance by all Loan Parties with the requirements contained </w:t>
      </w:r>
      <w:r>
        <w:rPr>
          <w:rFonts w:ascii="Times New Roman;sans-serif" w:hAnsi="Times New Roman;sans-serif"/>
          <w:b w:val="false"/>
          <w:color w:val="000000"/>
          <w:sz w:val="22"/>
          <w:u w:val="single"/>
        </w:rPr>
        <w:t>Sections 6.10(a)</w:t>
      </w:r>
      <w:r>
        <w:rPr>
          <w:color w:val="000000"/>
        </w:rPr>
        <w:t xml:space="preserve"> </w:t>
      </w:r>
      <w:r>
        <w:rPr>
          <w:rFonts w:ascii="Times New Roman;sans-serif" w:hAnsi="Times New Roman;sans-serif"/>
          <w:b w:val="false"/>
          <w:color w:val="000000"/>
          <w:sz w:val="22"/>
        </w:rPr>
        <w:t xml:space="preserve">through </w:t>
      </w:r>
      <w:r>
        <w:rPr>
          <w:rFonts w:ascii="Times New Roman;sans-serif" w:hAnsi="Times New Roman;sans-serif"/>
          <w:b w:val="false"/>
          <w:color w:val="000000"/>
          <w:sz w:val="22"/>
          <w:u w:val="single"/>
        </w:rPr>
        <w:t>(c)</w:t>
      </w:r>
      <w:r>
        <w:rPr>
          <w:color w:val="000000"/>
        </w:rPr>
        <w:t xml:space="preserve"> </w:t>
      </w:r>
      <w:r>
        <w:rPr>
          <w:rFonts w:ascii="Times New Roman;sans-serif" w:hAnsi="Times New Roman;sans-serif"/>
          <w:b w:val="false"/>
          <w:color w:val="000000"/>
          <w:sz w:val="22"/>
        </w:rPr>
        <w:t>in form and substance reasonably acceptable to the Administrative Agent and the Lenders, including, without limitation, evidence of annual renewals of such insurance.</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rPr>
        <w:t xml:space="preserve">The Borrower will, and will cause each of its Subsidiaries to, notify the Administrative Agent immediately whenever any separate insurance concurrent in form or contributing in the event of loss with that required to be maintained under this </w:t>
      </w:r>
      <w:r>
        <w:rPr>
          <w:rFonts w:ascii="Times New Roman;sans-serif" w:hAnsi="Times New Roman;sans-serif"/>
          <w:b w:val="false"/>
          <w:color w:val="000000"/>
          <w:sz w:val="22"/>
          <w:u w:val="single"/>
        </w:rPr>
        <w:t>Section 6.10</w:t>
      </w:r>
      <w:r>
        <w:rPr>
          <w:color w:val="000000"/>
        </w:rPr>
        <w:t xml:space="preserve"> </w:t>
      </w:r>
      <w:r>
        <w:rPr>
          <w:rFonts w:ascii="Times New Roman;sans-serif" w:hAnsi="Times New Roman;sans-serif"/>
          <w:b w:val="false"/>
          <w:color w:val="000000"/>
          <w:sz w:val="22"/>
        </w:rPr>
        <w:t>is taken out by any Loan Party; and promptly deliver to the Administrative Agent a duplicate original copy of such policy or policies.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rPr>
        <w:t xml:space="preserve">In connection with the covenants set forth in this </w:t>
      </w:r>
      <w:r>
        <w:rPr>
          <w:rFonts w:ascii="Times New Roman;sans-serif" w:hAnsi="Times New Roman;sans-serif"/>
          <w:b w:val="false"/>
          <w:color w:val="000000"/>
          <w:sz w:val="22"/>
          <w:u w:val="single"/>
        </w:rPr>
        <w:t>Section 6.10</w:t>
      </w:r>
      <w:r>
        <w:rPr>
          <w:rFonts w:ascii="Times New Roman;sans-serif" w:hAnsi="Times New Roman;sans-serif"/>
          <w:b w:val="false"/>
          <w:color w:val="000000"/>
          <w:sz w:val="22"/>
        </w:rPr>
        <w:t>, it is understood and agreed that: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(i)no Credit Party or any of its Related Parties shall be liable for any loss or damage insured by the insurance policies required to be maintained under this </w:t>
      </w:r>
      <w:r>
        <w:rPr>
          <w:rFonts w:ascii="Times New Roman;sans-serif" w:hAnsi="Times New Roman;sans-serif"/>
          <w:b w:val="false"/>
          <w:color w:val="000000"/>
          <w:sz w:val="22"/>
          <w:u w:val="single"/>
        </w:rPr>
        <w:t>Section 6.10</w:t>
      </w:r>
      <w:r>
        <w:rPr>
          <w:rFonts w:ascii="Times New Roman;sans-serif" w:hAnsi="Times New Roman;sans-serif"/>
          <w:b w:val="false"/>
          <w:color w:val="000000"/>
          <w:sz w:val="22"/>
        </w:rPr>
        <w:t xml:space="preserve">, it being understood that (A) each Loan Party shall look solely to its insurance companies or any other parties other than the aforesaid parties for the recovery of such loss or damage and (B) such insurance companies shall have no rights of subrogation against any Credit Party or any of their Related Parties;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 if the insurance policies do not provide waiver of subrogation rights against such parties, as required above, then the Borrower (for itself and each of its Subsidiaries) hereby agrees, to the extent permitted by law, to waive its right of recovery, if any, against the Credit Parties and their Related Parties; and</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(ii)the designation of any form, type or amount of insurance coverage by the Administrative Agent or the Required Lenders under this </w:t>
      </w:r>
      <w:r>
        <w:rPr>
          <w:rFonts w:ascii="Times New Roman;sans-serif" w:hAnsi="Times New Roman;sans-serif"/>
          <w:b w:val="false"/>
          <w:color w:val="000000"/>
          <w:sz w:val="22"/>
          <w:u w:val="single"/>
        </w:rPr>
        <w:t>Section 6.10</w:t>
      </w:r>
      <w:r>
        <w:rPr>
          <w:color w:val="000000"/>
        </w:rPr>
        <w:t xml:space="preserve"> </w:t>
      </w:r>
      <w:r>
        <w:rPr>
          <w:rFonts w:ascii="Times New Roman;sans-serif" w:hAnsi="Times New Roman;sans-serif"/>
          <w:b w:val="false"/>
          <w:color w:val="000000"/>
          <w:sz w:val="22"/>
        </w:rPr>
        <w:t xml:space="preserve">shall in no event be deemed a representation, warranty or advice by any Credit Party that such insurance is adequate for the purposes of the business of any Loan Party or its Subsidiaries or the protection of their properties and the Administrative Agent and the Required Lenders shall have the right from time to time to require the Loan Parties and their respective Subsidiaries to keep other insurance in </w:t>
      </w: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43"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88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88</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such form and amount as the Administrative Agent or the Required Lenders may reasonably request;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such insurance shall be obtainable on commercially reasonable terms.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6.11</w:t>
      </w:r>
      <w:r>
        <w:rPr>
          <w:rFonts w:ascii="Times New Roman;sans-serif" w:hAnsi="Times New Roman;sans-serif"/>
          <w:b w:val="false"/>
          <w:color w:val="000000"/>
          <w:sz w:val="22"/>
        </w:rPr>
        <w:t>[***]</w:t>
      </w:r>
      <w:r>
        <w:rPr>
          <w:rFonts w:ascii="Times New Roman;sans-serif" w:hAnsi="Times New Roman;sans-serif"/>
          <w:b w:val="false"/>
          <w:color w:val="000000"/>
          <w:sz w:val="22"/>
          <w:u w:val="single"/>
        </w:rPr>
        <w:t>Contracts</w:t>
      </w:r>
      <w:r>
        <w:rPr>
          <w:rFonts w:ascii="Times New Roman;sans-serif" w:hAnsi="Times New Roman;sans-serif"/>
          <w:b w:val="false"/>
          <w:color w:val="000000"/>
          <w:sz w:val="22"/>
        </w:rPr>
        <w:t>. The Borrower shall, and shall cause each of its Subsidiaries to, (i) promptly, and in any event within ten (10) Business Days of receipt thereof, deliver or make available to the Administrative Agent true and complete copies of (x) each new [***] Contract entered into after the Closing Date and (y) all amendments and modifications to any [***] Contract (whether in effect on the Closing Date or entered into after the Closing Date) other than those that are not reasonably expected to result in a material reduction in such contract’s commitment, committed term duration or contract pricing causing a loss in aggregate revenue for the Borrower in excess of five percent (5%) annually, (ii) cause each [***] Contract (or any replacement [***] Contract thereto) to remain in full force and effect at all times, (iii) comply in all material respects with the terms of each [***] Contract and (iv) furnish to the Administrative Agent such information and reports in the possession of or available to a Loan Party regarding the [***] Contracts as the Required Lenders may reasonably request.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6.12</w:t>
      </w:r>
      <w:r>
        <w:rPr>
          <w:rFonts w:ascii="Times New Roman;sans-serif" w:hAnsi="Times New Roman;sans-serif"/>
          <w:b w:val="false"/>
          <w:color w:val="000000"/>
          <w:sz w:val="22"/>
          <w:u w:val="single"/>
        </w:rPr>
        <w:t>Covenant to Guarantee and Provide Security</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Subsidiary Guarantors</w:t>
      </w:r>
      <w:r>
        <w:rPr>
          <w:rFonts w:ascii="Times New Roman;sans-serif" w:hAnsi="Times New Roman;sans-serif"/>
          <w:b w:val="false"/>
          <w:color w:val="000000"/>
          <w:sz w:val="22"/>
        </w:rPr>
        <w:t>. If (x) any Domestic Subsidiary of a Loan Party or Irish Subsidiary of a Loan Party (in each case, other than an Excluded Subsidiary or a Subsidiary that is a party to this Credit Agreement and the Collateral Documents) or (y) a Foreign Subsidiary (other than an Irish Subsidiary) of a Loan Party (unless causing such Foreign Subsidiary to be subject to the requirements in this clause (a) would reasonably be expected to result in material adverse tax consequences to the Borrower and its Subsidiaries), in each case, is formed or acquired after the Closing Date or if an Excluded Subsidiary ceases to be an Excluded Subsidiary, the Borrower will notify the Credit Parties in writing thereof within ten (10) Business Days following the date on which such Subsidiary is formed or acquired or such Excluded Subsidiary ceases to be an Excluded Subsidiary (or such later date as may be acceptable to the Administrative Agent in its sole discretion) and, by such date:</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(i)the Borrower will cause each such Subsidiary to (A) execute and deliver a Subsidiary Joinder Agreement (and, if applicable, the Guarantee Agreement) and a Perfection Certificate and (B) promptly take such actions to comply with the Collateral and Guarantee Requirements and create and perfect Liens on such Subsidiary’s assets to secure the Secured Obligations as the Administrative Agent shall reasonably request (including the execution and delivery of any collateral document necessary or appropriate to create and perfect Liens with respect to such Subsidiary’s owned or leased real property or any Collateral Access Agreement or similar document) and</w:t>
      </w:r>
      <w:r>
        <w:rPr>
          <w:color w:val="000000"/>
        </w:rPr>
        <w:t xml:space="preserve"> </w:t>
      </w:r>
      <w:r>
        <w:rPr>
          <w:rFonts w:ascii="Times New Roman;sans-serif" w:hAnsi="Times New Roman;sans-serif"/>
          <w:b w:val="false"/>
          <w:color w:val="000000"/>
          <w:sz w:val="22"/>
        </w:rPr>
        <w:t>the taking of any actions reasonably requested by the Administrative Agent within the United States (including the filing of any uniform commercial code financing statements)) (it being understood that not more than 100% of the non-Voting Equity Interests (if any) and 65% of the Voting Equity Interests in each first tier Foreign Subsidiary that is a Controlled Foreign Corporation shall be pledged to the extent a pledge of a greater percentage would reasonably be expected to result in a material adverse tax consequence to the Borrower and its Subsidiaries),</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(ii)if any Equity Interests issued by any such Subsidiary are owned or held by or on behalf of any Loan Party, the Borrower will cause such Equity Interests to be pledged pursuant to the Collateral Documents not later than the tenth Business Day after the date on which such Subsidiary is formed or acquired, and</w:t>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4"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89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89</w:t>
                      </w:r>
                    </w:p>
                  </w:txbxContent>
                </v:textbox>
                <w10:wrap type="none"/>
              </v:rect>
            </w:pict>
          </mc:Fallback>
        </mc:AlternateConten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(iii)the Borrower will deliver or cause to be delivered to the Administrative Agent such certificates and legal opinions as would have been required had such Subsidiary been a Subsidiary Guarantor on the Closing Date.</w:t>
      </w:r>
    </w:p>
    <w:p>
      <w:pPr>
        <w:pStyle w:val="TextBody"/>
        <w:bidi w:val="0"/>
        <w:spacing w:lineRule="auto" w:line="288" w:before="0" w:after="120"/>
        <w:jc w:val="both"/>
        <w:rPr>
          <w:rFonts w:ascii="Times New Roman;sans-serif" w:hAnsi="Times New Roman;sans-serif"/>
          <w:b w:val="false"/>
          <w:color w:val="000000"/>
          <w:sz w:val="22"/>
        </w:rPr>
      </w:pPr>
      <w:r>
        <w:rPr>
          <w:rFonts w:ascii="Times New Roman;sans-serif" w:hAnsi="Times New Roman;sans-serif"/>
          <w:b w:val="false"/>
          <w:color w:val="000000"/>
          <w:sz w:val="22"/>
        </w:rPr>
        <w:t>Notwithstanding anything to the contrary contained herein, other than with respect to an Irish Subsidiary, no Foreign Subsidiary shall become a Subsidiary Guarantor or execute, deliver or otherwise join any Loan Documents without the consent of the Administrative Agent.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Real Property</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(i)Upon the acquisition by any Loan Party after the Closing Date of any Material Owned Real Property or if any Real Property becomes Material Owned Real Property after the Closing Date, the Borrower shall immediately notify the Administrative Agent, setting forth with specificity a description of such Material Owned Real Property and, as determined by the Administrative Agent in its sole discretion, either an appraisal or Borrower’s good faith estimate of the current fair market value of such Material Owned Real Property. Within 45 days of the delivery of such notice (or such later date as agreed to by the Administrative Agent in its sole discretion) and unless the Administrative Agent in its sole discretion determines not to require a Mortgage on such Material Owned Real Property:</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(A)the Loan Party that owns such Material Owned Real Property shall have satisfied the Mortgage Requirement, and</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(B)the Borrower shall, or shall cause such Loan Party to, pay all fees and expenses, including Attorney Costs, and all title insurances charges and premiums, in connection with each Loan Party’s obligations under this </w:t>
      </w:r>
      <w:r>
        <w:rPr>
          <w:rFonts w:ascii="Times New Roman;sans-serif" w:hAnsi="Times New Roman;sans-serif"/>
          <w:b w:val="false"/>
          <w:color w:val="000000"/>
          <w:sz w:val="22"/>
          <w:u w:val="single"/>
        </w:rPr>
        <w:t>Section 6.12(b)</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(ii)[Reserved.]</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As of the Closing Date, the Loan Parties do not own any Real Property that would constitute Material Owned Real Property.</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u w:val="single"/>
        </w:rPr>
        <w:t>Further Assurances</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(i)The Borrower will, and will cause each of the Loan Parties to, grant to the Administrative Agent, for the benefit of the Secured Parties, security interests in such of its assets and properties as are not covered by the Collateral Documents in order that the Borrower be in compliance with the Collateral and Guarantee Requirement. Such security interests shall (i) be granted pursuant to documentation reasonably satisfactory in form and substance to the Administrative Agent and (ii) constitute valid and enforceable perfected security interests superior to and prior to the rights of all third Persons, and subject to no other Liens, except Liens permitted by </w:t>
      </w:r>
      <w:r>
        <w:rPr>
          <w:rFonts w:ascii="Times New Roman;sans-serif" w:hAnsi="Times New Roman;sans-serif"/>
          <w:b w:val="false"/>
          <w:color w:val="000000"/>
          <w:sz w:val="22"/>
          <w:u w:val="single"/>
        </w:rPr>
        <w:t>Section 7.2</w:t>
      </w:r>
      <w:r>
        <w:rPr>
          <w:rFonts w:ascii="Times New Roman;sans-serif" w:hAnsi="Times New Roman;sans-serif"/>
          <w:b w:val="false"/>
          <w:color w:val="000000"/>
          <w:sz w:val="22"/>
        </w:rPr>
        <w:t>. Such additional collateral documents and the other instruments related thereto shall have been duly recorded or filed in such manner and in such places as are required by law to establish, perfect, preserve and protect the Liens in favor of the Administrative Agent required to be granted pursuant to such additional collateral documents and all taxes, fees and other charges payable in connection therewith shall have been paid in full.</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(ii)The Borrower will, and will cause each of the Loan Parties to, at its own expense, make, execute, endorse, acknowledge, file or deliver to the Administrative Agent from time to time such vouchers, invoices, schedules, confirmatory assignments, conveyances, </w:t>
      </w: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5"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90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90</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financing statements, transfer endorsements, powers of attorney, certificates, surveys, reports and other assurances or instruments, and take such further steps relating to the Collateral covered by any of the Collateral Documents as the Administrative Agent may reasonably require. The Borrower shall cause to be delivered to the Administrative Agent such opinions of counsel and other related documents as may be reasonably requested by the Administrative Agent.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(iii)Each action required by this </w:t>
      </w:r>
      <w:r>
        <w:rPr>
          <w:rFonts w:ascii="Times New Roman;sans-serif" w:hAnsi="Times New Roman;sans-serif"/>
          <w:b w:val="false"/>
          <w:color w:val="000000"/>
          <w:sz w:val="22"/>
          <w:u w:val="single"/>
        </w:rPr>
        <w:t>Section 6.12(c)</w:t>
      </w:r>
      <w:r>
        <w:rPr>
          <w:color w:val="000000"/>
        </w:rPr>
        <w:t xml:space="preserve"> </w:t>
      </w:r>
      <w:r>
        <w:rPr>
          <w:rFonts w:ascii="Times New Roman;sans-serif" w:hAnsi="Times New Roman;sans-serif"/>
          <w:b w:val="false"/>
          <w:color w:val="000000"/>
          <w:sz w:val="22"/>
        </w:rPr>
        <w:t>shall be completed as soon as possible, but in no event later than 30 days (or such longer period in the case of actions involving third parties as determined by the Administrative Agent in its reasonable discretion) after any such assets or properties are acquired or such action is requested to be taken by the Administrative Agent, as the case may be.</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(iv)The Borrower shall use commercially reasonable efforts to deliver or cause to be delivered to the Administrative Agent a Collateral Access Agreement with respect to (x) any location becoming a Material Location after the Closing Date and (y) the entering into of any new lease with respect to any Material Location after the Closing Date, in each case, within 60 days of such triggering event. Within five (5) Business Days of any location becoming a Material Location, the Borrower shall provide the Administrative Agent with written notice of such location becoming a Material Location. Within five (5) Business Days of any Loan Party entering into a new lease with respect to any Material Location, the Borrower shall provide the Administrative Agent with written notice of such new lease.</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6.13</w:t>
      </w:r>
      <w:r>
        <w:rPr>
          <w:rFonts w:ascii="Times New Roman;sans-serif" w:hAnsi="Times New Roman;sans-serif"/>
          <w:b w:val="false"/>
          <w:color w:val="000000"/>
          <w:sz w:val="22"/>
          <w:u w:val="single"/>
        </w:rPr>
        <w:t>Environmental Matters</w:t>
      </w:r>
      <w:r>
        <w:rPr>
          <w:rFonts w:ascii="Times New Roman;sans-serif" w:hAnsi="Times New Roman;sans-serif"/>
          <w:b w:val="false"/>
          <w:color w:val="000000"/>
          <w:sz w:val="22"/>
        </w:rPr>
        <w:t>. The Borrower will, and will cause each of its Subsidiaries to, (a) conduct its operations in material compliance with all applicable Environmental Laws, (b) implement any and all investigation, remediation, removal and response actions that either are necessary to materially comply with Environmental Laws pertaining to the presence, generation, treatment, storage, use, disposal, transportation or Release of any Hazardous Material on, at, under, or from any of their owned or leased property or are requested by Governmental Authorities pursuant to Environmental Law and (c) notify the Administrative Agent promptly upon becoming aware of any violation of Environmental Laws or any Release of Hazardous Materials on, at, under, or from, any property that is reasonably likely to result in an Environmental Claim against any Loan Party or any of its Subsidiaries in excess of the Threshold Amount</w:t>
      </w:r>
      <w:r>
        <w:rPr>
          <w:color w:val="000000"/>
        </w:rPr>
        <w:t xml:space="preserve"> </w:t>
      </w:r>
      <w:r>
        <w:rPr>
          <w:rFonts w:ascii="Times New Roman;sans-serif" w:hAnsi="Times New Roman;sans-serif"/>
          <w:b w:val="false"/>
          <w:color w:val="000000"/>
          <w:sz w:val="22"/>
        </w:rPr>
        <w:t xml:space="preserve">in the aggregate and promptly forward to the Administrative Agent a copy of any written communication received in connection therewith. If the Administrative Agent at any time has a reasonable basis to believe that there may be a violation of any Environmental Laws or a Release of Hazardous Materials on, at, under, or from any property owned or leased by any Loan Party or any of its Subsidiaries that would reasonably be expected to result in a Material Adverse Effect, then, subject to </w:t>
      </w:r>
      <w:r>
        <w:rPr>
          <w:rFonts w:ascii="Times New Roman;sans-serif" w:hAnsi="Times New Roman;sans-serif"/>
          <w:b w:val="false"/>
          <w:color w:val="000000"/>
          <w:sz w:val="22"/>
          <w:u w:val="single"/>
        </w:rPr>
        <w:t>Section 9.3(d)</w:t>
      </w:r>
      <w:r>
        <w:rPr>
          <w:rFonts w:ascii="Times New Roman;sans-serif" w:hAnsi="Times New Roman;sans-serif"/>
          <w:b w:val="false"/>
          <w:color w:val="000000"/>
          <w:sz w:val="22"/>
        </w:rPr>
        <w:t>, upon request by the Administrative Agent the Borrower shall cause such Loan Party to permit the Administrative Agent to appoint a nationally-recognized independent environmental testing firm or such other consultant as the Administrative Agent shall determine, at the Loan Parties’ expense, to have access to all property owned or leased by each Loan Party and each of its Subsidiaries for the purpose of conducting such environmental testing, including subsurface sampling of soil and groundwater, as the Administrative Agent deems appropriate to investigate the subject of the potential violation or Release.</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6.14</w:t>
      </w:r>
      <w:r>
        <w:rPr>
          <w:rFonts w:ascii="Times New Roman;sans-serif" w:hAnsi="Times New Roman;sans-serif"/>
          <w:b w:val="false"/>
          <w:color w:val="000000"/>
          <w:sz w:val="22"/>
          <w:u w:val="single"/>
        </w:rPr>
        <w:t>Post-Closing Covenant</w:t>
      </w:r>
      <w:r>
        <w:rPr>
          <w:rFonts w:ascii="Times New Roman;sans-serif" w:hAnsi="Times New Roman;sans-serif"/>
          <w:b w:val="false"/>
          <w:color w:val="000000"/>
          <w:sz w:val="22"/>
        </w:rPr>
        <w:t xml:space="preserve">. The Borrower shall, and shall cause each other Loan Party to, execute and deliver the documents and complete the tasks set forth on </w:t>
      </w:r>
      <w:r>
        <w:rPr>
          <w:rFonts w:ascii="Times New Roman;sans-serif" w:hAnsi="Times New Roman;sans-serif"/>
          <w:b w:val="false"/>
          <w:color w:val="000000"/>
          <w:sz w:val="22"/>
          <w:u w:val="single"/>
        </w:rPr>
        <w:t>Schedule 6.14</w:t>
      </w:r>
      <w:r>
        <w:rPr>
          <w:rFonts w:ascii="Times New Roman;sans-serif" w:hAnsi="Times New Roman;sans-serif"/>
          <w:b w:val="false"/>
          <w:color w:val="000000"/>
          <w:sz w:val="22"/>
        </w:rPr>
        <w:t>, in each case within the time limits specified therein (or such longer period of time reasonably acceptable to the Administrative Agent).</w:t>
      </w: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6"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91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91</w:t>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Article 7</w:t>
      </w:r>
    </w:p>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br/>
        <w:t>NEGATIVE COVENANTS</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Until the Termination Date, the Borrower covenants and agrees with the Credit Parties that: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7.1</w:t>
      </w:r>
      <w:r>
        <w:rPr>
          <w:rFonts w:ascii="Times New Roman;sans-serif" w:hAnsi="Times New Roman;sans-serif"/>
          <w:b w:val="false"/>
          <w:color w:val="000000"/>
          <w:sz w:val="22"/>
          <w:u w:val="single"/>
        </w:rPr>
        <w:t>Indebtedness; Equity Interests</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The Borrower will not, and will not permit any of its Subsidiaries to, create, incur, assume or permit to exist any Indebtedness, except:</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(i)Indebtedness created under the Loan Documents;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(ii)Indebtedness existing on the Closing Date and set forth in </w:t>
      </w:r>
      <w:r>
        <w:rPr>
          <w:rFonts w:ascii="Times New Roman;sans-serif" w:hAnsi="Times New Roman;sans-serif"/>
          <w:b w:val="false"/>
          <w:color w:val="000000"/>
          <w:sz w:val="22"/>
          <w:u w:val="single"/>
        </w:rPr>
        <w:t>Schedule 7.1</w:t>
      </w:r>
      <w:r>
        <w:rPr>
          <w:rFonts w:ascii="Times New Roman;sans-serif" w:hAnsi="Times New Roman;sans-serif"/>
          <w:b w:val="false"/>
          <w:color w:val="000000"/>
          <w:sz w:val="22"/>
        </w:rPr>
        <w:t>, and any Refinancing Indebtedness with respect thereto (“</w:t>
      </w:r>
      <w:r>
        <w:rPr>
          <w:rFonts w:ascii="Times New Roman;sans-serif" w:hAnsi="Times New Roman;sans-serif"/>
          <w:b w:val="false"/>
          <w:color w:val="000000"/>
          <w:sz w:val="22"/>
          <w:u w:val="single"/>
        </w:rPr>
        <w:t>Existing Indebtedness</w:t>
      </w:r>
      <w:r>
        <w:rPr>
          <w:color w:val="000000"/>
        </w:rPr>
        <w:t>”</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(iii)Indebtedness of the Borrower or any of its Subsidiaries incurred to finance the acquisition, construction or improvement of any fixed or capital assets, including Financing Lease Obligations and any Indebtedness assumed in connection with the acquisition of any such assets or secured by a Lien on any such assets prior to the acquisition thereof, and any Refinancing Indebtedness with respect thereto;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 such Indebtedness is incurred prior to or within 90 days after such acquisition or the completion of such construction or improvement and (B) the aggregate outstanding principal amount of Indebtedness permitted by this clause (iii) shall not, without duplication, exceed $5,000,000</w:t>
      </w:r>
      <w:r>
        <w:rPr>
          <w:color w:val="000000"/>
        </w:rPr>
        <w:t xml:space="preserve"> </w:t>
      </w:r>
      <w:r>
        <w:rPr>
          <w:rFonts w:ascii="Times New Roman;sans-serif" w:hAnsi="Times New Roman;sans-serif"/>
          <w:b w:val="false"/>
          <w:color w:val="000000"/>
          <w:sz w:val="22"/>
        </w:rPr>
        <w:t>at any time;</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(iv)Indebtedness of any Person that becomes a Subsidiary of the Borrower after the Closing Date, and any Refinancing Indebtedness with respect thereto;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 such Indebtedness exists at the time such Person becomes a Subsidiary and is not created in contemplation of or in connection with such Person becoming a Subsidiary and (B) the aggregate outstanding principal amount of Indebtedness permitted by this clause (iv) shall not, without duplication, exceed $1,000,000 at any time;</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(v)intercompany Indebtedness of the Borrower or any Subsidiary owing to and held by the Borrower or any Subsidiary;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 Indebtedness of Non-Loan Party Subsidiaries (excluding, for the avoidance of doubt, the amount thereof that constitutes Existing Indebtedness) owing to the Borrower or a Subsidiary Guarantor shall either (x) be permitted under </w:t>
      </w:r>
      <w:r>
        <w:rPr>
          <w:rFonts w:ascii="Times New Roman;sans-serif" w:hAnsi="Times New Roman;sans-serif"/>
          <w:b w:val="false"/>
          <w:color w:val="000000"/>
          <w:sz w:val="22"/>
          <w:u w:val="single"/>
        </w:rPr>
        <w:t>Section 7.4(p)</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7.4(q)</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7.4(r)</w:t>
      </w:r>
      <w:r>
        <w:rPr>
          <w:color w:val="000000"/>
        </w:rPr>
        <w:t xml:space="preserve"> </w:t>
      </w:r>
      <w:r>
        <w:rPr>
          <w:rFonts w:ascii="Times New Roman;sans-serif" w:hAnsi="Times New Roman;sans-serif"/>
          <w:b w:val="false"/>
          <w:color w:val="000000"/>
          <w:sz w:val="22"/>
        </w:rPr>
        <w:t xml:space="preserve">or (y) not exceed $1,000,000 in the aggregate at any time outstanding, constitute an Investment by the payee thereunder and only be permitted to the extent permitted by </w:t>
      </w:r>
      <w:r>
        <w:rPr>
          <w:rFonts w:ascii="Times New Roman;sans-serif" w:hAnsi="Times New Roman;sans-serif"/>
          <w:b w:val="false"/>
          <w:color w:val="000000"/>
          <w:sz w:val="22"/>
          <w:u w:val="single"/>
        </w:rPr>
        <w:t>Section 7.4</w:t>
      </w:r>
      <w:r>
        <w:rPr>
          <w:color w:val="000000"/>
        </w:rPr>
        <w:t xml:space="preserve"> </w:t>
      </w:r>
      <w:r>
        <w:rPr>
          <w:rFonts w:ascii="Times New Roman;sans-serif" w:hAnsi="Times New Roman;sans-serif"/>
          <w:b w:val="false"/>
          <w:color w:val="000000"/>
          <w:sz w:val="22"/>
        </w:rPr>
        <w:t xml:space="preserve">(other than </w:t>
      </w:r>
      <w:r>
        <w:rPr>
          <w:rFonts w:ascii="Times New Roman;sans-serif" w:hAnsi="Times New Roman;sans-serif"/>
          <w:b w:val="false"/>
          <w:color w:val="000000"/>
          <w:sz w:val="22"/>
          <w:u w:val="single"/>
        </w:rPr>
        <w:t>Section 7.4(f)</w:t>
      </w:r>
      <w:r>
        <w:rPr>
          <w:rFonts w:ascii="Times New Roman;sans-serif" w:hAnsi="Times New Roman;sans-serif"/>
          <w:b w:val="false"/>
          <w:color w:val="000000"/>
          <w:sz w:val="22"/>
        </w:rPr>
        <w:t>), and (B) any Indebtedness of a Loan Party owing to a Non-Loan Party Subsidiary shall be unsecured and subordinated to the Loan Document Obligations on terms reasonably satisfactory to Administrative Agent;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(vi)Guarantees by (A) any Loan Party of Indebtedness of any other Loan Party, (B) any Non-Loan Party Subsidiary of Indebtedness of any other Non-Loan Party Subsidiary, and (C) any Non-Loan Party Subsidiary of any Indebtedness of any Loan Party;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in each case, (x) such Indebtedness is otherwise permitted by this </w:t>
      </w:r>
      <w:r>
        <w:rPr>
          <w:rFonts w:ascii="Times New Roman;sans-serif" w:hAnsi="Times New Roman;sans-serif"/>
          <w:b w:val="false"/>
          <w:color w:val="000000"/>
          <w:sz w:val="22"/>
          <w:u w:val="single"/>
        </w:rPr>
        <w:t>Section 7.1(a)</w:t>
      </w:r>
      <w:r>
        <w:rPr>
          <w:rFonts w:ascii="Times New Roman;sans-serif" w:hAnsi="Times New Roman;sans-serif"/>
          <w:b w:val="false"/>
          <w:color w:val="000000"/>
          <w:sz w:val="22"/>
        </w:rPr>
        <w:t xml:space="preserve">, (y) no Guarantee by any Subsidiary of any Restricted Junior Debt shall be permitted unless such Subsidiary shall have also provided a Guarantee of the Loan Document Obligations and (ii) any </w:t>
      </w: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7"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92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92</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Guarantee of Indebtedness that is required to be subordinated to the Loan Document Obligations shall be subordinated on terms, taken as a whole, at least as favorable to the Lenders as such subordinated Indebtedness;</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(vii)obligations under Swap Agreements entered into in the ordinary course of business to hedge or mitigate risks to which the Borrower or any Subsidiary has actual exposure (other than those in respect of Equity Interests of the Borrower or any Subsidiary) and that are not for speculative purposes;</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(viii)Indebtedness arising from the honoring by a bank or other financial institution of a check, draft or other similar instrument drawn against insufficient funds in the ordinary course of business;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(ix)unsecured guarantees arising as a result of customary indemnification obligations to purchasers that are not Affiliates of a Loan Party in connection with any Disposition permitted by </w:t>
      </w:r>
      <w:r>
        <w:rPr>
          <w:rFonts w:ascii="Times New Roman;sans-serif" w:hAnsi="Times New Roman;sans-serif"/>
          <w:b w:val="false"/>
          <w:color w:val="000000"/>
          <w:sz w:val="22"/>
          <w:u w:val="single"/>
        </w:rPr>
        <w:t>Section 7.5</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(x)Indebtedness incurred in the ordinary course of business under (A) appeal bonds or similar instruments and (B) surety bonds, payment bonds, performance bonds, bid bonds, completion guarantees and similar obligations, workers’ compensation claims, health, disability or other employee benefits, and bankers acceptances issued for the account of any Loan Party or its Subsidiaries and unsecured guarantees thereof;</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(xi)Earn-Out Obligations owing to sellers incurred in connection with a Permitted Acquisition so long as (a) such Earn-Out Obligations are subordinated on terms reasonably acceptable to the Administrative Agent and (b) the maximum amount of potential liability in respect of such Earn-Out Obligations does not exceed $10,000,000 in the aggregate at any time outstanding; </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(xii)contingent payment obligations and contingent liabilities in respect of any indemnification obligations and adjustments of purchase price (but excluding any Earn-Out Obligations), in each case in connection with a Permitted Acquisition; </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(xiii)customary Guarantees incurred in connection with any Securitization Program; </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(xiv)reimbursement obligations under commercial letters of credit in an aggregate principal (or face) amount at any time outstanding not to exceed $2,000,000;</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(xv)Indebtedness arising from the honoring by a bank or other financial institution of a check, draft or similar instrument drawn against insufficient funds in the ordinary course of business, so long as such Indebtedness is extinguished within ten (10) days of its incurrence;</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(xvi)Indebtedness of any Loan Party owing to insurance carriers incurred in the ordinary course of business with respect to the financing of insurance premiums in a principal amount not to exceed at any time the amount of insurance premiums to be paid by such Loan Party;</w:t>
      </w: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8"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93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93</w:t>
                      </w:r>
                    </w:p>
                  </w:txbxContent>
                </v:textbox>
                <w10:wrap type="none"/>
              </v:rect>
            </w:pict>
          </mc:Fallback>
        </mc:AlternateConten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(xvii)additional unsecured Indebtedness in an aggregate principal amount not to exceed $5,000,000 at any one time outstanding;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(xviii)Indebtedness in respect of the Senior Notes (including any Guarantees thereof), together with any Refinancing Indebtedness in respect thereof, in an aggregate amount not to exceed $121,400,000,</w:t>
      </w:r>
      <w:r>
        <w:rPr>
          <w:color w:val="000000"/>
        </w:rPr>
        <w:t xml:space="preserve"> </w:t>
      </w:r>
      <w:r>
        <w:rPr>
          <w:rFonts w:ascii="Times New Roman;sans-serif" w:hAnsi="Times New Roman;sans-serif"/>
          <w:b w:val="false"/>
          <w:i/>
          <w:color w:val="000000"/>
          <w:sz w:val="22"/>
        </w:rPr>
        <w:t>less</w:t>
      </w:r>
      <w:r>
        <w:rPr>
          <w:color w:val="000000"/>
        </w:rPr>
        <w:t xml:space="preserve"> </w:t>
      </w:r>
      <w:r>
        <w:rPr>
          <w:rFonts w:ascii="Times New Roman;sans-serif" w:hAnsi="Times New Roman;sans-serif"/>
          <w:b w:val="false"/>
          <w:color w:val="000000"/>
          <w:sz w:val="22"/>
        </w:rPr>
        <w:t xml:space="preserve">the amount of any prepayments, repurchases, redemptions and commitment reductions thereunder to the extent that such prepayments, repurchases, redemptions and commitment reductions may not be reborrowed (specifically excluding, however, any such prepayments, repurchases, redemptions and commitment reductions occurring in connection with the incurrence of any Refinancing Indebtedness in respect of Indebtedness incurred under this clause (xviii));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(xix)Indebtedness of the Borrower or any Subsidiary arising under any Securitization Program;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aggregate amount of Indebtedness permitted under this clause (xix) shall not exceed $35,000,000 outstanding at any time; and</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(xx)Indebtedness in respect of the obligation to pay the “Second Payment” (as defined in the Series B Repurchase Agreement as in effect on the Closing Date) in accordance with the Series B Repurchase Agreement as in effect on the Closing Date in an aggregate principal amount not to exceed $2,600,000.</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The Borrower will not, and will not permit any of its</w:t>
      </w:r>
      <w:r>
        <w:rPr>
          <w:color w:val="000000"/>
        </w:rPr>
        <w:t xml:space="preserve"> </w:t>
      </w:r>
      <w:r>
        <w:rPr>
          <w:rFonts w:ascii="Times New Roman;sans-serif" w:hAnsi="Times New Roman;sans-serif"/>
          <w:b w:val="false"/>
          <w:color w:val="000000"/>
          <w:sz w:val="22"/>
        </w:rPr>
        <w:t xml:space="preserve">Subsidiaries to, (i) issue any Disqualified Equity Interests, or (ii) be or become liable in respect of any obligation (contingent or otherwise) to purchase, redeem, retire, acquire or make any other payment in respect of any Equity Interests of any Loan Party or any of its Subsidiaries, except as permitted under </w:t>
      </w:r>
      <w:r>
        <w:rPr>
          <w:rFonts w:ascii="Times New Roman;sans-serif" w:hAnsi="Times New Roman;sans-serif"/>
          <w:b w:val="false"/>
          <w:color w:val="000000"/>
          <w:sz w:val="22"/>
          <w:u w:val="single"/>
        </w:rPr>
        <w:t>Section 7.8</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7.2</w:t>
      </w:r>
      <w:r>
        <w:rPr>
          <w:rFonts w:ascii="Times New Roman;sans-serif" w:hAnsi="Times New Roman;sans-serif"/>
          <w:b w:val="false"/>
          <w:color w:val="000000"/>
          <w:sz w:val="22"/>
          <w:u w:val="single"/>
        </w:rPr>
        <w:t>Liens</w:t>
      </w:r>
      <w:r>
        <w:rPr>
          <w:rFonts w:ascii="Times New Roman;sans-serif" w:hAnsi="Times New Roman;sans-serif"/>
          <w:b w:val="false"/>
          <w:color w:val="000000"/>
          <w:sz w:val="22"/>
        </w:rPr>
        <w:t>. The Borrower will not, and will not permit any of its</w:t>
      </w:r>
      <w:r>
        <w:rPr>
          <w:color w:val="000000"/>
        </w:rPr>
        <w:t xml:space="preserve"> </w:t>
      </w:r>
      <w:r>
        <w:rPr>
          <w:rFonts w:ascii="Times New Roman;sans-serif" w:hAnsi="Times New Roman;sans-serif"/>
          <w:b w:val="false"/>
          <w:color w:val="000000"/>
          <w:sz w:val="22"/>
        </w:rPr>
        <w:t>Subsidiaries to, create, incur, assume or permit to exist any Lien on any property or asset now owned or hereafter acquired by it, or assign or sell any income or revenues (including accounts receivable) or rights in respect of any thereof, except: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Liens created under the Loan Documents;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Permitted Encumbrances;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 xml:space="preserve">any Lien on any property or asset of the Borrower or any Subsidiary existing on the Closing Date and set forth in </w:t>
      </w:r>
      <w:r>
        <w:rPr>
          <w:rFonts w:ascii="Times New Roman;sans-serif" w:hAnsi="Times New Roman;sans-serif"/>
          <w:b w:val="false"/>
          <w:color w:val="000000"/>
          <w:sz w:val="22"/>
          <w:u w:val="single"/>
        </w:rPr>
        <w:t>Schedule 7.2</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 such Lien shall not apply to any other property or asset of the Borrower or any Subsidiary and (ii) such Lien shall secure only those obligations which it secures on the Closing Date and any extensions, renewals and replacements thereof that do not increase the outstanding principal amount thereof;</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 xml:space="preserve">any Lien on fixed or capital assets acquired, constructed or improved by the Borrower or any Subsidiary;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 such Lien secures Indebtedness permitted by </w:t>
      </w:r>
      <w:r>
        <w:rPr>
          <w:rFonts w:ascii="Times New Roman;sans-serif" w:hAnsi="Times New Roman;sans-serif"/>
          <w:b w:val="false"/>
          <w:color w:val="000000"/>
          <w:sz w:val="22"/>
          <w:u w:val="single"/>
        </w:rPr>
        <w:t>Section 7.1(a)(iii)</w:t>
      </w:r>
      <w:r>
        <w:rPr>
          <w:rFonts w:ascii="Times New Roman;sans-serif" w:hAnsi="Times New Roman;sans-serif"/>
          <w:b w:val="false"/>
          <w:color w:val="000000"/>
          <w:sz w:val="22"/>
        </w:rPr>
        <w:t>, (ii) such Lien and the Indebtedness secured thereby are incurred prior to or within 90 days after such acquisition or the completion of such construction or improvement, (iii) the Indebtedness secured thereby does not exceed the cost of acquiring, constructing or improving such fixed or capital assets and (iv) such Lien shall not apply to any other property or assets of the Borrower or any Subsidiary;</w:t>
      </w: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9"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94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94</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rPr>
        <w:t xml:space="preserve">any Lien existing on any property or asset prior to the acquisition thereof by the Borrower or any Subsidiary or existing on any property or asset of any Person that becomes a Subsidiary after the Closing Date prior to the time such Person becomes a Subsidiary;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 such Lien secures Indebtedness permitted by </w:t>
      </w:r>
      <w:r>
        <w:rPr>
          <w:rFonts w:ascii="Times New Roman;sans-serif" w:hAnsi="Times New Roman;sans-serif"/>
          <w:b w:val="false"/>
          <w:color w:val="000000"/>
          <w:sz w:val="22"/>
          <w:u w:val="single"/>
        </w:rPr>
        <w:t>Section 7.1(a)(iv)</w:t>
      </w:r>
      <w:r>
        <w:rPr>
          <w:rFonts w:ascii="Times New Roman;sans-serif" w:hAnsi="Times New Roman;sans-serif"/>
          <w:b w:val="false"/>
          <w:color w:val="000000"/>
          <w:sz w:val="22"/>
        </w:rPr>
        <w:t xml:space="preserve">, (ii) such Lien is not created in contemplation of or in connection with such acquisition or such Person becoming a Subsidiary, as applicable, (iii) such Lien shall not apply to any other property or assets of the Borrower or any Subsidiary and (iv) such Lien shall secure only the Indebtedness and other obligations that it secures on the date of such acquisition or the date such Person becomes a Subsidiary, as applicable, and any extensions, renewals and replacements thereof that do not increase the outstanding principal amount thereof;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rPr>
        <w:t xml:space="preserve">Liens on Receivables Assets incurred in connection with a Securitization Program;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Indebtedness incurred in connection therewith shall not exceed the amount of Indebtedness permitted by </w:t>
      </w:r>
      <w:r>
        <w:rPr>
          <w:rFonts w:ascii="Times New Roman;sans-serif" w:hAnsi="Times New Roman;sans-serif"/>
          <w:b w:val="false"/>
          <w:color w:val="000000"/>
          <w:sz w:val="22"/>
          <w:u w:val="single"/>
        </w:rPr>
        <w:t>Section 7.1(a)(xix)</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(g)</w:t>
      </w:r>
      <w:r>
        <w:rPr>
          <w:rFonts w:ascii="Times New Roman;sans-serif" w:hAnsi="Times New Roman;sans-serif"/>
          <w:b w:val="false"/>
          <w:color w:val="000000"/>
          <w:sz w:val="22"/>
        </w:rPr>
        <w:t xml:space="preserve">Liens of a depository bank or securities intermediary permitted by any Control Agreement;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(h)</w:t>
      </w:r>
      <w:r>
        <w:rPr>
          <w:rFonts w:ascii="Times New Roman;sans-serif" w:hAnsi="Times New Roman;sans-serif"/>
          <w:b w:val="false"/>
          <w:color w:val="000000"/>
          <w:sz w:val="22"/>
        </w:rPr>
        <w:t xml:space="preserve">Liens on cash securing Indebtedness permitted by </w:t>
      </w:r>
      <w:r>
        <w:rPr>
          <w:rFonts w:ascii="Times New Roman;sans-serif" w:hAnsi="Times New Roman;sans-serif"/>
          <w:b w:val="false"/>
          <w:color w:val="000000"/>
          <w:sz w:val="22"/>
          <w:u w:val="single"/>
        </w:rPr>
        <w:t>Section 7.1(a)(xiv)</w:t>
      </w:r>
      <w:r>
        <w:rPr>
          <w:rFonts w:ascii="Times New Roman;sans-serif" w:hAnsi="Times New Roman;sans-serif"/>
          <w:b w:val="false"/>
          <w:color w:val="000000"/>
          <w:sz w:val="22"/>
        </w:rPr>
        <w:t>; and</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(i)</w:t>
      </w:r>
      <w:r>
        <w:rPr>
          <w:rFonts w:ascii="Times New Roman;sans-serif" w:hAnsi="Times New Roman;sans-serif"/>
          <w:b w:val="false"/>
          <w:color w:val="000000"/>
          <w:sz w:val="22"/>
        </w:rPr>
        <w:t>other Liens securing Indebtedness and other obligations in an aggregate outstanding principal amount not to exceed $5,000,000.</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7.3</w:t>
      </w:r>
      <w:r>
        <w:rPr>
          <w:rFonts w:ascii="Times New Roman;sans-serif" w:hAnsi="Times New Roman;sans-serif"/>
          <w:b w:val="false"/>
          <w:color w:val="000000"/>
          <w:sz w:val="22"/>
          <w:u w:val="single"/>
        </w:rPr>
        <w:t>Fundamental Changes; Business; Fiscal Year</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The Borrower will not, and will not permit any of its</w:t>
      </w:r>
      <w:r>
        <w:rPr>
          <w:color w:val="000000"/>
        </w:rPr>
        <w:t xml:space="preserve"> </w:t>
      </w:r>
      <w:r>
        <w:rPr>
          <w:rFonts w:ascii="Times New Roman;sans-serif" w:hAnsi="Times New Roman;sans-serif"/>
          <w:b w:val="false"/>
          <w:color w:val="000000"/>
          <w:sz w:val="22"/>
        </w:rPr>
        <w:t xml:space="preserve">Subsidiaries to, merge into or consolidate with any other Person, or permit any other Person to merge into or consolidate with it, or sell, transfer, lease or otherwise Dispose of (in one transaction or in a series of transactions) all or substantially all of its assets, or all or substantially all of the Equity Interests issued by any of its Subsidiaries (in each case, whether now owned or hereafter acquired), or liquidate or dissolve;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if at the time thereof and immediately after giving effect thereto, no Default or Event of Default shall or would have occurred and be continuing:</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(i)any Wholly-Owned Subsidiary (or any Foreign Subsidiary) of the Borrower may merge into or consolidate with (A) the Borrower in a transaction in which the Borrower is the surviving entity, (B) any Subsidiary Guarantor in a transaction in which such Subsidiary Guarantor is the surviving entity, and (C) to the extent such Subsidiary is a Non-Loan Party Subsidiary, any other Non-Loan Party Subsidiary;</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(ii)the Borrower or any Subsidiary may merge into or consolidate with any Person in a transaction that is not permitted by </w:t>
      </w:r>
      <w:r>
        <w:rPr>
          <w:rFonts w:ascii="Times New Roman;sans-serif" w:hAnsi="Times New Roman;sans-serif"/>
          <w:b w:val="false"/>
          <w:color w:val="000000"/>
          <w:sz w:val="22"/>
          <w:u w:val="single"/>
        </w:rPr>
        <w:t>Section 7.3(a)(i)</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(x) in the case of a merger involving the Borrower, the Borrower shall be the surviving entity of such merger, (y) such merger is permitted by </w:t>
      </w:r>
      <w:r>
        <w:rPr>
          <w:rFonts w:ascii="Times New Roman;sans-serif" w:hAnsi="Times New Roman;sans-serif"/>
          <w:b w:val="false"/>
          <w:color w:val="000000"/>
          <w:sz w:val="22"/>
          <w:u w:val="single"/>
        </w:rPr>
        <w:t>Section 7.4</w:t>
      </w:r>
      <w:r>
        <w:rPr>
          <w:color w:val="000000"/>
        </w:rPr>
        <w:t xml:space="preserve"> </w:t>
      </w:r>
      <w:r>
        <w:rPr>
          <w:rFonts w:ascii="Times New Roman;sans-serif" w:hAnsi="Times New Roman;sans-serif"/>
          <w:b w:val="false"/>
          <w:color w:val="000000"/>
          <w:sz w:val="22"/>
        </w:rPr>
        <w:t xml:space="preserve">and either (A) a Subsidiary Guarantor shall be the surviving entity or (B) such other Person shall become a Subsidiary Guarantor pursuant to </w:t>
      </w:r>
      <w:r>
        <w:rPr>
          <w:rFonts w:ascii="Times New Roman;sans-serif" w:hAnsi="Times New Roman;sans-serif"/>
          <w:b w:val="false"/>
          <w:color w:val="000000"/>
          <w:sz w:val="22"/>
          <w:u w:val="single"/>
        </w:rPr>
        <w:t>Section 6.12</w:t>
      </w:r>
      <w:r>
        <w:rPr>
          <w:rFonts w:ascii="Times New Roman;sans-serif" w:hAnsi="Times New Roman;sans-serif"/>
          <w:b w:val="false"/>
          <w:color w:val="000000"/>
          <w:sz w:val="22"/>
        </w:rPr>
        <w:t xml:space="preserve">, and (z) such merger shall not be prohibited by </w:t>
      </w:r>
      <w:r>
        <w:rPr>
          <w:rFonts w:ascii="Times New Roman;sans-serif" w:hAnsi="Times New Roman;sans-serif"/>
          <w:b w:val="false"/>
          <w:color w:val="000000"/>
          <w:sz w:val="22"/>
          <w:u w:val="single"/>
        </w:rPr>
        <w:t>Section 7.5</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(iii)(A) any Subsidiary of a Loan Party may sell, transfer, lease or otherwise Dispose of all or substantially all of its assets to the Borrower or to any Subsidiary Guarantor and (B) any Non-Loan Party Subsidiary may sell, transfer, lease or otherwise Dispose of all or substantially all of its assets to the Borrower or any Subsidiary of the Borrower;</w:t>
      </w: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50"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95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95</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(iv)the Borrower or any of its Subsidiaries may sell, transfer, lease or otherwise Dispose of its assets in a transaction that is not permitted by </w:t>
      </w:r>
      <w:r>
        <w:rPr>
          <w:rFonts w:ascii="Times New Roman;sans-serif" w:hAnsi="Times New Roman;sans-serif"/>
          <w:b w:val="false"/>
          <w:color w:val="000000"/>
          <w:sz w:val="22"/>
          <w:u w:val="single"/>
        </w:rPr>
        <w:t>Section 7.3(a)(iii)</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such sale, transfer, lease or other Disposition is permitted by </w:t>
      </w:r>
      <w:r>
        <w:rPr>
          <w:rFonts w:ascii="Times New Roman;sans-serif" w:hAnsi="Times New Roman;sans-serif"/>
          <w:b w:val="false"/>
          <w:color w:val="000000"/>
          <w:sz w:val="22"/>
          <w:u w:val="single"/>
        </w:rPr>
        <w:t>Section 7.5</w:t>
      </w:r>
      <w:r>
        <w:rPr>
          <w:rFonts w:ascii="Times New Roman;sans-serif" w:hAnsi="Times New Roman;sans-serif"/>
          <w:b w:val="false"/>
          <w:color w:val="000000"/>
          <w:sz w:val="22"/>
        </w:rPr>
        <w:t>; and</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(v)(A) any Non-Loan Party Subsidiary may liquidate or dissolve so long as any remaining assets are transferred to the Borrower, another Non-Loan Party Subsidiary or a Loan Party and (B) any Subsidiary Guarantor may liquidate or dissolve so long as any remaining assets of such Subsidiary Guarantor are transferred to another Loan Party;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in each case, the Borrower determines in good faith that such liquidation, receivership, examinership, rescue process or dissolution is in the best interests of the Borrower and its Subsidiaries and is not disadvantageous to the Administrative Agent or any Lender in any material respect.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The Borrower will not, and will not permit any of its</w:t>
      </w:r>
      <w:r>
        <w:rPr>
          <w:color w:val="000000"/>
        </w:rPr>
        <w:t xml:space="preserve"> </w:t>
      </w:r>
      <w:r>
        <w:rPr>
          <w:rFonts w:ascii="Times New Roman;sans-serif" w:hAnsi="Times New Roman;sans-serif"/>
          <w:b w:val="false"/>
          <w:color w:val="000000"/>
          <w:sz w:val="22"/>
        </w:rPr>
        <w:t>Subsidiaries to, engage to any material extent in any business other than an Approved Line of Business.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The Borrower will not, and will not permit any of its</w:t>
      </w:r>
      <w:r>
        <w:rPr>
          <w:color w:val="000000"/>
        </w:rPr>
        <w:t xml:space="preserve"> </w:t>
      </w:r>
      <w:r>
        <w:rPr>
          <w:rFonts w:ascii="Times New Roman;sans-serif" w:hAnsi="Times New Roman;sans-serif"/>
          <w:b w:val="false"/>
          <w:color w:val="000000"/>
          <w:sz w:val="22"/>
        </w:rPr>
        <w:t>Subsidiaries to, change its Fiscal Year.</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7.4</w:t>
      </w:r>
      <w:r>
        <w:rPr>
          <w:rFonts w:ascii="Times New Roman;sans-serif" w:hAnsi="Times New Roman;sans-serif"/>
          <w:b w:val="false"/>
          <w:color w:val="000000"/>
          <w:sz w:val="22"/>
          <w:u w:val="single"/>
        </w:rPr>
        <w:t>Investments, Loans, Advances, Guarantees and Acquisitions</w:t>
      </w:r>
      <w:r>
        <w:rPr>
          <w:rFonts w:ascii="Times New Roman;sans-serif" w:hAnsi="Times New Roman;sans-serif"/>
          <w:b w:val="false"/>
          <w:color w:val="000000"/>
          <w:sz w:val="22"/>
        </w:rPr>
        <w:t>. The Borrower will not, and will not permit any of its</w:t>
      </w:r>
      <w:r>
        <w:rPr>
          <w:color w:val="000000"/>
        </w:rPr>
        <w:t xml:space="preserve"> </w:t>
      </w:r>
      <w:r>
        <w:rPr>
          <w:rFonts w:ascii="Times New Roman;sans-serif" w:hAnsi="Times New Roman;sans-serif"/>
          <w:b w:val="false"/>
          <w:color w:val="000000"/>
          <w:sz w:val="22"/>
        </w:rPr>
        <w:t xml:space="preserve">Subsidiaries to, (i) make, purchase, hold or acquire (including pursuant to any merger) any Investment, (ii) make or permit to exist any Guarantees of any obligations of, or make or permit to exist any Investment or any other interest in, any other Person or (iii) make any Acquisition or purchase or otherwise enter into or become party to any derivative transaction, except: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Investments in cash and Cash Equivalents;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Investments existing on the Closing Date and set forth in </w:t>
      </w:r>
      <w:r>
        <w:rPr>
          <w:rFonts w:ascii="Times New Roman;sans-serif" w:hAnsi="Times New Roman;sans-serif"/>
          <w:b w:val="false"/>
          <w:color w:val="000000"/>
          <w:sz w:val="22"/>
          <w:u w:val="single"/>
        </w:rPr>
        <w:t>Schedule 5.13</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Schedule 7.4</w:t>
      </w:r>
      <w:r>
        <w:rPr>
          <w:color w:val="000000"/>
        </w:rPr>
        <w:t xml:space="preserve"> </w:t>
      </w:r>
      <w:r>
        <w:rPr>
          <w:rFonts w:ascii="Times New Roman;sans-serif" w:hAnsi="Times New Roman;sans-serif"/>
          <w:b w:val="false"/>
          <w:color w:val="000000"/>
          <w:sz w:val="22"/>
        </w:rPr>
        <w:t>and any extensions or amendments thereto not increasing the principal or capital amount thereof;</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 xml:space="preserve">Investments made by the Borrower in any Subsidiary Guarantor or any Non-Loan Party Subsidiary and made by any Subsidiary Guarantor in any other Subsidiary Guarantor or any Non-Loan Party Subsidiary;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aggregate amount of Investments by Loan Parties in Non-Loan Party Subsidiaries pursuant to this </w:t>
      </w:r>
      <w:r>
        <w:rPr>
          <w:rFonts w:ascii="Times New Roman;sans-serif" w:hAnsi="Times New Roman;sans-serif"/>
          <w:b w:val="false"/>
          <w:color w:val="000000"/>
          <w:sz w:val="22"/>
          <w:u w:val="single"/>
        </w:rPr>
        <w:t>Section 7.4(c)</w:t>
      </w:r>
      <w:r>
        <w:rPr>
          <w:rFonts w:ascii="Times New Roman;sans-serif" w:hAnsi="Times New Roman;sans-serif"/>
          <w:b w:val="false"/>
          <w:color w:val="000000"/>
          <w:sz w:val="22"/>
        </w:rPr>
        <w:t xml:space="preserve">, together with the aggregate amount of acquisitions by any Non-Loan Party Subsidiary from Loan Parties pursuant to </w:t>
      </w:r>
      <w:r>
        <w:rPr>
          <w:rFonts w:ascii="Times New Roman;sans-serif" w:hAnsi="Times New Roman;sans-serif"/>
          <w:b w:val="false"/>
          <w:color w:val="000000"/>
          <w:sz w:val="22"/>
          <w:u w:val="single"/>
        </w:rPr>
        <w:t>Section 7.4(e)(iii)</w:t>
      </w:r>
      <w:r>
        <w:rPr>
          <w:rFonts w:ascii="Times New Roman;sans-serif" w:hAnsi="Times New Roman;sans-serif"/>
          <w:b w:val="false"/>
          <w:color w:val="000000"/>
          <w:sz w:val="22"/>
        </w:rPr>
        <w:t>, shall not exceed $1,000,000 in the aggregate after the Closing Date;</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[reserved];</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rPr>
        <w:t xml:space="preserve">acquisitions made by (i) any Loan Party from any other Loan Party, (ii) any Non-Loan Party Subsidiary from any other Non-Loan Party Subsidiary and (iii) any Non-Loan Party Subsidiary from any Loan Party;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aggregate amount of acquisitions by Non-Loan Party Subsidiaries from Loan Parties pursuant to this clause (iii), together with the aggregate amount of Investments by Loan Parties in Non-Loan Party Subsidiaries pursuant to </w:t>
      </w:r>
      <w:r>
        <w:rPr>
          <w:rFonts w:ascii="Times New Roman;sans-serif" w:hAnsi="Times New Roman;sans-serif"/>
          <w:b w:val="false"/>
          <w:color w:val="000000"/>
          <w:sz w:val="22"/>
          <w:u w:val="single"/>
        </w:rPr>
        <w:t>Section 7.4(c)</w:t>
      </w:r>
      <w:r>
        <w:rPr>
          <w:rFonts w:ascii="Times New Roman;sans-serif" w:hAnsi="Times New Roman;sans-serif"/>
          <w:b w:val="false"/>
          <w:color w:val="000000"/>
          <w:sz w:val="22"/>
        </w:rPr>
        <w:t>, shall not exceed $1,000,000</w:t>
      </w:r>
      <w:r>
        <w:rPr>
          <w:color w:val="000000"/>
        </w:rPr>
        <w:t xml:space="preserve"> </w:t>
      </w:r>
      <w:r>
        <w:rPr>
          <w:rFonts w:ascii="Times New Roman;sans-serif" w:hAnsi="Times New Roman;sans-serif"/>
          <w:b w:val="false"/>
          <w:color w:val="000000"/>
          <w:sz w:val="22"/>
        </w:rPr>
        <w:t xml:space="preserve">in the aggregate after the Closing Date;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rPr>
        <w:t xml:space="preserve">Guarantees permitted by </w:t>
      </w:r>
      <w:r>
        <w:rPr>
          <w:rFonts w:ascii="Times New Roman;sans-serif" w:hAnsi="Times New Roman;sans-serif"/>
          <w:b w:val="false"/>
          <w:color w:val="000000"/>
          <w:sz w:val="22"/>
          <w:u w:val="single"/>
        </w:rPr>
        <w:t>Section 7.1(a)</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(g)</w:t>
      </w:r>
      <w:r>
        <w:rPr>
          <w:rFonts w:ascii="Times New Roman;sans-serif" w:hAnsi="Times New Roman;sans-serif"/>
          <w:b w:val="false"/>
          <w:color w:val="000000"/>
          <w:sz w:val="22"/>
        </w:rPr>
        <w:t xml:space="preserve">Swap Agreements permitted by </w:t>
      </w:r>
      <w:r>
        <w:rPr>
          <w:rFonts w:ascii="Times New Roman;sans-serif" w:hAnsi="Times New Roman;sans-serif"/>
          <w:b w:val="false"/>
          <w:color w:val="000000"/>
          <w:sz w:val="22"/>
          <w:u w:val="single"/>
        </w:rPr>
        <w:t>Section 7.1(a)(vii)</w:t>
      </w:r>
      <w:r>
        <w:rPr>
          <w:rFonts w:ascii="Times New Roman;sans-serif" w:hAnsi="Times New Roman;sans-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51" name="Frame1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96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96</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(h)</w:t>
      </w:r>
      <w:r>
        <w:rPr>
          <w:rFonts w:ascii="Times New Roman;sans-serif" w:hAnsi="Times New Roman;sans-serif"/>
          <w:b w:val="false"/>
          <w:color w:val="000000"/>
          <w:sz w:val="22"/>
        </w:rPr>
        <w:t>Permitted Acquisitions;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(i)</w:t>
      </w:r>
      <w:r>
        <w:rPr>
          <w:rFonts w:ascii="Times New Roman;sans-serif" w:hAnsi="Times New Roman;sans-serif"/>
          <w:b w:val="false"/>
          <w:color w:val="000000"/>
          <w:sz w:val="22"/>
        </w:rPr>
        <w:t>payroll, commission, travel and other similar cash advances made to directors (or comparable Persons), officers or employees in the ordinary course of business;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(j)</w:t>
      </w:r>
      <w:r>
        <w:rPr>
          <w:rFonts w:ascii="Times New Roman;sans-serif" w:hAnsi="Times New Roman;sans-serif"/>
          <w:b w:val="false"/>
          <w:color w:val="000000"/>
          <w:sz w:val="22"/>
        </w:rPr>
        <w:t xml:space="preserve">(i) promissory notes and other non-cash consideration received in connection with Dispositions permitted by </w:t>
      </w:r>
      <w:r>
        <w:rPr>
          <w:rFonts w:ascii="Times New Roman;sans-serif" w:hAnsi="Times New Roman;sans-serif"/>
          <w:b w:val="false"/>
          <w:color w:val="000000"/>
          <w:sz w:val="22"/>
          <w:u w:val="single"/>
        </w:rPr>
        <w:t>Section 7.5</w:t>
      </w:r>
      <w:r>
        <w:rPr>
          <w:color w:val="000000"/>
        </w:rPr>
        <w:t xml:space="preserve"> </w:t>
      </w:r>
      <w:r>
        <w:rPr>
          <w:rFonts w:ascii="Times New Roman;sans-serif" w:hAnsi="Times New Roman;sans-serif"/>
          <w:b w:val="false"/>
          <w:color w:val="000000"/>
          <w:sz w:val="22"/>
        </w:rPr>
        <w:t>and (ii) Investments received in settlement of amounts due to any Loan Party or any of its Subsidiaries effected in the ordinary course of business as a result of insolvency, bankruptcy, reorganization, or other similar proceeding involving an account debtor or upon the foreclosure or enforcement of any Lien in favor of a Loan Party or its Subsidiaries;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(k)</w:t>
      </w:r>
      <w:r>
        <w:rPr>
          <w:rFonts w:ascii="Times New Roman;sans-serif" w:hAnsi="Times New Roman;sans-serif"/>
          <w:b w:val="false"/>
          <w:color w:val="000000"/>
          <w:sz w:val="22"/>
        </w:rPr>
        <w:t>Investments of any Person existing at the time such Person becomes a Subsidiary or consolidates or merges with the Borrower or any Subsidiary thereof (including in connection with a Permitted Acquisition) so long as such Investments were not made in contemplation of such Person becoming a Subsidiary or of such consolidation or merger;</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(l)</w:t>
      </w:r>
      <w:r>
        <w:rPr>
          <w:rFonts w:ascii="Times New Roman;sans-serif" w:hAnsi="Times New Roman;sans-serif"/>
          <w:b w:val="false"/>
          <w:color w:val="000000"/>
          <w:sz w:val="22"/>
        </w:rPr>
        <w:t xml:space="preserve">deposits of cash made in the ordinary course of business to secure performance of (i) operating leases and (ii) other contractual obligations that do not constitute Indebtedness, including earnest money deposits made in cash in connection with any letter of intent or purchase agreement in connection with a Permitted Acquisition;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(m)</w:t>
      </w:r>
      <w:r>
        <w:rPr>
          <w:rFonts w:ascii="Times New Roman;sans-serif" w:hAnsi="Times New Roman;sans-serif"/>
          <w:b w:val="false"/>
          <w:color w:val="000000"/>
          <w:sz w:val="22"/>
        </w:rPr>
        <w:t xml:space="preserve">Investments in negotiable instruments deposited or to be deposited for collection in the ordinary course of business;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(n)</w:t>
      </w:r>
      <w:r>
        <w:rPr>
          <w:rFonts w:ascii="Times New Roman;sans-serif" w:hAnsi="Times New Roman;sans-serif"/>
          <w:b w:val="false"/>
          <w:color w:val="000000"/>
          <w:sz w:val="22"/>
        </w:rPr>
        <w:t xml:space="preserve">so long as no Default or Event of Default exists or would result therefrom, Investments made by any Loan Party in (or to acquire Equity Interests in) joint ventures in an aggregate amount not to exceed $3,000,000 in any fiscal year of the Borrower;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(o)</w:t>
      </w:r>
      <w:r>
        <w:rPr>
          <w:rFonts w:ascii="Times New Roman;sans-serif" w:hAnsi="Times New Roman;sans-serif"/>
          <w:b w:val="false"/>
          <w:color w:val="000000"/>
          <w:sz w:val="22"/>
        </w:rPr>
        <w:t>so long as no Default or Event of Default exists or would result therefrom, other Investments in an aggregate amount not to exceed $5,000,000;</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(p)</w:t>
      </w:r>
      <w:r>
        <w:rPr>
          <w:rFonts w:ascii="Times New Roman;sans-serif" w:hAnsi="Times New Roman;sans-serif"/>
          <w:b w:val="false"/>
          <w:color w:val="000000"/>
          <w:sz w:val="22"/>
        </w:rPr>
        <w:t xml:space="preserve">to the extent constituting Investments, amounts transferred internally from the Borrower or a Subsidiary to another Subsidiary in connection with transfer pricing (including cost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amounts) in the ordinary course of business;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(q)</w:t>
      </w:r>
      <w:r>
        <w:rPr>
          <w:rFonts w:ascii="Times New Roman;sans-serif" w:hAnsi="Times New Roman;sans-serif"/>
          <w:b w:val="false"/>
          <w:color w:val="000000"/>
          <w:sz w:val="22"/>
        </w:rPr>
        <w:t>obligations in respect of letters of support, guarantees or similar obligations issued, made or incurred for the benefit of any Subsidiary of the Borrower to the extent required by law or in connection with any statutory filing or the delivery of audit opinions performed in jurisdictions other than within the United States; and</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(r)</w:t>
      </w:r>
      <w:r>
        <w:rPr>
          <w:rFonts w:ascii="Times New Roman;sans-serif" w:hAnsi="Times New Roman;sans-serif"/>
          <w:b w:val="false"/>
          <w:color w:val="000000"/>
          <w:sz w:val="22"/>
        </w:rPr>
        <w:t>to the extent constituting Investments, amounts transferred internally from the Borrower or a Subsidiary to another Subsidiary in connection with the funding of reasonable payroll and other operating expenses in the ordinary course of business.</w:t>
      </w:r>
    </w:p>
    <w:p>
      <w:pPr>
        <w:pStyle w:val="TextBody"/>
        <w:bidi w:val="0"/>
        <w:spacing w:lineRule="auto" w:line="288" w:before="0" w:after="240"/>
        <w:jc w:val="both"/>
        <w:rPr/>
      </w:pPr>
      <w:r>
        <w:rPr>
          <w:rFonts w:ascii="Times New Roman;sans-serif" w:hAnsi="Times New Roman;sans-serif"/>
          <w:b w:val="false"/>
          <w:color w:val="000000"/>
          <w:sz w:val="22"/>
        </w:rPr>
        <w:t xml:space="preserve">In determining the amount of Investments, acquisitions, loans, and advances permitted under this </w:t>
      </w:r>
      <w:r>
        <w:rPr>
          <w:rFonts w:ascii="Times New Roman;sans-serif" w:hAnsi="Times New Roman;sans-serif"/>
          <w:b w:val="false"/>
          <w:color w:val="000000"/>
          <w:sz w:val="22"/>
          <w:u w:val="single"/>
        </w:rPr>
        <w:t>Section 7.4</w:t>
      </w:r>
      <w:r>
        <w:rPr>
          <w:rFonts w:ascii="Times New Roman;sans-serif" w:hAnsi="Times New Roman;sans-serif"/>
          <w:b w:val="false"/>
          <w:color w:val="000000"/>
          <w:sz w:val="22"/>
        </w:rPr>
        <w:t xml:space="preserve">, Investments and acquisitions shall always be taken at the original cost thereof (regardless of any subsequent appreciation or depreciation therein) </w:t>
      </w:r>
      <w:r>
        <w:rPr>
          <w:rFonts w:ascii="Times New Roman;sans-serif" w:hAnsi="Times New Roman;sans-serif"/>
          <w:b w:val="false"/>
          <w:color w:val="000000"/>
          <w:sz w:val="22"/>
          <w:u w:val="single"/>
        </w:rPr>
        <w:t>minus</w:t>
      </w:r>
      <w:r>
        <w:rPr>
          <w:color w:val="000000"/>
        </w:rPr>
        <w:t xml:space="preserve"> </w:t>
      </w:r>
      <w:r>
        <w:rPr>
          <w:rFonts w:ascii="Times New Roman;sans-serif" w:hAnsi="Times New Roman;sans-serif"/>
          <w:b w:val="false"/>
          <w:color w:val="000000"/>
          <w:sz w:val="22"/>
        </w:rPr>
        <w:t xml:space="preserve">all returns of principal, capital, dividends, distributions and other cash returns thereof and </w:t>
      </w:r>
      <w:r>
        <w:rPr>
          <w:rFonts w:ascii="Times New Roman;sans-serif" w:hAnsi="Times New Roman;sans-serif"/>
          <w:b w:val="false"/>
          <w:color w:val="000000"/>
          <w:sz w:val="22"/>
          <w:u w:val="single"/>
        </w:rPr>
        <w:t>minus</w:t>
      </w:r>
      <w:r>
        <w:rPr>
          <w:color w:val="000000"/>
        </w:rPr>
        <w:t xml:space="preserve"> </w:t>
      </w:r>
      <w:r>
        <w:rPr>
          <w:rFonts w:ascii="Times New Roman;sans-serif" w:hAnsi="Times New Roman;sans-serif"/>
          <w:b w:val="false"/>
          <w:color w:val="000000"/>
          <w:sz w:val="22"/>
        </w:rPr>
        <w:t>all liabilities expressly assumed by another Person in connection with the sale or other Disposition of any Investment, and loans and advances shall be taken at the principal amount thereof then remaining unpaid.</w:t>
      </w: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52" name="Frame1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97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97</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7.5</w:t>
      </w:r>
      <w:r>
        <w:rPr>
          <w:rFonts w:ascii="Times New Roman;sans-serif" w:hAnsi="Times New Roman;sans-serif"/>
          <w:b w:val="false"/>
          <w:color w:val="000000"/>
          <w:sz w:val="22"/>
          <w:u w:val="single"/>
        </w:rPr>
        <w:t>Dispositions</w:t>
      </w:r>
      <w:r>
        <w:rPr>
          <w:rFonts w:ascii="Times New Roman;sans-serif" w:hAnsi="Times New Roman;sans-serif"/>
          <w:b w:val="false"/>
          <w:color w:val="000000"/>
          <w:sz w:val="22"/>
        </w:rPr>
        <w:t>. The Borrower will not, and will not permit any of its</w:t>
      </w:r>
      <w:r>
        <w:rPr>
          <w:color w:val="000000"/>
        </w:rPr>
        <w:t xml:space="preserve"> </w:t>
      </w:r>
      <w:r>
        <w:rPr>
          <w:rFonts w:ascii="Times New Roman;sans-serif" w:hAnsi="Times New Roman;sans-serif"/>
          <w:b w:val="false"/>
          <w:color w:val="000000"/>
          <w:sz w:val="22"/>
        </w:rPr>
        <w:t>Subsidiaries to, Dispose of any of its properties or assets except: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issuances of Qualified Equity Interests by any Wholly-Owned Subsidiary of a Loan Party to a Loan Party,</w:t>
      </w:r>
      <w:r>
        <w:rPr>
          <w:color w:val="000000"/>
        </w:rPr>
        <w:t xml:space="preserve"> </w:t>
      </w:r>
      <w:r>
        <w:rPr>
          <w:rFonts w:ascii="Times New Roman;sans-serif" w:hAnsi="Times New Roman;sans-serif"/>
          <w:b w:val="false"/>
          <w:color w:val="000000"/>
          <w:sz w:val="22"/>
        </w:rPr>
        <w:t>subject to the Collateral and Guarantee Requirement;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[reserved];</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Dispositions of Cash Equivalents in the ordinary course of business made to a Person that is not an Affiliate of a Loan Party and (ii) conversions of Cash Equivalents into cash or other Cash Equivalents;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the licensing and sublicensing on a non-exclusive basis of patents, trademarks, copyrights, and other intellectual property rights in the ordinary course of business, and the leasing and subleasing of any other property;</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rPr>
        <w:t xml:space="preserve">the granting of Liens permitted hereunder and the other transactions permitted by </w:t>
      </w:r>
      <w:r>
        <w:rPr>
          <w:rFonts w:ascii="Times New Roman;sans-serif" w:hAnsi="Times New Roman;sans-serif"/>
          <w:b w:val="false"/>
          <w:color w:val="000000"/>
          <w:sz w:val="22"/>
          <w:u w:val="single"/>
        </w:rPr>
        <w:t>Section 7.2</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rPr>
        <w:t>[reserved];</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(g)</w:t>
      </w:r>
      <w:r>
        <w:rPr>
          <w:rFonts w:ascii="Times New Roman;sans-serif" w:hAnsi="Times New Roman;sans-serif"/>
          <w:b w:val="false"/>
          <w:color w:val="000000"/>
          <w:sz w:val="22"/>
        </w:rPr>
        <w:t>the abandonment, cancellation or lapse of issued patents, registered trademarks and other registered intellectual property of a Loan Party or Subsidiary thereof to the extent, in such Loan Party’s reasonable business judgment, not economically desirable in the conduct of such Loan Party’s business or so long as such lapse is not materially adverse to the interests of the Lenders and the expiration of patents in accordance with their statutory terms;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(h)</w:t>
      </w:r>
      <w:r>
        <w:rPr>
          <w:rFonts w:ascii="Times New Roman;sans-serif" w:hAnsi="Times New Roman;sans-serif"/>
          <w:b w:val="false"/>
          <w:color w:val="000000"/>
          <w:sz w:val="22"/>
        </w:rPr>
        <w:t>the sale of assets (other than Equity Interests of any Wholly-Owned Subsidiary, unless all of the Equity Interests of such Wholly-Owned Subsidiary (other than the Borrower) are sold in accordance with this clause (h)) for at least fair market value, so long as (A) no Default or Event of Default then exists or would immediately result therefrom, (B) at least 75% of the consideration received by the applicable Loan Party consists of cash or Cash Equivalents and is paid at the time of the closing of such sale and (C) the aggregate amount of the cash and non-cash proceeds received from all assets sold pursuant to this clause (h) shall not exceed $15,000,000</w:t>
      </w:r>
      <w:r>
        <w:rPr>
          <w:color w:val="000000"/>
        </w:rPr>
        <w:t xml:space="preserve"> </w:t>
      </w:r>
      <w:r>
        <w:rPr>
          <w:rFonts w:ascii="Times New Roman;sans-serif" w:hAnsi="Times New Roman;sans-serif"/>
          <w:b w:val="false"/>
          <w:color w:val="000000"/>
          <w:sz w:val="22"/>
        </w:rPr>
        <w:t>in the aggregate during the term of this Credit Agreement (for this purpose, using the fair market value of property other than cash and Cash Equivalents);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(i)</w:t>
      </w:r>
      <w:r>
        <w:rPr>
          <w:rFonts w:ascii="Times New Roman;sans-serif" w:hAnsi="Times New Roman;sans-serif"/>
          <w:b w:val="false"/>
          <w:color w:val="000000"/>
          <w:sz w:val="22"/>
        </w:rPr>
        <w:t>Dispositions of assets acquired by the Borrower</w:t>
      </w:r>
      <w:r>
        <w:rPr>
          <w:color w:val="000000"/>
        </w:rPr>
        <w:t xml:space="preserve"> </w:t>
      </w:r>
      <w:r>
        <w:rPr>
          <w:rFonts w:ascii="Times New Roman;sans-serif" w:hAnsi="Times New Roman;sans-serif"/>
          <w:b w:val="false"/>
          <w:color w:val="000000"/>
          <w:sz w:val="22"/>
        </w:rPr>
        <w:t>and its Subsidiaries pursuant to a Permitted Acquisition consummated within 12 months of the date of such Permitted Acquisition in an aggregate amount not to exceed $5,000,000</w:t>
      </w:r>
      <w:r>
        <w:rPr>
          <w:color w:val="000000"/>
        </w:rPr>
        <w:t xml:space="preserve"> </w:t>
      </w:r>
      <w:r>
        <w:rPr>
          <w:rFonts w:ascii="Times New Roman;sans-serif" w:hAnsi="Times New Roman;sans-serif"/>
          <w:b w:val="false"/>
          <w:color w:val="000000"/>
          <w:sz w:val="22"/>
        </w:rPr>
        <w:t>for each such Permitted Acquisition;</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(j)</w:t>
      </w:r>
      <w:r>
        <w:rPr>
          <w:rFonts w:ascii="Times New Roman;sans-serif" w:hAnsi="Times New Roman;sans-serif"/>
          <w:b w:val="false"/>
          <w:color w:val="000000"/>
          <w:sz w:val="22"/>
        </w:rPr>
        <w:t xml:space="preserve">any trade in of equipment in exchange for other equipment in the ordinary course of business;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(k)</w:t>
      </w:r>
      <w:r>
        <w:rPr>
          <w:rFonts w:ascii="Times New Roman;sans-serif" w:hAnsi="Times New Roman;sans-serif"/>
          <w:b w:val="false"/>
          <w:color w:val="000000"/>
          <w:sz w:val="22"/>
        </w:rPr>
        <w:t xml:space="preserve">the sale or factoring of any Receivables Assets pursuant to the terms of any Securitization Program permitted under </w:t>
      </w:r>
      <w:r>
        <w:rPr>
          <w:rFonts w:ascii="Times New Roman;sans-serif" w:hAnsi="Times New Roman;sans-serif"/>
          <w:b w:val="false"/>
          <w:color w:val="000000"/>
          <w:sz w:val="22"/>
          <w:u w:val="single"/>
        </w:rPr>
        <w:t>Section 7.1(a)(xix)</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(l)</w:t>
      </w:r>
      <w:r>
        <w:rPr>
          <w:rFonts w:ascii="Times New Roman;sans-serif" w:hAnsi="Times New Roman;sans-serif"/>
          <w:b w:val="false"/>
          <w:color w:val="000000"/>
          <w:sz w:val="22"/>
        </w:rPr>
        <w:t>the unwinding or terminating of hedging arrangements or transactions contemplated by any Swap Agreement which are not prohibited hereunder;</w:t>
      </w: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53" name="Frame1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98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98</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(m)</w:t>
      </w:r>
      <w:r>
        <w:rPr>
          <w:rFonts w:ascii="Times New Roman;sans-serif" w:hAnsi="Times New Roman;sans-serif"/>
          <w:b w:val="false"/>
          <w:color w:val="000000"/>
          <w:sz w:val="22"/>
        </w:rPr>
        <w:t xml:space="preserve">dispositions of substantially worn out, damaged, uneconomical, surplus or obsolete equipment, equipment that is no longer useful in the business of the Borrower or its Subsidiaries;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(n)</w:t>
      </w:r>
      <w:r>
        <w:rPr>
          <w:rFonts w:ascii="Times New Roman;sans-serif" w:hAnsi="Times New Roman;sans-serif"/>
          <w:b w:val="false"/>
          <w:color w:val="000000"/>
          <w:sz w:val="22"/>
        </w:rPr>
        <w:t>Dispositions of assets from one Loan Party to another Loan Party;</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(o)</w:t>
      </w:r>
      <w:r>
        <w:rPr>
          <w:rFonts w:ascii="Times New Roman;sans-serif" w:hAnsi="Times New Roman;sans-serif"/>
          <w:b w:val="false"/>
          <w:color w:val="000000"/>
          <w:sz w:val="22"/>
        </w:rPr>
        <w:t>Dispositions of assets by any Subsidiary that is not a Loan Party to a Loan Party or to a Subsidiary that is not a Loan Party;</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(p)</w:t>
      </w:r>
      <w:r>
        <w:rPr>
          <w:rFonts w:ascii="Times New Roman;sans-serif" w:hAnsi="Times New Roman;sans-serif"/>
          <w:b w:val="false"/>
          <w:color w:val="000000"/>
          <w:sz w:val="22"/>
        </w:rPr>
        <w:t>Dispositions of intellectual property that is, in the reasonable judgment of the Borrower, no longer economically practicable to maintain or useful in the conduct of the business of the Borrower and the Subsidiaries, taken as a whole;</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(q)</w:t>
      </w:r>
      <w:r>
        <w:rPr>
          <w:rFonts w:ascii="Times New Roman;sans-serif" w:hAnsi="Times New Roman;sans-serif"/>
          <w:b w:val="false"/>
          <w:color w:val="000000"/>
          <w:sz w:val="22"/>
        </w:rPr>
        <w:t xml:space="preserve">settlement of intercompany Indebtedness permitted under </w:t>
      </w:r>
      <w:r>
        <w:rPr>
          <w:rFonts w:ascii="Times New Roman;sans-serif" w:hAnsi="Times New Roman;sans-serif"/>
          <w:b w:val="false"/>
          <w:color w:val="000000"/>
          <w:sz w:val="22"/>
          <w:u w:val="single"/>
        </w:rPr>
        <w:t>Section 7.1</w:t>
      </w:r>
      <w:r>
        <w:rPr>
          <w:color w:val="000000"/>
        </w:rPr>
        <w:t xml:space="preserve"> </w:t>
      </w:r>
      <w:r>
        <w:rPr>
          <w:rFonts w:ascii="Times New Roman;sans-serif" w:hAnsi="Times New Roman;sans-serif"/>
          <w:b w:val="false"/>
          <w:color w:val="000000"/>
          <w:sz w:val="22"/>
        </w:rPr>
        <w:t xml:space="preserve">to the extent payment of such Indebtedness is permitted under </w:t>
      </w:r>
      <w:r>
        <w:rPr>
          <w:rFonts w:ascii="Times New Roman;sans-serif" w:hAnsi="Times New Roman;sans-serif"/>
          <w:b w:val="false"/>
          <w:color w:val="000000"/>
          <w:sz w:val="22"/>
          <w:u w:val="single"/>
        </w:rPr>
        <w:t>Section 7.13</w:t>
      </w:r>
      <w:r>
        <w:rPr>
          <w:rFonts w:ascii="Times New Roman;sans-serif" w:hAnsi="Times New Roman;sans-serif"/>
          <w:b w:val="false"/>
          <w:color w:val="000000"/>
          <w:sz w:val="22"/>
        </w:rPr>
        <w:t>; and</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(r)</w:t>
      </w:r>
      <w:r>
        <w:rPr>
          <w:rFonts w:ascii="Times New Roman;sans-serif" w:hAnsi="Times New Roman;sans-serif"/>
          <w:b w:val="false"/>
          <w:color w:val="000000"/>
          <w:sz w:val="22"/>
        </w:rPr>
        <w:t xml:space="preserve">so long as no Default or Event of Default then exists or would immediately result therefrom, Dispositions of assets (other than Equity Interests in a Subsidiary unless all Equity Interests in such Subsidiary are sold) that are not permitted by any other clause of this </w:t>
      </w:r>
      <w:r>
        <w:rPr>
          <w:rFonts w:ascii="Times New Roman;sans-serif" w:hAnsi="Times New Roman;sans-serif"/>
          <w:b w:val="false"/>
          <w:color w:val="000000"/>
          <w:sz w:val="22"/>
          <w:u w:val="single"/>
        </w:rPr>
        <w:t>Section 7.05</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aggregate fair market value of all assets Disposed of in reliance upon this clause (r) shall not exceed $2,500,000 during any fiscal year.</w:t>
      </w:r>
    </w:p>
    <w:p>
      <w:pPr>
        <w:pStyle w:val="TextBody"/>
        <w:bidi w:val="0"/>
        <w:spacing w:lineRule="auto" w:line="288" w:before="0" w:after="240"/>
        <w:jc w:val="both"/>
        <w:rPr/>
      </w:pPr>
      <w:r>
        <w:rPr>
          <w:rFonts w:ascii="Times New Roman;sans-serif" w:hAnsi="Times New Roman;sans-serif"/>
          <w:b w:val="false"/>
          <w:color w:val="000000"/>
          <w:sz w:val="22"/>
        </w:rPr>
        <w:t xml:space="preserve">To the extent the Required Lenders or all the Lenders, as applicable, waive the provisions of this </w:t>
      </w:r>
      <w:r>
        <w:rPr>
          <w:rFonts w:ascii="Times New Roman;sans-serif" w:hAnsi="Times New Roman;sans-serif"/>
          <w:b w:val="false"/>
          <w:color w:val="000000"/>
          <w:sz w:val="22"/>
          <w:u w:val="single"/>
        </w:rPr>
        <w:t>Section 7.5</w:t>
      </w:r>
      <w:r>
        <w:rPr>
          <w:color w:val="000000"/>
        </w:rPr>
        <w:t xml:space="preserve"> </w:t>
      </w:r>
      <w:r>
        <w:rPr>
          <w:rFonts w:ascii="Times New Roman;sans-serif" w:hAnsi="Times New Roman;sans-serif"/>
          <w:b w:val="false"/>
          <w:color w:val="000000"/>
          <w:sz w:val="22"/>
        </w:rPr>
        <w:t xml:space="preserve">with respect to the sale of any Collateral, or any Collateral is sold as permitted by this </w:t>
      </w:r>
      <w:r>
        <w:rPr>
          <w:rFonts w:ascii="Times New Roman;sans-serif" w:hAnsi="Times New Roman;sans-serif"/>
          <w:b w:val="false"/>
          <w:color w:val="000000"/>
          <w:sz w:val="22"/>
          <w:u w:val="single"/>
        </w:rPr>
        <w:t>Section 7.5</w:t>
      </w:r>
      <w:r>
        <w:rPr>
          <w:rFonts w:ascii="Times New Roman;sans-serif" w:hAnsi="Times New Roman;sans-serif"/>
          <w:b w:val="false"/>
          <w:color w:val="000000"/>
          <w:sz w:val="22"/>
        </w:rPr>
        <w:t>, such Collateral (unless sold to a Loan Party) shall be sold automatically free and clear of the Liens created by the Collateral Documents and, at the expense of the Loan Parties, the Administrative Agent shall take all reasonable actions any Loan Party reasonably requests in writing in order to effect the foregoing.</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7.6</w:t>
      </w:r>
      <w:r>
        <w:rPr>
          <w:rFonts w:ascii="Times New Roman;sans-serif" w:hAnsi="Times New Roman;sans-serif"/>
          <w:b w:val="false"/>
          <w:color w:val="000000"/>
          <w:sz w:val="22"/>
          <w:u w:val="single"/>
        </w:rPr>
        <w:t>Sale and Lease Back Transactions.</w:t>
      </w:r>
      <w:r>
        <w:rPr>
          <w:color w:val="000000"/>
        </w:rPr>
        <w:t xml:space="preserve"> </w:t>
      </w:r>
      <w:r>
        <w:rPr>
          <w:rFonts w:ascii="Times New Roman;sans-serif" w:hAnsi="Times New Roman;sans-serif"/>
          <w:b w:val="false"/>
          <w:color w:val="000000"/>
          <w:sz w:val="22"/>
        </w:rPr>
        <w:t>The Borrower will not, and will not permit any of its</w:t>
      </w:r>
      <w:r>
        <w:rPr>
          <w:color w:val="000000"/>
        </w:rPr>
        <w:t xml:space="preserve"> </w:t>
      </w:r>
      <w:r>
        <w:rPr>
          <w:rFonts w:ascii="Times New Roman;sans-serif" w:hAnsi="Times New Roman;sans-serif"/>
          <w:b w:val="false"/>
          <w:color w:val="000000"/>
          <w:sz w:val="22"/>
        </w:rPr>
        <w:t>Subsidiaries to, enter into any Sale and Leaseback arrangement, directly or indirectly, with any Person.</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7.7</w:t>
      </w:r>
      <w:r>
        <w:rPr>
          <w:rFonts w:ascii="Times New Roman;sans-serif" w:hAnsi="Times New Roman;sans-serif"/>
          <w:b w:val="false"/>
          <w:color w:val="000000"/>
          <w:sz w:val="22"/>
          <w:u w:val="single"/>
        </w:rPr>
        <w:t>[Reserved]</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7.8</w:t>
      </w:r>
      <w:r>
        <w:rPr>
          <w:rFonts w:ascii="Times New Roman;sans-serif" w:hAnsi="Times New Roman;sans-serif"/>
          <w:b w:val="false"/>
          <w:color w:val="000000"/>
          <w:sz w:val="22"/>
          <w:u w:val="single"/>
        </w:rPr>
        <w:t>Restricted Payments</w:t>
      </w:r>
      <w:r>
        <w:rPr>
          <w:rFonts w:ascii="Times New Roman;sans-serif" w:hAnsi="Times New Roman;sans-serif"/>
          <w:b w:val="false"/>
          <w:color w:val="000000"/>
          <w:sz w:val="22"/>
        </w:rPr>
        <w:t>. The Borrower will not, and will not permit any of its</w:t>
      </w:r>
      <w:r>
        <w:rPr>
          <w:color w:val="000000"/>
        </w:rPr>
        <w:t xml:space="preserve"> </w:t>
      </w:r>
      <w:r>
        <w:rPr>
          <w:rFonts w:ascii="Times New Roman;sans-serif" w:hAnsi="Times New Roman;sans-serif"/>
          <w:b w:val="false"/>
          <w:color w:val="000000"/>
          <w:sz w:val="22"/>
        </w:rPr>
        <w:t>Subsidiaries to, declare or make, or agree to pay for or make, directly or indirectly, any Restricted Payment, or incur any obligation (contingent or otherwise) to do so, except: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subject to the Collateral and Guarantee Requirement, any Subsidiary of the Borrower may declare and pay, and agree to pay, dividends and other distributions with respect to its Equity Interests payable solely in perpetual common Equity Interests (other than Disqualified Equity Interests) of such Subsidiary to the Borrower or any Subsidiary Guarantor that is a Wholly-Owned Subsidiary of the Borrower;</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any Subsidiary of the Borrower may declare and pay dividends or other distributions with respect to its Equity Interests to solely the Borrower or any Subsidiary Guarantor;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 xml:space="preserve">the making of dividends or distributions by a Non-Loan Party Subsidiary solely to a Loan Party or another Non-Loan Party Subsidiary; </w:t>
      </w: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154" name="Frame1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99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99</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 xml:space="preserve">the redemption in full in cash of all of the outstanding shares of Series B Stock (including any accrued but unpaid dividends thereon) in accordance with the terms of the Series B Repurchase Agreement;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rPr>
        <w:t xml:space="preserve">the repurchase of stock, partnership, membership, or other ownership interest or other equity securities of the Borrower held by former employees or consultants pursuant to stock repurchase agreements so long as no Default or Event of Default exists at the time of any such repurchase or would exist after giving effect to any such repurchase;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aggregate amount paid in reliance upon this clause (e) shall not exceed $500,000 during any fiscal year;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rPr>
        <w:t xml:space="preserve">in each case to the extent due and payable on a non-accelerated basis and permitted under the applicable subordination provisions thereof, the Borrower or the applicable Subsidiary that is the obligor on an Earn-Out Obligation may make regularly scheduled principal and interest payments in respect of such Earn-Out Obligation so long as (i) no Default or Event of Default then exists or would immediately result therefrom, (ii) after giving effect to such payment the Credit Parties are in compliance on a Pro Forma Basis with the </w:t>
      </w:r>
      <w:r>
        <w:rPr>
          <w:rFonts w:ascii="Times New Roman;sans-serif" w:hAnsi="Times New Roman;sans-serif"/>
          <w:b w:val="false"/>
          <w:color w:val="000000"/>
          <w:sz w:val="22"/>
          <w:u w:val="single"/>
        </w:rPr>
        <w:t>Section 7.12(a)</w:t>
      </w:r>
      <w:r>
        <w:rPr>
          <w:rFonts w:ascii="Times New Roman;sans-serif" w:hAnsi="Times New Roman;sans-serif"/>
          <w:b w:val="false"/>
          <w:color w:val="000000"/>
          <w:sz w:val="22"/>
        </w:rPr>
        <w:t xml:space="preserve">, calculated as of the last day of the trailing twelve-month period ending as of the most recent fiscal for which financial statements have been delivered (or are required to have been delivered) pursuant to </w:t>
      </w:r>
      <w:r>
        <w:rPr>
          <w:rFonts w:ascii="Times New Roman;sans-serif" w:hAnsi="Times New Roman;sans-serif"/>
          <w:b w:val="false"/>
          <w:color w:val="000000"/>
          <w:sz w:val="22"/>
          <w:u w:val="single"/>
        </w:rPr>
        <w:t>Section 6.1(a)</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(b</w:t>
      </w:r>
      <w:r>
        <w:rPr>
          <w:rFonts w:ascii="Times New Roman;sans-serif" w:hAnsi="Times New Roman;sans-serif"/>
          <w:b w:val="false"/>
          <w:color w:val="000000"/>
          <w:sz w:val="22"/>
        </w:rPr>
        <w:t>), and (iii) immediately before and after giving effect to such payment, on a Pro Forma Basis Liquidity is greater than or equal to $5,000,000; and</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(g)</w:t>
      </w:r>
      <w:r>
        <w:rPr>
          <w:rFonts w:ascii="Times New Roman;sans-serif" w:hAnsi="Times New Roman;sans-serif"/>
          <w:b w:val="false"/>
          <w:color w:val="000000"/>
          <w:sz w:val="22"/>
        </w:rPr>
        <w:t>the making of payments due under, and in accordance with, the Lumine APA as in effect on the Closing Date in an aggregate amount not to exceed $550,000.</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7.9</w:t>
      </w:r>
      <w:r>
        <w:rPr>
          <w:rFonts w:ascii="Times New Roman;sans-serif" w:hAnsi="Times New Roman;sans-serif"/>
          <w:b w:val="false"/>
          <w:color w:val="000000"/>
          <w:sz w:val="22"/>
          <w:u w:val="single"/>
        </w:rPr>
        <w:t>Transactions with Affiliates</w:t>
      </w:r>
      <w:r>
        <w:rPr>
          <w:rFonts w:ascii="Times New Roman;sans-serif" w:hAnsi="Times New Roman;sans-serif"/>
          <w:b w:val="false"/>
          <w:color w:val="000000"/>
          <w:sz w:val="22"/>
        </w:rPr>
        <w:t>. The Borrower will not, and will not permit any of its</w:t>
      </w:r>
      <w:r>
        <w:rPr>
          <w:color w:val="000000"/>
        </w:rPr>
        <w:t xml:space="preserve"> </w:t>
      </w:r>
      <w:r>
        <w:rPr>
          <w:rFonts w:ascii="Times New Roman;sans-serif" w:hAnsi="Times New Roman;sans-serif"/>
          <w:b w:val="false"/>
          <w:color w:val="000000"/>
          <w:sz w:val="22"/>
        </w:rPr>
        <w:t xml:space="preserve">Subsidiaries to, Dispose (including pursuant to a merger) of any property or assets to, or purchase, lease or otherwise acquire (including pursuant to a merger) any property or assets from, or otherwise engage in any other transactions or enter into any other agreements with, any of its Affiliates, except (a) transactions in the ordinary course of business and at prices and on terms and conditions not less favorable to such Loan Party or such Subsidiary than could be obtained on an arm’s-length basis from unrelated third parties (it being understood that any transaction that is expressly permitted under </w:t>
      </w:r>
      <w:r>
        <w:rPr>
          <w:rFonts w:ascii="Times New Roman;sans-serif" w:hAnsi="Times New Roman;sans-serif"/>
          <w:b w:val="false"/>
          <w:color w:val="000000"/>
          <w:sz w:val="22"/>
          <w:u w:val="single"/>
        </w:rPr>
        <w:t>Section 7.1</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7.3</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7.4</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7.5</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7.8</w:t>
      </w:r>
      <w:r>
        <w:rPr>
          <w:color w:val="000000"/>
        </w:rPr>
        <w:t xml:space="preserve"> </w:t>
      </w:r>
      <w:r>
        <w:rPr>
          <w:rFonts w:ascii="Times New Roman;sans-serif" w:hAnsi="Times New Roman;sans-serif"/>
          <w:b w:val="false"/>
          <w:color w:val="000000"/>
          <w:sz w:val="22"/>
        </w:rPr>
        <w:t xml:space="preserve">of this Credit Agreement between or among the Loan Parties and not involving any other Affiliate shall be permitted under this </w:t>
      </w:r>
      <w:r>
        <w:rPr>
          <w:rFonts w:ascii="Times New Roman;sans-serif" w:hAnsi="Times New Roman;sans-serif"/>
          <w:b w:val="false"/>
          <w:color w:val="000000"/>
          <w:sz w:val="22"/>
          <w:u w:val="single"/>
        </w:rPr>
        <w:t>Section 7.9</w:t>
      </w:r>
      <w:r>
        <w:rPr>
          <w:rFonts w:ascii="Times New Roman;sans-serif" w:hAnsi="Times New Roman;sans-serif"/>
          <w:b w:val="false"/>
          <w:color w:val="000000"/>
          <w:sz w:val="22"/>
        </w:rPr>
        <w:t>) (b) the payment of reasonable fees and reasonable expense reimbursements to directors of any Loan Party or any of its Subsidiaries, and compensation and indemnification of, and other employment agreements and arrangements, employee benefit plans and stock incentive plans paid to directors, officers and employees of any Loan Party or any of its Subsidiaries, in each case, in the ordinary course of business, and (c) transactions undertaken in good faith (as certified in writing by a Responsible Officer of the Borrower) for the purpose of improving the consolidated tax efficiency of a Loan Party and its Subsidiaries and not for the purpose of circumventing any covenant set forth in this Credit Agreement so long as such transactions, taken as a whole, are not materially adverse to the Administrative Agent and/or the Lenders and do not result in a material adverse effect on, or otherwise materially impair, the Liens on the Collateral granted by the Loan Parties in favor of the Secured Parties or the Guarantees of the Loan Document Obligations provided by the Guarantors, taken as a whole.</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7.10</w:t>
      </w:r>
      <w:r>
        <w:rPr>
          <w:rFonts w:ascii="Times New Roman;sans-serif" w:hAnsi="Times New Roman;sans-serif"/>
          <w:b w:val="false"/>
          <w:color w:val="000000"/>
          <w:sz w:val="22"/>
          <w:u w:val="single"/>
        </w:rPr>
        <w:t>Restrictive Agreements</w:t>
      </w:r>
      <w:r>
        <w:rPr>
          <w:rFonts w:ascii="Times New Roman;sans-serif" w:hAnsi="Times New Roman;sans-serif"/>
          <w:b w:val="false"/>
          <w:color w:val="000000"/>
          <w:sz w:val="22"/>
        </w:rPr>
        <w:t xml:space="preserve">. The Borrower will not, and will not permit any of its Subsidiaries to, directly or indirectly, enter into, incur or permit to exist any agreement or other arrangement that prohibits, restricts or imposes any condition upon (a) the ability of any Loan Party or any of its Subsidiaries to create, incur or permit to exist any Lien upon any of its property or assets </w:t>
      </w: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155" name="Frame1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100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100</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(unless such agreement or arrangement does not prohibit, restrict or impose any condition upon the ability of any Loan Party to create, incur or permit to exist, or the ability of the Administrative Agent to exercise any right or remedy with respect to, any Lien in favor of the Secured Parties created under the Loan Documents) or (b) the ability of any Subsidiary to pay dividends or make other distributions with respect to any of its Equity Interests or to make or repay loans or advances to the Borrower or any other Subsidiary or to Guarantee Indebtedness of the Borrower or any other Subsidiary;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 the foregoing shall not apply to (A) restrictions and conditions imposed by law or by the Loan Documents, (B) restrictions and conditions existing on the Closing Date identified on </w:t>
      </w:r>
      <w:r>
        <w:rPr>
          <w:rFonts w:ascii="Times New Roman;sans-serif" w:hAnsi="Times New Roman;sans-serif"/>
          <w:b w:val="false"/>
          <w:color w:val="000000"/>
          <w:sz w:val="22"/>
          <w:u w:val="single"/>
        </w:rPr>
        <w:t>Schedule 7.10</w:t>
      </w:r>
      <w:r>
        <w:rPr>
          <w:color w:val="000000"/>
        </w:rPr>
        <w:t xml:space="preserve"> </w:t>
      </w:r>
      <w:r>
        <w:rPr>
          <w:rFonts w:ascii="Times New Roman;sans-serif" w:hAnsi="Times New Roman;sans-serif"/>
          <w:b w:val="false"/>
          <w:color w:val="000000"/>
          <w:sz w:val="22"/>
        </w:rPr>
        <w:t xml:space="preserve">(but shall apply to any extension or renewal of, or any amendment or modification expanding the scope of, any such restriction or condition), and (C) customary restrictions and conditions contained in agreements relating to the sale of a Subsidiary pending such sale;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such restrictions and conditions apply only to the Subsidiary that is to be sold and such sale is permitted hereunder and (ii) clause (a) of this </w:t>
      </w:r>
      <w:r>
        <w:rPr>
          <w:rFonts w:ascii="Times New Roman;sans-serif" w:hAnsi="Times New Roman;sans-serif"/>
          <w:b w:val="false"/>
          <w:color w:val="000000"/>
          <w:sz w:val="22"/>
          <w:u w:val="single"/>
        </w:rPr>
        <w:t>Section 7.10</w:t>
      </w:r>
      <w:r>
        <w:rPr>
          <w:color w:val="000000"/>
        </w:rPr>
        <w:t xml:space="preserve"> </w:t>
      </w:r>
      <w:r>
        <w:rPr>
          <w:rFonts w:ascii="Times New Roman;sans-serif" w:hAnsi="Times New Roman;sans-serif"/>
          <w:b w:val="false"/>
          <w:color w:val="000000"/>
          <w:sz w:val="22"/>
        </w:rPr>
        <w:t>shall not apply to (A) restrictions or conditions imposed by any agreement relating to secured Indebtedness permitted by this Credit Agreement if such restrictions or conditions apply only to the property or assets securing such Indebtedness or (B) customary provisions in agreements restricting the assignment thereof.</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7.11</w:t>
      </w:r>
      <w:r>
        <w:rPr>
          <w:rFonts w:ascii="Times New Roman;sans-serif" w:hAnsi="Times New Roman;sans-serif"/>
          <w:b w:val="false"/>
          <w:color w:val="000000"/>
          <w:sz w:val="22"/>
          <w:u w:val="single"/>
        </w:rPr>
        <w:t>Amendment of Material Documents</w:t>
      </w:r>
      <w:r>
        <w:rPr>
          <w:rFonts w:ascii="Times New Roman;sans-serif" w:hAnsi="Times New Roman;sans-serif"/>
          <w:b w:val="false"/>
          <w:color w:val="000000"/>
          <w:sz w:val="22"/>
        </w:rPr>
        <w:t>. The Borrower will not, and will not permit any of its</w:t>
      </w:r>
      <w:r>
        <w:rPr>
          <w:color w:val="000000"/>
        </w:rPr>
        <w:t xml:space="preserve"> </w:t>
      </w:r>
      <w:r>
        <w:rPr>
          <w:rFonts w:ascii="Times New Roman;sans-serif" w:hAnsi="Times New Roman;sans-serif"/>
          <w:b w:val="false"/>
          <w:color w:val="000000"/>
          <w:sz w:val="22"/>
        </w:rPr>
        <w:t xml:space="preserve">Subsidiaries to, amend, supplement modify, waive or consent to any departure from the terms of any Restricted Junior Debt Document, any [***] Contract or any of its Organizational Documents, other than amendments, modifications, waivers or consents that could not reasonably be expected to adversely affect the Credit Parties in any material respect;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Borrower shall deliver or cause to be delivered to the Administrative Agent and each Lender a copy of all amendments, modifications or waivers thereto promptly after the execution and delivery thereof. </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7.12</w:t>
      </w:r>
      <w:r>
        <w:rPr>
          <w:rFonts w:ascii="Times New Roman;sans-serif" w:hAnsi="Times New Roman;sans-serif"/>
          <w:b w:val="false"/>
          <w:color w:val="000000"/>
          <w:sz w:val="22"/>
          <w:u w:val="single"/>
        </w:rPr>
        <w:t>Financial Covenants</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Consolidated Secured Leverage Ratio</w:t>
      </w:r>
      <w:r>
        <w:rPr>
          <w:rFonts w:ascii="Times New Roman;sans-serif" w:hAnsi="Times New Roman;sans-serif"/>
          <w:b w:val="false"/>
          <w:color w:val="000000"/>
          <w:sz w:val="22"/>
        </w:rPr>
        <w:t>. The Borrower will not permit the Consolidated Secured Leverage Ratio as of the end of any Fiscal Quarter (commencing with the Fiscal Quarter ending December 31, 2024) to be greater than 2.30 to 1.00.</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Minimum Liquidity</w:t>
      </w:r>
      <w:r>
        <w:rPr>
          <w:rFonts w:ascii="Times New Roman;sans-serif" w:hAnsi="Times New Roman;sans-serif"/>
          <w:b w:val="false"/>
          <w:color w:val="000000"/>
          <w:sz w:val="22"/>
        </w:rPr>
        <w:t xml:space="preserve">. The Borrower will not permit Average Liquidity for any Four Week Reporting Period (commencing with the Four Week Reporting Period ending July 26, 2024) to be less than $5,000,000. </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7.13</w:t>
      </w:r>
      <w:r>
        <w:rPr>
          <w:rFonts w:ascii="Times New Roman;sans-serif" w:hAnsi="Times New Roman;sans-serif"/>
          <w:b w:val="false"/>
          <w:color w:val="000000"/>
          <w:sz w:val="22"/>
          <w:u w:val="single"/>
        </w:rPr>
        <w:t>Payments on Restricted Junior Debt</w:t>
      </w:r>
      <w:r>
        <w:rPr>
          <w:rFonts w:ascii="Times New Roman;sans-serif" w:hAnsi="Times New Roman;sans-serif"/>
          <w:b w:val="false"/>
          <w:color w:val="000000"/>
          <w:sz w:val="22"/>
        </w:rPr>
        <w:t>. The Borrower will not, and will not permit any of its</w:t>
      </w:r>
      <w:r>
        <w:rPr>
          <w:color w:val="000000"/>
        </w:rPr>
        <w:t xml:space="preserve"> </w:t>
      </w:r>
      <w:r>
        <w:rPr>
          <w:rFonts w:ascii="Times New Roman;sans-serif" w:hAnsi="Times New Roman;sans-serif"/>
          <w:b w:val="false"/>
          <w:color w:val="000000"/>
          <w:sz w:val="22"/>
        </w:rPr>
        <w:t xml:space="preserve">Subsidiaries to, declare or make, or agree to pay for or make, directly or indirectly, any payment of principal or interest or any purchase, redemption, retirement, acquisition or defeasance with respect to any Restricted Junior Debt except that (x) so long as no Default or Event of Default shall have occurred and shall be continuing or would immediately result therefrom, (a) the Borrower or any Subsidiary may make payments of Subordinated Debt to the extent permitted by the subordination provisions applicable thereto, (b) the Borrower may redeem $16,500,000 aggregate principal amount of Senior Notes in cash (and pay accrued interest thereon) on the Closing Date in accordance with the terms of the Senior Note Repurchase Agreement with a portion of the proceeds of the Loans, (c) the Borrower may redeem Senior Notes (and pay accrued interest thereon) to the extent required by </w:t>
      </w:r>
      <w:r>
        <w:rPr>
          <w:rFonts w:ascii="Times New Roman;sans-serif" w:hAnsi="Times New Roman;sans-serif"/>
          <w:b w:val="false"/>
          <w:color w:val="000000"/>
          <w:sz w:val="22"/>
          <w:u w:val="single"/>
        </w:rPr>
        <w:t>Section 2.7(g)(x)</w:t>
      </w:r>
      <w:r>
        <w:rPr>
          <w:rFonts w:ascii="Times New Roman;sans-serif" w:hAnsi="Times New Roman;sans-serif"/>
          <w:b w:val="false"/>
          <w:color w:val="000000"/>
          <w:sz w:val="22"/>
        </w:rPr>
        <w:t xml:space="preserve">, (d) the Borrower may make any payment, purchase, redemption, retirement, acquisition or defeasance of any Restricted Junior Debt in connection with the incurrence of Refinancing Indebtedness in respect thereof, (e) with respect to unsecured Indebtedness of the type described in clause (ii) of the definition of “Restricted Junior Debt” (including the Senior Notes) and Junior Lien Indebtedness, the Borrower and its Subsidiaries may </w:t>
      </w: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56" name="Frame1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101</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make (i) required regularly scheduled payments of interest, fees, and other amounts owed in respect thereof (other than mandatory, voluntary or optional payments, prepayments or redemptions of principal thereof) and (ii) any payment, redemption or other acquisition through the conversion or exchange of any such Indebtedness to Qualified Equity Interests of the Borrower and (f) the Borrower may redeem Senior Notes in an aggregate principal amount not to exceed the sum of (i) $10,000,000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(ii) from and after the first date upon which the Borrower and its Subsidiaries shall have prepaid at least $10,000,000 aggregate principal amount of Loans with the Specified Tax Proceeds in accordance with </w:t>
      </w:r>
      <w:r>
        <w:rPr>
          <w:rFonts w:ascii="Times New Roman;sans-serif" w:hAnsi="Times New Roman;sans-serif"/>
          <w:b w:val="false"/>
          <w:color w:val="000000"/>
          <w:sz w:val="22"/>
          <w:u w:val="single"/>
        </w:rPr>
        <w:t>Section 2.7(g)</w:t>
      </w:r>
      <w:r>
        <w:rPr>
          <w:rFonts w:ascii="Times New Roman;sans-serif" w:hAnsi="Times New Roman;sans-serif"/>
          <w:b w:val="false"/>
          <w:color w:val="000000"/>
          <w:sz w:val="22"/>
        </w:rPr>
        <w:t xml:space="preserve">, 50% of Cumulative Retained Excess Cash Flow and (y) the Borrower or any Subsidiary may make payments of intercompany Indebtedness permitted under </w:t>
      </w:r>
      <w:r>
        <w:rPr>
          <w:rFonts w:ascii="Times New Roman;sans-serif" w:hAnsi="Times New Roman;sans-serif"/>
          <w:b w:val="false"/>
          <w:color w:val="000000"/>
          <w:sz w:val="22"/>
          <w:u w:val="single"/>
        </w:rPr>
        <w:t>Section 7.1</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if an Event of Default is continuing, only payments owing to Loan Parties may be made pursuant to this clause (y). </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7.14</w:t>
      </w:r>
      <w:r>
        <w:rPr>
          <w:rFonts w:ascii="Times New Roman;sans-serif" w:hAnsi="Times New Roman;sans-serif"/>
          <w:b w:val="false"/>
          <w:color w:val="000000"/>
          <w:sz w:val="22"/>
          <w:u w:val="single"/>
        </w:rPr>
        <w:t>Government Regulation</w:t>
      </w:r>
      <w:r>
        <w:rPr>
          <w:rFonts w:ascii="Times New Roman;sans-serif" w:hAnsi="Times New Roman;sans-serif"/>
          <w:b w:val="false"/>
          <w:color w:val="000000"/>
          <w:sz w:val="22"/>
        </w:rPr>
        <w:t>. The Borrower will not, and will not permit any of its</w:t>
      </w:r>
      <w:r>
        <w:rPr>
          <w:color w:val="000000"/>
        </w:rPr>
        <w:t xml:space="preserve"> </w:t>
      </w:r>
      <w:r>
        <w:rPr>
          <w:rFonts w:ascii="Times New Roman;sans-serif" w:hAnsi="Times New Roman;sans-serif"/>
          <w:b w:val="false"/>
          <w:color w:val="000000"/>
          <w:sz w:val="22"/>
        </w:rPr>
        <w:t>Subsidiaries to, (a) at any time be or become the subject of any law, regulation, or list of any government agency (including the United States Office of Foreign Asset Control list) that prohibits or limits any Lender from making any loans or extension of credit (including the Loans) to any Loan Party or from otherwise conducting business with any Loan Party, or (b) fail to provide documentary and other evidence of any Loan Party’s identity as may be requested by any Credit Party at any time to enable such Credit Party to verify any Loan Party’s identity or to comply with any applicable law or regulation, including Section 326 of the USA PATRIOT Act.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7.15</w:t>
      </w:r>
      <w:r>
        <w:rPr>
          <w:rFonts w:ascii="Times New Roman;sans-serif" w:hAnsi="Times New Roman;sans-serif"/>
          <w:b w:val="false"/>
          <w:color w:val="000000"/>
          <w:sz w:val="22"/>
          <w:u w:val="single"/>
        </w:rPr>
        <w:t>Hazardous Materials</w:t>
      </w:r>
      <w:r>
        <w:rPr>
          <w:rFonts w:ascii="Times New Roman;sans-serif" w:hAnsi="Times New Roman;sans-serif"/>
          <w:b w:val="false"/>
          <w:color w:val="000000"/>
          <w:sz w:val="22"/>
        </w:rPr>
        <w:t>. The Borrower will not, and will not permit any of its</w:t>
      </w:r>
      <w:r>
        <w:rPr>
          <w:color w:val="000000"/>
        </w:rPr>
        <w:t xml:space="preserve"> </w:t>
      </w:r>
      <w:r>
        <w:rPr>
          <w:rFonts w:ascii="Times New Roman;sans-serif" w:hAnsi="Times New Roman;sans-serif"/>
          <w:b w:val="false"/>
          <w:color w:val="000000"/>
          <w:sz w:val="22"/>
        </w:rPr>
        <w:t>Subsidiaries</w:t>
      </w:r>
      <w:r>
        <w:rPr>
          <w:color w:val="000000"/>
        </w:rPr>
        <w:t xml:space="preserve"> </w:t>
      </w:r>
      <w:r>
        <w:rPr>
          <w:rFonts w:ascii="Times New Roman;sans-serif" w:hAnsi="Times New Roman;sans-serif"/>
          <w:b w:val="false"/>
          <w:color w:val="000000"/>
          <w:sz w:val="22"/>
        </w:rPr>
        <w:t>or agents to, cause or permit a Release or threat of Release of Hazardous Materials on, at, in, above, to, from or about any of the property where such Release or threat of Release would (a) violate, or form the basis for any Environmental Claims under, any Environmental Law or any Environmental Permit or (b) otherwise adversely impact the value or marketability of any property of any Loan Party or any of its Subsidiaries or any of the Collateral, other than such Release, violation or Environmental Claim as could not reasonably be expected to result in a material Environmental Liability.</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7.16</w:t>
      </w:r>
      <w:r>
        <w:rPr>
          <w:rFonts w:ascii="Times New Roman;sans-serif" w:hAnsi="Times New Roman;sans-serif"/>
          <w:b w:val="false"/>
          <w:color w:val="000000"/>
          <w:sz w:val="22"/>
          <w:u w:val="single"/>
        </w:rPr>
        <w:t>Material Intellectual Property</w:t>
      </w:r>
      <w:r>
        <w:rPr>
          <w:rFonts w:ascii="Times New Roman;sans-serif" w:hAnsi="Times New Roman;sans-serif"/>
          <w:b w:val="false"/>
          <w:color w:val="000000"/>
          <w:sz w:val="22"/>
        </w:rPr>
        <w:t>. Notwithstanding anything to the contrary contained in this Credit Agreement or the other Loan Documents, none of the Borrower or any other Loan Party shall (i) sell, transfer or otherwise dispose of any Material Intellectual Property (whether pursuant to a sale, transfer, Disposition, Investment, Restricted Payment, dividend or lease or license of the exclusive rights thereto) to any Non-Loan Party Subsidiary or (ii) permit any Guarantor holding Material Intellectual Property to become a Non-Loan Party Subsidiary.</w:t>
      </w:r>
    </w:p>
    <w:p>
      <w:pPr>
        <w:pStyle w:val="TextBody"/>
        <w:bidi w:val="0"/>
        <w:spacing w:lineRule="auto" w:line="288" w:before="0" w:after="240"/>
        <w:jc w:val="center"/>
        <w:rPr/>
      </w:pPr>
      <w:r>
        <w:rPr>
          <w:rFonts w:ascii="Times New Roman;sans-serif" w:hAnsi="Times New Roman;sans-serif"/>
          <w:b w:val="false"/>
          <w:color w:val="000000"/>
          <w:sz w:val="22"/>
        </w:rPr>
        <w:t>Article 8</w:t>
      </w:r>
      <w:r>
        <w:rPr>
          <w:rFonts w:ascii="Times New Roman;sans-serif" w:hAnsi="Times New Roman;sans-serif"/>
          <w:b/>
          <w:color w:val="000000"/>
          <w:sz w:val="22"/>
          <w:u w:val="single"/>
        </w:rPr>
        <w:br/>
        <w:br/>
      </w:r>
      <w:r>
        <w:rPr>
          <w:rFonts w:ascii="Times New Roman;sans-serif" w:hAnsi="Times New Roman;sans-serif"/>
          <w:b w:val="false"/>
          <w:color w:val="000000"/>
          <w:sz w:val="22"/>
        </w:rPr>
        <w:t>EVENTS OF DEFAULT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8.1</w:t>
      </w:r>
      <w:r>
        <w:rPr>
          <w:rFonts w:ascii="Times New Roman;sans-serif" w:hAnsi="Times New Roman;sans-serif"/>
          <w:b w:val="false"/>
          <w:color w:val="000000"/>
          <w:sz w:val="22"/>
          <w:u w:val="single"/>
        </w:rPr>
        <w:t>Events of Default</w:t>
      </w:r>
      <w:r>
        <w:rPr>
          <w:rFonts w:ascii="Times New Roman;sans-serif" w:hAnsi="Times New Roman;sans-serif"/>
          <w:b w:val="false"/>
          <w:color w:val="000000"/>
          <w:sz w:val="22"/>
        </w:rPr>
        <w:t>. Any of the following shall constitute an “</w:t>
      </w:r>
      <w:r>
        <w:rPr>
          <w:rFonts w:ascii="Times New Roman;sans-serif" w:hAnsi="Times New Roman;sans-serif"/>
          <w:b w:val="false"/>
          <w:color w:val="000000"/>
          <w:sz w:val="22"/>
          <w:u w:val="single"/>
        </w:rPr>
        <w:t>Event of Default</w:t>
      </w:r>
      <w:r>
        <w:rPr>
          <w:color w:val="000000"/>
        </w:rPr>
        <w:t>”</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Non-Payment of Principal</w:t>
      </w:r>
      <w:r>
        <w:rPr>
          <w:rFonts w:ascii="Times New Roman;sans-serif" w:hAnsi="Times New Roman;sans-serif"/>
          <w:b w:val="false"/>
          <w:color w:val="000000"/>
          <w:sz w:val="22"/>
        </w:rPr>
        <w:t>. Any Loan Party shall fail to pay any principal of any Loan when and as the same shall become due and payable, whether at the due date thereof or at a date fixed for prepayment thereof or otherwise.</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Other Non-Payment</w:t>
      </w:r>
      <w:r>
        <w:rPr>
          <w:rFonts w:ascii="Times New Roman;sans-serif" w:hAnsi="Times New Roman;sans-serif"/>
          <w:b w:val="false"/>
          <w:color w:val="000000"/>
          <w:sz w:val="22"/>
        </w:rPr>
        <w:t xml:space="preserve">. Any Loan Party shall fail to pay any interest on any Loan or any fee (including the Exit Fee, if applicable), premium (including any Prepayment Premium), commission or any other amount (other than an amount referred to in clause (a) of this Section) payable </w:t>
      </w: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57" name="Frame1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102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102</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under any Loan Document, when and as the same shall become due and payable, and such failure shall continue uncured for a period of five Business Days.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u w:val="single"/>
        </w:rPr>
        <w:t>Representations and Warranties</w:t>
      </w:r>
      <w:r>
        <w:rPr>
          <w:rFonts w:ascii="Times New Roman;sans-serif" w:hAnsi="Times New Roman;sans-serif"/>
          <w:b w:val="false"/>
          <w:color w:val="000000"/>
          <w:sz w:val="22"/>
        </w:rPr>
        <w:t>. Any representation or warranty made or deemed made by or on behalf of any Loan Party or any of its Subsidiaries in or in connection with any Loan Document or any amendment or modification hereof or waiver thereunder, or in any report, certificate, financial statement or other document furnished pursuant to or in connection with any Loan Document or any amendment or modification thereof or waiver thereunder, shall prove to have been incorrect in any material respect when made or deemed made.</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u w:val="single"/>
        </w:rPr>
        <w:t>Specific Covenants</w:t>
      </w:r>
      <w:r>
        <w:rPr>
          <w:rFonts w:ascii="Times New Roman;sans-serif" w:hAnsi="Times New Roman;sans-serif"/>
          <w:b w:val="false"/>
          <w:color w:val="000000"/>
          <w:sz w:val="22"/>
        </w:rPr>
        <w:t xml:space="preserve">. Any Loan Party shall fail to observe or perform any covenant, condition or agreement contained in </w:t>
      </w:r>
      <w:r>
        <w:rPr>
          <w:rFonts w:ascii="Times New Roman;sans-serif" w:hAnsi="Times New Roman;sans-serif"/>
          <w:b w:val="false"/>
          <w:color w:val="000000"/>
          <w:sz w:val="22"/>
          <w:u w:val="single"/>
        </w:rPr>
        <w:t>Section 6.1</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6.2(a)</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6.3</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6.7</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6.8</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6.10</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6.11</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6.12</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6.14</w:t>
      </w:r>
      <w:r>
        <w:rPr>
          <w:color w:val="000000"/>
        </w:rPr>
        <w:t xml:space="preserve"> </w:t>
      </w:r>
      <w:r>
        <w:rPr>
          <w:rFonts w:ascii="Times New Roman;sans-serif" w:hAnsi="Times New Roman;sans-serif"/>
          <w:b w:val="false"/>
          <w:color w:val="000000"/>
          <w:sz w:val="22"/>
        </w:rPr>
        <w:t xml:space="preserve">or in </w:t>
      </w:r>
      <w:r>
        <w:rPr>
          <w:rFonts w:ascii="Times New Roman;sans-serif" w:hAnsi="Times New Roman;sans-serif"/>
          <w:b w:val="false"/>
          <w:color w:val="000000"/>
          <w:sz w:val="22"/>
          <w:u w:val="single"/>
        </w:rPr>
        <w:t>Article 7</w:t>
      </w:r>
      <w:r>
        <w:rPr>
          <w:color w:val="000000"/>
        </w:rPr>
        <w:t xml:space="preserve"> </w:t>
      </w:r>
      <w:r>
        <w:rPr>
          <w:rFonts w:ascii="Times New Roman;sans-serif" w:hAnsi="Times New Roman;sans-serif"/>
          <w:b w:val="false"/>
          <w:color w:val="000000"/>
          <w:sz w:val="22"/>
        </w:rPr>
        <w:t>or any Loan Party shall fail to observe or perform any covenant, condition or agreement contained in the Guarantee Agreement or any Collateral Document to which it is a party.</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u w:val="single"/>
        </w:rPr>
        <w:t>Other Covenants</w:t>
      </w:r>
      <w:r>
        <w:rPr>
          <w:rFonts w:ascii="Times New Roman;sans-serif" w:hAnsi="Times New Roman;sans-serif"/>
          <w:b w:val="false"/>
          <w:color w:val="000000"/>
          <w:sz w:val="22"/>
        </w:rPr>
        <w:t xml:space="preserve">. Any Loan Party shall fail to observe or perform any covenant, condition or agreement contained in any Loan Document to which it is a party (other than those specified in clause (a), (b) or (d) of this </w:t>
      </w:r>
      <w:r>
        <w:rPr>
          <w:rFonts w:ascii="Times New Roman;sans-serif" w:hAnsi="Times New Roman;sans-serif"/>
          <w:b w:val="false"/>
          <w:color w:val="000000"/>
          <w:sz w:val="22"/>
          <w:u w:val="single"/>
        </w:rPr>
        <w:t>Section 8.1</w:t>
      </w:r>
      <w:r>
        <w:rPr>
          <w:rFonts w:ascii="Times New Roman;sans-serif" w:hAnsi="Times New Roman;sans-serif"/>
          <w:b w:val="false"/>
          <w:color w:val="000000"/>
          <w:sz w:val="22"/>
        </w:rPr>
        <w:t>), and such failure shall continue uncured for a period of 30 days after the occurrence thereof.</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u w:val="single"/>
        </w:rPr>
        <w:t>Cross-Default - Payment Default on Material Indebtedness</w:t>
      </w:r>
      <w:r>
        <w:rPr>
          <w:rFonts w:ascii="Times New Roman;sans-serif" w:hAnsi="Times New Roman;sans-serif"/>
          <w:b w:val="false"/>
          <w:color w:val="000000"/>
          <w:sz w:val="22"/>
        </w:rPr>
        <w:t xml:space="preserve">. Any Loan Party shall fail to make any payment (whether of principal, interest or otherwise and regardless of amount) in respect of any Material Indebtedness when and as the same shall become due and payable (after giving effect to any applicable grace or cure period);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this </w:t>
      </w:r>
      <w:r>
        <w:rPr>
          <w:rFonts w:ascii="Times New Roman;sans-serif" w:hAnsi="Times New Roman;sans-serif"/>
          <w:b w:val="false"/>
          <w:color w:val="000000"/>
          <w:sz w:val="22"/>
          <w:u w:val="single"/>
        </w:rPr>
        <w:t>clause (f)</w:t>
      </w:r>
      <w:r>
        <w:rPr>
          <w:color w:val="000000"/>
        </w:rPr>
        <w:t xml:space="preserve"> </w:t>
      </w:r>
      <w:r>
        <w:rPr>
          <w:rFonts w:ascii="Times New Roman;sans-serif" w:hAnsi="Times New Roman;sans-serif"/>
          <w:b w:val="false"/>
          <w:color w:val="000000"/>
          <w:sz w:val="22"/>
        </w:rPr>
        <w:t xml:space="preserve">shall not apply to any such failure that is (x) remedied by the Loan Parties or (y) waived (including in the form of amendment) by the requisite holders of the applicable item of Material Indebtedness, in each case, in accordance with the terms of such Material Indebtedness prior to the acceleration of the Loans pursuant to </w:t>
      </w:r>
      <w:r>
        <w:rPr>
          <w:rFonts w:ascii="Times New Roman;sans-serif" w:hAnsi="Times New Roman;sans-serif"/>
          <w:b w:val="false"/>
          <w:color w:val="000000"/>
          <w:sz w:val="22"/>
          <w:u w:val="single"/>
        </w:rPr>
        <w:t>Section 8.2</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(g)</w:t>
      </w:r>
      <w:r>
        <w:rPr>
          <w:rFonts w:ascii="Times New Roman;sans-serif" w:hAnsi="Times New Roman;sans-serif"/>
          <w:b w:val="false"/>
          <w:color w:val="000000"/>
          <w:sz w:val="22"/>
          <w:u w:val="single"/>
        </w:rPr>
        <w:t>Other Cross-Defaults</w:t>
      </w:r>
      <w:r>
        <w:rPr>
          <w:rFonts w:ascii="Times New Roman;sans-serif" w:hAnsi="Times New Roman;sans-serif"/>
          <w:b w:val="false"/>
          <w:color w:val="000000"/>
          <w:sz w:val="22"/>
        </w:rPr>
        <w:t xml:space="preserve">. Any event or condition occurs (after all applicable grace periods have expired and all required notices have been given) that results in any Material Indebtedness becoming due prior to its scheduled maturity or payment date, or that enables or permits (with or without the giving of notice, the lapse of time or both) the holder or holders of any Material Indebtedness or any trustee or agent on its or their behalf to cause any Material Indebtedness to become due prior to its scheduled maturity or payment date or to require the prepayment, repurchase, redemption or defeasance thereof prior to its scheduled maturity or payment date (in each case after giving effect to any applicable notice and any applicable cure period);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this clause (g) shall not apply to (A) secured Indebtedness that becomes due solely as a result of the voluntary sale, transfer or other disposition of the property or assets securing such Indebtedness, (B) Indebtedness which is convertible into Qualified Equity Interests and converts to Qualified Equity Interests in accordance with its terms or (C) any breach or default that (x) is remedied by the Borrower or any applicable Subsidiary or (y) is waived (including in the form of an amendment) by the requisite holders of the applicable item of Material Indebtedness, in each case of this subclause (C), in accordance with the terms of such Material Indebtedness prior to the acceleration of the Loans pursuant to </w:t>
      </w:r>
      <w:r>
        <w:rPr>
          <w:rFonts w:ascii="Times New Roman;sans-serif" w:hAnsi="Times New Roman;sans-serif"/>
          <w:b w:val="false"/>
          <w:color w:val="000000"/>
          <w:sz w:val="22"/>
          <w:u w:val="single"/>
        </w:rPr>
        <w:t>Section 8.2</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(h)</w:t>
      </w:r>
      <w:r>
        <w:rPr>
          <w:rFonts w:ascii="Times New Roman;sans-serif" w:hAnsi="Times New Roman;sans-serif"/>
          <w:b w:val="false"/>
          <w:color w:val="000000"/>
          <w:sz w:val="22"/>
          <w:u w:val="single"/>
        </w:rPr>
        <w:t>Involuntary Proceedings</w:t>
      </w:r>
      <w:r>
        <w:rPr>
          <w:rFonts w:ascii="Times New Roman;sans-serif" w:hAnsi="Times New Roman;sans-serif"/>
          <w:b w:val="false"/>
          <w:color w:val="000000"/>
          <w:sz w:val="22"/>
        </w:rPr>
        <w:t xml:space="preserve">. An involuntary proceeding shall be commenced or an involuntary petition shall be filed seeking (i) liquidation, examinership, rescue process, receivership, reorganization or other relief in respect of any Loan Party or any of its Subsidiaries or its debts, or of a substantial part of its assets, under any Debtor Relief Law now or hereafter in effect or (ii) the appointment of a receiver, trustee, custodian, sequestrator, conservator or similar official for any Loan </w:t>
      </w: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158" name="Frame1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103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103</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Party or any of its Subsidiaries or for a substantial part of its assets, and, in any such case, such proceeding or petition shall continue undismissed for 60 days or an order or decree approving or ordering any of the foregoing shall be entered.</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(i)</w:t>
      </w:r>
      <w:r>
        <w:rPr>
          <w:rFonts w:ascii="Times New Roman;sans-serif" w:hAnsi="Times New Roman;sans-serif"/>
          <w:b w:val="false"/>
          <w:color w:val="000000"/>
          <w:sz w:val="22"/>
          <w:u w:val="single"/>
        </w:rPr>
        <w:t>Voluntary Proceedings</w:t>
      </w:r>
      <w:r>
        <w:rPr>
          <w:rFonts w:ascii="Times New Roman;sans-serif" w:hAnsi="Times New Roman;sans-serif"/>
          <w:b w:val="false"/>
          <w:color w:val="000000"/>
          <w:sz w:val="22"/>
        </w:rPr>
        <w:t xml:space="preserve">. Any Loan Party or any of its Subsidiaries shall (i) voluntarily commence any proceeding or file any petition seeking liquidation, examinership, rescue process, receivership, reorganization or other relief under any Debtor Relief Law now or hereafter in effect, (ii) consent to the institution of, or fail to contest in a timely and appropriate manner, any proceeding or petition described in clause (h) of this </w:t>
      </w:r>
      <w:r>
        <w:rPr>
          <w:rFonts w:ascii="Times New Roman;sans-serif" w:hAnsi="Times New Roman;sans-serif"/>
          <w:b w:val="false"/>
          <w:color w:val="000000"/>
          <w:sz w:val="22"/>
          <w:u w:val="single"/>
        </w:rPr>
        <w:t>Section 8.1</w:t>
      </w:r>
      <w:r>
        <w:rPr>
          <w:rFonts w:ascii="Times New Roman;sans-serif" w:hAnsi="Times New Roman;sans-serif"/>
          <w:b w:val="false"/>
          <w:color w:val="000000"/>
          <w:sz w:val="22"/>
        </w:rPr>
        <w:t>, (iii) apply for or consent to the appointment of a receiver, trustee, custodian, sequestrator, conservator or similar official for any Loan Party or any of its Subsidiaries or for a substantial part of its assets, (iv) file an answer admitting the material allegations of a petition filed against it in any such proceeding, (v) make a general assignment for the benefit of creditors or (vi) take any action for the purpose of effecting any of the foregoing.</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(j)</w:t>
      </w:r>
      <w:r>
        <w:rPr>
          <w:rFonts w:ascii="Times New Roman;sans-serif" w:hAnsi="Times New Roman;sans-serif"/>
          <w:b w:val="false"/>
          <w:color w:val="000000"/>
          <w:sz w:val="22"/>
          <w:u w:val="single"/>
        </w:rPr>
        <w:t>Inability to Pay Debts</w:t>
      </w:r>
      <w:r>
        <w:rPr>
          <w:rFonts w:ascii="Times New Roman;sans-serif" w:hAnsi="Times New Roman;sans-serif"/>
          <w:b w:val="false"/>
          <w:color w:val="000000"/>
          <w:sz w:val="22"/>
        </w:rPr>
        <w:t>. Any Loan Party or any of its Subsidiaries shall become unable, admit in writing its inability or fail generally to pay its debts as they become due.</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(k)</w:t>
      </w:r>
      <w:r>
        <w:rPr>
          <w:rFonts w:ascii="Times New Roman;sans-serif" w:hAnsi="Times New Roman;sans-serif"/>
          <w:b w:val="false"/>
          <w:color w:val="000000"/>
          <w:sz w:val="22"/>
          <w:u w:val="single"/>
        </w:rPr>
        <w:t>Judgments</w:t>
      </w:r>
      <w:r>
        <w:rPr>
          <w:rFonts w:ascii="Times New Roman;sans-serif" w:hAnsi="Times New Roman;sans-serif"/>
          <w:b w:val="false"/>
          <w:color w:val="000000"/>
          <w:sz w:val="22"/>
        </w:rPr>
        <w:t>. One or more judgments for the payment of money in an aggregate amount in excess of the Threshold Amount shall be rendered against any Loan Party or any of its Subsidiaries or any combination thereof (which shall not be fully covered (without taking into account any applicable deductibles) by insurance from an unaffiliated insurance company with an A.M. Best financial strength rating of at least A-, it being understood that even if such amounts are covered by insurance from such an insurance company, such amounts shall count against such basket if responsibility for such amounts has been denied by such insurance company) and the same shall remain undischarged or unbonded for a period of 60 consecutive days during which execution shall not be effectively stayed, or any action shall be legally taken by a judgment creditor to attach or levy upon any assets of any Loan Party or any of its Subsidiaries to enforce any such judgment.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(l)</w:t>
      </w:r>
      <w:r>
        <w:rPr>
          <w:rFonts w:ascii="Times New Roman;sans-serif" w:hAnsi="Times New Roman;sans-serif"/>
          <w:b w:val="false"/>
          <w:color w:val="000000"/>
          <w:sz w:val="22"/>
          <w:u w:val="single"/>
        </w:rPr>
        <w:t>ERISA Events</w:t>
      </w:r>
      <w:r>
        <w:rPr>
          <w:rFonts w:ascii="Times New Roman;sans-serif" w:hAnsi="Times New Roman;sans-serif"/>
          <w:b w:val="false"/>
          <w:color w:val="000000"/>
          <w:sz w:val="22"/>
        </w:rPr>
        <w:t>. (i) An ERISA Event (or any similar event with respect to a Foreign Plan) shall have occurred that, in the opinion of the Required Lenders, when taken together with all other ERISA Events (or similar events with respect to Foreign Plans) that have occurred, would reasonably be expected to result in a Material Adverse Effect; or (ii) a Loan Party or ERISA Affiliate shall fail to pay when due (after expiration of any applicable grace period) any installment payment with respect to its Withdrawal Liability which could reasonably be expected to result in liability of a Loan Party or ERISA Affiliate in an aggregate amount which would reasonably be expected to result in a Material Adverse Effect.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(m)</w:t>
      </w:r>
      <w:r>
        <w:rPr>
          <w:rFonts w:ascii="Times New Roman;sans-serif" w:hAnsi="Times New Roman;sans-serif"/>
          <w:b w:val="false"/>
          <w:color w:val="000000"/>
          <w:sz w:val="22"/>
          <w:u w:val="single"/>
        </w:rPr>
        <w:t>Invalidity of Loan Documents</w:t>
      </w:r>
      <w:r>
        <w:rPr>
          <w:rFonts w:ascii="Times New Roman;sans-serif" w:hAnsi="Times New Roman;sans-serif"/>
          <w:b w:val="false"/>
          <w:color w:val="000000"/>
          <w:sz w:val="22"/>
        </w:rPr>
        <w:t>. Any material provision of any Loan Document shall cease, for any reason, to be in full force and effect, or any Loan Party shall so assert in writing or shall disavow any of its obligations thereunder.</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(n)</w:t>
      </w:r>
      <w:r>
        <w:rPr>
          <w:rFonts w:ascii="Times New Roman;sans-serif" w:hAnsi="Times New Roman;sans-serif"/>
          <w:b w:val="false"/>
          <w:color w:val="000000"/>
          <w:sz w:val="22"/>
          <w:u w:val="single"/>
        </w:rPr>
        <w:t>Liens</w:t>
      </w:r>
      <w:r>
        <w:rPr>
          <w:rFonts w:ascii="Times New Roman;sans-serif" w:hAnsi="Times New Roman;sans-serif"/>
          <w:b w:val="false"/>
          <w:color w:val="000000"/>
          <w:sz w:val="22"/>
        </w:rPr>
        <w:t>. Any Lien created, or purported to be created, under any Collateral Document shall cease to be a valid and perfected Lien on a material portion of any Collateral, with the priority required by the applicable Collateral Document, except (i) as a result of the sale or other disposition of the applicable Collateral in a transaction permitted under the Loan Documents to a Person that is not a Loan Party or (ii) as a result of the Administrative Agent’s failure to maintain possession of any stock certificates, promissory notes or other instruments delivered to it under the Security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159" name="Frame1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104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104</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(o)</w:t>
      </w:r>
      <w:r>
        <w:rPr>
          <w:rFonts w:ascii="Times New Roman;sans-serif" w:hAnsi="Times New Roman;sans-serif"/>
          <w:b w:val="false"/>
          <w:color w:val="000000"/>
          <w:sz w:val="22"/>
          <w:u w:val="single"/>
        </w:rPr>
        <w:t>[***] Contracts</w:t>
      </w:r>
      <w:r>
        <w:rPr>
          <w:rFonts w:ascii="Times New Roman;sans-serif" w:hAnsi="Times New Roman;sans-serif"/>
          <w:b w:val="false"/>
          <w:color w:val="000000"/>
          <w:sz w:val="22"/>
        </w:rPr>
        <w:t xml:space="preserve">. Any breach or violation of, or default under, any [***] Contract by any party thereto which such breach, violation or default remains uncured for a period of the later of (x) ten (10) consecutive days or (y) such longer grace or cure period as may be provided under the applicable [***] Contract; or any [***] Contract shall be cancelled, terminated, forfeited, rescinded, revoked, suspended, impaired or otherwise finally denied renewal. </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8.2</w:t>
      </w:r>
      <w:r>
        <w:rPr>
          <w:rFonts w:ascii="Times New Roman;sans-serif" w:hAnsi="Times New Roman;sans-serif"/>
          <w:b w:val="false"/>
          <w:color w:val="000000"/>
          <w:sz w:val="22"/>
          <w:u w:val="single"/>
        </w:rPr>
        <w:t>Remedies Upon Event of Default</w:t>
      </w:r>
      <w:r>
        <w:rPr>
          <w:rFonts w:ascii="Times New Roman;sans-serif" w:hAnsi="Times New Roman;sans-serif"/>
          <w:b w:val="false"/>
          <w:color w:val="000000"/>
          <w:sz w:val="22"/>
        </w:rPr>
        <w:t xml:space="preserve">. If any Event of Default occurs and is continuing, then, and in every such event (other than an event described in </w:t>
      </w:r>
      <w:r>
        <w:rPr>
          <w:rFonts w:ascii="Times New Roman;sans-serif" w:hAnsi="Times New Roman;sans-serif"/>
          <w:b w:val="false"/>
          <w:color w:val="000000"/>
          <w:sz w:val="22"/>
          <w:u w:val="single"/>
        </w:rPr>
        <w:t>Section 8.1(h)</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(i)</w:t>
      </w:r>
      <w:r>
        <w:rPr>
          <w:rFonts w:ascii="Times New Roman;sans-serif" w:hAnsi="Times New Roman;sans-serif"/>
          <w:b w:val="false"/>
          <w:color w:val="000000"/>
          <w:sz w:val="22"/>
        </w:rPr>
        <w:t xml:space="preserve">), and at any time thereafter during the continuance of such event, the Administrative Agent may, and at the request of the Required Lenders shall, by notice to the Borrower, take either or both of the following actions (whether before or after the Closing Date), at the same or different times: (i) terminate the Commitments, and thereupon the Commitments shall terminate immediately and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(including the Exit Fee, if applicable), premium (including any applicable Prepayment Premium payable in connection with such acceleration of the Loan Document Obligations) and other obligations of each Loan Party accrued under the Loan Documents, shall become due and payable immediately, without presentment, demand, protest or other notice of any kind, all of which are hereby waived by the Borrower, and in case of any event described in </w:t>
      </w:r>
      <w:r>
        <w:rPr>
          <w:rFonts w:ascii="Times New Roman;sans-serif" w:hAnsi="Times New Roman;sans-serif"/>
          <w:b w:val="false"/>
          <w:color w:val="000000"/>
          <w:sz w:val="22"/>
          <w:u w:val="single"/>
        </w:rPr>
        <w:t>Section 8.1(h)</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(i)</w:t>
      </w:r>
      <w:r>
        <w:rPr>
          <w:rFonts w:ascii="Times New Roman;sans-serif" w:hAnsi="Times New Roman;sans-serif"/>
          <w:b w:val="false"/>
          <w:color w:val="000000"/>
          <w:sz w:val="22"/>
        </w:rPr>
        <w:t>, the Commitments shall automatically terminate (whether before or after the Closing Date) and the principal of the Loans then outstanding, together with accrued interest thereon and all fees (including the Exit Fee, if applicable), premium (including any applicable Prepayment Premium payable in connection with such acceleration of the Loan Document Obligations) and other obligations of each Loan Party accrued under the Loan Documents, shall automatically become due and payable, without presentment, demand, protest or other notice of any kind, all of which are hereby waived by the Borrower.</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8.3</w:t>
      </w:r>
      <w:r>
        <w:rPr>
          <w:rFonts w:ascii="Times New Roman;sans-serif" w:hAnsi="Times New Roman;sans-serif"/>
          <w:b w:val="false"/>
          <w:color w:val="000000"/>
          <w:sz w:val="22"/>
          <w:u w:val="single"/>
        </w:rPr>
        <w:t>Application of Funds</w:t>
      </w:r>
      <w:r>
        <w:rPr>
          <w:rFonts w:ascii="Times New Roman;sans-serif" w:hAnsi="Times New Roman;sans-serif"/>
          <w:b w:val="false"/>
          <w:color w:val="000000"/>
          <w:sz w:val="22"/>
        </w:rPr>
        <w:t xml:space="preserve">. After the exercise of remedies provided for in </w:t>
      </w:r>
      <w:r>
        <w:rPr>
          <w:rFonts w:ascii="Times New Roman;sans-serif" w:hAnsi="Times New Roman;sans-serif"/>
          <w:b w:val="false"/>
          <w:color w:val="000000"/>
          <w:sz w:val="22"/>
          <w:u w:val="single"/>
        </w:rPr>
        <w:t>Section 8.2</w:t>
      </w:r>
      <w:r>
        <w:rPr>
          <w:color w:val="000000"/>
        </w:rPr>
        <w:t xml:space="preserve"> </w:t>
      </w:r>
      <w:r>
        <w:rPr>
          <w:rFonts w:ascii="Times New Roman;sans-serif" w:hAnsi="Times New Roman;sans-serif"/>
          <w:b w:val="false"/>
          <w:color w:val="000000"/>
          <w:sz w:val="22"/>
        </w:rPr>
        <w:t>(or after the Loans have automatically become immediately due and payable), any amounts received on account of the Secured Obligations shall be applied by the Administrative Agent in the following order:</w:t>
      </w:r>
    </w:p>
    <w:p>
      <w:pPr>
        <w:pStyle w:val="TextBody"/>
        <w:bidi w:val="0"/>
        <w:spacing w:lineRule="auto" w:line="288" w:before="0" w:after="240"/>
        <w:jc w:val="both"/>
        <w:rPr/>
      </w:pPr>
      <w:r>
        <w:rPr>
          <w:rFonts w:ascii="Times New Roman;sans-serif" w:hAnsi="Times New Roman;sans-serif"/>
          <w:b w:val="false"/>
          <w:color w:val="000000"/>
          <w:sz w:val="22"/>
          <w:u w:val="single"/>
        </w:rPr>
        <w:t>First</w:t>
      </w:r>
      <w:r>
        <w:rPr>
          <w:rFonts w:ascii="Times New Roman;sans-serif" w:hAnsi="Times New Roman;sans-serif"/>
          <w:b w:val="false"/>
          <w:color w:val="000000"/>
          <w:sz w:val="22"/>
        </w:rPr>
        <w:t xml:space="preserve">, to the payment of that portion of the Secured Obligations constituting fees, indemnities, expenses and other amounts (including fees, charges and disbursements of counsel to the Administrative Agent and amounts payable under </w:t>
      </w:r>
      <w:r>
        <w:rPr>
          <w:rFonts w:ascii="Times New Roman;sans-serif" w:hAnsi="Times New Roman;sans-serif"/>
          <w:b w:val="false"/>
          <w:color w:val="000000"/>
          <w:sz w:val="22"/>
          <w:u w:val="single"/>
        </w:rPr>
        <w:t>Article 3)</w:t>
      </w:r>
      <w:r>
        <w:rPr>
          <w:rFonts w:ascii="Times New Roman;sans-serif" w:hAnsi="Times New Roman;sans-serif"/>
          <w:b w:val="false"/>
          <w:color w:val="000000"/>
          <w:sz w:val="22"/>
        </w:rPr>
        <w:t>, in each case payable to the Administrative Agent in its capacity as such;</w:t>
      </w:r>
    </w:p>
    <w:p>
      <w:pPr>
        <w:pStyle w:val="TextBody"/>
        <w:bidi w:val="0"/>
        <w:spacing w:lineRule="auto" w:line="288" w:before="0" w:after="240"/>
        <w:jc w:val="both"/>
        <w:rPr/>
      </w:pPr>
      <w:r>
        <w:rPr>
          <w:rFonts w:ascii="Times New Roman;sans-serif" w:hAnsi="Times New Roman;sans-serif"/>
          <w:b w:val="false"/>
          <w:color w:val="000000"/>
          <w:sz w:val="22"/>
          <w:u w:val="single"/>
        </w:rPr>
        <w:t>Second</w:t>
      </w:r>
      <w:r>
        <w:rPr>
          <w:rFonts w:ascii="Times New Roman;sans-serif" w:hAnsi="Times New Roman;sans-serif"/>
          <w:b w:val="false"/>
          <w:color w:val="000000"/>
          <w:sz w:val="22"/>
        </w:rPr>
        <w:t xml:space="preserve">, to the extent of any excess of such proceeds, to the payment of that portion of the Secured Obligations constituting fees (including the Exit Fee), premiums (including the Prepayment Premium), indemnities and other amounts (other than principal, interest, fees and other Loan Document Obligations expressly described in clauses Third through Fifth below), payable to the Credit Parties (including fees, charges and disbursements of counsel to the respective Credit Parties and amounts payable under </w:t>
      </w:r>
      <w:r>
        <w:rPr>
          <w:rFonts w:ascii="Times New Roman;sans-serif" w:hAnsi="Times New Roman;sans-serif"/>
          <w:b w:val="false"/>
          <w:color w:val="000000"/>
          <w:sz w:val="22"/>
          <w:u w:val="single"/>
        </w:rPr>
        <w:t>Article 3)</w:t>
      </w:r>
      <w:r>
        <w:rPr>
          <w:rFonts w:ascii="Times New Roman;sans-serif" w:hAnsi="Times New Roman;sans-serif"/>
          <w:b w:val="false"/>
          <w:color w:val="000000"/>
          <w:sz w:val="22"/>
        </w:rPr>
        <w:t xml:space="preserve">, ratably among them in proportion to the respective amounts described in this clause </w:t>
      </w:r>
      <w:r>
        <w:rPr>
          <w:rFonts w:ascii="Times New Roman;sans-serif" w:hAnsi="Times New Roman;sans-serif"/>
          <w:b w:val="false"/>
          <w:color w:val="000000"/>
          <w:sz w:val="22"/>
          <w:u w:val="single"/>
        </w:rPr>
        <w:t>Second</w:t>
      </w:r>
      <w:r>
        <w:rPr>
          <w:color w:val="000000"/>
        </w:rPr>
        <w:t xml:space="preserve"> </w:t>
      </w:r>
      <w:r>
        <w:rPr>
          <w:rFonts w:ascii="Times New Roman;sans-serif" w:hAnsi="Times New Roman;sans-serif"/>
          <w:b w:val="false"/>
          <w:color w:val="000000"/>
          <w:sz w:val="22"/>
        </w:rPr>
        <w:t>payable to them;</w:t>
      </w:r>
    </w:p>
    <w:p>
      <w:pPr>
        <w:pStyle w:val="TextBody"/>
        <w:bidi w:val="0"/>
        <w:spacing w:lineRule="auto" w:line="288" w:before="0" w:after="240"/>
        <w:jc w:val="both"/>
        <w:rPr/>
      </w:pPr>
      <w:r>
        <w:rPr>
          <w:rFonts w:ascii="Times New Roman;sans-serif" w:hAnsi="Times New Roman;sans-serif"/>
          <w:b w:val="false"/>
          <w:color w:val="000000"/>
          <w:sz w:val="22"/>
          <w:u w:val="single"/>
        </w:rPr>
        <w:t>Third</w:t>
      </w:r>
      <w:r>
        <w:rPr>
          <w:rFonts w:ascii="Times New Roman;sans-serif" w:hAnsi="Times New Roman;sans-serif"/>
          <w:b w:val="false"/>
          <w:color w:val="000000"/>
          <w:sz w:val="22"/>
        </w:rPr>
        <w:t xml:space="preserve">, to the extent of any excess of such proceeds, to the payment of that portion of the Secured Obligations constituting accrued and unpaid interest on the Loans and other Secured Obligations, ratably among the Credit Parties in proportion to the respective amounts described in this clause </w:t>
      </w:r>
      <w:r>
        <w:rPr>
          <w:rFonts w:ascii="Times New Roman;sans-serif" w:hAnsi="Times New Roman;sans-serif"/>
          <w:b w:val="false"/>
          <w:color w:val="000000"/>
          <w:sz w:val="22"/>
          <w:u w:val="single"/>
        </w:rPr>
        <w:t>Third</w:t>
      </w:r>
      <w:r>
        <w:rPr>
          <w:color w:val="000000"/>
        </w:rPr>
        <w:t xml:space="preserve"> </w:t>
      </w:r>
      <w:r>
        <w:rPr>
          <w:rFonts w:ascii="Times New Roman;sans-serif" w:hAnsi="Times New Roman;sans-serif"/>
          <w:b w:val="false"/>
          <w:color w:val="000000"/>
          <w:sz w:val="22"/>
        </w:rPr>
        <w:t>payable to them;</w:t>
      </w: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60" name="Frame1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105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105</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u w:val="single"/>
        </w:rPr>
        <w:t>Fourth</w:t>
      </w:r>
      <w:r>
        <w:rPr>
          <w:rFonts w:ascii="Times New Roman;sans-serif" w:hAnsi="Times New Roman;sans-serif"/>
          <w:b w:val="false"/>
          <w:color w:val="000000"/>
          <w:sz w:val="22"/>
        </w:rPr>
        <w:t xml:space="preserve">, to the extent of any excess of such proceeds, to the payment of that portion of the Secured Obligations constituting unpaid principal of the Loans, ratably among the Secured Parties in proportion to the respective amounts described in this clause </w:t>
      </w:r>
      <w:r>
        <w:rPr>
          <w:rFonts w:ascii="Times New Roman;sans-serif" w:hAnsi="Times New Roman;sans-serif"/>
          <w:b w:val="false"/>
          <w:color w:val="000000"/>
          <w:sz w:val="22"/>
          <w:u w:val="single"/>
        </w:rPr>
        <w:t>Fourth</w:t>
      </w:r>
      <w:r>
        <w:rPr>
          <w:color w:val="000000"/>
        </w:rPr>
        <w:t xml:space="preserve"> </w:t>
      </w:r>
      <w:r>
        <w:rPr>
          <w:rFonts w:ascii="Times New Roman;sans-serif" w:hAnsi="Times New Roman;sans-serif"/>
          <w:b w:val="false"/>
          <w:color w:val="000000"/>
          <w:sz w:val="22"/>
        </w:rPr>
        <w:t>held by them;</w:t>
      </w:r>
    </w:p>
    <w:p>
      <w:pPr>
        <w:pStyle w:val="TextBody"/>
        <w:bidi w:val="0"/>
        <w:spacing w:lineRule="auto" w:line="288" w:before="0" w:after="240"/>
        <w:jc w:val="both"/>
        <w:rPr/>
      </w:pPr>
      <w:r>
        <w:rPr>
          <w:rFonts w:ascii="Times New Roman;sans-serif" w:hAnsi="Times New Roman;sans-serif"/>
          <w:b w:val="false"/>
          <w:color w:val="000000"/>
          <w:sz w:val="22"/>
          <w:u w:val="single"/>
        </w:rPr>
        <w:t>Fifth</w:t>
      </w:r>
      <w:r>
        <w:rPr>
          <w:rFonts w:ascii="Times New Roman;sans-serif" w:hAnsi="Times New Roman;sans-serif"/>
          <w:b w:val="false"/>
          <w:color w:val="000000"/>
          <w:sz w:val="22"/>
        </w:rPr>
        <w:t>, to the extent of any excess of such proceeds, to the payment of all other Secured Obligations of the Loan Parties owing under or in respect of the Loan Documents that are due and payable to the Credit Parties, or any of them, on such date, ratably based on the respective aggregate amounts of all such Secured Obligations owing to the Secured Parties on such date; and</w:t>
      </w:r>
    </w:p>
    <w:p>
      <w:pPr>
        <w:pStyle w:val="TextBody"/>
        <w:bidi w:val="0"/>
        <w:spacing w:lineRule="auto" w:line="288" w:before="0" w:after="240"/>
        <w:jc w:val="both"/>
        <w:rPr/>
      </w:pPr>
      <w:r>
        <w:rPr>
          <w:rFonts w:ascii="Times New Roman;sans-serif" w:hAnsi="Times New Roman;sans-serif"/>
          <w:b w:val="false"/>
          <w:color w:val="000000"/>
          <w:sz w:val="22"/>
          <w:u w:val="single"/>
        </w:rPr>
        <w:t>Last</w:t>
      </w:r>
      <w:r>
        <w:rPr>
          <w:rFonts w:ascii="Times New Roman;sans-serif" w:hAnsi="Times New Roman;sans-serif"/>
          <w:b w:val="false"/>
          <w:color w:val="000000"/>
          <w:sz w:val="22"/>
        </w:rPr>
        <w:t>, to the extent of any excess of such proceeds, the balance, if any, after all of the Secured Obligations (other than unasserted contingent indemnification and unasserted expense reimbursement obligations in each case not yet due and payable) have been paid in full, to the Borrower or as otherwise required by law.</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8.4</w:t>
      </w:r>
      <w:r>
        <w:rPr>
          <w:rFonts w:ascii="Times New Roman;sans-serif" w:hAnsi="Times New Roman;sans-serif"/>
          <w:b w:val="false"/>
          <w:color w:val="000000"/>
          <w:sz w:val="22"/>
          <w:u w:val="single"/>
        </w:rPr>
        <w:t>Equity Cure</w:t>
      </w:r>
      <w:r>
        <w:rPr>
          <w:rFonts w:ascii="Times New Roman;sans-serif" w:hAnsi="Times New Roman;sans-serif"/>
          <w:b w:val="false"/>
          <w:color w:val="000000"/>
          <w:sz w:val="22"/>
        </w:rPr>
        <w:t xml:space="preserve">. In the event the Loan Parties fail to comply with </w:t>
      </w:r>
      <w:r>
        <w:rPr>
          <w:rFonts w:ascii="Times New Roman;sans-serif" w:hAnsi="Times New Roman;sans-serif"/>
          <w:b w:val="false"/>
          <w:color w:val="000000"/>
          <w:sz w:val="22"/>
          <w:u w:val="single"/>
        </w:rPr>
        <w:t>Section 7.12(a)</w:t>
      </w:r>
      <w:r>
        <w:rPr>
          <w:color w:val="000000"/>
        </w:rPr>
        <w:t xml:space="preserve"> </w:t>
      </w:r>
      <w:r>
        <w:rPr>
          <w:rFonts w:ascii="Times New Roman;sans-serif" w:hAnsi="Times New Roman;sans-serif"/>
          <w:b w:val="false"/>
          <w:color w:val="000000"/>
          <w:sz w:val="22"/>
        </w:rPr>
        <w:t xml:space="preserve">as of the last day of any Fiscal Quarter (to the extent </w:t>
      </w:r>
      <w:r>
        <w:rPr>
          <w:rFonts w:ascii="Times New Roman;sans-serif" w:hAnsi="Times New Roman;sans-serif"/>
          <w:b w:val="false"/>
          <w:color w:val="000000"/>
          <w:sz w:val="22"/>
          <w:u w:val="single"/>
        </w:rPr>
        <w:t>Section 7.12(a)</w:t>
      </w:r>
      <w:r>
        <w:rPr>
          <w:color w:val="000000"/>
        </w:rPr>
        <w:t xml:space="preserve"> </w:t>
      </w:r>
      <w:r>
        <w:rPr>
          <w:rFonts w:ascii="Times New Roman;sans-serif" w:hAnsi="Times New Roman;sans-serif"/>
          <w:b w:val="false"/>
          <w:color w:val="000000"/>
          <w:sz w:val="22"/>
        </w:rPr>
        <w:t xml:space="preserve">is applicable to such Fiscal Quarter) or fail to comply with </w:t>
      </w:r>
      <w:r>
        <w:rPr>
          <w:rFonts w:ascii="Times New Roman;sans-serif" w:hAnsi="Times New Roman;sans-serif"/>
          <w:b w:val="false"/>
          <w:color w:val="000000"/>
          <w:sz w:val="22"/>
          <w:u w:val="single"/>
        </w:rPr>
        <w:t>Section 7.12(b)</w:t>
      </w:r>
      <w:r>
        <w:rPr>
          <w:color w:val="000000"/>
        </w:rPr>
        <w:t xml:space="preserve"> </w:t>
      </w:r>
      <w:r>
        <w:rPr>
          <w:rFonts w:ascii="Times New Roman;sans-serif" w:hAnsi="Times New Roman;sans-serif"/>
          <w:b w:val="false"/>
          <w:color w:val="000000"/>
          <w:sz w:val="22"/>
        </w:rPr>
        <w:t>for any Four Week Reporting Period (each, a “</w:t>
      </w:r>
      <w:r>
        <w:rPr>
          <w:rFonts w:ascii="Times New Roman;sans-serif" w:hAnsi="Times New Roman;sans-serif"/>
          <w:b w:val="false"/>
          <w:color w:val="000000"/>
          <w:sz w:val="22"/>
          <w:u w:val="single"/>
        </w:rPr>
        <w:t>Financial Covenant Default</w:t>
      </w:r>
      <w:r>
        <w:rPr>
          <w:color w:val="000000"/>
        </w:rPr>
        <w:t>”</w:t>
      </w:r>
      <w:r>
        <w:rPr>
          <w:rFonts w:ascii="Times New Roman;sans-serif" w:hAnsi="Times New Roman;sans-serif"/>
          <w:b w:val="false"/>
          <w:color w:val="000000"/>
          <w:sz w:val="22"/>
        </w:rPr>
        <w:t xml:space="preserve">), any cash equity contribution to the Borrower (funded with proceeds of common equity issued by the Borrower or other equity issued by the Borrower having terms reasonably acceptable to the Administrative Agent and in any case, not constituting Disqualified Equity Interests) after the last day of such Fiscal Quarter (in the case of </w:t>
      </w:r>
      <w:r>
        <w:rPr>
          <w:rFonts w:ascii="Times New Roman;sans-serif" w:hAnsi="Times New Roman;sans-serif"/>
          <w:b w:val="false"/>
          <w:color w:val="000000"/>
          <w:sz w:val="22"/>
          <w:u w:val="single"/>
        </w:rPr>
        <w:t>Section 7.12(a)</w:t>
      </w:r>
      <w:r>
        <w:rPr>
          <w:rFonts w:ascii="Times New Roman;sans-serif" w:hAnsi="Times New Roman;sans-serif"/>
          <w:b w:val="false"/>
          <w:color w:val="000000"/>
          <w:sz w:val="22"/>
        </w:rPr>
        <w:t xml:space="preserve">) or such Four Week Reporting Period (in the case of </w:t>
      </w:r>
      <w:r>
        <w:rPr>
          <w:rFonts w:ascii="Times New Roman;sans-serif" w:hAnsi="Times New Roman;sans-serif"/>
          <w:b w:val="false"/>
          <w:color w:val="000000"/>
          <w:sz w:val="22"/>
          <w:u w:val="single"/>
        </w:rPr>
        <w:t>Section 7.12(b)</w:t>
      </w:r>
      <w:r>
        <w:rPr>
          <w:rFonts w:ascii="Times New Roman;sans-serif" w:hAnsi="Times New Roman;sans-serif"/>
          <w:b w:val="false"/>
          <w:color w:val="000000"/>
          <w:sz w:val="22"/>
        </w:rPr>
        <w:t xml:space="preserve">) and on or prior to the day that is ten (10) Business Days after the day on which a Compliance Certificate (in the case of </w:t>
      </w:r>
      <w:r>
        <w:rPr>
          <w:rFonts w:ascii="Times New Roman;sans-serif" w:hAnsi="Times New Roman;sans-serif"/>
          <w:b w:val="false"/>
          <w:color w:val="000000"/>
          <w:sz w:val="22"/>
          <w:u w:val="single"/>
        </w:rPr>
        <w:t>Section 7.12(a)</w:t>
      </w:r>
      <w:r>
        <w:rPr>
          <w:rFonts w:ascii="Times New Roman;sans-serif" w:hAnsi="Times New Roman;sans-serif"/>
          <w:b w:val="false"/>
          <w:color w:val="000000"/>
          <w:sz w:val="22"/>
        </w:rPr>
        <w:t xml:space="preserve">) or a Liquidity Certificate (in the case of </w:t>
      </w:r>
      <w:r>
        <w:rPr>
          <w:rFonts w:ascii="Times New Roman;sans-serif" w:hAnsi="Times New Roman;sans-serif"/>
          <w:b w:val="false"/>
          <w:color w:val="000000"/>
          <w:sz w:val="22"/>
          <w:u w:val="single"/>
        </w:rPr>
        <w:t>Section 7.12(b)</w:t>
      </w:r>
      <w:r>
        <w:rPr>
          <w:rFonts w:ascii="Times New Roman;sans-serif" w:hAnsi="Times New Roman;sans-serif"/>
          <w:b w:val="false"/>
          <w:color w:val="000000"/>
          <w:sz w:val="22"/>
        </w:rPr>
        <w:t xml:space="preserve">) is required to be delivered for the applicable Fiscal Quarter or Four Week Reporting Period (as applicable) will, at the irrevocable election of the Borrower, (i) be included in the calculation of Consolidated EBITDA solely for the purposes of determining compliance with </w:t>
      </w:r>
      <w:r>
        <w:rPr>
          <w:rFonts w:ascii="Times New Roman;sans-serif" w:hAnsi="Times New Roman;sans-serif"/>
          <w:b w:val="false"/>
          <w:color w:val="000000"/>
          <w:sz w:val="22"/>
          <w:u w:val="single"/>
        </w:rPr>
        <w:t>Section 7.12(a)</w:t>
      </w:r>
      <w:r>
        <w:rPr>
          <w:color w:val="000000"/>
        </w:rPr>
        <w:t xml:space="preserve"> </w:t>
      </w:r>
      <w:r>
        <w:rPr>
          <w:rFonts w:ascii="Times New Roman;sans-serif" w:hAnsi="Times New Roman;sans-serif"/>
          <w:b w:val="false"/>
          <w:color w:val="000000"/>
          <w:sz w:val="22"/>
        </w:rPr>
        <w:t>at the end of such Fiscal Quarter (each, a “</w:t>
      </w:r>
      <w:r>
        <w:rPr>
          <w:rFonts w:ascii="Times New Roman;sans-serif" w:hAnsi="Times New Roman;sans-serif"/>
          <w:b w:val="false"/>
          <w:color w:val="000000"/>
          <w:sz w:val="22"/>
          <w:u w:val="single"/>
        </w:rPr>
        <w:t>Cure Quarter</w:t>
      </w:r>
      <w:r>
        <w:rPr>
          <w:color w:val="000000"/>
        </w:rPr>
        <w:t>”</w:t>
      </w:r>
      <w:r>
        <w:rPr>
          <w:rFonts w:ascii="Times New Roman;sans-serif" w:hAnsi="Times New Roman;sans-serif"/>
          <w:b w:val="false"/>
          <w:color w:val="000000"/>
          <w:sz w:val="22"/>
        </w:rPr>
        <w:t>) and any subsequent period that includes such Cure Quarter and/or (ii) be added to Liquidity for the applicable Four Week Reporting Period (with such cash deemed to constitute Unrestricted Cash on the balance sheet of the Loan Parties maintained in a Controlled Account for each day during the applicable Four Week Reporting Period) (any such equity contribution so included in the calculation of Consolidated EBITDA and/or Liquidity, a “</w:t>
      </w:r>
      <w:r>
        <w:rPr>
          <w:rFonts w:ascii="Times New Roman;sans-serif" w:hAnsi="Times New Roman;sans-serif"/>
          <w:b w:val="false"/>
          <w:color w:val="000000"/>
          <w:sz w:val="22"/>
          <w:u w:val="single"/>
        </w:rPr>
        <w:t>Specified Equity Contribution</w:t>
      </w:r>
      <w:r>
        <w:rPr>
          <w:color w:val="000000"/>
        </w:rPr>
        <w:t>”</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 written notice of the Borrower’s intent to accept a Specified Equity Contribution (a “</w:t>
      </w:r>
      <w:r>
        <w:rPr>
          <w:rFonts w:ascii="Times New Roman;sans-serif" w:hAnsi="Times New Roman;sans-serif"/>
          <w:b w:val="false"/>
          <w:color w:val="000000"/>
          <w:sz w:val="22"/>
          <w:u w:val="single"/>
        </w:rPr>
        <w:t>Cure Notice</w:t>
      </w:r>
      <w:r>
        <w:rPr>
          <w:color w:val="000000"/>
        </w:rPr>
        <w:t>”</w:t>
      </w:r>
      <w:r>
        <w:rPr>
          <w:rFonts w:ascii="Times New Roman;sans-serif" w:hAnsi="Times New Roman;sans-serif"/>
          <w:b w:val="false"/>
          <w:color w:val="000000"/>
          <w:sz w:val="22"/>
        </w:rPr>
        <w:t xml:space="preserve">) shall be delivered by the Borrower to the Administrative Agent no later than the day on which a Compliance Certificate is required to be delivered for the applicable Fiscal Quarter (in the case of </w:t>
      </w:r>
      <w:r>
        <w:rPr>
          <w:rFonts w:ascii="Times New Roman;sans-serif" w:hAnsi="Times New Roman;sans-serif"/>
          <w:b w:val="false"/>
          <w:color w:val="000000"/>
          <w:sz w:val="22"/>
          <w:u w:val="single"/>
        </w:rPr>
        <w:t>Section 7.12(a)</w:t>
      </w:r>
      <w:r>
        <w:rPr>
          <w:rFonts w:ascii="Times New Roman;sans-serif" w:hAnsi="Times New Roman;sans-serif"/>
          <w:b w:val="false"/>
          <w:color w:val="000000"/>
          <w:sz w:val="22"/>
        </w:rPr>
        <w:t xml:space="preserve">) or a Liquidity Certificate is required to be delivered for the applicable Four Week Reporting Period (in the case of </w:t>
      </w:r>
      <w:r>
        <w:rPr>
          <w:rFonts w:ascii="Times New Roman;sans-serif" w:hAnsi="Times New Roman;sans-serif"/>
          <w:b w:val="false"/>
          <w:color w:val="000000"/>
          <w:sz w:val="22"/>
          <w:u w:val="single"/>
        </w:rPr>
        <w:t>Section 7.12(b)</w:t>
      </w:r>
      <w:r>
        <w:rPr>
          <w:rFonts w:ascii="Times New Roman;sans-serif" w:hAnsi="Times New Roman;sans-serif"/>
          <w:b w:val="false"/>
          <w:color w:val="000000"/>
          <w:sz w:val="22"/>
        </w:rPr>
        <w:t>), (b) the amount of any Specified Equity Contribution will be no greater than the amount required to cause the Loan Parties to be in compliance with the Financial Covenants (the “</w:t>
      </w:r>
      <w:r>
        <w:rPr>
          <w:rFonts w:ascii="Times New Roman;sans-serif" w:hAnsi="Times New Roman;sans-serif"/>
          <w:b w:val="false"/>
          <w:color w:val="000000"/>
          <w:sz w:val="22"/>
          <w:u w:val="single"/>
        </w:rPr>
        <w:t>Cure Amount</w:t>
      </w:r>
      <w:r>
        <w:rPr>
          <w:color w:val="000000"/>
        </w:rPr>
        <w:t>”</w:t>
      </w:r>
      <w:r>
        <w:rPr>
          <w:rFonts w:ascii="Times New Roman;sans-serif" w:hAnsi="Times New Roman;sans-serif"/>
          <w:b w:val="false"/>
          <w:color w:val="000000"/>
          <w:sz w:val="22"/>
        </w:rPr>
        <w:t xml:space="preserve">) for the applicable Fiscal Quarter and/or Four Week Reporting Period (for the avoidance of doubt, if there is an Event of Default under both of the Financial Covenants, such amounts to be designated shall not exceed the maximum aggregate amount necessary to cure any Event of Default under both of the Financial Covenants as of such date), (c) all Specified Equity Contributions will be disregarded for purposes of the calculation of Consolidated EBITDA for all other purposes, including calculating basket levels, pricing, determining compliance with incurrence-based or pro forma calculations or conditions and any other items governed by reference to or otherwise based on Consolidated EBITDA, (d) there shall be no more than two (2) Specified Equity Contributions made in the aggregate after the Closing Date, (e) Specified Equity Contributions may not be made in consecutive Fiscal Quarters or consecutive Four Week Reporting Periods, (f) the proceeds </w:t>
      </w: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260"/>
                <wp:effectExtent l="0" t="0" r="0" b="0"/>
                <wp:wrapNone/>
                <wp:docPr id="161" name="Frame1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106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106</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received by the Borrower from all Specified Equity Contributions shall be used by the Borrower to prepay Loans in accordance with </w:t>
      </w:r>
      <w:r>
        <w:rPr>
          <w:rFonts w:ascii="Times New Roman;sans-serif" w:hAnsi="Times New Roman;sans-serif"/>
          <w:b w:val="false"/>
          <w:color w:val="000000"/>
          <w:sz w:val="22"/>
          <w:u w:val="single"/>
        </w:rPr>
        <w:t>Section 2.7(f)(ii)</w:t>
      </w:r>
      <w:r>
        <w:rPr>
          <w:rFonts w:ascii="Times New Roman;sans-serif" w:hAnsi="Times New Roman;sans-serif"/>
          <w:b w:val="false"/>
          <w:color w:val="000000"/>
          <w:sz w:val="22"/>
        </w:rPr>
        <w:t xml:space="preserve">, and (g) there shall be no reduction in Consolidated Total Debt (through either netting of cash or prepayment of Indebtedness) in connection with any Specified Equity Contribution (or the application of the proceeds thereof) for determining compliance with </w:t>
      </w:r>
      <w:r>
        <w:rPr>
          <w:rFonts w:ascii="Times New Roman;sans-serif" w:hAnsi="Times New Roman;sans-serif"/>
          <w:b w:val="false"/>
          <w:color w:val="000000"/>
          <w:sz w:val="22"/>
          <w:u w:val="single"/>
        </w:rPr>
        <w:t>Section 7.12(a)</w:t>
      </w:r>
      <w:r>
        <w:rPr>
          <w:color w:val="000000"/>
        </w:rPr>
        <w:t xml:space="preserve"> </w:t>
      </w:r>
      <w:r>
        <w:rPr>
          <w:rFonts w:ascii="Times New Roman;sans-serif" w:hAnsi="Times New Roman;sans-serif"/>
          <w:b w:val="false"/>
          <w:color w:val="000000"/>
          <w:sz w:val="22"/>
        </w:rPr>
        <w:t xml:space="preserve">for the period ending on the last day of the applicable Cure Quarter;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to the extent any Cure Amount is used to prepay the Loans, there shall be a reduction in Consolidated Total Debt for purposes of determining compliance with </w:t>
      </w:r>
      <w:r>
        <w:rPr>
          <w:rFonts w:ascii="Times New Roman;sans-serif" w:hAnsi="Times New Roman;sans-serif"/>
          <w:b w:val="false"/>
          <w:color w:val="000000"/>
          <w:sz w:val="22"/>
          <w:u w:val="single"/>
        </w:rPr>
        <w:t>Section 7.12(a)</w:t>
      </w:r>
      <w:r>
        <w:rPr>
          <w:color w:val="000000"/>
        </w:rPr>
        <w:t xml:space="preserve"> </w:t>
      </w:r>
      <w:r>
        <w:rPr>
          <w:rFonts w:ascii="Times New Roman;sans-serif" w:hAnsi="Times New Roman;sans-serif"/>
          <w:b w:val="false"/>
          <w:color w:val="000000"/>
          <w:sz w:val="22"/>
        </w:rPr>
        <w:t xml:space="preserve">in all future Fiscal Quarters where such Cure Quarter is included in the applicable test period (but, for the avoidance of doubt, there shall be no de-leveraging credit for the period ending on the last day of the Cure Quarter in respect of which the equity cure is exercised). Upon the Administrative Agent’s receipt of notice from the Borrower of its intent to make a Specified Equity Contribution pursuant to this </w:t>
      </w:r>
      <w:r>
        <w:rPr>
          <w:rFonts w:ascii="Times New Roman;sans-serif" w:hAnsi="Times New Roman;sans-serif"/>
          <w:b w:val="false"/>
          <w:color w:val="000000"/>
          <w:sz w:val="22"/>
          <w:u w:val="single"/>
        </w:rPr>
        <w:t>Section 8.4</w:t>
      </w:r>
      <w:r>
        <w:rPr>
          <w:color w:val="000000"/>
        </w:rPr>
        <w:t xml:space="preserve"> </w:t>
      </w:r>
      <w:r>
        <w:rPr>
          <w:rFonts w:ascii="Times New Roman;sans-serif" w:hAnsi="Times New Roman;sans-serif"/>
          <w:b w:val="false"/>
          <w:color w:val="000000"/>
          <w:sz w:val="22"/>
        </w:rPr>
        <w:t xml:space="preserve">no later than the day on which a Compliance Certificate is required to be delivered for the applicable Fiscal Quarter (in the case of </w:t>
      </w:r>
      <w:r>
        <w:rPr>
          <w:rFonts w:ascii="Times New Roman;sans-serif" w:hAnsi="Times New Roman;sans-serif"/>
          <w:b w:val="false"/>
          <w:color w:val="000000"/>
          <w:sz w:val="22"/>
          <w:u w:val="single"/>
        </w:rPr>
        <w:t>Section 7.12(a)</w:t>
      </w:r>
      <w:r>
        <w:rPr>
          <w:rFonts w:ascii="Times New Roman;sans-serif" w:hAnsi="Times New Roman;sans-serif"/>
          <w:b w:val="false"/>
          <w:color w:val="000000"/>
          <w:sz w:val="22"/>
        </w:rPr>
        <w:t xml:space="preserve">) or the day on which a Liquidity Certificate is required to be delivered for the applicable Four Week Reporting Period (in the case of </w:t>
      </w:r>
      <w:r>
        <w:rPr>
          <w:rFonts w:ascii="Times New Roman;sans-serif" w:hAnsi="Times New Roman;sans-serif"/>
          <w:b w:val="false"/>
          <w:color w:val="000000"/>
          <w:sz w:val="22"/>
          <w:u w:val="single"/>
        </w:rPr>
        <w:t>Section 7.12(b)</w:t>
      </w:r>
      <w:r>
        <w:rPr>
          <w:rFonts w:ascii="Times New Roman;sans-serif" w:hAnsi="Times New Roman;sans-serif"/>
          <w:b w:val="false"/>
          <w:color w:val="000000"/>
          <w:sz w:val="22"/>
        </w:rPr>
        <w:t xml:space="preserve">), then, so long as the Borrower is permitted to cure a breach of a Financial Covenant pursuant to this </w:t>
      </w:r>
      <w:r>
        <w:rPr>
          <w:rFonts w:ascii="Times New Roman;sans-serif" w:hAnsi="Times New Roman;sans-serif"/>
          <w:b w:val="false"/>
          <w:color w:val="000000"/>
          <w:sz w:val="22"/>
          <w:u w:val="single"/>
        </w:rPr>
        <w:t>Section 8.4</w:t>
      </w:r>
      <w:r>
        <w:rPr>
          <w:color w:val="000000"/>
        </w:rPr>
        <w:t xml:space="preserve"> </w:t>
      </w:r>
      <w:r>
        <w:rPr>
          <w:rFonts w:ascii="Times New Roman;sans-serif" w:hAnsi="Times New Roman;sans-serif"/>
          <w:b w:val="false"/>
          <w:color w:val="000000"/>
          <w:sz w:val="22"/>
        </w:rPr>
        <w:t xml:space="preserve">at such time, until the day that is ten (10) Business Days after such date, neither the Administrative Agent nor any Lender shall exercise the right to accelerate the Loans or terminate the Commitments and neither the Administrative Agent nor any Lender shall exercise any right to foreclose on or take possession of the Collateral solely on the basis of an Event of Default having occurred and being continuing under </w:t>
      </w:r>
      <w:r>
        <w:rPr>
          <w:rFonts w:ascii="Times New Roman;sans-serif" w:hAnsi="Times New Roman;sans-serif"/>
          <w:b w:val="false"/>
          <w:color w:val="000000"/>
          <w:sz w:val="22"/>
          <w:u w:val="single"/>
        </w:rPr>
        <w:t>Section 7.12(a)</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(b)</w:t>
      </w:r>
      <w:r>
        <w:rPr>
          <w:color w:val="000000"/>
        </w:rPr>
        <w:t xml:space="preserve"> </w:t>
      </w:r>
      <w:r>
        <w:rPr>
          <w:rFonts w:ascii="Times New Roman;sans-serif" w:hAnsi="Times New Roman;sans-serif"/>
          <w:b w:val="false"/>
          <w:color w:val="000000"/>
          <w:sz w:val="22"/>
        </w:rPr>
        <w:t xml:space="preserve">in respect of the period ending on the last day of such Fiscal Quarter or Four Week Reporting Period, as applicable. Upon timely receipt by the Borrower in cash of the Cure Amount and payment of the mandatory prepayment pursuant to </w:t>
      </w:r>
      <w:r>
        <w:rPr>
          <w:rFonts w:ascii="Times New Roman;sans-serif" w:hAnsi="Times New Roman;sans-serif"/>
          <w:b w:val="false"/>
          <w:color w:val="000000"/>
          <w:sz w:val="22"/>
          <w:u w:val="single"/>
        </w:rPr>
        <w:t>Section 2.7(f)(ii)</w:t>
      </w:r>
      <w:r>
        <w:rPr>
          <w:rFonts w:ascii="Times New Roman;sans-serif" w:hAnsi="Times New Roman;sans-serif"/>
          <w:b w:val="false"/>
          <w:color w:val="000000"/>
          <w:sz w:val="22"/>
        </w:rPr>
        <w:t>, the Financial Covenant Default(s) in respect of the applicable Fiscal Quarter and/or Four Week Reporting Period shall be deemed cured.</w:t>
      </w:r>
    </w:p>
    <w:p>
      <w:pPr>
        <w:pStyle w:val="TextBody"/>
        <w:bidi w:val="0"/>
        <w:spacing w:lineRule="auto" w:line="288" w:before="0" w:after="240"/>
        <w:jc w:val="center"/>
        <w:rPr/>
      </w:pPr>
      <w:r>
        <w:rPr>
          <w:rFonts w:ascii="Times New Roman;sans-serif" w:hAnsi="Times New Roman;sans-serif"/>
          <w:b w:val="false"/>
          <w:color w:val="000000"/>
          <w:sz w:val="22"/>
        </w:rPr>
        <w:t>Article 9</w:t>
      </w:r>
      <w:r>
        <w:rPr>
          <w:rFonts w:ascii="Times New Roman;sans-serif" w:hAnsi="Times New Roman;sans-serif"/>
          <w:b w:val="false"/>
          <w:color w:val="000000"/>
          <w:sz w:val="22"/>
        </w:rPr>
        <w:br/>
        <w:br/>
        <w:t>THE ADMINISTRATIVE AGENT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9.1</w:t>
      </w:r>
      <w:r>
        <w:rPr>
          <w:rFonts w:ascii="Times New Roman;sans-serif" w:hAnsi="Times New Roman;sans-serif"/>
          <w:b w:val="false"/>
          <w:color w:val="000000"/>
          <w:sz w:val="22"/>
          <w:u w:val="single"/>
        </w:rPr>
        <w:t>Appointment and Authority</w:t>
      </w:r>
      <w:r>
        <w:rPr>
          <w:rFonts w:ascii="Times New Roman;sans-serif" w:hAnsi="Times New Roman;sans-serif"/>
          <w:b w:val="false"/>
          <w:color w:val="000000"/>
          <w:sz w:val="22"/>
        </w:rPr>
        <w:t xml:space="preserve">. Each of the Lenders hereby irrevocably appoints BGC Lender Rep LLC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w:t>
      </w:r>
      <w:r>
        <w:rPr>
          <w:rFonts w:ascii="Times New Roman;sans-serif" w:hAnsi="Times New Roman;sans-serif"/>
          <w:b w:val="false"/>
          <w:color w:val="000000"/>
          <w:sz w:val="22"/>
          <w:u w:val="single"/>
        </w:rPr>
        <w:t>Article 9</w:t>
      </w:r>
      <w:r>
        <w:rPr>
          <w:color w:val="000000"/>
        </w:rPr>
        <w:t xml:space="preserve"> </w:t>
      </w:r>
      <w:r>
        <w:rPr>
          <w:rFonts w:ascii="Times New Roman;sans-serif" w:hAnsi="Times New Roman;sans-serif"/>
          <w:b w:val="false"/>
          <w:color w:val="000000"/>
          <w:sz w:val="22"/>
        </w:rPr>
        <w:t>are solely for the benefit of the Administrative Agent and the Lenders, and neither the Borrower nor any other Loan Party shall have rights as a third-party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9.2</w:t>
      </w:r>
      <w:r>
        <w:rPr>
          <w:rFonts w:ascii="Times New Roman;sans-serif" w:hAnsi="Times New Roman;sans-serif"/>
          <w:b w:val="false"/>
          <w:color w:val="000000"/>
          <w:sz w:val="22"/>
          <w:u w:val="single"/>
        </w:rPr>
        <w:t>Rights as a Lender</w:t>
      </w:r>
      <w:r>
        <w:rPr>
          <w:rFonts w:ascii="Times New Roman;sans-serif" w:hAnsi="Times New Roman;sans-serif"/>
          <w:b w:val="false"/>
          <w:color w:val="000000"/>
          <w:sz w:val="22"/>
        </w:rPr>
        <w:t xml:space="preserve">. 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Borrower or any Subsidiary </w:t>
      </w: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75260"/>
                <wp:effectExtent l="0" t="0" r="0" b="0"/>
                <wp:wrapNone/>
                <wp:docPr id="162" name="Frame1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107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107</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or other Affiliate thereof as if such Person were not the Administrative Agent hereunder and without any duty to account therefor to the Lenders.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9.3</w:t>
      </w:r>
      <w:r>
        <w:rPr>
          <w:rFonts w:ascii="Times New Roman;sans-serif" w:hAnsi="Times New Roman;sans-serif"/>
          <w:b w:val="false"/>
          <w:color w:val="000000"/>
          <w:sz w:val="22"/>
          <w:u w:val="single"/>
        </w:rPr>
        <w:t>Exculpatory Provisions</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The Administrative Agent shall not have any duties or obligations except those expressly set forth herein and in the other Loan Documents, and its duties hereunder shall be administrative in nature. Without limiting the generality of the foregoing, the Administrative Agent:</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(i)shall not be subject to any fiduciary or other implied duties, regardless of whether a Default or Event of Default has occurred and is continuing;</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(ii)shall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and</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(iii)shall not, except as expressly set forth herein and in the other Loan Documents, have any duty to disclose, and shall not be liable for the failure to disclose, any information relating to the Borrower or any of its Affiliates that is communicated to or obtained by the Person serving as the Administrative Agent or any of its Affiliates in any capacity.</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Times New Roman;sans-serif" w:hAnsi="Times New Roman;sans-serif"/>
          <w:b w:val="false"/>
          <w:color w:val="000000"/>
          <w:sz w:val="22"/>
          <w:u w:val="single"/>
        </w:rPr>
        <w:t>Section 8.2</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Section 11.2</w:t>
      </w:r>
      <w:r>
        <w:rPr>
          <w:rFonts w:ascii="Times New Roman;sans-serif" w:hAnsi="Times New Roman;sans-serif"/>
          <w:b w:val="false"/>
          <w:color w:val="000000"/>
          <w:sz w:val="22"/>
        </w:rPr>
        <w:t>), or (ii) in the absence of its own gross negligence or willful misconduct as determined by a court of competent jurisdiction by final and nonappealable judgment. The Administrative Agent shall be deemed not to have knowledge of any Default unless and until notice describing such Default is given to the Administrative Agent in writing by the Borrower or a Lender.</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 xml:space="preserve">The Administrative Agent shall not be responsible for or have any duty to ascertain or inquire into (i) any statement, warranty or representation made in or in connection with this Credit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or Event of Default, (iv) the validity, enforceability, effectiveness or genuineness of this Credit Agreement, any other Loan Document or any other agreement, instrument or document, or (v) the satisfaction of any condition set forth in </w:t>
      </w:r>
      <w:r>
        <w:rPr>
          <w:rFonts w:ascii="Times New Roman;sans-serif" w:hAnsi="Times New Roman;sans-serif"/>
          <w:b w:val="false"/>
          <w:color w:val="000000"/>
          <w:sz w:val="22"/>
          <w:u w:val="single"/>
        </w:rPr>
        <w:t>Article 5</w:t>
      </w:r>
      <w:r>
        <w:rPr>
          <w:color w:val="000000"/>
        </w:rPr>
        <w:t xml:space="preserve"> </w:t>
      </w:r>
      <w:r>
        <w:rPr>
          <w:rFonts w:ascii="Times New Roman;sans-serif" w:hAnsi="Times New Roman;sans-serif"/>
          <w:b w:val="false"/>
          <w:color w:val="000000"/>
          <w:sz w:val="22"/>
        </w:rPr>
        <w:t>or elsewhere herein, other than to confirm receipt of items expressly required to be delivered to the Administrative Agent.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 xml:space="preserve">The Administrative Agent shall not be responsible or have any liability for, or have any duty to investigate a violation or potential violation of an Environmental Law or a Release or threat of Release of a Hazardous Material pursuant to </w:t>
      </w:r>
      <w:r>
        <w:rPr>
          <w:rFonts w:ascii="Times New Roman;sans-serif" w:hAnsi="Times New Roman;sans-serif"/>
          <w:b w:val="false"/>
          <w:color w:val="000000"/>
          <w:sz w:val="22"/>
          <w:u w:val="single"/>
        </w:rPr>
        <w:t>Section 6.13</w:t>
      </w:r>
      <w:r>
        <w:rPr>
          <w:rFonts w:ascii="Times New Roman;sans-serif" w:hAnsi="Times New Roman;sans-serif"/>
          <w:b w:val="false"/>
          <w:color w:val="000000"/>
          <w:sz w:val="22"/>
        </w:rPr>
        <w:t>, nor shall it have any liability for any action it takes or does not take in connection with any such investigation.</w:t>
      </w: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163" name="Frame1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108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108</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9.4</w:t>
      </w:r>
      <w:r>
        <w:rPr>
          <w:rFonts w:ascii="Times New Roman;sans-serif" w:hAnsi="Times New Roman;sans-serif"/>
          <w:b w:val="false"/>
          <w:color w:val="000000"/>
          <w:sz w:val="22"/>
          <w:u w:val="single"/>
        </w:rPr>
        <w:t>Reliance by Administrative Agent</w:t>
      </w:r>
      <w:r>
        <w:rPr>
          <w:rFonts w:ascii="Times New Roman;sans-serif" w:hAnsi="Times New Roman;sans-serif"/>
          <w:b w:val="false"/>
          <w:color w:val="000000"/>
          <w:sz w:val="22"/>
        </w:rPr>
        <w:t>.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that by its terms must be fulfilled to the satisfaction of a Lender, the Administrative Agent may presume that such condition is satisfactory to such Lender unless the Administrative Agent shall have received notice to the contrary from such Lender prior to the making of such Loan.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9.5</w:t>
      </w:r>
      <w:r>
        <w:rPr>
          <w:rFonts w:ascii="Times New Roman;sans-serif" w:hAnsi="Times New Roman;sans-serif"/>
          <w:b w:val="false"/>
          <w:color w:val="000000"/>
          <w:sz w:val="22"/>
          <w:u w:val="single"/>
        </w:rPr>
        <w:t>Delegation of Duties</w:t>
      </w:r>
      <w:r>
        <w:rPr>
          <w:rFonts w:ascii="Times New Roman;sans-serif" w:hAnsi="Times New Roman;sans-serif"/>
          <w:b w:val="false"/>
          <w:color w:val="000000"/>
          <w:sz w:val="22"/>
        </w:rPr>
        <w:t xml:space="preserve">. 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w:t>
      </w:r>
      <w:r>
        <w:rPr>
          <w:rFonts w:ascii="Times New Roman;sans-serif" w:hAnsi="Times New Roman;sans-serif"/>
          <w:b w:val="false"/>
          <w:color w:val="000000"/>
          <w:sz w:val="22"/>
          <w:u w:val="single"/>
        </w:rPr>
        <w:t>Article 9</w:t>
      </w:r>
      <w:r>
        <w:rPr>
          <w:color w:val="000000"/>
        </w:rPr>
        <w:t xml:space="preserve"> </w:t>
      </w:r>
      <w:r>
        <w:rPr>
          <w:rFonts w:ascii="Times New Roman;sans-serif" w:hAnsi="Times New Roman;sans-serif"/>
          <w:b w:val="false"/>
          <w:color w:val="000000"/>
          <w:sz w:val="22"/>
        </w:rPr>
        <w:t>shall apply to any such sub-agent and to the Related Parties of the Administrative Agent and any such sub-agent, and shall apply to their respective activities in connection with the syndication of the Credit Facility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9.6</w:t>
      </w:r>
      <w:r>
        <w:rPr>
          <w:rFonts w:ascii="Times New Roman;sans-serif" w:hAnsi="Times New Roman;sans-serif"/>
          <w:b w:val="false"/>
          <w:color w:val="000000"/>
          <w:sz w:val="22"/>
          <w:u w:val="single"/>
        </w:rPr>
        <w:t>Resignation of Administrative Agent</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The Administrative Agent may at any time give notice of its resignation to the Lenders and the Borrower. Upon receipt of any such notice of resignation, the Required Lenders shall have the right, in consultation with the Borrower, to appoint a successor, which shall be a Lender or a bank with an office in the United States, or an Affiliate of any such Lender or bank with an office in the United States. If no such successor shall have been so appointed by the Required Lenders and shall have accepted such appointment within 30 days after the retiring Administrative Agent gives notice of its resignation (or such earlier day as shall be agreed by the Required Lenders) (the “</w:t>
      </w:r>
      <w:r>
        <w:rPr>
          <w:rFonts w:ascii="Times New Roman;sans-serif" w:hAnsi="Times New Roman;sans-serif"/>
          <w:b w:val="false"/>
          <w:color w:val="000000"/>
          <w:sz w:val="22"/>
          <w:u w:val="single"/>
        </w:rPr>
        <w:t>Resignation Effective Date</w:t>
      </w:r>
      <w:r>
        <w:rPr>
          <w:color w:val="000000"/>
        </w:rPr>
        <w:t>”</w:t>
      </w:r>
      <w:r>
        <w:rPr>
          <w:rFonts w:ascii="Times New Roman;sans-serif" w:hAnsi="Times New Roman;sans-serif"/>
          <w:b w:val="false"/>
          <w:color w:val="000000"/>
          <w:sz w:val="22"/>
        </w:rPr>
        <w:t xml:space="preserve">), then the retiring Administrative Agent may (but shall not be obligated to), on behalf of the Lenders, appoint a successor Administrative Agent meeting the qualifications set forth above. Whether or not a successor has been appointed, such resignation shall become effective in accordance with such notice on the Resignation Effective Date.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[Reserved].</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 xml:space="preserve">With effect from the Resignation Effective Date (i) the retiring Administrative Agent shall be discharged from its duties and obligations hereunder and under the other Loan Documents (except that in the case of any collateral security held by the Administrative Agent on behalf of the Lenders under any of the Loan Documents, the retiring Administrative Agent shall continue to hold such collateral security until such time as a successor Administrative Agent is appointed and the retiring Administrative Agent delivers such collateral security to the successor Administrative Agent so appointed) and (ii) except for any indemnity payments owed to the retiring Administrative Agent, all </w:t>
      </w:r>
    </w:p>
    <w:p>
      <w:pPr>
        <w:pStyle w:val="TextBody"/>
        <w:bidi w:val="0"/>
        <w:spacing w:before="0" w:after="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164" name="Frame1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109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109</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payments, communications and determinations provided to be made by, to or through the Administrative Agent shall instead be made by or to each Lender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Administrative Agent (other than any rights to indemnity payments owed to the retiring Administrative Agent), and the retiring Administrative Agent shall be discharged from all of its duties and obligations hereunder or under the other Loan Documents. The fees payable by the Borrower to a successor Administrative Agent shall be the same as those payable to its predecessor unless otherwise agreed between the Borrower and such successor. After the retiring Administrative Agent’s resignation hereunder and under the other Loan Documents, the provisions of this </w:t>
      </w:r>
      <w:r>
        <w:rPr>
          <w:rFonts w:ascii="Times New Roman;sans-serif" w:hAnsi="Times New Roman;sans-serif"/>
          <w:b w:val="false"/>
          <w:color w:val="000000"/>
          <w:sz w:val="22"/>
          <w:u w:val="single"/>
        </w:rPr>
        <w:t>Article 9</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Section 10.3</w:t>
      </w:r>
      <w:r>
        <w:rPr>
          <w:color w:val="000000"/>
        </w:rPr>
        <w:t xml:space="preserve"> </w:t>
      </w:r>
      <w:r>
        <w:rPr>
          <w:rFonts w:ascii="Times New Roman;sans-serif" w:hAnsi="Times New Roman;sans-serif"/>
          <w:b w:val="false"/>
          <w:color w:val="000000"/>
          <w:sz w:val="22"/>
        </w:rPr>
        <w:t>shall continue in effect for the benefit of such retiring Administrative Agent, its sub-agents and their respective Related Parties in respect of any actions taken or omitted to be taken by any of them while the retiring Administrative Agent was acting as Administrative Agent.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9.7</w:t>
      </w:r>
      <w:r>
        <w:rPr>
          <w:rFonts w:ascii="Times New Roman;sans-serif" w:hAnsi="Times New Roman;sans-serif"/>
          <w:b w:val="false"/>
          <w:color w:val="000000"/>
          <w:sz w:val="22"/>
          <w:u w:val="single"/>
        </w:rPr>
        <w:t>Non-Reliance on Administrative Agent and Other Lenders</w:t>
      </w:r>
      <w:r>
        <w:rPr>
          <w:rFonts w:ascii="Times New Roman;sans-serif" w:hAnsi="Times New Roman;sans-serif"/>
          <w:b w:val="false"/>
          <w:color w:val="000000"/>
          <w:sz w:val="22"/>
        </w:rPr>
        <w:t>. Each Lender expressly acknowledges that neither the Administrative Agent nor the Lead Arranger has made any representation or warranty to it, and that no act by the Administrative Agent or the Lead Arranger hereafter taken, including any consent to, and acceptance of any assignment or review of the affairs of the Borrower or any Affiliate thereof, shall be deemed to constitute any representation or any warranty by the Administrative Agent or the Lead Arranger to any Lender as to any matter, including whether the Administrative Agent or the Lead Arranger have disclosed material information in their (or their Related Parties’) possession. Each Lender represents to the Administrative Agent and the Lead Arranger that it has, independently and without reliance upon the Administrative Agent, the Lead Arranger or any other Lender or any of their Related Parties and based on such documents and information as it has deemed appropriate, made its own credit analysis of, appraisal of, and investigation into, the business, prospects, operations, property, financial and other condition and creditworthiness of the Borrower and its Subsidiaries, and all applicable bank or other regulatory laws relating to the transactions contemplated hereby, and made its own decision to enter into this Credit Agreement and to extend credit to the Borrower hereunder. Each Lender also acknowledges that it will, independently and without reliance upon the Administrative Agent, the Lead Arranger or any other Lender or any of their Related Parties and based on such documents and information as it shall from time to time deem appropriate, continue to make its own credit analysis, appraisal and decisions in taking or not taking action under or based upon this Credit Agreement, any other Loan Document or any related agreement or any document furnished hereunder or thereunder, and to make such investigations as it deems necessary to inform itself as to the business, prospects, operations, property, financial and other condition and creditworthiness of the Borrower. Each Lender represents and warrants that (i) the Loan Documents set forth the terms of a commercial lending facility and certain other facilities set forth herein and (ii) it is engaged in making, acquiring or holding commercial loans in the ordinary course and is entering into this Credit Agreement as a Lender for the purpose of making, acquiring or holding commercial loans set forth herein as may be applicable to such Lender, and not for the purpose of purchasing, acquiring or holding any other type of financial instrument, and each Lender agrees not to assert a claim in contravention of the foregoing. Each Lender represents and warrants that it is sophisticated with respect to decisions to make, acquire or hold commercial loans, as may be applicable to such Lender, and either it, or the Person exercising discretion in making its decision to make, acquire or hold such commercial loans, is experienced in making, acquiring or holding such commercial loans.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9.8</w:t>
      </w:r>
      <w:r>
        <w:rPr>
          <w:rFonts w:ascii="Times New Roman;sans-serif" w:hAnsi="Times New Roman;sans-serif"/>
          <w:b w:val="false"/>
          <w:color w:val="000000"/>
          <w:sz w:val="22"/>
          <w:u w:val="single"/>
        </w:rPr>
        <w:t>No Other Duties, Etc.</w:t>
      </w:r>
      <w:r>
        <w:rPr>
          <w:color w:val="000000"/>
        </w:rPr>
        <w:t xml:space="preserve"> </w:t>
      </w:r>
      <w:r>
        <w:rPr>
          <w:rFonts w:ascii="Times New Roman;sans-serif" w:hAnsi="Times New Roman;sans-serif"/>
          <w:b w:val="false"/>
          <w:color w:val="000000"/>
          <w:sz w:val="22"/>
        </w:rPr>
        <w:t xml:space="preserve">Anything herein to the contrary notwithstanding, none of the Lead Arranger or any agent listed on the cover page hereof shall have any powers, duties or </w:t>
      </w:r>
    </w:p>
    <w:p>
      <w:pPr>
        <w:pStyle w:val="TextBody"/>
        <w:bidi w:val="0"/>
        <w:spacing w:before="0" w:after="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75260"/>
                <wp:effectExtent l="0" t="0" r="0" b="0"/>
                <wp:wrapNone/>
                <wp:docPr id="165" name="Frame1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110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110</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responsibilities under this Credit Agreement or any of the other Loan Documents, except in its capacity, as applicable, as the Administrative Agent or a Lender hereunder.</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9.9</w:t>
      </w:r>
      <w:r>
        <w:rPr>
          <w:rFonts w:ascii="Times New Roman;sans-serif" w:hAnsi="Times New Roman;sans-serif"/>
          <w:b w:val="false"/>
          <w:color w:val="000000"/>
          <w:sz w:val="22"/>
          <w:u w:val="single"/>
        </w:rPr>
        <w:t>Administrative Agent May File Proofs of Claim</w:t>
      </w:r>
      <w:r>
        <w:rPr>
          <w:rFonts w:ascii="Times New Roman;sans-serif" w:hAnsi="Times New Roman;sans-serif"/>
          <w:b w:val="false"/>
          <w:color w:val="000000"/>
          <w:sz w:val="22"/>
        </w:rPr>
        <w:t>. In case of the pendency of any proceeding under any Debtor Relief Law or any other judicial proceeding relative to any Loan Party, the Administrative Agent (irrespective of whether the principal of any Loan shall then be due and payable as herein expressed or by declaration or otherwise and irrespective of whether the Administrative Agent shall have made any demand on the Borrower) shall be entitled and empowered (but not obligated) by intervention in such proceeding or otherwise:</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to file and prove a claim for the whole amount of the principal and interest owing and unpaid in respect of the Loans and all other Loan Document Obligations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w:t>
      </w:r>
      <w:r>
        <w:rPr>
          <w:rFonts w:ascii="Times New Roman;sans-serif" w:hAnsi="Times New Roman;sans-serif"/>
          <w:b w:val="false"/>
          <w:color w:val="000000"/>
          <w:sz w:val="22"/>
          <w:u w:val="single"/>
        </w:rPr>
        <w:t>Section 10.3</w:t>
      </w:r>
      <w:r>
        <w:rPr>
          <w:rFonts w:ascii="Times New Roman;sans-serif" w:hAnsi="Times New Roman;sans-serif"/>
          <w:b w:val="false"/>
          <w:color w:val="000000"/>
          <w:sz w:val="22"/>
        </w:rPr>
        <w:t>) allowed in such judicial proceeding; and</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to collect and receive any monies or other property payable or deliverable on any such claims and to distribute the same;</w:t>
      </w:r>
    </w:p>
    <w:p>
      <w:pPr>
        <w:pStyle w:val="TextBody"/>
        <w:bidi w:val="0"/>
        <w:spacing w:lineRule="auto" w:line="288" w:before="0" w:after="240"/>
        <w:jc w:val="both"/>
        <w:rPr/>
      </w:pPr>
      <w:r>
        <w:rPr>
          <w:rFonts w:ascii="Times New Roman;sans-serif" w:hAnsi="Times New Roman;sans-serif"/>
          <w:b w:val="false"/>
          <w:color w:val="000000"/>
          <w:sz w:val="22"/>
        </w:rPr>
        <w:t xml:space="preserve">and any custodian, receiver, assignee, trustee, liquidator, sequestrator or other similar official in any such judicial proceeding is hereby authorized by each Lender to make such payments to the Administrative Agent and, in the event that the Administrative Agent shall consent to the making of such payments directly to the Lenders, to pay to the Administrative Agent any amount due for the reasonable compensation, expenses, disbursements and advances of the Administrative Agent and its agents and counsel, and any other amounts due the Administrative Agent </w:t>
      </w:r>
      <w:r>
        <w:rPr>
          <w:rFonts w:ascii="Times New Roman;sans-serif" w:hAnsi="Times New Roman;sans-serif"/>
          <w:b w:val="false"/>
          <w:color w:val="000000"/>
          <w:sz w:val="22"/>
          <w:u w:val="single"/>
        </w:rPr>
        <w:t>Section 10.3</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nothing in this </w:t>
      </w:r>
      <w:r>
        <w:rPr>
          <w:rFonts w:ascii="Times New Roman;sans-serif" w:hAnsi="Times New Roman;sans-serif"/>
          <w:b w:val="false"/>
          <w:color w:val="000000"/>
          <w:sz w:val="22"/>
          <w:u w:val="single"/>
        </w:rPr>
        <w:t>Section 9.9</w:t>
      </w:r>
      <w:r>
        <w:rPr>
          <w:color w:val="000000"/>
        </w:rPr>
        <w:t xml:space="preserve"> </w:t>
      </w:r>
      <w:r>
        <w:rPr>
          <w:rFonts w:ascii="Times New Roman;sans-serif" w:hAnsi="Times New Roman;sans-serif"/>
          <w:b w:val="false"/>
          <w:color w:val="000000"/>
          <w:sz w:val="22"/>
        </w:rPr>
        <w:t>shall prohibit any Lender from filing its own proof of claim with respect to the Loans and Loan Document Obligations owing to it.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9.10</w:t>
      </w:r>
      <w:r>
        <w:rPr>
          <w:rFonts w:ascii="Times New Roman;sans-serif" w:hAnsi="Times New Roman;sans-serif"/>
          <w:b w:val="false"/>
          <w:color w:val="000000"/>
          <w:sz w:val="22"/>
          <w:u w:val="single"/>
        </w:rPr>
        <w:t>Collateral and Guarantee Matters; Exercise of Remedies</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The Secured Parties irrevocably authorize the Administrative Agent, at its option and in its discretion;</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(i)to release any Lien on any property granted to or held by the Administrative Agent under any Loan Document (A) at the Termination Date, (B) that is sold or otherwise disposed of or to be sold or otherwise disposed of to a Person that is not a Loan Party as part of or in connection with any sale or other Disposition permitted under the Loan Documents (including all of the Collateral of a Guarantor which is released from its obligations under the Loan Documents pursuant to clause (iii) below);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any sale or Disposition of all or substantially all of the Collateral or all or substantially all of the value of the Guarantees under the Guarantee Agreement shall be subject to </w:t>
      </w:r>
      <w:r>
        <w:rPr>
          <w:rFonts w:ascii="Times New Roman;sans-serif" w:hAnsi="Times New Roman;sans-serif"/>
          <w:b w:val="false"/>
          <w:color w:val="000000"/>
          <w:sz w:val="22"/>
          <w:u w:val="single"/>
        </w:rPr>
        <w:t>Section 10.2(b)</w:t>
      </w:r>
      <w:r>
        <w:rPr>
          <w:rFonts w:ascii="Times New Roman;sans-serif" w:hAnsi="Times New Roman;sans-serif"/>
          <w:b w:val="false"/>
          <w:color w:val="000000"/>
          <w:sz w:val="22"/>
        </w:rPr>
        <w:t xml:space="preserve">, or (C) subject to </w:t>
      </w:r>
      <w:r>
        <w:rPr>
          <w:rFonts w:ascii="Times New Roman;sans-serif" w:hAnsi="Times New Roman;sans-serif"/>
          <w:b w:val="false"/>
          <w:color w:val="000000"/>
          <w:sz w:val="22"/>
          <w:u w:val="single"/>
        </w:rPr>
        <w:t>Section 10.2</w:t>
      </w:r>
      <w:r>
        <w:rPr>
          <w:rFonts w:ascii="Times New Roman;sans-serif" w:hAnsi="Times New Roman;sans-serif"/>
          <w:b w:val="false"/>
          <w:color w:val="000000"/>
          <w:sz w:val="22"/>
        </w:rPr>
        <w:t xml:space="preserve">, if approved, authorized or ratified in writing by the Required Lenders (or such higher standard required under </w:t>
      </w:r>
      <w:r>
        <w:rPr>
          <w:rFonts w:ascii="Times New Roman;sans-serif" w:hAnsi="Times New Roman;sans-serif"/>
          <w:b w:val="false"/>
          <w:color w:val="000000"/>
          <w:sz w:val="22"/>
          <w:u w:val="single"/>
        </w:rPr>
        <w:t>Section 10.2</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(ii)to subordinate any Lien on any property granted to or held by the Administrative Agent under any Loan Document to the holder of any Lien on such property that is permitted by </w:t>
      </w:r>
      <w:r>
        <w:rPr>
          <w:rFonts w:ascii="Times New Roman;sans-serif" w:hAnsi="Times New Roman;sans-serif"/>
          <w:b w:val="false"/>
          <w:color w:val="000000"/>
          <w:sz w:val="22"/>
          <w:u w:val="single"/>
        </w:rPr>
        <w:t>Section 7.2(d)</w:t>
      </w:r>
      <w:r>
        <w:rPr>
          <w:color w:val="000000"/>
        </w:rPr>
        <w:t xml:space="preserve"> </w:t>
      </w:r>
      <w:r>
        <w:rPr>
          <w:rFonts w:ascii="Times New Roman;sans-serif" w:hAnsi="Times New Roman;sans-serif"/>
          <w:b w:val="false"/>
          <w:color w:val="000000"/>
          <w:sz w:val="22"/>
        </w:rPr>
        <w:t>as in effect on the Closing Date; and</w:t>
      </w:r>
    </w:p>
    <w:p>
      <w:pPr>
        <w:pStyle w:val="TextBody"/>
        <w:bidi w:val="0"/>
        <w:spacing w:before="0" w:after="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75260"/>
                <wp:effectExtent l="0" t="0" r="0" b="0"/>
                <wp:wrapNone/>
                <wp:docPr id="166" name="Frame1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111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111</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(iii)to release any Guarantor from its obligations under the Loan Documents if such Person ceases to be a Subsidiary as a result of a transaction permitted under the Loan Documents as in effect on the Closing Date;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release of all or substantially all of the Collateral or all or substantially all of the value of the Guarantees under the Guarantee Agreement shall be subject to </w:t>
      </w:r>
      <w:r>
        <w:rPr>
          <w:rFonts w:ascii="Times New Roman;sans-serif" w:hAnsi="Times New Roman;sans-serif"/>
          <w:b w:val="false"/>
          <w:color w:val="000000"/>
          <w:sz w:val="22"/>
          <w:u w:val="single"/>
        </w:rPr>
        <w:t>Section 10.2(b);</w:t>
      </w:r>
      <w:r>
        <w:rPr>
          <w:color w:val="000000"/>
        </w:rPr>
        <w:t xml:space="preserv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that, for the avoidance of doubt, in no event shall the obligations of a Guarantor under the Loan Documents be released on the basis that it was not required to become a Guarantor at the time that it became a party to the Guarantee Agreement.</w:t>
      </w:r>
    </w:p>
    <w:p>
      <w:pPr>
        <w:pStyle w:val="TextBody"/>
        <w:bidi w:val="0"/>
        <w:spacing w:lineRule="auto" w:line="288" w:before="0" w:after="120"/>
        <w:jc w:val="both"/>
        <w:rPr/>
      </w:pPr>
      <w:r>
        <w:rPr>
          <w:rFonts w:ascii="Times New Roman;sans-serif" w:hAnsi="Times New Roman;sans-serif"/>
          <w:b w:val="false"/>
          <w:color w:val="000000"/>
          <w:sz w:val="22"/>
        </w:rPr>
        <w:t xml:space="preserve">Upon request by the Administrative Agent at any time, the Required Lenders will confirm in writing the Administrative Agent’s authority to release or subordinate its interest in particular types or items of property, or to release any Guarantor from its obligations under the Loan Documents pursuant to this </w:t>
      </w:r>
      <w:r>
        <w:rPr>
          <w:rFonts w:ascii="Times New Roman;sans-serif" w:hAnsi="Times New Roman;sans-serif"/>
          <w:b w:val="false"/>
          <w:color w:val="000000"/>
          <w:sz w:val="22"/>
          <w:u w:val="single"/>
        </w:rPr>
        <w:t>Section 9.10</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for any failure to monitor or maintain any portion of the Collateral.</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 xml:space="preserve">Notwithstanding anything to the contrary contained herein or in any other Loan Document, the authority to enforce rights and remedies hereunder and under the other Loan Documents against the Borrower shall be vested exclusively in, and all actions and proceedings at law in connection with such enforcement shall be instituted and maintained exclusively by, the Administrative Agent in accordance with </w:t>
      </w:r>
      <w:r>
        <w:rPr>
          <w:rFonts w:ascii="Times New Roman;sans-serif" w:hAnsi="Times New Roman;sans-serif"/>
          <w:b w:val="false"/>
          <w:color w:val="000000"/>
          <w:sz w:val="22"/>
          <w:u w:val="single"/>
        </w:rPr>
        <w:t>Section 8.2</w:t>
      </w:r>
      <w:r>
        <w:rPr>
          <w:color w:val="000000"/>
        </w:rPr>
        <w:t xml:space="preserve"> </w:t>
      </w:r>
      <w:r>
        <w:rPr>
          <w:rFonts w:ascii="Times New Roman;sans-serif" w:hAnsi="Times New Roman;sans-serif"/>
          <w:b w:val="false"/>
          <w:color w:val="000000"/>
          <w:sz w:val="22"/>
        </w:rPr>
        <w:t xml:space="preserve">for the benefit of all the Lenders;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foregoing shall not prohibit (i) the Administrative Agent from exercising on its own behalf the rights and remedies that inure to its benefit (solely in its capacity as Administrative Agent) hereunder and under the other Loan Documents, (ii) any Lender from exercising setoff rights in accordance with </w:t>
      </w:r>
      <w:r>
        <w:rPr>
          <w:rFonts w:ascii="Times New Roman;sans-serif" w:hAnsi="Times New Roman;sans-serif"/>
          <w:b w:val="false"/>
          <w:color w:val="000000"/>
          <w:sz w:val="22"/>
          <w:u w:val="single"/>
        </w:rPr>
        <w:t>Section 10.8</w:t>
      </w:r>
      <w:r>
        <w:rPr>
          <w:color w:val="000000"/>
        </w:rPr>
        <w:t xml:space="preserve"> </w:t>
      </w:r>
      <w:r>
        <w:rPr>
          <w:rFonts w:ascii="Times New Roman;sans-serif" w:hAnsi="Times New Roman;sans-serif"/>
          <w:b w:val="false"/>
          <w:color w:val="000000"/>
          <w:sz w:val="22"/>
        </w:rPr>
        <w:t xml:space="preserve">(subject to the terms of </w:t>
      </w:r>
      <w:r>
        <w:rPr>
          <w:rFonts w:ascii="Times New Roman;sans-serif" w:hAnsi="Times New Roman;sans-serif"/>
          <w:b w:val="false"/>
          <w:color w:val="000000"/>
          <w:sz w:val="22"/>
          <w:u w:val="single"/>
        </w:rPr>
        <w:t>Section 2.8(h)</w:t>
      </w:r>
      <w:r>
        <w:rPr>
          <w:rFonts w:ascii="Times New Roman;sans-serif" w:hAnsi="Times New Roman;sans-serif"/>
          <w:b w:val="false"/>
          <w:color w:val="000000"/>
          <w:sz w:val="22"/>
        </w:rPr>
        <w:t xml:space="preserve">) or (iii) any Lender from filing proofs of claim or appearing and filing pleadings on its own behalf during the pendency of a proceeding relative to the Borrower under any Debtor Relief Law;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xml:space="preserve">, that if at any time there is no Person acting as Administrative Agent hereunder and under the other Loan Documents, then (x) the Required Lenders shall have the rights otherwise provided to the Administrative Agent pursuant to </w:t>
      </w:r>
      <w:r>
        <w:rPr>
          <w:rFonts w:ascii="Times New Roman;sans-serif" w:hAnsi="Times New Roman;sans-serif"/>
          <w:b w:val="false"/>
          <w:color w:val="000000"/>
          <w:sz w:val="22"/>
          <w:u w:val="single"/>
        </w:rPr>
        <w:t>Section 8.2</w:t>
      </w:r>
      <w:r>
        <w:rPr>
          <w:color w:val="000000"/>
        </w:rPr>
        <w:t xml:space="preserve"> </w:t>
      </w:r>
      <w:r>
        <w:rPr>
          <w:rFonts w:ascii="Times New Roman;sans-serif" w:hAnsi="Times New Roman;sans-serif"/>
          <w:b w:val="false"/>
          <w:color w:val="000000"/>
          <w:sz w:val="22"/>
        </w:rPr>
        <w:t xml:space="preserve">and (y) in addition to the matters set forth in clauses (ii) and (iii) of the preceding proviso and subject to </w:t>
      </w:r>
      <w:r>
        <w:rPr>
          <w:rFonts w:ascii="Times New Roman;sans-serif" w:hAnsi="Times New Roman;sans-serif"/>
          <w:b w:val="false"/>
          <w:color w:val="000000"/>
          <w:sz w:val="22"/>
          <w:u w:val="single"/>
        </w:rPr>
        <w:t>Section 2.8(h)</w:t>
      </w:r>
      <w:r>
        <w:rPr>
          <w:rFonts w:ascii="Times New Roman;sans-serif" w:hAnsi="Times New Roman;sans-serif"/>
          <w:b w:val="false"/>
          <w:color w:val="000000"/>
          <w:sz w:val="22"/>
        </w:rPr>
        <w:t>, any Lender may, with the consent of the Required Lenders, enforce any rights or remedies available to it and as authorized by the Required Lenders.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9.11</w:t>
      </w:r>
      <w:r>
        <w:rPr>
          <w:rFonts w:ascii="Times New Roman;sans-serif" w:hAnsi="Times New Roman;sans-serif"/>
          <w:b w:val="false"/>
          <w:color w:val="000000"/>
          <w:sz w:val="22"/>
          <w:u w:val="single"/>
        </w:rPr>
        <w:t>Erroneous Payments</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    If the Administrative Agent (x) notifies a Lender, Secured Party or any Person who has received funds on behalf of a Lender or a Secured Party (any such Lender, Secured Party or other recipient, a “</w:t>
      </w:r>
      <w:r>
        <w:rPr>
          <w:rFonts w:ascii="Times New Roman;sans-serif" w:hAnsi="Times New Roman;sans-serif"/>
          <w:b w:val="false"/>
          <w:color w:val="000000"/>
          <w:sz w:val="22"/>
          <w:u w:val="single"/>
        </w:rPr>
        <w:t>Payment Recipient</w:t>
      </w:r>
      <w:r>
        <w:rPr>
          <w:color w:val="000000"/>
        </w:rPr>
        <w:t>”</w:t>
      </w:r>
      <w:r>
        <w:rPr>
          <w:rFonts w:ascii="Times New Roman;sans-serif" w:hAnsi="Times New Roman;sans-serif"/>
          <w:b w:val="false"/>
          <w:color w:val="000000"/>
          <w:sz w:val="22"/>
        </w:rPr>
        <w:t>) that the Administrative Agent has determined in its sole discretion (whether or not after receipt of any notice under immediately succeeding clause (b)) that any funds (as set forth in such notice from the Administrative Agent) received by such Payment Recipient from the Administrative Agent or any of its Affiliates were erroneously or mistakenly transmitted to, or otherwise erroneously or mistakenly received by, such Payment Recipient (whether or not known to such Lender, Secured Party or other Payment Recipient on its behalf) (any such funds, whether transmitted or received as a payment, prepayment or repayment of principal, interest, fees, distribution or otherwise, individually and collectively, an “</w:t>
      </w:r>
      <w:r>
        <w:rPr>
          <w:rFonts w:ascii="Times New Roman;sans-serif" w:hAnsi="Times New Roman;sans-serif"/>
          <w:b w:val="false"/>
          <w:color w:val="000000"/>
          <w:sz w:val="22"/>
          <w:u w:val="single"/>
        </w:rPr>
        <w:t>Erroneous Payment</w:t>
      </w:r>
      <w:r>
        <w:rPr>
          <w:color w:val="000000"/>
        </w:rPr>
        <w:t>”</w:t>
      </w:r>
      <w:r>
        <w:rPr>
          <w:rFonts w:ascii="Times New Roman;sans-serif" w:hAnsi="Times New Roman;sans-serif"/>
          <w:b w:val="false"/>
          <w:color w:val="000000"/>
          <w:sz w:val="22"/>
        </w:rPr>
        <w:t xml:space="preserve">) and (y) demands in writing the return of such Erroneous Payment (or a portion thereof), such Erroneous Payment shall at all times remain the property of the </w:t>
      </w: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75260"/>
                <wp:effectExtent l="0" t="0" r="0" b="0"/>
                <wp:wrapNone/>
                <wp:docPr id="167" name="Frame1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112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112</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Administrative Agent pending its return or repayment as contemplated below in this </w:t>
      </w:r>
      <w:r>
        <w:rPr>
          <w:rFonts w:ascii="Times New Roman;sans-serif" w:hAnsi="Times New Roman;sans-serif"/>
          <w:b w:val="false"/>
          <w:color w:val="000000"/>
          <w:sz w:val="22"/>
          <w:u w:val="single"/>
        </w:rPr>
        <w:t>Section 9.11</w:t>
      </w:r>
      <w:r>
        <w:rPr>
          <w:color w:val="000000"/>
        </w:rPr>
        <w:t xml:space="preserve"> </w:t>
      </w:r>
      <w:r>
        <w:rPr>
          <w:rFonts w:ascii="Times New Roman;sans-serif" w:hAnsi="Times New Roman;sans-serif"/>
          <w:b w:val="false"/>
          <w:color w:val="000000"/>
          <w:sz w:val="22"/>
        </w:rPr>
        <w:t>and held in trust for the benefit of the Administrative Agent, and such Lender or Secured Party shall (or, with respect to any Payment Recipient who received such funds on its behalf, shall cause such Payment Recipient to) promptly, but in no event later than two Business Days thereafter (or such later date as the Administrative Agent may, in its sole discretion, specify in writing), return to the Administrative Agent the amount of any such Erroneous Payment (or portion thereof) as to which such a demand was made, in same day funds (in the currency so received), together with interest thereon (except to the extent waived in writing by the Administrative Agent) in respect of each day from and including the date such Erroneous Payment (or portion thereof) was received by such Payment Recipient to the date such amount is repaid to the Administrative Agent in same day funds at a rate determined by the Administrative Agent in accordance with banking industry rules on interbank compensation from time to time in effect. A notice of the Administrative Agent to any Payment Recipient under this clause (a) shall be conclusive, absent manifest error.</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    Without limiting immediately preceding clause (a), each Lender, Secured Party or any Person who has received funds on behalf of a Lender or Secured Party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this Credit Agreement or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Lender or Secured Party or other such recipient, otherwise becomes aware was transmitted, or received, in error or by mistake (in whole or in part), then in each such case:</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(i)    it acknowledges and agrees that (A) in the case of immediately preceding clause (x) or (y), an error and mistake shall be presumed to have been made (absent written confirmation from the Administrative Agent to the contrary) or (B) an error and mistake has been made (in the case of immediately preceding clause (z)), in each case, with respect to such payment, prepayment or repayment; and</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(ii)    such Lender or Secured Party shall (and shall cause any other recipient that receives funds on its respective behalf to) promptly (and, in all events, within one Business Day of its knowledge of the occurrence of any of the circumstances described in immediately preceding clauses (x), (y) and (z)) notify the Administrative Agent of its receipt of such payment, prepayment or repayment, the details thereof (in reasonable detail) and that it is so notifying the Administrative Agent pursuant to this </w:t>
      </w:r>
      <w:r>
        <w:rPr>
          <w:rFonts w:ascii="Times New Roman;sans-serif" w:hAnsi="Times New Roman;sans-serif"/>
          <w:b w:val="false"/>
          <w:color w:val="000000"/>
          <w:sz w:val="22"/>
          <w:u w:val="single"/>
        </w:rPr>
        <w:t>Section 9.11(b)</w:t>
      </w:r>
      <w:r>
        <w:rPr>
          <w:rFonts w:ascii="Times New Roman;sans-serif" w:hAnsi="Times New Roman;sans-serif"/>
          <w:b w:val="false"/>
          <w:color w:val="000000"/>
          <w:sz w:val="22"/>
        </w:rPr>
        <w:t>.</w:t>
      </w:r>
    </w:p>
    <w:p>
      <w:pPr>
        <w:pStyle w:val="TextBody"/>
        <w:bidi w:val="0"/>
        <w:spacing w:lineRule="auto" w:line="288" w:before="0" w:after="240"/>
        <w:jc w:val="both"/>
        <w:rPr/>
      </w:pPr>
      <w:r>
        <w:rPr>
          <w:rFonts w:ascii="Times New Roman;sans-serif" w:hAnsi="Times New Roman;sans-serif"/>
          <w:b w:val="false"/>
          <w:color w:val="000000"/>
          <w:sz w:val="22"/>
        </w:rPr>
        <w:t xml:space="preserve">For the avoidance of doubt, the failure to deliver a notice to the Administrative Agent pursuant to this </w:t>
      </w:r>
      <w:r>
        <w:rPr>
          <w:rFonts w:ascii="Times New Roman;sans-serif" w:hAnsi="Times New Roman;sans-serif"/>
          <w:b w:val="false"/>
          <w:color w:val="000000"/>
          <w:sz w:val="22"/>
          <w:u w:val="single"/>
        </w:rPr>
        <w:t>Section 9.11(b)</w:t>
      </w:r>
      <w:r>
        <w:rPr>
          <w:color w:val="000000"/>
        </w:rPr>
        <w:t xml:space="preserve"> </w:t>
      </w:r>
      <w:r>
        <w:rPr>
          <w:rFonts w:ascii="Times New Roman;sans-serif" w:hAnsi="Times New Roman;sans-serif"/>
          <w:b w:val="false"/>
          <w:color w:val="000000"/>
          <w:sz w:val="22"/>
        </w:rPr>
        <w:t xml:space="preserve">shall not have any effect on a Payment Recipient’s obligations pursuant to </w:t>
      </w:r>
      <w:r>
        <w:rPr>
          <w:rFonts w:ascii="Times New Roman;sans-serif" w:hAnsi="Times New Roman;sans-serif"/>
          <w:b w:val="false"/>
          <w:color w:val="000000"/>
          <w:sz w:val="22"/>
          <w:u w:val="single"/>
        </w:rPr>
        <w:t>Section 9.11(a)</w:t>
      </w:r>
      <w:r>
        <w:rPr>
          <w:color w:val="000000"/>
        </w:rPr>
        <w:t xml:space="preserve"> </w:t>
      </w:r>
      <w:r>
        <w:rPr>
          <w:rFonts w:ascii="Times New Roman;sans-serif" w:hAnsi="Times New Roman;sans-serif"/>
          <w:b w:val="false"/>
          <w:color w:val="000000"/>
          <w:sz w:val="22"/>
        </w:rPr>
        <w:t>or on whether or not an Erroneous Payment has been made.</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(c)    Each Lender and Secured Party hereby authorizes the Administrative Agent to set off, net and apply any and all amounts at any time owing to such Lender or Secured Party under any Loan Document, or otherwise payable or distributable by the Administrative Agent to such Lender or Secured Party under any Loan Document with respect to any payment of principal, interest, fees or other amounts, against any amount that the Administrative Agent has demanded to be returned under immediately preceding clause (a).</w:t>
      </w:r>
    </w:p>
    <w:p>
      <w:pPr>
        <w:pStyle w:val="TextBody"/>
        <w:bidi w:val="0"/>
        <w:spacing w:before="0" w:after="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75260"/>
                <wp:effectExtent l="0" t="0" r="0" b="0"/>
                <wp:wrapNone/>
                <wp:docPr id="168" name="Frame1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113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113</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(d)    (i) In the event that an Erroneous Payment (or portion thereof) is not recovered by the Administrative Agent for any reason, after demand therefor in accordance with immediately preceding clause (a), from any Lender that has received such Erroneous Payment (or portion thereof) (and/or from any Payment Recipient who received such Erroneous Payment (or portion thereof) on its respective behalf) (such unrecovered amount, an “</w:t>
      </w:r>
      <w:r>
        <w:rPr>
          <w:rFonts w:ascii="Times New Roman;sans-serif" w:hAnsi="Times New Roman;sans-serif"/>
          <w:b w:val="false"/>
          <w:color w:val="000000"/>
          <w:sz w:val="22"/>
          <w:u w:val="single"/>
        </w:rPr>
        <w:t>Erroneous Payment Return Deficiency</w:t>
      </w:r>
      <w:r>
        <w:rPr>
          <w:color w:val="000000"/>
        </w:rPr>
        <w:t>”</w:t>
      </w:r>
      <w:r>
        <w:rPr>
          <w:rFonts w:ascii="Times New Roman;sans-serif" w:hAnsi="Times New Roman;sans-serif"/>
          <w:b w:val="false"/>
          <w:color w:val="000000"/>
          <w:sz w:val="22"/>
        </w:rPr>
        <w:t>), upon the Administrative Agent’s notice to such Lender at any time, then effective immediately (with the consideration therefor being acknowledged by the parties hereto), (A) such Lender shall be deemed to have assigned its Loans (but not its Commitments) with respect to which such Erroneous Payment was made (the “</w:t>
      </w:r>
      <w:r>
        <w:rPr>
          <w:rFonts w:ascii="Times New Roman;sans-serif" w:hAnsi="Times New Roman;sans-serif"/>
          <w:b w:val="false"/>
          <w:color w:val="000000"/>
          <w:sz w:val="22"/>
          <w:u w:val="single"/>
        </w:rPr>
        <w:t>Erroneous Payment Impacted Class</w:t>
      </w:r>
      <w:r>
        <w:rPr>
          <w:color w:val="000000"/>
        </w:rPr>
        <w:t>”</w:t>
      </w:r>
      <w:r>
        <w:rPr>
          <w:rFonts w:ascii="Times New Roman;sans-serif" w:hAnsi="Times New Roman;sans-serif"/>
          <w:b w:val="false"/>
          <w:color w:val="000000"/>
          <w:sz w:val="22"/>
        </w:rPr>
        <w:t>) in an amount equal to the Erroneous Payment Return Deficiency (or such lesser amount as the Administrative Agent may specify) (such assignment of the Loans (but not Commitments) of the Erroneous Payment Impacted Class, the “</w:t>
      </w:r>
      <w:r>
        <w:rPr>
          <w:rFonts w:ascii="Times New Roman;sans-serif" w:hAnsi="Times New Roman;sans-serif"/>
          <w:b w:val="false"/>
          <w:color w:val="000000"/>
          <w:sz w:val="22"/>
          <w:u w:val="single"/>
        </w:rPr>
        <w:t>Erroneous Payment Deficiency Assignment</w:t>
      </w:r>
      <w:r>
        <w:rPr>
          <w:color w:val="000000"/>
        </w:rPr>
        <w:t>”</w:t>
      </w:r>
      <w:r>
        <w:rPr>
          <w:rFonts w:ascii="Times New Roman;sans-serif" w:hAnsi="Times New Roman;sans-serif"/>
          <w:b w:val="false"/>
          <w:color w:val="000000"/>
          <w:sz w:val="22"/>
        </w:rPr>
        <w:t xml:space="preserve">) (on a cashless basis and such amount calculated at par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any accrued and unpaid interest (with the assignment fee to be waived by the Administrative Agent in such instance)), and is hereby (together with the Borrower) deemed to execute and deliver an Assignment and Assumption (or, to the extent applicable, an agreement incorporating an Assignment and Assumption) with respect to such Erroneous Payment Deficiency Assignment, and such Lender shall deliver any Notes evidencing such Loans to the Borrower or the Administrative Agent (but the failure of such Person to deliver any such Notes shall not affect the effectiveness of the foregoing assignment), (B) the Administrative Agent as the assignee Lender shall be deemed to have acquired the Erroneous Payment Deficiency Assignment, (C) upon such deemed acquisition, the Administrative Agent as the assignee Lender shall become a Lender, as applicable, hereunder with respect to such Erroneous Payment Deficiency Assignment and the assigning Lender shall cease to be a Lender, as applicable, hereunder with respect to such Erroneous Payment Deficiency Assignment, excluding, for the avoidance of doubt, its obligations under the indemnification provisions of this Credit Agreement and its applicable Commitments which shall survive as to such assigning Lender, (D) the Administrative Agent and the Borrower shall each be deemed to have waived any consents required under this Credit Agreement to any such Erroneous Payment Deficiency Assignment, and (E) the Administrative Agent will reflect in the Register its ownership interest in the Loans subject to the Erroneous Payment Deficiency Assignment. For the avoidance of doubt, no Erroneous Payment Deficiency Assignment will reduce the Commitments of any Lender and such Commitments shall remain available in accordance with the terms of this Credit Agreement.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(ii)     Subject to </w:t>
      </w:r>
      <w:r>
        <w:rPr>
          <w:rFonts w:ascii="Times New Roman;sans-serif" w:hAnsi="Times New Roman;sans-serif"/>
          <w:b w:val="false"/>
          <w:color w:val="000000"/>
          <w:sz w:val="22"/>
          <w:u w:val="single"/>
        </w:rPr>
        <w:t>Section 10.4</w:t>
      </w:r>
      <w:r>
        <w:rPr>
          <w:color w:val="000000"/>
        </w:rPr>
        <w:t xml:space="preserve"> </w:t>
      </w:r>
      <w:r>
        <w:rPr>
          <w:rFonts w:ascii="Times New Roman;sans-serif" w:hAnsi="Times New Roman;sans-serif"/>
          <w:b w:val="false"/>
          <w:color w:val="000000"/>
          <w:sz w:val="22"/>
        </w:rPr>
        <w:t>(but excluding, in all events, any assignment consent or approval requirements (whether from the Borrower or otherwise)), the Administrative Agent may, in its discretion, sell any Loans acquired pursuant to an Erroneous Payment Deficiency Assignment and upon receipt of the proceeds of such sale, the Erroneous Payment Return Deficiency owing by the applicable Lender shall be reduced by the net proceeds of the sale of such Loan (or portion thereof), and the Administrative Agent shall retain all other rights, remedies and claims against such Lender (and/or against any recipient that receives funds on its respective behalf). In addition, an Erroneous Payment Return Deficiency owing by the applicable Lender (x) shall be reduced by the proceeds of prepayments or repayments of principal and interest, or other distribution in respect of principal and interest, received by the Administrative Agent on or with respect to any such Loans acquired from such Lender pursuant to an Erroneous Payment Deficiency Assignment (to the extent that any such Loans are then owned by the Administrative Agent) and (y) may, in the sole discretion of the Administrative Agent, be reduced by any amount specified by the Administrative Agent in writing to the applicable Lender from time to time.</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(e)    The parties hereto agree that (x) irrespective of whether the Administrative Agent may be equitably subrogated, in the event that an Erroneous Payment (or portion thereof) is not recovered </w:t>
      </w:r>
    </w:p>
    <w:p>
      <w:pPr>
        <w:pStyle w:val="TextBody"/>
        <w:bidi w:val="0"/>
        <w:spacing w:before="0" w:after="0"/>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75260"/>
                <wp:effectExtent l="0" t="0" r="0" b="0"/>
                <wp:wrapNone/>
                <wp:docPr id="169" name="Frame1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114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114</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from any Payment Recipient that has received such Erroneous Payment (or portion thereof) for any reason, the Administrative Agent shall be subrogated to all the rights and interests of such Payment Recipient (and, in the case of any Payment Recipient who has received funds on behalf of a Lender, to the rights and interests of such Lender) under the Loan Documents with respect to such amount (the “</w:t>
      </w:r>
      <w:r>
        <w:rPr>
          <w:rFonts w:ascii="Times New Roman;sans-serif" w:hAnsi="Times New Roman;sans-serif"/>
          <w:b w:val="false"/>
          <w:color w:val="000000"/>
          <w:sz w:val="22"/>
          <w:u w:val="single"/>
        </w:rPr>
        <w:t>Erroneous Payment Subrogation Rights</w:t>
      </w:r>
      <w:r>
        <w:rPr>
          <w:color w:val="000000"/>
        </w:rPr>
        <w:t>”</w:t>
      </w:r>
      <w:r>
        <w:rPr>
          <w:rFonts w:ascii="Times New Roman;sans-serif" w:hAnsi="Times New Roman;sans-serif"/>
          <w:b w:val="false"/>
          <w:color w:val="000000"/>
          <w:sz w:val="22"/>
        </w:rPr>
        <w: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Loan Parties’ Loan Document Obligations under the Loan Documents in respect of the Erroneous Payment Subrogation Rights shall not be duplicative of such Loan Document Obligations in respect of Loans that have been assigned to the Administrative Agent under an Erroneous Payment Deficiency Assignment) and (y) an Erroneous Payment shall not pay, prepay, repay, discharge or otherwise satisfy any Loan Document Obligations owed by the Borrower or any other Loan Party;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this </w:t>
      </w:r>
      <w:r>
        <w:rPr>
          <w:rFonts w:ascii="Times New Roman;sans-serif" w:hAnsi="Times New Roman;sans-serif"/>
          <w:b w:val="false"/>
          <w:color w:val="000000"/>
          <w:sz w:val="22"/>
          <w:u w:val="single"/>
        </w:rPr>
        <w:t>Section 9.11(e)</w:t>
      </w:r>
      <w:r>
        <w:rPr>
          <w:color w:val="000000"/>
        </w:rPr>
        <w:t xml:space="preserve"> </w:t>
      </w:r>
      <w:r>
        <w:rPr>
          <w:rFonts w:ascii="Times New Roman;sans-serif" w:hAnsi="Times New Roman;sans-serif"/>
          <w:b w:val="false"/>
          <w:color w:val="000000"/>
          <w:sz w:val="22"/>
        </w:rPr>
        <w:t xml:space="preserve">shall not be interpreted to increase (or accelerate the due date for), or have the effect of increasing (or accelerating the due date for), the Loan Document Obligations of the Borrower relative to the amount (and/or timing for payment) of the Loan Document Obligations that would have been payable had such Erroneous Payment not been made by the Administrative Agent;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that in no event shall, the immediately preceding clauses (x) and (y) apply (or otherwise have any further effect) to the extent any such Erroneous Payment is, and solely with respect to the amount of such Erroneous Payment that is, comprised of funds received by the Administrative Agent from or on behalf of the Borrower or any other Loan Party for the purpose of making such Erroneous Payment.</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(f)    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any defense based on “discharge for value” or any similar doctrine.</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(g)    Each party’s obligations, agreements and waivers under this </w:t>
      </w:r>
      <w:r>
        <w:rPr>
          <w:rFonts w:ascii="Times New Roman;sans-serif" w:hAnsi="Times New Roman;sans-serif"/>
          <w:b w:val="false"/>
          <w:color w:val="000000"/>
          <w:sz w:val="22"/>
          <w:u w:val="single"/>
        </w:rPr>
        <w:t>Section 9.11</w:t>
      </w:r>
      <w:r>
        <w:rPr>
          <w:color w:val="000000"/>
        </w:rPr>
        <w:t xml:space="preserve"> </w:t>
      </w:r>
      <w:r>
        <w:rPr>
          <w:rFonts w:ascii="Times New Roman;sans-serif" w:hAnsi="Times New Roman;sans-serif"/>
          <w:b w:val="false"/>
          <w:color w:val="000000"/>
          <w:sz w:val="22"/>
        </w:rPr>
        <w:t>shall survive the resignation of the Administrative Agent, any transfer of rights or obligations by, or the replacement of, a Lender, the termination of the Commitments and/or the repayment, satisfaction or discharge of all Loan Document Obligations (or any portion thereof) under any Loan Document.</w:t>
      </w:r>
    </w:p>
    <w:p>
      <w:pPr>
        <w:pStyle w:val="TextBody"/>
        <w:bidi w:val="0"/>
        <w:spacing w:lineRule="auto" w:line="288" w:before="0" w:after="240"/>
        <w:jc w:val="center"/>
        <w:rPr/>
      </w:pPr>
      <w:r>
        <w:rPr>
          <w:rFonts w:ascii="Times New Roman;sans-serif" w:hAnsi="Times New Roman;sans-serif"/>
          <w:b w:val="false"/>
          <w:color w:val="000000"/>
          <w:sz w:val="22"/>
        </w:rPr>
        <w:t>Article 10</w:t>
      </w:r>
      <w:r>
        <w:rPr>
          <w:rFonts w:ascii="Times New Roman;sans-serif" w:hAnsi="Times New Roman;sans-serif"/>
          <w:b w:val="false"/>
          <w:color w:val="000000"/>
          <w:sz w:val="22"/>
        </w:rPr>
        <w:br/>
        <w:br/>
        <w:t>MISCELLANEOUS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10.1</w:t>
      </w:r>
      <w:r>
        <w:rPr>
          <w:rFonts w:ascii="Times New Roman;sans-serif" w:hAnsi="Times New Roman;sans-serif"/>
          <w:b w:val="false"/>
          <w:color w:val="000000"/>
          <w:sz w:val="22"/>
          <w:u w:val="single"/>
        </w:rPr>
        <w:t>Notices</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Notices Generally</w:t>
      </w:r>
      <w:r>
        <w:rPr>
          <w:rFonts w:ascii="Times New Roman;sans-serif" w:hAnsi="Times New Roman;sans-serif"/>
          <w:b w:val="false"/>
          <w:color w:val="000000"/>
          <w:sz w:val="22"/>
        </w:rPr>
        <w:t>. Except in the case of notices and other communications expressly permitted to be given by telephone (and except as provided in clause (b) below), all notices and other communications provided for herein shall be in writing and shall be delivered by hand or overnight courier service, mailed by certified or registered mail or sent by facsimile as follows: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(i)if to any Loan Party, c/o Synchronoss Technologies, Inc.,</w:t>
      </w:r>
      <w:r>
        <w:rPr>
          <w:color w:val="000000"/>
        </w:rPr>
        <w:t xml:space="preserve"> </w:t>
      </w:r>
      <w:r>
        <w:rPr>
          <w:rFonts w:ascii="Times New Roman;sans-serif" w:hAnsi="Times New Roman;sans-serif"/>
          <w:b w:val="false"/>
          <w:color w:val="000000"/>
          <w:sz w:val="22"/>
        </w:rPr>
        <w:t>200 Cross Boulevard, 8</w:t>
      </w:r>
      <w:r>
        <w:rPr>
          <w:rFonts w:ascii="Times New Roman;sans-serif" w:hAnsi="Times New Roman;sans-serif"/>
          <w:b w:val="false"/>
          <w:color w:val="000000"/>
          <w:sz w:val="14"/>
        </w:rPr>
        <w:t>th</w:t>
      </w:r>
      <w:r>
        <w:rPr>
          <w:color w:val="000000"/>
        </w:rPr>
        <w:t xml:space="preserve"> </w:t>
      </w:r>
      <w:r>
        <w:rPr>
          <w:rFonts w:ascii="Times New Roman;sans-serif" w:hAnsi="Times New Roman;sans-serif"/>
          <w:b w:val="false"/>
          <w:color w:val="000000"/>
          <w:sz w:val="22"/>
        </w:rPr>
        <w:t>Floor, Bridgewater, New Jersey 08807, Attention: General Counsel (email: legal@synchronoss.com); Website: https://synchronoss.com/.</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(ii)the Administrative Agent, to the address, electronic mail address or telephone number specified for such Person on </w:t>
      </w:r>
      <w:r>
        <w:rPr>
          <w:rFonts w:ascii="Times New Roman;sans-serif" w:hAnsi="Times New Roman;sans-serif"/>
          <w:b w:val="false"/>
          <w:color w:val="000000"/>
          <w:sz w:val="22"/>
          <w:u w:val="single"/>
        </w:rPr>
        <w:t>Schedule 10.1</w:t>
      </w:r>
      <w:r>
        <w:rPr>
          <w:rFonts w:ascii="Times New Roman;sans-serif" w:hAnsi="Times New Roman;sans-serif"/>
          <w:b w:val="false"/>
          <w:color w:val="000000"/>
          <w:sz w:val="22"/>
        </w:rPr>
        <w:t>; and</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(iii)if to any other Credit Party, the address, facsimile number, electronic mail address or telephone number specified in its Administrative Questionnaire.</w:t>
      </w:r>
    </w:p>
    <w:p>
      <w:pPr>
        <w:pStyle w:val="TextBody"/>
        <w:bidi w:val="0"/>
        <w:spacing w:before="0" w:after="0"/>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75260"/>
                <wp:effectExtent l="0" t="0" r="0" b="0"/>
                <wp:wrapNone/>
                <wp:docPr id="170" name="Frame1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115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115</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Notices sent by hand or overnight courier service, or mailed by certified or registered mail, shall be deemed to have been given when received. Notices delivered through electronic communications to the extent provided in clause (b) below shall be effective as provided in said clause (b).</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Electronic Communications</w:t>
      </w:r>
      <w:r>
        <w:rPr>
          <w:rFonts w:ascii="Times New Roman;sans-serif" w:hAnsi="Times New Roman;sans-serif"/>
          <w:b w:val="false"/>
          <w:color w:val="000000"/>
          <w:sz w:val="22"/>
        </w:rPr>
        <w:t xml:space="preserve">. Notices and other communications to the Credit Parties hereunder may be delivered or furnished by electronic communication (including e-mail and Internet or intranet websites) pursuant to procedures approved by the Administrative Agent;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foregoing shall not apply to notices to any Credit Party pursuant to </w:t>
      </w:r>
      <w:r>
        <w:rPr>
          <w:rFonts w:ascii="Times New Roman;sans-serif" w:hAnsi="Times New Roman;sans-serif"/>
          <w:b w:val="false"/>
          <w:color w:val="000000"/>
          <w:sz w:val="22"/>
          <w:u w:val="single"/>
        </w:rPr>
        <w:t>Article 2</w:t>
      </w:r>
      <w:r>
        <w:rPr>
          <w:color w:val="000000"/>
        </w:rPr>
        <w:t xml:space="preserve"> </w:t>
      </w:r>
      <w:r>
        <w:rPr>
          <w:rFonts w:ascii="Times New Roman;sans-serif" w:hAnsi="Times New Roman;sans-serif"/>
          <w:b w:val="false"/>
          <w:color w:val="000000"/>
          <w:sz w:val="22"/>
        </w:rPr>
        <w:t xml:space="preserve">if such Credit Party has notified the Administrative Agent that it is incapable of receiving notices under such Article by electronic communication. The Administrative Agent or the Borrower may, in its discretion, agree to accept notices and other communications to it hereunder by electronic communications pursuant to procedures approved by it;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approval of such procedures may be limited to particular notices or communications.</w:t>
      </w:r>
    </w:p>
    <w:p>
      <w:pPr>
        <w:pStyle w:val="TextBody"/>
        <w:bidi w:val="0"/>
        <w:spacing w:lineRule="auto" w:line="288" w:before="0" w:after="120"/>
        <w:jc w:val="both"/>
        <w:rPr/>
      </w:pPr>
      <w:r>
        <w:rPr>
          <w:color w:val="000000"/>
        </w:rPr>
        <w:t>    </w:t>
      </w:r>
      <w:r>
        <w:rPr>
          <w:rFonts w:ascii="Times New Roman;sans-serif" w:hAnsi="Times New Roman;sans-serif"/>
          <w:b w:val="false"/>
          <w:color w:val="000000"/>
          <w:sz w:val="22"/>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u w:val="single"/>
        </w:rPr>
        <w:t>Change of Address, Etc</w:t>
      </w:r>
      <w:r>
        <w:rPr>
          <w:rFonts w:ascii="Times New Roman;sans-serif" w:hAnsi="Times New Roman;sans-serif"/>
          <w:b w:val="false"/>
          <w:color w:val="000000"/>
          <w:sz w:val="22"/>
        </w:rPr>
        <w:t>. Any party hereto may change its address or facsimile number for notices and other communications hereunder by notice to the other parties hereto.</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u w:val="single"/>
        </w:rPr>
        <w:t>Platform</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(i)The Borrower agrees that the Administrative Agent may, but shall not be obligated to, make the Communications available to the Lenders by posting the Communications on the Platform and that certain of the Lenders (each, a “</w:t>
      </w:r>
      <w:r>
        <w:rPr>
          <w:rFonts w:ascii="Times New Roman;sans-serif" w:hAnsi="Times New Roman;sans-serif"/>
          <w:b w:val="false"/>
          <w:color w:val="000000"/>
          <w:sz w:val="22"/>
          <w:u w:val="single"/>
        </w:rPr>
        <w:t>Public Lender</w:t>
      </w:r>
      <w:r>
        <w:rPr>
          <w:color w:val="000000"/>
        </w:rPr>
        <w:t>”</w:t>
      </w:r>
      <w:r>
        <w:rPr>
          <w:rFonts w:ascii="Times New Roman;sans-serif" w:hAnsi="Times New Roman;sans-serif"/>
          <w:b w:val="false"/>
          <w:color w:val="000000"/>
          <w:sz w:val="22"/>
        </w:rPr>
        <w:t>) may have personnel who do not wish to receive material non-public information with respect to the Loan Parties or their Affiliates, or the respective securities of any of the foregoing, and who may be engaged in investment and other market-related activities with respect to such Persons’ securities.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(ii)The Borrower hereby acknowledges and agrees that so long as any Loan Party is the issuer of any outstanding debt or equity securities that are registered or issued pursuant to a private offering or is actively contemplating issuing any such securities it will use commercially reasonable efforts to identify that portion of the Communications that may be distributed to the Public Lenders and that: (A) all such Communications (i) shall be clearly and conspicuously marked “PUBLIC” which, at a minimum, means that the word “PUBLIC” shall appear prominently on the first page thereof; (B) by marking such Communications (ii) “PUBLIC,” the Borrower shall be deemed to have authorized the Administrative Agent, the Lead Arranger and the Lenders to treat such Communications as not containing any material non-public information (although it may be sensitive and proprietary) with respect to any Loan Party or its securities for purposes of United States Federal and state securities laws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to the extent such Communications constitute Information, they shall be treated as set forth in </w:t>
      </w:r>
      <w:r>
        <w:rPr>
          <w:rFonts w:ascii="Times New Roman;sans-serif" w:hAnsi="Times New Roman;sans-serif"/>
          <w:b w:val="false"/>
          <w:color w:val="000000"/>
          <w:sz w:val="22"/>
          <w:u w:val="single"/>
        </w:rPr>
        <w:t>Section 10.14</w:t>
      </w:r>
      <w:r>
        <w:rPr>
          <w:rFonts w:ascii="Times New Roman;sans-serif" w:hAnsi="Times New Roman;sans-serif"/>
          <w:b w:val="false"/>
          <w:color w:val="000000"/>
          <w:sz w:val="22"/>
        </w:rPr>
        <w:t xml:space="preserve">); (C) all Communications marked “PUBLIC” are permitted to be made available through a portion of the Platform designated “Public Side Information”; and (D) the Administrative Agent and the Lead Arranger shall be entitled to treat any Communications that </w:t>
      </w:r>
    </w:p>
    <w:p>
      <w:pPr>
        <w:pStyle w:val="TextBody"/>
        <w:bidi w:val="0"/>
        <w:spacing w:before="0" w:after="0"/>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75260"/>
                <wp:effectExtent l="0" t="0" r="0" b="0"/>
                <wp:wrapNone/>
                <wp:docPr id="171" name="Frame1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116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116</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are not marked “PUBLIC” as being suitable only for posting on a portion of the Platform not designated “Public Side Information.”</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(iii)The Platform is provided “as is” and “as available.” The Agent Parties (as defined below) do not warrant the adequacy of the Platform and expressly disclaim liability for errors or omissions in the Communications. No warranty of any kind, express, implied or statutory, including any warranty of merchantability, fitness for a particular purpose, non-infringement of third-party rights or freedom from viruses or other code defects, is made by any Agent Party in connection with the Communications or the Platform. In no event shall the Administrative Agent or any of its Related Parties (collectively, the “</w:t>
      </w:r>
      <w:r>
        <w:rPr>
          <w:rFonts w:ascii="Times New Roman;sans-serif" w:hAnsi="Times New Roman;sans-serif"/>
          <w:b w:val="false"/>
          <w:color w:val="000000"/>
          <w:sz w:val="22"/>
          <w:u w:val="single"/>
        </w:rPr>
        <w:t>Agent Parties</w:t>
      </w:r>
      <w:r>
        <w:rPr>
          <w:color w:val="000000"/>
        </w:rPr>
        <w:t>”</w:t>
      </w:r>
      <w:r>
        <w:rPr>
          <w:rFonts w:ascii="Times New Roman;sans-serif" w:hAnsi="Times New Roman;sans-serif"/>
          <w:b w:val="false"/>
          <w:color w:val="000000"/>
          <w:sz w:val="22"/>
        </w:rPr>
        <w:t>) have any liability to the Borrower or the other Loan Parties, any Lender or any other Person or entity for damages of any kind, including direct or indirect, special, incidental or consequential damages, losses or expenses (whether in tort, contract or otherwise) arising out of any Loan Party’s or the Administrative Agent’s transmission of communications through the Platform.</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10.2</w:t>
      </w:r>
      <w:r>
        <w:rPr>
          <w:rFonts w:ascii="Times New Roman;sans-serif" w:hAnsi="Times New Roman;sans-serif"/>
          <w:b w:val="false"/>
          <w:color w:val="000000"/>
          <w:sz w:val="22"/>
          <w:u w:val="single"/>
        </w:rPr>
        <w:t>Waivers; Amendments</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No failure or delay by any Credit Party in exercising any right or power under any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Credit Parties under the Loan Documents are cumulative and are not exclusive of any rights or remedies that they would otherwise have. No waiver of any provision of any Loan Document or consent to any departure by any Loan Party therefrom shall in any event be effective unless the same shall be permitted by clause (b) of this Section, and then such waiver or consent shall be effective only in the specific instance and for the purpose for which given. Without limiting the generality of the foregoing, the making of a Loan shall not be construed as a waiver of any Default, regardless of whether any Credit Party may have had notice or knowledge of such Default at the time.</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Except as expressly provided by </w:t>
      </w:r>
      <w:r>
        <w:rPr>
          <w:rFonts w:ascii="Times New Roman;sans-serif" w:hAnsi="Times New Roman;sans-serif"/>
          <w:b w:val="false"/>
          <w:color w:val="000000"/>
          <w:sz w:val="22"/>
          <w:u w:val="single"/>
        </w:rPr>
        <w:t>Section 3.3(b)</w:t>
      </w:r>
      <w:r>
        <w:rPr>
          <w:color w:val="000000"/>
        </w:rPr>
        <w:t xml:space="preserve"> </w:t>
      </w:r>
      <w:r>
        <w:rPr>
          <w:rFonts w:ascii="Times New Roman;sans-serif" w:hAnsi="Times New Roman;sans-serif"/>
          <w:b w:val="false"/>
          <w:color w:val="000000"/>
          <w:sz w:val="22"/>
        </w:rPr>
        <w:t xml:space="preserve">or in the other clauses of this </w:t>
      </w:r>
      <w:r>
        <w:rPr>
          <w:rFonts w:ascii="Times New Roman;sans-serif" w:hAnsi="Times New Roman;sans-serif"/>
          <w:b w:val="false"/>
          <w:color w:val="000000"/>
          <w:sz w:val="22"/>
          <w:u w:val="single"/>
        </w:rPr>
        <w:t>Section 10.2</w:t>
      </w:r>
      <w:r>
        <w:rPr>
          <w:rFonts w:ascii="Times New Roman;sans-serif" w:hAnsi="Times New Roman;sans-serif"/>
          <w:b w:val="false"/>
          <w:color w:val="000000"/>
          <w:sz w:val="22"/>
        </w:rPr>
        <w:t xml:space="preserve">, neither this Credit Agreement, any other Loan Document (other than the Fee Letter) nor any provision thereof may be waived, amended or modified except pursuant to an agreement or agreements in writing entered into by the Loan Parties and the Required Lenders, or by the Borrower and the Administrative Agent with the consent of the Required Lenders;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no such agreement shall:</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(i)extend or increase any Commitment of any Lender without the written consent of such Lender (it being understood that a waiver of any condition precedent set forth in </w:t>
      </w:r>
      <w:r>
        <w:rPr>
          <w:rFonts w:ascii="Times New Roman;sans-serif" w:hAnsi="Times New Roman;sans-serif"/>
          <w:b w:val="false"/>
          <w:color w:val="000000"/>
          <w:sz w:val="22"/>
          <w:u w:val="single"/>
        </w:rPr>
        <w:t>Article 4</w:t>
      </w:r>
      <w:r>
        <w:rPr>
          <w:color w:val="000000"/>
        </w:rPr>
        <w:t xml:space="preserve"> </w:t>
      </w:r>
      <w:r>
        <w:rPr>
          <w:rFonts w:ascii="Times New Roman;sans-serif" w:hAnsi="Times New Roman;sans-serif"/>
          <w:b w:val="false"/>
          <w:color w:val="000000"/>
          <w:sz w:val="22"/>
        </w:rPr>
        <w:t>or the waiver of any Default shall not constitute an extension or increase of any Commitment of any Lender);</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(ii)reduce the principal amount of any Loan, or reduce the rate of any interest, or reduce any fees (including the Exit Fee), premium (including any Prepayment Premium) or other amounts, payable under the Loan Documents, without the written consent of each Credit Party directly and adversely affected thereby;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only the consent of the Required Lenders shall be necessary to amend or modify any Financial Covenant or any defined terms used therein or to waive any obligation of the Borrower to pay interest at the Default Rate, in each case, notwithstanding the fact that any such amendment, modification or waiver actually results in reduction in the rate of interest or fees;</w:t>
      </w:r>
    </w:p>
    <w:p>
      <w:pPr>
        <w:pStyle w:val="TextBody"/>
        <w:bidi w:val="0"/>
        <w:spacing w:before="0" w:after="0"/>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75260"/>
                <wp:effectExtent l="0" t="0" r="0" b="0"/>
                <wp:wrapNone/>
                <wp:docPr id="172" name="Frame1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117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117</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(iii)postpone any date scheduled for any payment of principal of (including at final maturity), or interest on, any Loan, or any fees, premium (including any Prepayment Premium) or other amounts payable hereunder or under any other Loan Document, or reduce the amount of, waive or excuse any such payment, or postpone the stated termination of the Commitments or reduce the amount of or postpone the date of any prepayment required by </w:t>
      </w:r>
      <w:r>
        <w:rPr>
          <w:rFonts w:ascii="Times New Roman;sans-serif" w:hAnsi="Times New Roman;sans-serif"/>
          <w:b w:val="false"/>
          <w:color w:val="000000"/>
          <w:sz w:val="22"/>
          <w:u w:val="single"/>
        </w:rPr>
        <w:t>Section 2.7(h)</w:t>
      </w:r>
      <w:r>
        <w:rPr>
          <w:color w:val="000000"/>
        </w:rPr>
        <w:t xml:space="preserve"> </w:t>
      </w:r>
      <w:r>
        <w:rPr>
          <w:rFonts w:ascii="Times New Roman;sans-serif" w:hAnsi="Times New Roman;sans-serif"/>
          <w:b w:val="false"/>
          <w:color w:val="000000"/>
          <w:sz w:val="22"/>
        </w:rPr>
        <w:t xml:space="preserve">without the written consent of each Credit Party directly and adversely affected thereby (it being understood that the waiver of (or amendment to the terms of) any mandatory prepayment of the Loans (other than a mandatory prepayment of the Loans pursuant to </w:t>
      </w:r>
      <w:r>
        <w:rPr>
          <w:rFonts w:ascii="Times New Roman;sans-serif" w:hAnsi="Times New Roman;sans-serif"/>
          <w:b w:val="false"/>
          <w:color w:val="000000"/>
          <w:sz w:val="22"/>
          <w:u w:val="single"/>
        </w:rPr>
        <w:t>Section 2.7(h)</w:t>
      </w:r>
      <w:r>
        <w:rPr>
          <w:rFonts w:ascii="Times New Roman;sans-serif" w:hAnsi="Times New Roman;sans-serif"/>
          <w:b w:val="false"/>
          <w:color w:val="000000"/>
          <w:sz w:val="22"/>
        </w:rPr>
        <w:t>) or any obligation of the Borrower to pay interest at the Default Rate shall not constitute a postponement of any date scheduled for the payment of principal or interest);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(iv)except as provided in clause (c) below, change any provision hereof in a manner that would alter the pro rata sharing of payments required by </w:t>
      </w:r>
      <w:r>
        <w:rPr>
          <w:rFonts w:ascii="Times New Roman;sans-serif" w:hAnsi="Times New Roman;sans-serif"/>
          <w:b w:val="false"/>
          <w:color w:val="000000"/>
          <w:sz w:val="22"/>
          <w:u w:val="single"/>
        </w:rPr>
        <w:t>Section 2.7(l)</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2.8(b)</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2.8(h)</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8.3</w:t>
      </w:r>
      <w:r>
        <w:rPr>
          <w:color w:val="000000"/>
        </w:rPr>
        <w:t xml:space="preserve"> </w:t>
      </w:r>
      <w:r>
        <w:rPr>
          <w:rFonts w:ascii="Times New Roman;sans-serif" w:hAnsi="Times New Roman;sans-serif"/>
          <w:b w:val="false"/>
          <w:color w:val="000000"/>
          <w:sz w:val="22"/>
        </w:rPr>
        <w:t>without the written consent of each Credit Party directly and adversely affected thereby;</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(v)change any of the provisions of this </w:t>
      </w:r>
      <w:r>
        <w:rPr>
          <w:rFonts w:ascii="Times New Roman;sans-serif" w:hAnsi="Times New Roman;sans-serif"/>
          <w:b w:val="false"/>
          <w:color w:val="000000"/>
          <w:sz w:val="22"/>
          <w:u w:val="single"/>
        </w:rPr>
        <w:t>Section 10.2</w:t>
      </w:r>
      <w:r>
        <w:rPr>
          <w:color w:val="000000"/>
        </w:rPr>
        <w:t xml:space="preserve"> </w:t>
      </w:r>
      <w:r>
        <w:rPr>
          <w:rFonts w:ascii="Times New Roman;sans-serif" w:hAnsi="Times New Roman;sans-serif"/>
          <w:b w:val="false"/>
          <w:color w:val="000000"/>
          <w:sz w:val="22"/>
        </w:rPr>
        <w:t>or the definition of the term “Required Lenders” or any other provision hereof specifying the number or percentage of Lenders required to waive, amend or modify any rights hereunder or make any determination or grant any consent hereunder without the written consent of each Credit Party directly and adversely affected thereby;</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(vi)</w:t>
      </w:r>
      <w:r>
        <w:rPr>
          <w:color w:val="000000"/>
        </w:rPr>
        <w:t xml:space="preserve"> </w:t>
      </w:r>
      <w:r>
        <w:rPr>
          <w:rFonts w:ascii="Times New Roman;sans-serif" w:hAnsi="Times New Roman;sans-serif"/>
          <w:b w:val="false"/>
          <w:color w:val="000000"/>
          <w:sz w:val="22"/>
        </w:rPr>
        <w:t>other than as expressly permitted under the terms of this Credit Agreement as in effect as of the Closing Date (or as amended or otherwise modified with the consent of all Lenders), subordinate (x) the Liens granted under the Loan Documents to the Liens securing any other Indebtedness or (y) the Loan Document Obligations in right of payment to any other Indebtedness, without the written consent of each Lender;</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(vii)change the currency in which any Commitment or Loan is, or is to be, denominated or the form or currency in which any payment under the Loan Documents is to be made without the written consent of each Lender directly affected thereby;</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(viii)release any Guarantor from its Guarantee under the Guarantee Agreement (except as expressly provided therein as in effect on the Closing Date or in </w:t>
      </w:r>
      <w:r>
        <w:rPr>
          <w:rFonts w:ascii="Times New Roman;sans-serif" w:hAnsi="Times New Roman;sans-serif"/>
          <w:b w:val="false"/>
          <w:color w:val="000000"/>
          <w:sz w:val="22"/>
          <w:u w:val="single"/>
        </w:rPr>
        <w:t>Section 9.10</w:t>
      </w:r>
      <w:r>
        <w:rPr>
          <w:rFonts w:ascii="Times New Roman;sans-serif" w:hAnsi="Times New Roman;sans-serif"/>
          <w:b w:val="false"/>
          <w:color w:val="000000"/>
          <w:sz w:val="22"/>
        </w:rPr>
        <w:t xml:space="preserve">), or limit its liability in respect of such Guarantee, without the written consent of each Lender; </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(ix)release all or substantially all of the Collateral from the Liens of the Loan Documents without the written consent of each Lender;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(x)amend, modify or waive any provision of </w:t>
      </w:r>
      <w:r>
        <w:rPr>
          <w:rFonts w:ascii="Times New Roman;sans-serif" w:hAnsi="Times New Roman;sans-serif"/>
          <w:b w:val="false"/>
          <w:color w:val="000000"/>
          <w:sz w:val="22"/>
          <w:u w:val="single"/>
        </w:rPr>
        <w:t>Section 8.3</w:t>
      </w:r>
      <w:r>
        <w:rPr>
          <w:color w:val="000000"/>
        </w:rPr>
        <w:t xml:space="preserve"> </w:t>
      </w:r>
      <w:r>
        <w:rPr>
          <w:rFonts w:ascii="Times New Roman;sans-serif" w:hAnsi="Times New Roman;sans-serif"/>
          <w:b w:val="false"/>
          <w:color w:val="000000"/>
          <w:sz w:val="22"/>
        </w:rPr>
        <w:t>without the written consent of all of the Lenders; or</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(xi)amend </w:t>
      </w:r>
      <w:r>
        <w:rPr>
          <w:rFonts w:ascii="Times New Roman;sans-serif" w:hAnsi="Times New Roman;sans-serif"/>
          <w:b w:val="false"/>
          <w:color w:val="000000"/>
          <w:sz w:val="22"/>
          <w:u w:val="single"/>
        </w:rPr>
        <w:t>Section 10.4(a)</w:t>
      </w:r>
      <w:r>
        <w:rPr>
          <w:color w:val="000000"/>
        </w:rPr>
        <w:t xml:space="preserve"> </w:t>
      </w:r>
      <w:r>
        <w:rPr>
          <w:rFonts w:ascii="Times New Roman;sans-serif" w:hAnsi="Times New Roman;sans-serif"/>
          <w:b w:val="false"/>
          <w:color w:val="000000"/>
          <w:sz w:val="22"/>
        </w:rPr>
        <w:t xml:space="preserve">with respect to the assignment or transfer by any Loan Party of such Loan Party’s rights and obligations under any Loan Document to which it is a party (except as permitted pursuant to </w:t>
      </w:r>
      <w:r>
        <w:rPr>
          <w:rFonts w:ascii="Times New Roman;sans-serif" w:hAnsi="Times New Roman;sans-serif"/>
          <w:b w:val="false"/>
          <w:color w:val="000000"/>
          <w:sz w:val="22"/>
          <w:u w:val="single"/>
        </w:rPr>
        <w:t>Section 7.3</w:t>
      </w:r>
      <w:r>
        <w:rPr>
          <w:color w:val="000000"/>
        </w:rPr>
        <w:t xml:space="preserve"> </w:t>
      </w:r>
      <w:r>
        <w:rPr>
          <w:rFonts w:ascii="Times New Roman;sans-serif" w:hAnsi="Times New Roman;sans-serif"/>
          <w:b w:val="false"/>
          <w:color w:val="000000"/>
          <w:sz w:val="22"/>
        </w:rPr>
        <w:t xml:space="preserve">as in effect on the Closing Date), in each case, without the written consent of each Lender; </w:t>
      </w:r>
    </w:p>
    <w:p>
      <w:pPr>
        <w:pStyle w:val="TextBody"/>
        <w:bidi w:val="0"/>
        <w:spacing w:lineRule="auto" w:line="288" w:before="0" w:after="240"/>
        <w:jc w:val="both"/>
        <w:rPr/>
      </w:pP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xml:space="preserve">, that no such amendment, waiver or consent shall amend, modify or otherwise affect the rights or duties hereunder or under any other Loan Document of the Administrative Agent, unless in </w:t>
      </w:r>
    </w:p>
    <w:p>
      <w:pPr>
        <w:pStyle w:val="TextBody"/>
        <w:bidi w:val="0"/>
        <w:spacing w:before="0" w:after="0"/>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75260"/>
                <wp:effectExtent l="0" t="0" r="0" b="0"/>
                <wp:wrapNone/>
                <wp:docPr id="173" name="Frame1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118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118</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writing executed by the Administrative Agent in addition to the Borrower and the Lenders required above.</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[Reserved].</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 xml:space="preserve">In addition, notwithstanding anything in this </w:t>
      </w:r>
      <w:r>
        <w:rPr>
          <w:rFonts w:ascii="Times New Roman;sans-serif" w:hAnsi="Times New Roman;sans-serif"/>
          <w:b w:val="false"/>
          <w:color w:val="000000"/>
          <w:sz w:val="22"/>
          <w:u w:val="single"/>
        </w:rPr>
        <w:t>Section 10.2</w:t>
      </w:r>
      <w:r>
        <w:rPr>
          <w:color w:val="000000"/>
        </w:rPr>
        <w:t xml:space="preserve"> </w:t>
      </w:r>
      <w:r>
        <w:rPr>
          <w:rFonts w:ascii="Times New Roman;sans-serif" w:hAnsi="Times New Roman;sans-serif"/>
          <w:b w:val="false"/>
          <w:color w:val="000000"/>
          <w:sz w:val="22"/>
        </w:rPr>
        <w:t>to the contrary, if the Administrative Agent and the Borrower shall have jointly identified an obvious error or any error or omission of a technical nature, in each case, in any provision of the Loan Documents, then the Administrative Agent and the Borrower shall be permitted to amend such provision, and, in each case, such amendment shall become effective without any further action or consent of any other party to any Loan Document if the same is not objected to in writing by the Required Lenders to the Administrative Agent within ten Business Days following receipt of notice thereof.</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10.3</w:t>
      </w:r>
      <w:r>
        <w:rPr>
          <w:rFonts w:ascii="Times New Roman;sans-serif" w:hAnsi="Times New Roman;sans-serif"/>
          <w:b w:val="false"/>
          <w:color w:val="000000"/>
          <w:sz w:val="22"/>
          <w:u w:val="single"/>
        </w:rPr>
        <w:t>Expenses; Indemnity; Damage Waiver</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Costs and Expenses</w:t>
      </w:r>
      <w:r>
        <w:rPr>
          <w:rFonts w:ascii="Times New Roman;sans-serif" w:hAnsi="Times New Roman;sans-serif"/>
          <w:b w:val="false"/>
          <w:color w:val="000000"/>
          <w:sz w:val="22"/>
        </w:rPr>
        <w:t xml:space="preserve">. The Loan Parties, jointly and severally, shall pay (i) all reasonable out-of-pocket expenses incurred by the Administrative Agent, the Lead Arranger and their respective Affiliates (including Attorney Costs of counsel for the Administrative Agent), in connection with the syndication of the credit facility provided for herein, the preparation, negotiation, execution, delivery and administration of this Credit Agreement and the other Loan Documents and any amendments, modifications or waivers of the provisions hereof or thereof (whether or not the transactions contemplated hereby or thereby shall be consummated), (ii) [reserved] and (iii) all out-of-pocket expenses incurred by the Administrative Agent, the Lead Arranger and each Credit Party (including Attorney Costs of the Administrative Agent and each Credit Party), in connection with the enforcement or protection of its rights (whether through negotiations, legal proceedings or otherwise) (A) in connection with this Credit Agreement and the other Loan Documents, including its rights under this </w:t>
      </w:r>
      <w:r>
        <w:rPr>
          <w:rFonts w:ascii="Times New Roman;sans-serif" w:hAnsi="Times New Roman;sans-serif"/>
          <w:b w:val="false"/>
          <w:color w:val="000000"/>
          <w:sz w:val="22"/>
          <w:u w:val="single"/>
        </w:rPr>
        <w:t>Section 10.3</w:t>
      </w:r>
      <w:r>
        <w:rPr>
          <w:rFonts w:ascii="Times New Roman;sans-serif" w:hAnsi="Times New Roman;sans-serif"/>
          <w:b w:val="false"/>
          <w:color w:val="000000"/>
          <w:sz w:val="22"/>
        </w:rPr>
        <w:t>, and (B) in connection with the Loans made hereunder, including all such out-of-pocket expenses incurred during any workout, restructuring or negotiations in respect of such Loans.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Indemnification by Loan Parties</w:t>
      </w:r>
      <w:r>
        <w:rPr>
          <w:rFonts w:ascii="Times New Roman;sans-serif" w:hAnsi="Times New Roman;sans-serif"/>
          <w:b w:val="false"/>
          <w:color w:val="000000"/>
          <w:sz w:val="22"/>
        </w:rPr>
        <w:t>. The Loan Parties, jointly and severally, shall indemnify the Administrative Agent (and any sub-agent thereof), each Credit Party, and each Related Party of any of the foregoing Persons (each such Person being called an “</w:t>
      </w:r>
      <w:r>
        <w:rPr>
          <w:rFonts w:ascii="Times New Roman;sans-serif" w:hAnsi="Times New Roman;sans-serif"/>
          <w:b w:val="false"/>
          <w:color w:val="000000"/>
          <w:sz w:val="22"/>
          <w:u w:val="single"/>
        </w:rPr>
        <w:t>Indemnitee</w:t>
      </w:r>
      <w:r>
        <w:rPr>
          <w:color w:val="000000"/>
        </w:rPr>
        <w:t>”</w:t>
      </w:r>
      <w:r>
        <w:rPr>
          <w:rFonts w:ascii="Times New Roman;sans-serif" w:hAnsi="Times New Roman;sans-serif"/>
          <w:b w:val="false"/>
          <w:color w:val="000000"/>
          <w:sz w:val="22"/>
        </w:rPr>
        <w:t xml:space="preserve">) against, and hold each Indemnitee harmless from, any and all losses, claims, damages, liabilities and related expenses (including Attorney Costs), incurred by any Indemnitee or asserted against any Indemnitee by any third party or by any Loan Party arising out of, in connection with, or as a result of (i) the execution or delivery of this Credit Agreement, any other Loan Document or any agreement or instrument contemplated hereby or thereby, the performance by the parties hereto of their respective obligations hereunder or thereunder or the consummation of the transactions contemplated hereby or thereby, (ii) any Loan or the use or proposed use of the proceeds therefrom, (iii) any actual or alleged presence or Release of Hazardous Materials at, on, under or from any property owned or operated by any Loan Party or any of its Subsidiaries, or any Environmental Claim or Environmental Liability related in any way to any Loan Party or any of its Subsidiaries, (iv) any actual or prospective claim, litigation, investigation or proceeding relating to any of the foregoing, whether based on contract, tort or any other theory, whether brought by a third party or by any Loan Party, and regardless of whether any Indemnitee is a party thereto or (v) any government investigation, audit, hearing or enforcement action resulting from any Loan Party’s or any of its Affiliate’s noncompliance (or purported noncompliance) with any applicable Sanctions, other Anti-Terrorism Laws or Anti-Corruption Laws (it being understood and agreed that the Indemnitees shall be entitled to indemnification pursuant to this clause (including indemnification for fines, penalties and other expenses) regardless of whether any adverse finding is made against any Loan Party or any of its </w:t>
      </w:r>
    </w:p>
    <w:p>
      <w:pPr>
        <w:pStyle w:val="TextBody"/>
        <w:bidi w:val="0"/>
        <w:spacing w:before="0" w:after="0"/>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75260"/>
                <wp:effectExtent l="0" t="0" r="0" b="0"/>
                <wp:wrapNone/>
                <wp:docPr id="174" name="Frame1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119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119</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Affiliates);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such indemnity shall not, as to any Indemnitee, be available to the extent that such losses, claims, damages, liabilities or related expenses (x) are determined by a court of competent jurisdiction by final and non-appealable judgment to have resulted from bad faith, the gross negligence or willful misconduct of such Indemnitee or (y) result from a claim brought by any Loan Party against an Indemnitee for breach in bad faith of such Indemnitee’s obligations hereunder or under any other Loan Document, if such Loan Party has obtained a final and non-appealable judgment in its favor on such claim as determined by a court of competent jurisdiction. To the extent that the indemnity set forth above in this clause (b) shall be held to be unenforceable in whole or in part because it is violative of any law or public policy, the Borrower shall contribute the maximum portion that it is permitted to pay and satisfy under applicable law to the payment and satisfaction of all indemnified amounts incurred by Indemnitees or any of them.</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u w:val="single"/>
        </w:rPr>
        <w:t>Reimbursement by Lenders</w:t>
      </w:r>
      <w:r>
        <w:rPr>
          <w:rFonts w:ascii="Times New Roman;sans-serif" w:hAnsi="Times New Roman;sans-serif"/>
          <w:b w:val="false"/>
          <w:color w:val="000000"/>
          <w:sz w:val="22"/>
        </w:rPr>
        <w:t xml:space="preserve">. To the extent that the Borrower for any reason fails to indefeasibly pay any amount required under clause (a) or (b) of this </w:t>
      </w:r>
      <w:r>
        <w:rPr>
          <w:rFonts w:ascii="Times New Roman;sans-serif" w:hAnsi="Times New Roman;sans-serif"/>
          <w:b w:val="false"/>
          <w:color w:val="000000"/>
          <w:sz w:val="22"/>
          <w:u w:val="single"/>
        </w:rPr>
        <w:t>Section 10.3</w:t>
      </w:r>
      <w:r>
        <w:rPr>
          <w:color w:val="000000"/>
        </w:rPr>
        <w:t xml:space="preserve"> </w:t>
      </w:r>
      <w:r>
        <w:rPr>
          <w:rFonts w:ascii="Times New Roman;sans-serif" w:hAnsi="Times New Roman;sans-serif"/>
          <w:b w:val="false"/>
          <w:color w:val="000000"/>
          <w:sz w:val="22"/>
        </w:rPr>
        <w:t xml:space="preserve">to be paid by it to the Administrative Agent (or any sub-agent thereof) or any Related Party of any of the foregoing, each Lender severally agrees to pay to the Administrative Agent (or any such sub-agent) or such Related Party, as the case may be, such Lender’s pro rata share (determined as of the time that the applicable unreimbursed expense or indemnity payment is sought based on each Lender’s Applicable Percentage at such time) of such unpaid amount (including any such unpaid amount in respect of a claim asserted by such Lender);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unreimbursed expense or indemnified loss, claim, damage, liability or related expense, as the case may be, was incurred by or asserted against the Administrative Agent (or any such sub-agent) or against any Related Party of any of the foregoing acting for the Administrative Agent (or any such sub-agent) in connection with such capacity. The obligations of the Lenders under this clause (c) are subject to the provisions of </w:t>
      </w:r>
      <w:r>
        <w:rPr>
          <w:rFonts w:ascii="Times New Roman;sans-serif" w:hAnsi="Times New Roman;sans-serif"/>
          <w:b w:val="false"/>
          <w:color w:val="000000"/>
          <w:sz w:val="22"/>
          <w:u w:val="single"/>
        </w:rPr>
        <w:t>Section 2.8(d)</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u w:val="single"/>
        </w:rPr>
        <w:t>Waiver of Consequential Damages, Etc.</w:t>
      </w:r>
      <w:r>
        <w:rPr>
          <w:color w:val="000000"/>
        </w:rPr>
        <w:t xml:space="preserve"> </w:t>
      </w:r>
      <w:r>
        <w:rPr>
          <w:rFonts w:ascii="Times New Roman;sans-serif" w:hAnsi="Times New Roman;sans-serif"/>
          <w:b w:val="false"/>
          <w:color w:val="000000"/>
          <w:sz w:val="22"/>
        </w:rPr>
        <w:t>To the fullest extent permitted by applicable law, no Loan Party shall assert, and each Loan Party hereby waives, any claim against any Indemnitee, on any theory of liability, for special, indirect, consequential or punitive damages (as opposed to direct or actual damages) arising out of, in connection with, or as a result of, this Credit Agreement, any other Loan Document or any agreement or instrument contemplated hereby or thereby, the transactions contemplated hereby or thereby, any Loan or the use of the proceeds thereof. No Indemnitee referred to in clause (b) above shall be liable for any damages arising from the use by unintended recipients of any information or other materials distributed by it through telecommunications, electronic or other information transmission systems in connection with this Credit Agreement or the other Loan Documents or the transactions contemplated hereby or thereby.</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u w:val="single"/>
        </w:rPr>
        <w:t>Payments</w:t>
      </w:r>
      <w:r>
        <w:rPr>
          <w:rFonts w:ascii="Times New Roman;sans-serif" w:hAnsi="Times New Roman;sans-serif"/>
          <w:b w:val="false"/>
          <w:color w:val="000000"/>
          <w:sz w:val="22"/>
        </w:rPr>
        <w:t xml:space="preserve">. All amounts due under this </w:t>
      </w:r>
      <w:r>
        <w:rPr>
          <w:rFonts w:ascii="Times New Roman;sans-serif" w:hAnsi="Times New Roman;sans-serif"/>
          <w:b w:val="false"/>
          <w:color w:val="000000"/>
          <w:sz w:val="22"/>
          <w:u w:val="single"/>
        </w:rPr>
        <w:t>Section 10.3</w:t>
      </w:r>
      <w:r>
        <w:rPr>
          <w:color w:val="000000"/>
        </w:rPr>
        <w:t xml:space="preserve"> </w:t>
      </w:r>
      <w:r>
        <w:rPr>
          <w:rFonts w:ascii="Times New Roman;sans-serif" w:hAnsi="Times New Roman;sans-serif"/>
          <w:b w:val="false"/>
          <w:color w:val="000000"/>
          <w:sz w:val="22"/>
        </w:rPr>
        <w:t>shall be payable promptly and in no event later than ten Business Days after demand therefor.</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10.4</w:t>
      </w:r>
      <w:r>
        <w:rPr>
          <w:rFonts w:ascii="Times New Roman;sans-serif" w:hAnsi="Times New Roman;sans-serif"/>
          <w:b w:val="false"/>
          <w:color w:val="000000"/>
          <w:sz w:val="22"/>
          <w:u w:val="single"/>
        </w:rPr>
        <w:t>Successors and Assigns</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Successors and Assigns Generally</w:t>
      </w:r>
      <w:r>
        <w:rPr>
          <w:rFonts w:ascii="Times New Roman;sans-serif" w:hAnsi="Times New Roman;sans-serif"/>
          <w:b w:val="false"/>
          <w:color w:val="000000"/>
          <w:sz w:val="22"/>
        </w:rPr>
        <w:t xml:space="preserve">. The provisions of this Credit Agreement shall be binding upon and inure to the benefit of the parties hereto and their respective successors and assigns permitted hereby, except that no Loan Party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clause (b) of this </w:t>
      </w:r>
      <w:r>
        <w:rPr>
          <w:rFonts w:ascii="Times New Roman;sans-serif" w:hAnsi="Times New Roman;sans-serif"/>
          <w:b w:val="false"/>
          <w:color w:val="000000"/>
          <w:sz w:val="22"/>
          <w:u w:val="single"/>
        </w:rPr>
        <w:t>Section 10.4</w:t>
      </w:r>
      <w:r>
        <w:rPr>
          <w:rFonts w:ascii="Times New Roman;sans-serif" w:hAnsi="Times New Roman;sans-serif"/>
          <w:b w:val="false"/>
          <w:color w:val="000000"/>
          <w:sz w:val="22"/>
        </w:rPr>
        <w:t xml:space="preserve">, (ii) by way of participation in accordance with the provisions of clause (d) of this </w:t>
      </w:r>
      <w:r>
        <w:rPr>
          <w:rFonts w:ascii="Times New Roman;sans-serif" w:hAnsi="Times New Roman;sans-serif"/>
          <w:b w:val="false"/>
          <w:color w:val="000000"/>
          <w:sz w:val="22"/>
          <w:u w:val="single"/>
        </w:rPr>
        <w:t>Section 10.</w:t>
      </w:r>
      <w:r>
        <w:rPr>
          <w:rFonts w:ascii="Times New Roman;sans-serif" w:hAnsi="Times New Roman;sans-serif"/>
          <w:b w:val="false"/>
          <w:color w:val="000000"/>
          <w:sz w:val="22"/>
        </w:rPr>
        <w:t xml:space="preserve">4 or (iii) by way of pledge or assignment of a security interest subject to the restrictions of clause (e) of this </w:t>
      </w:r>
      <w:r>
        <w:rPr>
          <w:rFonts w:ascii="Times New Roman;sans-serif" w:hAnsi="Times New Roman;sans-serif"/>
          <w:b w:val="false"/>
          <w:color w:val="000000"/>
          <w:sz w:val="22"/>
          <w:u w:val="single"/>
        </w:rPr>
        <w:t>Section 10.4</w:t>
      </w:r>
      <w:r>
        <w:rPr>
          <w:color w:val="000000"/>
        </w:rPr>
        <w:t xml:space="preserve"> </w:t>
      </w:r>
      <w:r>
        <w:rPr>
          <w:rFonts w:ascii="Times New Roman;sans-serif" w:hAnsi="Times New Roman;sans-serif"/>
          <w:b w:val="false"/>
          <w:color w:val="000000"/>
          <w:sz w:val="22"/>
        </w:rPr>
        <w:t xml:space="preserve">(and any other attempted </w:t>
      </w:r>
    </w:p>
    <w:p>
      <w:pPr>
        <w:pStyle w:val="TextBody"/>
        <w:bidi w:val="0"/>
        <w:spacing w:before="0" w:after="0"/>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75260"/>
                <wp:effectExtent l="0" t="0" r="0" b="0"/>
                <wp:wrapNone/>
                <wp:docPr id="175" name="Frame1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120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120</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assignment or transfer by any party hereto shall be null and void </w:t>
      </w:r>
      <w:r>
        <w:rPr>
          <w:rFonts w:ascii="Times New Roman;sans-serif" w:hAnsi="Times New Roman;sans-serif"/>
          <w:b w:val="false"/>
          <w:i/>
          <w:color w:val="000000"/>
          <w:sz w:val="22"/>
        </w:rPr>
        <w:t>ab initio</w:t>
      </w:r>
      <w:r>
        <w:rPr>
          <w:rFonts w:ascii="Times New Roman;sans-serif" w:hAnsi="Times New Roman;sans-serif"/>
          <w:b w:val="false"/>
          <w:color w:val="000000"/>
          <w:sz w:val="22"/>
        </w:rPr>
        <w:t xml:space="preserve">). Nothing in this Credit Agreement, expressed or implied, shall be construed to confer upon any Person (other than the parties hereto, their respective successors and assigns permitted hereby, Participants to the extent provided in clause (d) of this </w:t>
      </w:r>
      <w:r>
        <w:rPr>
          <w:rFonts w:ascii="Times New Roman;sans-serif" w:hAnsi="Times New Roman;sans-serif"/>
          <w:b w:val="false"/>
          <w:color w:val="000000"/>
          <w:sz w:val="22"/>
          <w:u w:val="single"/>
        </w:rPr>
        <w:t>Section 10.4</w:t>
      </w:r>
      <w:r>
        <w:rPr>
          <w:color w:val="000000"/>
        </w:rPr>
        <w:t xml:space="preserve"> </w:t>
      </w:r>
      <w:r>
        <w:rPr>
          <w:rFonts w:ascii="Times New Roman;sans-serif" w:hAnsi="Times New Roman;sans-serif"/>
          <w:b w:val="false"/>
          <w:color w:val="000000"/>
          <w:sz w:val="22"/>
        </w:rPr>
        <w:t>and, to the extent expressly contemplated hereby, the Related Parties of each of Credit Party) any legal or equitable right, remedy or claim under or by reason of this Credit Agreement.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Assignments by Lenders</w:t>
      </w:r>
      <w:r>
        <w:rPr>
          <w:rFonts w:ascii="Times New Roman;sans-serif" w:hAnsi="Times New Roman;sans-serif"/>
          <w:b w:val="false"/>
          <w:color w:val="000000"/>
          <w:sz w:val="22"/>
        </w:rPr>
        <w:t xml:space="preserve">. Any Lender may at any time assign to one or more assignees all or a portion of its rights and obligations under this Credit Agreement (including all or a portion of its Commitments and the Loans at the time owing to it);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any such assignment shall be subject to the following conditions: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(i)</w:t>
      </w:r>
      <w:r>
        <w:rPr>
          <w:rFonts w:ascii="Times New Roman;sans-serif" w:hAnsi="Times New Roman;sans-serif"/>
          <w:b w:val="false"/>
          <w:color w:val="000000"/>
          <w:sz w:val="22"/>
          <w:u w:val="single"/>
        </w:rPr>
        <w:t>Minimum Amounts</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(A)in the case of an assignment of the entire remaining amount of the assigning Lender’s Commitment and/or the Loans at the time owing to it or contemporaneous assignments to related Approved Funds (determined after giving effect to such assignments) that equal at least the amount specified in clause (b)(i)(B) of this </w:t>
      </w:r>
      <w:r>
        <w:rPr>
          <w:rFonts w:ascii="Times New Roman;sans-serif" w:hAnsi="Times New Roman;sans-serif"/>
          <w:b w:val="false"/>
          <w:color w:val="000000"/>
          <w:sz w:val="22"/>
          <w:u w:val="single"/>
        </w:rPr>
        <w:t>Section 10.4</w:t>
      </w:r>
      <w:r>
        <w:rPr>
          <w:color w:val="000000"/>
        </w:rPr>
        <w:t xml:space="preserve"> </w:t>
      </w:r>
      <w:r>
        <w:rPr>
          <w:rFonts w:ascii="Times New Roman;sans-serif" w:hAnsi="Times New Roman;sans-serif"/>
          <w:b w:val="false"/>
          <w:color w:val="000000"/>
          <w:sz w:val="22"/>
        </w:rPr>
        <w:t>in the aggregate or in the case of an assignment to a Lender, an Affiliate of a Lender or an Approved Fund, no minimum amount need be assigned; and</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(B)in any case not described in clause (b)(i)(A) of this </w:t>
      </w:r>
      <w:r>
        <w:rPr>
          <w:rFonts w:ascii="Times New Roman;sans-serif" w:hAnsi="Times New Roman;sans-serif"/>
          <w:b w:val="false"/>
          <w:color w:val="000000"/>
          <w:sz w:val="22"/>
          <w:u w:val="single"/>
        </w:rPr>
        <w:t>Section 10.4</w:t>
      </w:r>
      <w:r>
        <w:rPr>
          <w:rFonts w:ascii="Times New Roman;sans-serif" w:hAnsi="Times New Roman;sans-serif"/>
          <w:b w:val="false"/>
          <w:color w:val="000000"/>
          <w:sz w:val="22"/>
        </w:rPr>
        <w:t xml:space="preserve">, the aggregate amount of the Commitment (which for this purpose includes Loans outstanding thereunder) or, if the applicable Commitment is not then in effect, the principal outstanding balance of the Loans of the assigning Lender subject to each such assignment (determined as of the date the Assignment and Assumption with respect to such assignment is delivered to the Administrative Agent) shall not be less than $5,000,000 unless each of the Administrative Agent and, subject to clause (b)(iii) of this </w:t>
      </w:r>
      <w:r>
        <w:rPr>
          <w:rFonts w:ascii="Times New Roman;sans-serif" w:hAnsi="Times New Roman;sans-serif"/>
          <w:b w:val="false"/>
          <w:color w:val="000000"/>
          <w:sz w:val="22"/>
          <w:u w:val="single"/>
        </w:rPr>
        <w:t>Section 10.4</w:t>
      </w:r>
      <w:r>
        <w:rPr>
          <w:rFonts w:ascii="Times New Roman;sans-serif" w:hAnsi="Times New Roman;sans-serif"/>
          <w:b w:val="false"/>
          <w:color w:val="000000"/>
          <w:sz w:val="22"/>
        </w:rPr>
        <w:t>, so long as no Event of Default has occurred and is continuing, the Borrower otherwise consents (each such consent not to be unreasonably withheld, conditioned or delayed).</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(ii)</w:t>
      </w:r>
      <w:r>
        <w:rPr>
          <w:rFonts w:ascii="Times New Roman;sans-serif" w:hAnsi="Times New Roman;sans-serif"/>
          <w:b w:val="false"/>
          <w:color w:val="000000"/>
          <w:sz w:val="22"/>
          <w:u w:val="single"/>
        </w:rPr>
        <w:t>Proportionate Amounts</w:t>
      </w:r>
      <w:r>
        <w:rPr>
          <w:rFonts w:ascii="Times New Roman;sans-serif" w:hAnsi="Times New Roman;sans-serif"/>
          <w:b w:val="false"/>
          <w:color w:val="000000"/>
          <w:sz w:val="22"/>
        </w:rPr>
        <w:t>. Each partial assignment shall be made as an assignment of a proportionate part of all the assigning Lender’s rights and obligations under this Credit Agreement with respect to the Loan or the Commitment assigned.</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(iii)</w:t>
      </w:r>
      <w:r>
        <w:rPr>
          <w:rFonts w:ascii="Times New Roman;sans-serif" w:hAnsi="Times New Roman;sans-serif"/>
          <w:b w:val="false"/>
          <w:color w:val="000000"/>
          <w:sz w:val="22"/>
          <w:u w:val="single"/>
        </w:rPr>
        <w:t>Required Consents</w:t>
      </w:r>
      <w:r>
        <w:rPr>
          <w:rFonts w:ascii="Times New Roman;sans-serif" w:hAnsi="Times New Roman;sans-serif"/>
          <w:b w:val="false"/>
          <w:color w:val="000000"/>
          <w:sz w:val="22"/>
        </w:rPr>
        <w:t xml:space="preserve">. No consent shall be required for any assignment except to the extent required by clause (b)(i)(B) of this </w:t>
      </w:r>
      <w:r>
        <w:rPr>
          <w:rFonts w:ascii="Times New Roman;sans-serif" w:hAnsi="Times New Roman;sans-serif"/>
          <w:b w:val="false"/>
          <w:color w:val="000000"/>
          <w:sz w:val="22"/>
          <w:u w:val="single"/>
        </w:rPr>
        <w:t>Section 10.4</w:t>
      </w:r>
      <w:r>
        <w:rPr>
          <w:color w:val="000000"/>
        </w:rPr>
        <w:t xml:space="preserve"> </w:t>
      </w:r>
      <w:r>
        <w:rPr>
          <w:rFonts w:ascii="Times New Roman;sans-serif" w:hAnsi="Times New Roman;sans-serif"/>
          <w:b w:val="false"/>
          <w:color w:val="000000"/>
          <w:sz w:val="22"/>
        </w:rPr>
        <w:t>and, in addition:</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(A)the consent of the Borrower (such consent not to be unreasonably withheld, conditioned or delayed) shall be required unless (x) an Event of Default has occurred and is continuing at the time of such assignment or (y) such assignment is to a Lender, an Affiliate of a Lender or an Approved Fund;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Borrower shall be deemed to have consented to any such assignment unless it shall object thereto by written notice to the Administrative Agent within ten (10) Business Days after written notice of such assignment shall have delivered to the Borrower; and </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(B)the consent of the Administrative Agent (such consent not to be unreasonably withheld, conditioned or delayed) shall be required for assignments to a Person that is not a Lender, an Affiliate of a Lender or an Approved Fund.</w:t>
      </w:r>
    </w:p>
    <w:p>
      <w:pPr>
        <w:pStyle w:val="TextBody"/>
        <w:bidi w:val="0"/>
        <w:spacing w:before="0" w:after="0"/>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75260"/>
                <wp:effectExtent l="0" t="0" r="0" b="0"/>
                <wp:wrapNone/>
                <wp:docPr id="176" name="Frame1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121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121</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(iv)</w:t>
      </w:r>
      <w:r>
        <w:rPr>
          <w:rFonts w:ascii="Times New Roman;sans-serif" w:hAnsi="Times New Roman;sans-serif"/>
          <w:b w:val="false"/>
          <w:color w:val="000000"/>
          <w:sz w:val="22"/>
          <w:u w:val="single"/>
        </w:rPr>
        <w:t>Assignment and Assumption</w:t>
      </w:r>
      <w:r>
        <w:rPr>
          <w:rFonts w:ascii="Times New Roman;sans-serif" w:hAnsi="Times New Roman;sans-serif"/>
          <w:b w:val="false"/>
          <w:color w:val="000000"/>
          <w:sz w:val="22"/>
        </w:rPr>
        <w:t xml:space="preserve">. The parties to each assignment shall execute and deliver to the Administrative Agent an Assignment and Assumption, together with a processing and recordation fee of $3,500 (which, for the avoidance of doubt, will not be required to be paid by the Borrower or its Subsidiaries), and the assignee, if it is not a Lender, shall deliver to the Administrative Agent an Administrative Questionnaire and all “know your customer” documentation. In addition, each assignee shall, on or before the effective date of such assignment, deliver to the Borrower and the Administrative Agent any applicable tax documentation in accordance with </w:t>
      </w:r>
      <w:r>
        <w:rPr>
          <w:rFonts w:ascii="Times New Roman;sans-serif" w:hAnsi="Times New Roman;sans-serif"/>
          <w:b w:val="false"/>
          <w:color w:val="000000"/>
          <w:sz w:val="22"/>
          <w:u w:val="single"/>
        </w:rPr>
        <w:t>Section 3.6(g)</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(v)</w:t>
      </w:r>
      <w:r>
        <w:rPr>
          <w:rFonts w:ascii="Times New Roman;sans-serif" w:hAnsi="Times New Roman;sans-serif"/>
          <w:b w:val="false"/>
          <w:color w:val="000000"/>
          <w:sz w:val="22"/>
          <w:u w:val="single"/>
        </w:rPr>
        <w:t>No Assignment to Certain Persons</w:t>
      </w:r>
      <w:r>
        <w:rPr>
          <w:rFonts w:ascii="Times New Roman;sans-serif" w:hAnsi="Times New Roman;sans-serif"/>
          <w:b w:val="false"/>
          <w:color w:val="000000"/>
          <w:sz w:val="22"/>
        </w:rPr>
        <w:t>. No such assignment shall be made to (A) the Borrower or any of the Borrower’s Affiliates or Subsidiaries, (B) [reserved], (C) a Person who, at the time of such assignment, is a Sanctioned Person if such assignment would violate applicable law, (D) a natural person (or a holding company, investment vehicle or trust for, or owned and operated for the primary benefit of, a natural person) or (E) Siris Capital or any Affiliate of Siris Capital.</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(vi)</w:t>
      </w:r>
      <w:r>
        <w:rPr>
          <w:rFonts w:ascii="Times New Roman;sans-serif" w:hAnsi="Times New Roman;sans-serif"/>
          <w:b w:val="false"/>
          <w:color w:val="000000"/>
          <w:sz w:val="22"/>
          <w:u w:val="single"/>
        </w:rPr>
        <w:t>[Reserved]</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(vii)</w:t>
      </w:r>
      <w:r>
        <w:rPr>
          <w:rFonts w:ascii="Times New Roman;sans-serif" w:hAnsi="Times New Roman;sans-serif"/>
          <w:b w:val="false"/>
          <w:color w:val="000000"/>
          <w:sz w:val="22"/>
          <w:u w:val="single"/>
        </w:rPr>
        <w:t>[Reserved]</w:t>
      </w:r>
      <w:r>
        <w:rPr>
          <w:rFonts w:ascii="Times New Roman;sans-serif" w:hAnsi="Times New Roman;sans-serif"/>
          <w:b w:val="false"/>
          <w:color w:val="000000"/>
          <w:sz w:val="22"/>
        </w:rPr>
        <w:t xml:space="preserve">. </w:t>
      </w:r>
    </w:p>
    <w:p>
      <w:pPr>
        <w:pStyle w:val="TextBody"/>
        <w:bidi w:val="0"/>
        <w:spacing w:lineRule="auto" w:line="288" w:before="0" w:after="120"/>
        <w:jc w:val="both"/>
        <w:rPr/>
      </w:pPr>
      <w:r>
        <w:rPr>
          <w:rFonts w:ascii="Times New Roman;sans-serif" w:hAnsi="Times New Roman;sans-serif"/>
          <w:b w:val="false"/>
          <w:color w:val="000000"/>
          <w:sz w:val="22"/>
        </w:rPr>
        <w:t xml:space="preserve">Subject to acceptance and recording thereof by the Administrative Agent pursuant to clause (c) of this </w:t>
      </w:r>
      <w:r>
        <w:rPr>
          <w:rFonts w:ascii="Times New Roman;sans-serif" w:hAnsi="Times New Roman;sans-serif"/>
          <w:b w:val="false"/>
          <w:color w:val="000000"/>
          <w:sz w:val="22"/>
          <w:u w:val="single"/>
        </w:rPr>
        <w:t>Section 10.4</w:t>
      </w:r>
      <w:r>
        <w:rPr>
          <w:rFonts w:ascii="Times New Roman;sans-serif" w:hAnsi="Times New Roman;sans-serif"/>
          <w:b w:val="false"/>
          <w:color w:val="000000"/>
          <w:sz w:val="22"/>
        </w:rPr>
        <w:t xml:space="preserve">, from and after the recordation date of each Assignment and Assumption in the Register, the assignee thereunder shall be a party to this Credit Agreement and, to the extent of the interest assigned by such Assignment and Assumption, have the rights and obligations of a Lender under this Credit Agreement, and the assigning Lender thereunder shall, to the extent of the interest assigned by such Assignment and Assumption, be released from its obligations under this Credit Agreement (and, in the case of an Assignment and Assumption covering all of the assigning Lender’s rights and obligations under this Credit Agreement, such Lender shall cease to be a party hereto) but shall continue to be entitled to the benefits of </w:t>
      </w:r>
      <w:r>
        <w:rPr>
          <w:rFonts w:ascii="Times New Roman;sans-serif" w:hAnsi="Times New Roman;sans-serif"/>
          <w:b w:val="false"/>
          <w:color w:val="000000"/>
          <w:sz w:val="22"/>
          <w:u w:val="single"/>
        </w:rPr>
        <w:t>Section 3.4</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3.5</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3.6</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Section 10.3</w:t>
      </w:r>
      <w:r>
        <w:rPr>
          <w:color w:val="000000"/>
        </w:rPr>
        <w:t xml:space="preserve"> </w:t>
      </w:r>
      <w:r>
        <w:rPr>
          <w:rFonts w:ascii="Times New Roman;sans-serif" w:hAnsi="Times New Roman;sans-serif"/>
          <w:b w:val="false"/>
          <w:color w:val="000000"/>
          <w:sz w:val="22"/>
        </w:rPr>
        <w:t xml:space="preserve">with respect to facts and circumstances occurring prior to the effective date of such assignment. Any assignment or transfer by a Lender of rights or obligations under this Credit Agreement that does not comply with this paragraph shall be treated for purposes of this Credit Agreement as a sale by such Lender of a participation in such rights and obligations in accordance with clause (d) of this </w:t>
      </w:r>
      <w:r>
        <w:rPr>
          <w:rFonts w:ascii="Times New Roman;sans-serif" w:hAnsi="Times New Roman;sans-serif"/>
          <w:b w:val="false"/>
          <w:color w:val="000000"/>
          <w:sz w:val="22"/>
          <w:u w:val="single"/>
        </w:rPr>
        <w:t>Section 10.4</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u w:val="single"/>
        </w:rPr>
        <w:t>Register</w:t>
      </w:r>
      <w:r>
        <w:rPr>
          <w:rFonts w:ascii="Times New Roman;sans-serif" w:hAnsi="Times New Roman;sans-serif"/>
          <w:b w:val="false"/>
          <w:color w:val="000000"/>
          <w:sz w:val="22"/>
        </w:rPr>
        <w:t>. The Administrative Agent, acting solely for this purpose as a non-fiduciary agent of the Borrower, shall maintain a copy of each Assignment and Assumption delivered to it and a register for the recordation of the names and addresses of the Lenders, and the Commitments of, and principal amounts (and related interest) of the Loans owing to, each Lender pursuant to the terms hereof from time to time (the “</w:t>
      </w:r>
      <w:r>
        <w:rPr>
          <w:rFonts w:ascii="Times New Roman;sans-serif" w:hAnsi="Times New Roman;sans-serif"/>
          <w:b w:val="false"/>
          <w:color w:val="000000"/>
          <w:sz w:val="22"/>
          <w:u w:val="single"/>
        </w:rPr>
        <w:t>Register</w:t>
      </w:r>
      <w:r>
        <w:rPr>
          <w:color w:val="000000"/>
        </w:rPr>
        <w:t>”</w:t>
      </w:r>
      <w:r>
        <w:rPr>
          <w:rFonts w:ascii="Times New Roman;sans-serif" w:hAnsi="Times New Roman;sans-serif"/>
          <w:b w:val="false"/>
          <w:color w:val="000000"/>
          <w:sz w:val="22"/>
        </w:rPr>
        <w:t>). The entries in the Register shall be conclusive, and the Borrower, the Administrative Agent and the Lenders shall treat each Person whose name is recorded in the Register pursuant to the terms hereof as a Lender hereunder for all purposes of this Credit Agreement, notwithstanding notice to the contrary. The Register shall be available for inspection by the Borrower and any Lender (with respect to its own Commitments and Loans), at any reasonable time and from time to time upon reasonable prior written notice.</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u w:val="single"/>
        </w:rPr>
        <w:t>Participations</w:t>
      </w:r>
      <w:r>
        <w:rPr>
          <w:rFonts w:ascii="Times New Roman;sans-serif" w:hAnsi="Times New Roman;sans-serif"/>
          <w:b w:val="false"/>
          <w:color w:val="000000"/>
          <w:sz w:val="22"/>
        </w:rPr>
        <w:t xml:space="preserve">. Any Lender may at any time, without the consent of, or notice to, the Borrower or the Administrative Agent, sell participations to any Person (other than (w) a natural person (or a holding company, investment vehicle or trust for, or owned and operated for the primary benefit of, a natural person), (x) the Borrower or any of the Borrower’s Affiliates or Subsidiaries, (y) [reserved] or (z) a Person who, at the time of such participation, is a Sanctioned Person if the sale of such </w:t>
      </w:r>
    </w:p>
    <w:p>
      <w:pPr>
        <w:pStyle w:val="TextBody"/>
        <w:bidi w:val="0"/>
        <w:spacing w:before="0" w:after="0"/>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75260"/>
                <wp:effectExtent l="0" t="0" r="0" b="0"/>
                <wp:wrapNone/>
                <wp:docPr id="177" name="Frame1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122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122</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participation would violate applicable law) (each, a “</w:t>
      </w:r>
      <w:r>
        <w:rPr>
          <w:rFonts w:ascii="Times New Roman;sans-serif" w:hAnsi="Times New Roman;sans-serif"/>
          <w:b w:val="false"/>
          <w:color w:val="000000"/>
          <w:sz w:val="22"/>
          <w:u w:val="single"/>
        </w:rPr>
        <w:t>Participant</w:t>
      </w:r>
      <w:r>
        <w:rPr>
          <w:color w:val="000000"/>
        </w:rPr>
        <w:t>”</w:t>
      </w:r>
      <w:r>
        <w:rPr>
          <w:rFonts w:ascii="Times New Roman;sans-serif" w:hAnsi="Times New Roman;sans-serif"/>
          <w:b w:val="false"/>
          <w:color w:val="000000"/>
          <w:sz w:val="22"/>
        </w:rPr>
        <w:t xml:space="preserve">) in all or a portion of such Lender’s rights and/or obligations under this Credit Agreement (including all or a portion of its Commitment and/or the Loans owing to it);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 such Lender’s obligations under this Credit Agreement shall remain unchanged, (ii) such Lender shall remain solely responsible to the other parties hereto for the performance of such obligations and (iii) the Borrower, the Administrative Agent and each Credit Party shall continue to deal solely and directly with such Lender in connection with such Lender’s rights and obligations under this Credit Agreement.</w:t>
      </w:r>
    </w:p>
    <w:p>
      <w:pPr>
        <w:pStyle w:val="TextBody"/>
        <w:bidi w:val="0"/>
        <w:spacing w:lineRule="auto" w:line="288" w:before="0" w:after="120"/>
        <w:jc w:val="both"/>
        <w:rPr/>
      </w:pPr>
      <w:r>
        <w:rPr>
          <w:color w:val="000000"/>
        </w:rPr>
        <w:t>    </w:t>
      </w:r>
      <w:r>
        <w:rPr>
          <w:rFonts w:ascii="Times New Roman;sans-serif" w:hAnsi="Times New Roman;sans-serif"/>
          <w:b w:val="false"/>
          <w:color w:val="000000"/>
          <w:sz w:val="22"/>
        </w:rPr>
        <w:t xml:space="preserve">Any agreement or instrument pursuant to which a Lender sells such a participation shall provide that such Lender shall retain the sole right to enforce this Credit Agreement and to approve any amendment, modification or waiver of any provision of this Credit Agreement;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such agreement or instrument may provide that such Lender will not, without the consent of the Participant, agree to any amendment, modification or waiver described in </w:t>
      </w:r>
      <w:r>
        <w:rPr>
          <w:rFonts w:ascii="Times New Roman;sans-serif" w:hAnsi="Times New Roman;sans-serif"/>
          <w:b w:val="false"/>
          <w:color w:val="000000"/>
          <w:sz w:val="22"/>
          <w:u w:val="single"/>
        </w:rPr>
        <w:t>Section 10.2(b)</w:t>
      </w:r>
      <w:r>
        <w:rPr>
          <w:color w:val="000000"/>
        </w:rPr>
        <w:t xml:space="preserve"> </w:t>
      </w:r>
      <w:r>
        <w:rPr>
          <w:rFonts w:ascii="Times New Roman;sans-serif" w:hAnsi="Times New Roman;sans-serif"/>
          <w:b w:val="false"/>
          <w:color w:val="000000"/>
          <w:sz w:val="22"/>
        </w:rPr>
        <w:t xml:space="preserve">that affects such Participant. The Borrower agrees that each Participant shall be entitled to the benefits of </w:t>
      </w:r>
      <w:r>
        <w:rPr>
          <w:rFonts w:ascii="Times New Roman;sans-serif" w:hAnsi="Times New Roman;sans-serif"/>
          <w:b w:val="false"/>
          <w:color w:val="000000"/>
          <w:sz w:val="22"/>
          <w:u w:val="single"/>
        </w:rPr>
        <w:t>Sections 3.4</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3.5</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3.6</w:t>
      </w:r>
      <w:r>
        <w:rPr>
          <w:color w:val="000000"/>
        </w:rPr>
        <w:t xml:space="preserve"> </w:t>
      </w:r>
      <w:r>
        <w:rPr>
          <w:rFonts w:ascii="Times New Roman;sans-serif" w:hAnsi="Times New Roman;sans-serif"/>
          <w:b w:val="false"/>
          <w:color w:val="000000"/>
          <w:sz w:val="22"/>
        </w:rPr>
        <w:t xml:space="preserve">(subject to the requirements and limitations therein, including the requirements under </w:t>
      </w:r>
      <w:r>
        <w:rPr>
          <w:rFonts w:ascii="Times New Roman;sans-serif" w:hAnsi="Times New Roman;sans-serif"/>
          <w:b w:val="false"/>
          <w:color w:val="000000"/>
          <w:sz w:val="22"/>
          <w:u w:val="single"/>
        </w:rPr>
        <w:t>Section 3.6</w:t>
      </w:r>
      <w:r>
        <w:rPr>
          <w:color w:val="000000"/>
        </w:rPr>
        <w:t xml:space="preserve"> </w:t>
      </w:r>
      <w:r>
        <w:rPr>
          <w:rFonts w:ascii="Times New Roman;sans-serif" w:hAnsi="Times New Roman;sans-serif"/>
          <w:b w:val="false"/>
          <w:color w:val="000000"/>
          <w:sz w:val="22"/>
        </w:rPr>
        <w:t xml:space="preserve">(it being understood that the documentation required under </w:t>
      </w:r>
      <w:r>
        <w:rPr>
          <w:rFonts w:ascii="Times New Roman;sans-serif" w:hAnsi="Times New Roman;sans-serif"/>
          <w:b w:val="false"/>
          <w:color w:val="000000"/>
          <w:sz w:val="22"/>
          <w:u w:val="single"/>
        </w:rPr>
        <w:t>Section 3.6(g)</w:t>
      </w:r>
      <w:r>
        <w:rPr>
          <w:color w:val="000000"/>
        </w:rPr>
        <w:t xml:space="preserve"> </w:t>
      </w:r>
      <w:r>
        <w:rPr>
          <w:rFonts w:ascii="Times New Roman;sans-serif" w:hAnsi="Times New Roman;sans-serif"/>
          <w:b w:val="false"/>
          <w:color w:val="000000"/>
          <w:sz w:val="22"/>
        </w:rPr>
        <w:t xml:space="preserve">shall be delivered solely to the participating Lender)) to the same extent as if it were a Lender and had acquired its interest by assignment pursuant to clause (b) of this </w:t>
      </w:r>
      <w:r>
        <w:rPr>
          <w:rFonts w:ascii="Times New Roman;sans-serif" w:hAnsi="Times New Roman;sans-serif"/>
          <w:b w:val="false"/>
          <w:color w:val="000000"/>
          <w:sz w:val="22"/>
          <w:u w:val="single"/>
        </w:rPr>
        <w:t>Section 10.4</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such Participant (A) shall be subject to the provisions of </w:t>
      </w:r>
      <w:r>
        <w:rPr>
          <w:rFonts w:ascii="Times New Roman;sans-serif" w:hAnsi="Times New Roman;sans-serif"/>
          <w:b w:val="false"/>
          <w:color w:val="000000"/>
          <w:sz w:val="22"/>
          <w:u w:val="single"/>
        </w:rPr>
        <w:t>Sections 3.7</w:t>
      </w:r>
      <w:r>
        <w:rPr>
          <w:color w:val="000000"/>
        </w:rPr>
        <w:t xml:space="preserve"> </w:t>
      </w:r>
      <w:r>
        <w:rPr>
          <w:rFonts w:ascii="Times New Roman;sans-serif" w:hAnsi="Times New Roman;sans-serif"/>
          <w:b w:val="false"/>
          <w:color w:val="000000"/>
          <w:sz w:val="22"/>
        </w:rPr>
        <w:t xml:space="preserve">as if it were an assignee under clause (b) of this </w:t>
      </w:r>
      <w:r>
        <w:rPr>
          <w:rFonts w:ascii="Times New Roman;sans-serif" w:hAnsi="Times New Roman;sans-serif"/>
          <w:b w:val="false"/>
          <w:color w:val="000000"/>
          <w:sz w:val="22"/>
          <w:u w:val="single"/>
        </w:rPr>
        <w:t>Section 10.4</w:t>
      </w:r>
      <w:r>
        <w:rPr>
          <w:rFonts w:ascii="Times New Roman;sans-serif" w:hAnsi="Times New Roman;sans-serif"/>
          <w:b w:val="false"/>
          <w:color w:val="000000"/>
          <w:sz w:val="22"/>
        </w:rPr>
        <w:t xml:space="preserve">; and (B) shall not be entitled to receive any greater payment under </w:t>
      </w:r>
      <w:r>
        <w:rPr>
          <w:rFonts w:ascii="Times New Roman;sans-serif" w:hAnsi="Times New Roman;sans-serif"/>
          <w:b w:val="false"/>
          <w:color w:val="000000"/>
          <w:sz w:val="22"/>
          <w:u w:val="single"/>
        </w:rPr>
        <w:t>Sections 3.5</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3.6</w:t>
      </w:r>
      <w:r>
        <w:rPr>
          <w:rFonts w:ascii="Times New Roman;sans-serif" w:hAnsi="Times New Roman;sans-serif"/>
          <w:b w:val="false"/>
          <w:color w:val="000000"/>
          <w:sz w:val="22"/>
        </w:rPr>
        <w:t xml:space="preserve">, with respect to any participation than its participating Lender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 to effectuate the provisions of </w:t>
      </w:r>
      <w:r>
        <w:rPr>
          <w:rFonts w:ascii="Times New Roman;sans-serif" w:hAnsi="Times New Roman;sans-serif"/>
          <w:b w:val="false"/>
          <w:color w:val="000000"/>
          <w:sz w:val="22"/>
          <w:u w:val="single"/>
        </w:rPr>
        <w:t>Section 3.7(b)</w:t>
      </w:r>
      <w:r>
        <w:rPr>
          <w:color w:val="000000"/>
        </w:rPr>
        <w:t xml:space="preserve"> </w:t>
      </w:r>
      <w:r>
        <w:rPr>
          <w:rFonts w:ascii="Times New Roman;sans-serif" w:hAnsi="Times New Roman;sans-serif"/>
          <w:b w:val="false"/>
          <w:color w:val="000000"/>
          <w:sz w:val="22"/>
        </w:rPr>
        <w:t xml:space="preserve">with respect to any Participant. To the extent permitted by law, each Participant also shall be entitled to the benefits of </w:t>
      </w:r>
      <w:r>
        <w:rPr>
          <w:rFonts w:ascii="Times New Roman;sans-serif" w:hAnsi="Times New Roman;sans-serif"/>
          <w:b w:val="false"/>
          <w:color w:val="000000"/>
          <w:sz w:val="22"/>
          <w:u w:val="single"/>
        </w:rPr>
        <w:t>Section 10.8</w:t>
      </w:r>
      <w:r>
        <w:rPr>
          <w:color w:val="000000"/>
        </w:rPr>
        <w:t xml:space="preserve"> </w:t>
      </w:r>
      <w:r>
        <w:rPr>
          <w:rFonts w:ascii="Times New Roman;sans-serif" w:hAnsi="Times New Roman;sans-serif"/>
          <w:b w:val="false"/>
          <w:color w:val="000000"/>
          <w:sz w:val="22"/>
        </w:rPr>
        <w:t xml:space="preserve">as though it were a Lender;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such Participant shall be subject to </w:t>
      </w:r>
      <w:r>
        <w:rPr>
          <w:rFonts w:ascii="Times New Roman;sans-serif" w:hAnsi="Times New Roman;sans-serif"/>
          <w:b w:val="false"/>
          <w:color w:val="000000"/>
          <w:sz w:val="22"/>
          <w:u w:val="single"/>
        </w:rPr>
        <w:t>Section 2.8(h)</w:t>
      </w:r>
      <w:r>
        <w:rPr>
          <w:color w:val="000000"/>
        </w:rPr>
        <w:t xml:space="preserve"> </w:t>
      </w:r>
      <w:r>
        <w:rPr>
          <w:rFonts w:ascii="Times New Roman;sans-serif" w:hAnsi="Times New Roman;sans-serif"/>
          <w:b w:val="false"/>
          <w:color w:val="000000"/>
          <w:sz w:val="22"/>
        </w:rPr>
        <w:t>as though it were a Lender. Each Lender that sells a participation shall, acting solely for this purpose as a non-fiduciary agent of the Borrower, maintain a register on which it enters the name and address of each Participant and the principal amounts (and related interest) of each Participant’s interest in the Loans or other obligations under the Loan Documents (the “</w:t>
      </w:r>
      <w:r>
        <w:rPr>
          <w:rFonts w:ascii="Times New Roman;sans-serif" w:hAnsi="Times New Roman;sans-serif"/>
          <w:b w:val="false"/>
          <w:color w:val="000000"/>
          <w:sz w:val="22"/>
          <w:u w:val="single"/>
        </w:rPr>
        <w:t>Participant Register</w:t>
      </w:r>
      <w:r>
        <w:rPr>
          <w:color w:val="000000"/>
        </w:rPr>
        <w:t>”</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no Lender shall have any obligation to disclose all or any portion of the Participant Register (including the identity of any Participant or any information relating to a Participant’s interest in any commitments, loans or its other obligations under any Loan Document) to any Person except to the extent that such disclosure is necessary to establish that such commitment, loan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Credit Agreement notwithstanding any notice to the contrary. For the avoidance of doubt, the Administrative Agent (in its capacity as Administrative Agent) shall have no responsibility for maintaining a Participant Register.</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u w:val="single"/>
        </w:rPr>
        <w:t>Certain Pledges</w:t>
      </w:r>
      <w:r>
        <w:rPr>
          <w:rFonts w:ascii="Times New Roman;sans-serif" w:hAnsi="Times New Roman;sans-serif"/>
          <w:b w:val="false"/>
          <w:color w:val="000000"/>
          <w:sz w:val="22"/>
        </w:rPr>
        <w:t xml:space="preserve">. Any Lender may at any time pledge or assign a security interest in all or any portion of its rights under this Credit Agreement and the other Loan Documents to secure obligations of such Lender, including any pledge or assignment to secure obligations to a Federal Reserve Bank;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no such pledge or assignment shall release such Lender from any of its obligations hereunder or substitute any such pledgee or assignee for such Lender as a party hereto.</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10.5</w:t>
      </w:r>
      <w:r>
        <w:rPr>
          <w:rFonts w:ascii="Times New Roman;sans-serif" w:hAnsi="Times New Roman;sans-serif"/>
          <w:b w:val="false"/>
          <w:color w:val="000000"/>
          <w:sz w:val="22"/>
          <w:u w:val="single"/>
        </w:rPr>
        <w:t>Survival</w:t>
      </w:r>
      <w:r>
        <w:rPr>
          <w:rFonts w:ascii="Times New Roman;sans-serif" w:hAnsi="Times New Roman;sans-serif"/>
          <w:b w:val="false"/>
          <w:color w:val="000000"/>
          <w:sz w:val="22"/>
        </w:rPr>
        <w:t xml:space="preserve">. All covenants, agreements, representations and warranties made by the Borrower herein and in the certificates or other instruments prepared or delivered in connection with or pursuant to this Credit Agreement or any other Loan Document shall be considered to have been relied </w:t>
      </w:r>
    </w:p>
    <w:p>
      <w:pPr>
        <w:pStyle w:val="TextBody"/>
        <w:bidi w:val="0"/>
        <w:spacing w:before="0" w:after="0"/>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75260"/>
                <wp:effectExtent l="0" t="0" r="0" b="0"/>
                <wp:wrapNone/>
                <wp:docPr id="178" name="Frame1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123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123</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upon by the other parties hereto and shall survive the execution and delivery of any Loan Document and the making of any Loans, regardless of any investigation made by any such other party or on its behalf and notwithstanding that any Credit Party may have had notice or knowledge of any Default or incorrect representation or warranty at the time any credit is extended hereunder, and shall continue in full force and effect as long as the principal of or any accrued interest on any Loan or any premium (including any Prepayment Premium), fee (including the Exit Fee, if applicable) or any other amount payable under the Loan Documents is outstanding and unpaid and so long as the Commitments have not expired or terminated. The provisions of </w:t>
      </w:r>
      <w:r>
        <w:rPr>
          <w:rFonts w:ascii="Times New Roman;sans-serif" w:hAnsi="Times New Roman;sans-serif"/>
          <w:b w:val="false"/>
          <w:color w:val="000000"/>
          <w:sz w:val="22"/>
          <w:u w:val="single"/>
        </w:rPr>
        <w:t>Sections 3.4</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3.5</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3.6</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10.3</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10.9</w:t>
      </w:r>
      <w:r>
        <w:rPr>
          <w:rFonts w:ascii="Times New Roman;sans-serif" w:hAnsi="Times New Roman;sans-serif"/>
          <w:b w:val="false"/>
          <w:color w:val="000000"/>
          <w:sz w:val="22"/>
        </w:rPr>
        <w:t xml:space="preserve">, and </w:t>
      </w:r>
      <w:r>
        <w:rPr>
          <w:rFonts w:ascii="Times New Roman;sans-serif" w:hAnsi="Times New Roman;sans-serif"/>
          <w:b w:val="false"/>
          <w:color w:val="000000"/>
          <w:sz w:val="22"/>
          <w:u w:val="single"/>
        </w:rPr>
        <w:t>10.10</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Article 9</w:t>
      </w:r>
      <w:r>
        <w:rPr>
          <w:color w:val="000000"/>
        </w:rPr>
        <w:t xml:space="preserve"> </w:t>
      </w:r>
      <w:r>
        <w:rPr>
          <w:rFonts w:ascii="Times New Roman;sans-serif" w:hAnsi="Times New Roman;sans-serif"/>
          <w:b w:val="false"/>
          <w:color w:val="000000"/>
          <w:sz w:val="22"/>
        </w:rPr>
        <w:t>shall survive and remain in full force and effect regardless of the resignation or replacement of the Administrative Agent or any assignment of rights by, or the replacement of, a Lender, the consummation of the transactions contemplated hereby or the Termination Date.</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10.6</w:t>
      </w:r>
      <w:r>
        <w:rPr>
          <w:rFonts w:ascii="Times New Roman;sans-serif" w:hAnsi="Times New Roman;sans-serif"/>
          <w:b w:val="false"/>
          <w:color w:val="000000"/>
          <w:sz w:val="22"/>
          <w:u w:val="single"/>
        </w:rPr>
        <w:t>Counterparts; Integration; Effectiveness; Electronic Execution</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Counterparts; Integration; Effectiveness</w:t>
      </w:r>
      <w:r>
        <w:rPr>
          <w:rFonts w:ascii="Times New Roman;sans-serif" w:hAnsi="Times New Roman;sans-serif"/>
          <w:b w:val="false"/>
          <w:color w:val="000000"/>
          <w:sz w:val="22"/>
        </w:rPr>
        <w:t xml:space="preserve">. This Credit Agreement may be executed in counterparts (and by different parties hereto in different counterparts), each of which shall constitute an original, but all of which when taken together shall constitute a single contract. This Credit Agreement and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Except as provided in </w:t>
      </w:r>
      <w:r>
        <w:rPr>
          <w:rFonts w:ascii="Times New Roman;sans-serif" w:hAnsi="Times New Roman;sans-serif"/>
          <w:b w:val="false"/>
          <w:color w:val="000000"/>
          <w:sz w:val="22"/>
          <w:u w:val="single"/>
        </w:rPr>
        <w:t>Section 4.1</w:t>
      </w:r>
      <w:r>
        <w:rPr>
          <w:rFonts w:ascii="Times New Roman;sans-serif" w:hAnsi="Times New Roman;sans-serif"/>
          <w:b w:val="false"/>
          <w:color w:val="000000"/>
          <w:sz w:val="22"/>
        </w:rPr>
        <w:t>, this Credit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Credit Agreement by facsimile or in electronic (</w:t>
      </w:r>
      <w:r>
        <w:rPr>
          <w:rFonts w:ascii="Times New Roman;sans-serif" w:hAnsi="Times New Roman;sans-serif"/>
          <w:b w:val="false"/>
          <w:color w:val="000000"/>
          <w:sz w:val="22"/>
          <w:u w:val="single"/>
        </w:rPr>
        <w:t>e.g.</w:t>
      </w:r>
      <w:r>
        <w:rPr>
          <w:rFonts w:ascii="Times New Roman;sans-serif" w:hAnsi="Times New Roman;sans-serif"/>
          <w:b w:val="false"/>
          <w:color w:val="000000"/>
          <w:sz w:val="22"/>
        </w:rPr>
        <w:t>, “pdf” or “tif”) format shall be effective as delivery of a manually executed counterpart of this Credit Agreement.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Electronic Execution of Assignments</w:t>
      </w:r>
      <w:r>
        <w:rPr>
          <w:rFonts w:ascii="Times New Roman;sans-serif" w:hAnsi="Times New Roman;sans-serif"/>
          <w:b w:val="false"/>
          <w:color w:val="000000"/>
          <w:sz w:val="22"/>
        </w:rPr>
        <w:t>. The words “execution,” “signed,” “signature,” and words of like import in this Credit Agreement, the other Loan Documents and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10.7</w:t>
      </w:r>
      <w:r>
        <w:rPr>
          <w:rFonts w:ascii="Times New Roman;sans-serif" w:hAnsi="Times New Roman;sans-serif"/>
          <w:b w:val="false"/>
          <w:color w:val="000000"/>
          <w:sz w:val="22"/>
          <w:u w:val="single"/>
        </w:rPr>
        <w:t>Severability</w:t>
      </w:r>
      <w:r>
        <w:rPr>
          <w:rFonts w:ascii="Times New Roman;sans-serif" w:hAnsi="Times New Roman;sans-serif"/>
          <w:b w:val="false"/>
          <w:color w:val="000000"/>
          <w:sz w:val="22"/>
        </w:rPr>
        <w:t>. In the event any one or more of the provisions contained in this Credit Agreement should be held invalid, illegal or unenforceable in any respect, the validity, legality and enforceability of the remaining provisions contained herein shall not in any way be affected or impaired thereby (it being understood that the invalidity of a particular provision in a particular jurisdiction shall not in and of itself affect the validity of such provision in any other jurisdiction). The parties shall endeavor in good faith negotiations to replace the invalid, illegal or unenforceable provisions with valid provisions the economic effect of which comes as close as possible to that of the invalid, illegal or unenforceable provisions.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10.8</w:t>
      </w:r>
      <w:r>
        <w:rPr>
          <w:rFonts w:ascii="Times New Roman;sans-serif" w:hAnsi="Times New Roman;sans-serif"/>
          <w:b w:val="false"/>
          <w:color w:val="000000"/>
          <w:sz w:val="22"/>
          <w:u w:val="single"/>
        </w:rPr>
        <w:t>Right of Setoff</w:t>
      </w:r>
      <w:r>
        <w:rPr>
          <w:rFonts w:ascii="Times New Roman;sans-serif" w:hAnsi="Times New Roman;sans-serif"/>
          <w:b w:val="false"/>
          <w:color w:val="000000"/>
          <w:sz w:val="22"/>
        </w:rPr>
        <w:t xml:space="preserve">. If an Event of Default shall have occurred and be continuing, each Credit Party and each of their respective Affiliates is hereby authorized at any time and from time to time, to the fullest extent permitted by applicable law, to set off and apply any and all deposits (general or special, time or demand, provisional or final, in whatever currency) at any time held and other obligations </w:t>
      </w:r>
    </w:p>
    <w:p>
      <w:pPr>
        <w:pStyle w:val="TextBody"/>
        <w:bidi w:val="0"/>
        <w:spacing w:before="0" w:after="0"/>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75260"/>
                <wp:effectExtent l="0" t="0" r="0" b="0"/>
                <wp:wrapNone/>
                <wp:docPr id="179" name="Frame1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124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124</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(in whatever currency) at any time owing by such Credit Party or any such Affiliate to or for the credit or the account of any Loan Party or any of its Subsidiaries against any and all of the obligations of such Loan Party or such Subsidiary now or hereafter existing under this Credit Agreement or any other Loan Document to such Credit Party or Affiliate, irrespective of whether or not such Credit Party shall have made any demand under this Credit Agreement or any other Loan Document and although such obligations of such Loan Party or Subsidiary may be contingent or unmatured or are owed to a branch or office of such Credit Party different from the branch or office holding such deposit or obligated on such indebtedness. The rights of each Credit Party and its Affiliates under this </w:t>
      </w:r>
      <w:r>
        <w:rPr>
          <w:rFonts w:ascii="Times New Roman;sans-serif" w:hAnsi="Times New Roman;sans-serif"/>
          <w:b w:val="false"/>
          <w:color w:val="000000"/>
          <w:sz w:val="22"/>
          <w:u w:val="single"/>
        </w:rPr>
        <w:t>Section 10.9</w:t>
      </w:r>
      <w:r>
        <w:rPr>
          <w:color w:val="000000"/>
        </w:rPr>
        <w:t xml:space="preserve"> </w:t>
      </w:r>
      <w:r>
        <w:rPr>
          <w:rFonts w:ascii="Times New Roman;sans-serif" w:hAnsi="Times New Roman;sans-serif"/>
          <w:b w:val="false"/>
          <w:color w:val="000000"/>
          <w:sz w:val="22"/>
        </w:rPr>
        <w:t xml:space="preserve">are in addition to other rights and remedies (including other rights of setoff) that such Credit Party and its Affiliates may have. Each Credit Party agrees to notify the Borrower and the Administrative Agent promptly after any such setoff and application;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failure to give such notice shall not affect the validity of such setoff and application.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10.9</w:t>
      </w:r>
      <w:r>
        <w:rPr>
          <w:rFonts w:ascii="Times New Roman;sans-serif" w:hAnsi="Times New Roman;sans-serif"/>
          <w:b w:val="false"/>
          <w:color w:val="000000"/>
          <w:sz w:val="22"/>
          <w:u w:val="single"/>
        </w:rPr>
        <w:t>Governing Law; Jurisdiction; Consent to Service of Process</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Governing Law</w:t>
      </w:r>
      <w:r>
        <w:rPr>
          <w:rFonts w:ascii="Times New Roman;sans-serif" w:hAnsi="Times New Roman;sans-serif"/>
          <w:b w:val="false"/>
          <w:color w:val="000000"/>
          <w:sz w:val="22"/>
        </w:rPr>
        <w:t>. This Credit Agreement and the other Loan Documents and any claims, controversy, dispute or cause of action (whether in contract or tort or otherwise) based upon, arising out of or relating to this Credit Agreement or any other Loan Document (except, as to any other Loan Document, as expressly set forth therein) and the transactions contemplated hereby and thereby shall be governed by, and construed in accordance with, the laws of the State of New York.</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Submission to Jurisdiction</w:t>
      </w:r>
      <w:r>
        <w:rPr>
          <w:rFonts w:ascii="Times New Roman;sans-serif" w:hAnsi="Times New Roman;sans-serif"/>
          <w:b w:val="false"/>
          <w:color w:val="000000"/>
          <w:sz w:val="22"/>
        </w:rPr>
        <w:t>. Each of the parties hereto irrevocably and unconditionally submits, for itself and its property, to the exclusive jurisdiction of the courts of the State of New York sitting in New York County and of the United States District Court for the Southern District of New York located in the Borough of Manhattan and any appellate court from any thereof, in any action or proceeding arising out of or relating to this Credit Agreement or any other Loan Document, or for recognition or enforcement of any judgment, and each of the parties hereto irrevocably and unconditionally agrees that all claims in respect of any such action or proceeding may be heard and determined in such New York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 Nothing in this Credit Agreement or in any other Loan Document shall affect any right that any Credit Party may otherwise have to bring any action or proceeding relating to this Credit Agreement or any other Loan Document against the Borrower or any other Loan Party or its properties in the courts of any jurisdiction.</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u w:val="single"/>
        </w:rPr>
        <w:t>Waiver of Objection to Venue</w:t>
      </w:r>
      <w:r>
        <w:rPr>
          <w:rFonts w:ascii="Times New Roman;sans-serif" w:hAnsi="Times New Roman;sans-serif"/>
          <w:b w:val="false"/>
          <w:color w:val="000000"/>
          <w:sz w:val="22"/>
        </w:rPr>
        <w:t xml:space="preserve">. Each of the parties hereto irrevocably and unconditionally waives, to the fullest extent permitted by applicable law, any objection that it may now or hereafter have to the laying of venue of any action or proceeding arising out of or relating to this Credit Agreement or any other Loan Document in any court referred to in clause (b) of this </w:t>
      </w:r>
      <w:r>
        <w:rPr>
          <w:rFonts w:ascii="Times New Roman;sans-serif" w:hAnsi="Times New Roman;sans-serif"/>
          <w:b w:val="false"/>
          <w:color w:val="000000"/>
          <w:sz w:val="22"/>
          <w:u w:val="single"/>
        </w:rPr>
        <w:t>Section 10.9</w:t>
      </w:r>
      <w:r>
        <w:rPr>
          <w:rFonts w:ascii="Times New Roman;sans-serif" w:hAnsi="Times New Roman;sans-serif"/>
          <w:b w:val="false"/>
          <w:color w:val="000000"/>
          <w:sz w:val="22"/>
        </w:rPr>
        <w:t>. Each of the parties hereto hereby irrevocably waives, to the fullest extent permitted by applicable law, the defense of an inconvenient forum to the maintenance of such action or proceeding in any such court.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u w:val="single"/>
        </w:rPr>
        <w:t>Service of Process</w:t>
      </w:r>
      <w:r>
        <w:rPr>
          <w:rFonts w:ascii="Times New Roman;sans-serif" w:hAnsi="Times New Roman;sans-serif"/>
          <w:b w:val="false"/>
          <w:color w:val="000000"/>
          <w:sz w:val="22"/>
        </w:rPr>
        <w:t xml:space="preserve">. Each of the parties hereto irrevocably consents to service of process in the manner provided for notices in </w:t>
      </w:r>
      <w:r>
        <w:rPr>
          <w:rFonts w:ascii="Times New Roman;sans-serif" w:hAnsi="Times New Roman;sans-serif"/>
          <w:b w:val="false"/>
          <w:color w:val="000000"/>
          <w:sz w:val="22"/>
          <w:u w:val="single"/>
        </w:rPr>
        <w:t>Section 10.1</w:t>
      </w:r>
      <w:r>
        <w:rPr>
          <w:rFonts w:ascii="Times New Roman;sans-serif" w:hAnsi="Times New Roman;sans-serif"/>
          <w:b w:val="false"/>
          <w:color w:val="000000"/>
          <w:sz w:val="22"/>
        </w:rPr>
        <w:t>. Nothing in this Credit Agreement will affect the right of any party to this Credit Agreement to serve process in any other manner permitted by law.</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10.10</w:t>
      </w:r>
      <w:r>
        <w:rPr>
          <w:rFonts w:ascii="Times New Roman;sans-serif" w:hAnsi="Times New Roman;sans-serif"/>
          <w:b w:val="false"/>
          <w:color w:val="000000"/>
          <w:sz w:val="22"/>
          <w:u w:val="single"/>
        </w:rPr>
        <w:t>WAIVER OF JURY TRIAL</w:t>
      </w:r>
      <w:r>
        <w:rPr>
          <w:rFonts w:ascii="Times New Roman;sans-serif" w:hAnsi="Times New Roman;sans-serif"/>
          <w:b w:val="false"/>
          <w:color w:val="000000"/>
          <w:sz w:val="22"/>
        </w:rPr>
        <w:t xml:space="preserve">. EACH PARTY HERETO HEREBY IRREVOCABLY WAIVES, TO THE FULLEST EXTENT PERMITTED BY APPLICABLE LAW, </w:t>
      </w:r>
    </w:p>
    <w:p>
      <w:pPr>
        <w:pStyle w:val="TextBody"/>
        <w:bidi w:val="0"/>
        <w:spacing w:before="0" w:after="0"/>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75260"/>
                <wp:effectExtent l="0" t="0" r="0" b="0"/>
                <wp:wrapNone/>
                <wp:docPr id="180" name="Frame1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125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125</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ANY RIGHT IT MAY HAVE TO A TRIAL BY JURY IN ANY LEGAL PROCEEDING DIRECTLY OR INDIRECTLY ARISING OUT OF OR RELATING TO THIS CREDIT AGREEMENT OR ANY OTHER LOAN DOCUMENT OR THE TRANSACTIONS CONTEMPLATED HEREBY OR THEREBY (WHETHER BASED ON CONTRACT, TORT OR ANY OTHER THEORY). EACH PARTY HERETO HEREBY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CREDIT AGREEMENT AND THE OTHER LOAN DOCUMENTS BY, AMONG OTHER THINGS, THE MUTUAL WAIVERS AND CERTIFICATIONS IN THIS </w:t>
      </w:r>
      <w:r>
        <w:rPr>
          <w:rFonts w:ascii="Times New Roman;sans-serif" w:hAnsi="Times New Roman;sans-serif"/>
          <w:b w:val="false"/>
          <w:color w:val="000000"/>
          <w:sz w:val="22"/>
          <w:u w:val="single"/>
        </w:rPr>
        <w:t>SECTION 10.10</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10.11</w:t>
      </w:r>
      <w:r>
        <w:rPr>
          <w:rFonts w:ascii="Times New Roman;sans-serif" w:hAnsi="Times New Roman;sans-serif"/>
          <w:b w:val="false"/>
          <w:color w:val="000000"/>
          <w:sz w:val="22"/>
          <w:u w:val="single"/>
        </w:rPr>
        <w:t>Payments Set Aside</w:t>
      </w:r>
      <w:r>
        <w:rPr>
          <w:rFonts w:ascii="Times New Roman;sans-serif" w:hAnsi="Times New Roman;sans-serif"/>
          <w:b w:val="false"/>
          <w:color w:val="000000"/>
          <w:sz w:val="22"/>
        </w:rPr>
        <w:t xml:space="preserve">. To the extent that any payment by or on behalf of the Borrower is made to the Administrative Agent or any Lender, or the Administrative Agent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severally agrees to pay to the Administrative Agent upon demand its applicable share of any amount so recovered from or repaid by the Administrative Agent,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interest thereon from the date of such demand to the date such payment is made at a rate per annum equal to the Federal Funds Effective Rate.</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10.12</w:t>
      </w:r>
      <w:r>
        <w:rPr>
          <w:rFonts w:ascii="Times New Roman;sans-serif" w:hAnsi="Times New Roman;sans-serif"/>
          <w:b w:val="false"/>
          <w:color w:val="000000"/>
          <w:sz w:val="22"/>
          <w:u w:val="single"/>
        </w:rPr>
        <w:t>Headings</w:t>
      </w:r>
      <w:r>
        <w:rPr>
          <w:rFonts w:ascii="Times New Roman;sans-serif" w:hAnsi="Times New Roman;sans-serif"/>
          <w:b w:val="false"/>
          <w:color w:val="000000"/>
          <w:sz w:val="22"/>
        </w:rPr>
        <w:t>. Article and Section headings and the Table of Contents used herein are for convenience of reference only, are not part of this Credit Agreement and shall not affect the construction of, or be taken into consideration in interpreting, this Credit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10.13</w:t>
      </w:r>
      <w:r>
        <w:rPr>
          <w:rFonts w:ascii="Times New Roman;sans-serif" w:hAnsi="Times New Roman;sans-serif"/>
          <w:b w:val="false"/>
          <w:color w:val="000000"/>
          <w:sz w:val="22"/>
          <w:u w:val="single"/>
        </w:rPr>
        <w:t>Interest Rate Limitation</w:t>
      </w:r>
      <w:r>
        <w:rPr>
          <w:rFonts w:ascii="Times New Roman;sans-serif" w:hAnsi="Times New Roman;sans-serif"/>
          <w:b w:val="false"/>
          <w:color w:val="000000"/>
          <w:sz w:val="22"/>
        </w:rPr>
        <w:t>. Notwithstanding anything herein to the contrary, if at any time the interest rate applicable to any Loan or other Loan Document Obligation owing under this Credit Agreement, together with all fees, charges and other amounts that are treated as interest thereon under applicable law (collectively, the “</w:t>
      </w:r>
      <w:r>
        <w:rPr>
          <w:rFonts w:ascii="Times New Roman;sans-serif" w:hAnsi="Times New Roman;sans-serif"/>
          <w:b w:val="false"/>
          <w:color w:val="000000"/>
          <w:sz w:val="22"/>
          <w:u w:val="single"/>
        </w:rPr>
        <w:t>charges</w:t>
      </w:r>
      <w:r>
        <w:rPr>
          <w:color w:val="000000"/>
        </w:rPr>
        <w:t>”</w:t>
      </w:r>
      <w:r>
        <w:rPr>
          <w:rFonts w:ascii="Times New Roman;sans-serif" w:hAnsi="Times New Roman;sans-serif"/>
          <w:b w:val="false"/>
          <w:color w:val="000000"/>
          <w:sz w:val="22"/>
        </w:rPr>
        <w:t>), shall exceed the maximum lawful rate (the “</w:t>
      </w:r>
      <w:r>
        <w:rPr>
          <w:rFonts w:ascii="Times New Roman;sans-serif" w:hAnsi="Times New Roman;sans-serif"/>
          <w:b w:val="false"/>
          <w:color w:val="000000"/>
          <w:sz w:val="22"/>
          <w:u w:val="single"/>
        </w:rPr>
        <w:t>Maximum Rate</w:t>
      </w:r>
      <w:r>
        <w:rPr>
          <w:color w:val="000000"/>
        </w:rPr>
        <w:t>”</w:t>
      </w:r>
      <w:r>
        <w:rPr>
          <w:rFonts w:ascii="Times New Roman;sans-serif" w:hAnsi="Times New Roman;sans-serif"/>
          <w:b w:val="false"/>
          <w:color w:val="000000"/>
          <w:sz w:val="22"/>
        </w:rPr>
        <w:t xml:space="preserve">) that may be contracted for, charged, taken, received or reserved by the Lender or other Person holding an interest in such Loan or other Loan Document Obligation in accordance with applicable law, the rate of interest payable in respect of such Loan or other Loan Document Obligation hereunder, together with all of the charges payable in respect thereof, shall be limited to the Maximum Rate and, to the extent lawful, the interest and the charges that would have been payable in respect of such Loan or other Loan Document Obligation but were not payable as a result of the operation of this </w:t>
      </w:r>
      <w:r>
        <w:rPr>
          <w:rFonts w:ascii="Times New Roman;sans-serif" w:hAnsi="Times New Roman;sans-serif"/>
          <w:b w:val="false"/>
          <w:color w:val="000000"/>
          <w:sz w:val="22"/>
          <w:u w:val="single"/>
        </w:rPr>
        <w:t>Section 10.13</w:t>
      </w:r>
      <w:r>
        <w:rPr>
          <w:color w:val="000000"/>
        </w:rPr>
        <w:t xml:space="preserve"> </w:t>
      </w:r>
      <w:r>
        <w:rPr>
          <w:rFonts w:ascii="Times New Roman;sans-serif" w:hAnsi="Times New Roman;sans-serif"/>
          <w:b w:val="false"/>
          <w:color w:val="000000"/>
          <w:sz w:val="22"/>
        </w:rPr>
        <w:t>shall be cumulated, and the interest and the charges payable to such Lender in respect of other Loans or Loan Document Obligations or periods shall be increased (but not above the Maximum Rate therefor) until such cumulated amount, together with interest thereon at the Federal Funds Effective Rate to the date of repayment, shall have been received by such Lender. Any amount collected by such Lender or other Person that exceeds the maximum amount collectible at the Maximum Rate shall be applied to the reduction of the principal balance of such Loan or other Loan Document Obligation or refunded to the Borrower so that at no time shall the interest and charges paid or payable in respect of such Loan or other Loan Document Obligation exceed the maximum amount collectible at the Maximum Rate.</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10.14</w:t>
      </w:r>
      <w:r>
        <w:rPr>
          <w:rFonts w:ascii="Times New Roman;sans-serif" w:hAnsi="Times New Roman;sans-serif"/>
          <w:b w:val="false"/>
          <w:color w:val="000000"/>
          <w:sz w:val="22"/>
          <w:u w:val="single"/>
        </w:rPr>
        <w:t>Treatment of Certain Information; Confidentiality</w:t>
      </w:r>
      <w:r>
        <w:rPr>
          <w:rFonts w:ascii="Times New Roman;sans-serif" w:hAnsi="Times New Roman;sans-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75260"/>
                <wp:effectExtent l="0" t="0" r="0" b="0"/>
                <wp:wrapNone/>
                <wp:docPr id="181" name="Frame1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126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126</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Each Credit Party agrees to maintain the confidentiality of the Information (as defined below), except that Information may be disclosed (i) to its Affiliates and to its and its Affiliates’ respective financing sources, partners, directors, officers, employees, agents, advisors and other representatives (it being understood that the Persons to whom such disclosure is made will be informed of the confidential nature of such Information and instructed to keep such Information confidential), (ii) to the extent requested by any regulatory authority purporting to have jurisdiction over it (including any self-regulatory authority, such as the National Association of Insurance Commissioners), (iii) to the extent required by applicable laws or regulations or by any subpoena or similar legal process, (iv) to any other party hereto, (v) in connection with the exercise of any remedies hereunder or under any other Loan Document or any action or proceeding relating to this Credit Agreement or any other Loan Document or the enforcement of rights hereunder or thereunder, (vi) subject to an agreement containing provisions substantially the same as those of this Section, to (A) any assignee of or Participant in, or any prospective assignee of or Participant in, any of its rights or obligations under this Credit Agreement or (B) any actual or prospective party (or its Related Parties) to any swap, derivative or other transaction under which payments are to be made by reference to the Borrower and its obligations, this Credit Agreement or payments hereunder, (vii) on a confidential basis to (A) any rating agency in connection with rating the Borrower, its Subsidiaries or the Credit Facility or (B) the CUSIP Service Bureau or any similar agency in connection with the issuance and monitoring of CUSIP numbers with respect to the Credit Facility, (viii) with the consent of the Borrower, (ix) to the extent such Information (A) becomes publicly available other than as a result of a breach of this </w:t>
      </w:r>
      <w:r>
        <w:rPr>
          <w:rFonts w:ascii="Times New Roman;sans-serif" w:hAnsi="Times New Roman;sans-serif"/>
          <w:b w:val="false"/>
          <w:color w:val="000000"/>
          <w:sz w:val="22"/>
          <w:u w:val="single"/>
        </w:rPr>
        <w:t>Section 10.14</w:t>
      </w:r>
      <w:r>
        <w:rPr>
          <w:color w:val="000000"/>
        </w:rPr>
        <w:t xml:space="preserve"> </w:t>
      </w:r>
      <w:r>
        <w:rPr>
          <w:rFonts w:ascii="Times New Roman;sans-serif" w:hAnsi="Times New Roman;sans-serif"/>
          <w:b w:val="false"/>
          <w:color w:val="000000"/>
          <w:sz w:val="22"/>
        </w:rPr>
        <w:t>or (B) becomes available to the Administrative Agent, any Credit Party or any of their respective Affiliates on a non-confidential basis from a source other than the Borrower or (C) is independently generated by the Administrative Agent, any Credit Party or any of their respective Affiliates or (x) in connection with such Credit Party’s normal fundraising, information or reporting activities, to investors in private investment funds managed by the same manager or an Affiliate of the manager of such Credit Party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such recipients are subject to similar confidentiality obligations or otherwise directed to keep such Information confidential), and in any event excluding any portfolio company, or portfolio company parent/holding company, of such Credit Party, such manager or any such Affiliate of the manager of such Credit Party. In addition, the Administrative Agent and the Lenders may disclose the existence of this Credit Agreement and information about this Credit Agreement to market data collectors, league table providers and other similar service providers to the lending industry and service providers to the Administrative Agent and the Lenders in connection with the administration of this Credit Agreement, the other Loan Documents, and the Commitments.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For purposes of this </w:t>
      </w:r>
      <w:r>
        <w:rPr>
          <w:rFonts w:ascii="Times New Roman;sans-serif" w:hAnsi="Times New Roman;sans-serif"/>
          <w:b w:val="false"/>
          <w:color w:val="000000"/>
          <w:sz w:val="22"/>
          <w:u w:val="single"/>
        </w:rPr>
        <w:t>Section 10.14</w:t>
      </w:r>
      <w:r>
        <w:rPr>
          <w:rFonts w:ascii="Times New Roman;sans-serif" w:hAnsi="Times New Roman;sans-serif"/>
          <w:b w:val="false"/>
          <w:color w:val="000000"/>
          <w:sz w:val="22"/>
        </w:rPr>
        <w:t>, “</w:t>
      </w:r>
      <w:r>
        <w:rPr>
          <w:rFonts w:ascii="Times New Roman;sans-serif" w:hAnsi="Times New Roman;sans-serif"/>
          <w:b w:val="false"/>
          <w:color w:val="000000"/>
          <w:sz w:val="22"/>
          <w:u w:val="single"/>
        </w:rPr>
        <w:t>Information</w:t>
      </w:r>
      <w:r>
        <w:rPr>
          <w:color w:val="000000"/>
        </w:rPr>
        <w:t xml:space="preserve">” </w:t>
      </w:r>
      <w:r>
        <w:rPr>
          <w:rFonts w:ascii="Times New Roman;sans-serif" w:hAnsi="Times New Roman;sans-serif"/>
          <w:b w:val="false"/>
          <w:color w:val="000000"/>
          <w:sz w:val="22"/>
        </w:rPr>
        <w:t xml:space="preserve">means all information received from any Loan Party or any of its Subsidiaries relating to any Loan Party or any of its Subsidiaries or any of their respective businesses, other than any such information that is available to the Administrative Agent or any other Credit Party on a non-confidential basis prior to disclosure by any Loan Party or any Subsidiary or that is independently prepared by the Administrative Agent or any other Credit Party;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in the case of information received from any Loan Party or any of its Subsidiaries after the Closing Date, such information is clearly identified at the time of delivery as confidential. Any Person required to maintain the confidentiality of Information as provided in this </w:t>
      </w:r>
      <w:r>
        <w:rPr>
          <w:rFonts w:ascii="Times New Roman;sans-serif" w:hAnsi="Times New Roman;sans-serif"/>
          <w:b w:val="false"/>
          <w:color w:val="000000"/>
          <w:sz w:val="22"/>
          <w:u w:val="single"/>
        </w:rPr>
        <w:t>Section 10.14</w:t>
      </w:r>
      <w:r>
        <w:rPr>
          <w:color w:val="000000"/>
        </w:rPr>
        <w:t xml:space="preserve"> </w:t>
      </w:r>
      <w:r>
        <w:rPr>
          <w:rFonts w:ascii="Times New Roman;sans-serif" w:hAnsi="Times New Roman;sans-serif"/>
          <w:b w:val="false"/>
          <w:color w:val="000000"/>
          <w:sz w:val="22"/>
        </w:rPr>
        <w:t>shall be considered to have complied with its obligation to do so if such Person has exercised the same degree of care to maintain the confidentiality of such Information as such Person would accord to its own confidential information.</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 xml:space="preserve">The Loan Parties agree, on behalf of themselves and their Affiliates, that they will not in the future issue any press releases or other public disclosure using the name of the Administrative Agent, the Lead Arranger or any Lender or their respective Affiliates or referring to this Credit Agreement or any of the other Loan Documents without the prior written consent of such Person, </w:t>
      </w:r>
    </w:p>
    <w:p>
      <w:pPr>
        <w:pStyle w:val="TextBody"/>
        <w:bidi w:val="0"/>
        <w:spacing w:before="0" w:after="0"/>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75260"/>
                <wp:effectExtent l="0" t="0" r="0" b="0"/>
                <wp:wrapNone/>
                <wp:docPr id="182" name="Frame1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127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127</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unless (and only to the extent that) the Loan Parties or such Affiliate is required to do so under law and then, in any event, the Loan Parties or such Affiliate will consult with such Person before issuing such press release or other public disclosure.</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The Loan Parties consent to the publication by the Administrative Agent, the Lead Arranger or any Lender of customary advertising material relating to the Transactions using the name, product photographs, logo or trademark of the Loan Parties.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10.15</w:t>
      </w:r>
      <w:r>
        <w:rPr>
          <w:rFonts w:ascii="Times New Roman;sans-serif" w:hAnsi="Times New Roman;sans-serif"/>
          <w:b w:val="false"/>
          <w:color w:val="000000"/>
          <w:sz w:val="22"/>
          <w:u w:val="single"/>
        </w:rPr>
        <w:t>USA PATRIOT Act Notice</w:t>
      </w:r>
      <w:r>
        <w:rPr>
          <w:rFonts w:ascii="Times New Roman;sans-serif" w:hAnsi="Times New Roman;sans-serif"/>
          <w:b w:val="false"/>
          <w:color w:val="000000"/>
          <w:sz w:val="22"/>
        </w:rPr>
        <w:t>. Each Lender that is subject to the USA PATRIOT Act and the Administrative Agent (for itself and not on behalf of any Lender) hereby notifies the Borrower that pursuant to the requirements of the USA PATRIOT Act, it is required to obtain, verify and record information that identifies each Loan Party, which information includes the name and address of each Loan Party and other information that will allow such Lender or the Administrative Agent, as applicable, to identify each Loan Party in accordance with the USA PATRIOT Act. The Borrower shall, and shall cause each Subsidiary to, provide such information and take such actions as are reasonably requested by the Administrative Agent or any Lender in order to assist the Administrative Agent and the Lenders in maintaining compliance with the USA PATRIOT Act.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10.16</w:t>
      </w:r>
      <w:r>
        <w:rPr>
          <w:rFonts w:ascii="Times New Roman;sans-serif" w:hAnsi="Times New Roman;sans-serif"/>
          <w:b w:val="false"/>
          <w:color w:val="000000"/>
          <w:sz w:val="22"/>
          <w:u w:val="single"/>
        </w:rPr>
        <w:t>No Advisory or Fiduciary Duty</w:t>
      </w:r>
      <w:r>
        <w:rPr>
          <w:rFonts w:ascii="Times New Roman;sans-serif" w:hAnsi="Times New Roman;sans-serif"/>
          <w:b w:val="false"/>
          <w:color w:val="000000"/>
          <w:sz w:val="22"/>
        </w:rPr>
        <w:t>. In connection with all aspects of each transaction contemplated hereby (including in connection with any amendment, waiver or other modification hereof or of any other Loan Document), the Borrower acknowledges and agrees, and acknowledges its Affiliates’ understanding, that: (a) (i) no fiduciary, advisory or agency relationship between the Borrower and its Subsidiaries and the Lead Arranger, the Administrative Agent or any Lender is intended to be or has been created in respect of the transactions contemplated hereby or by the other Loan Documents, irrespective of whether the Lead Arranger, the Administrative Agent or any Lender has advised or is advising the Borrower or any Subsidiary on other matters, (ii) the arranging and other services regarding this Credit Agreement provided by the Lead Arranger, the Administrative Agent and the Lenders are arm’s-length commercial transactions between the Borrower and its Affiliates, on the one hand, and the Lead Arranger, the Administrative Agent and the Lenders, on the other hand, (iii) the Borrower has consulted its own legal, accounting, regulatory and tax advisors to the extent that it has deemed appropriate and (iv) the Borrower is capable of evaluating, and understands and accepts, the terms, risks and conditions of the transactions contemplated hereby and by the other Loan Documents; and (b) (i) the Lead Arranger, the Administrative Agent and each Lender is and has been acting solely as a principal and, except as expressly agreed in writing by the relevant parties, has not been, is not, and will not be acting as an advisor, agent or fiduciary for the Borrower or any of its Affiliates, or any other Person; (ii) none of the Lead Arranger, the Administrative Agent or any Lender has any obligation to the Borrower or any of its Affiliates with respect to the transactions contemplated hereby except those obligations expressly set forth herein and in the other Loan Documents; and (iii) the Lead Arranger, the Administrative Agent and the Lenders and their respective branches and Affiliates may be engaged, for their own accounts or the accounts of customers, in a broad range of transactions that involve interests that differ from those of the Borrower and its Affiliates, and none of the Lead Arranger, the Administrative Agent or any Lender has any obligation to disclose any of such interests to the Borrower or its Affiliates. To the fullest extent permitted by law, the Borrower hereby waives and releases any claims that it may have against any of the Lead Arranger, the Administrative Agent and the Lenders with respect to any breach or alleged breach of agency or fiduciary duty in connection with any aspect of any transactions contemplated hereby.</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10.17</w:t>
      </w:r>
      <w:r>
        <w:rPr>
          <w:rFonts w:ascii="Times New Roman;sans-serif" w:hAnsi="Times New Roman;sans-serif"/>
          <w:b w:val="false"/>
          <w:color w:val="000000"/>
          <w:sz w:val="22"/>
          <w:u w:val="single"/>
        </w:rPr>
        <w:t>Acknowledgement and Consent to Bail-In of Affected Financial Institutions</w:t>
      </w:r>
      <w:r>
        <w:rPr>
          <w:rFonts w:ascii="Times New Roman;sans-serif" w:hAnsi="Times New Roman;sans-serif"/>
          <w:b w:val="false"/>
          <w:color w:val="000000"/>
          <w:sz w:val="22"/>
        </w:rPr>
        <w:t xml:space="preserve">. Notwithstanding anything to the contrary in any Loan Document or in any other agreement, arrangement </w:t>
      </w:r>
    </w:p>
    <w:p>
      <w:pPr>
        <w:pStyle w:val="TextBody"/>
        <w:bidi w:val="0"/>
        <w:spacing w:before="0" w:after="0"/>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75260"/>
                <wp:effectExtent l="0" t="0" r="0" b="0"/>
                <wp:wrapNone/>
                <wp:docPr id="183" name="Frame1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128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128</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the application of any Write-Down and Conversion Powers by the applicable Resolution Authority to any such liabilities arising hereunder that may be payable to it by any party hereto that is an Affected Financial Institution; and</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the effects of any Bail-in Action on any such liability, including, if applicable:</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(i)a reduction in full or in part or cancellation of any such liability;</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(ii)a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Credit Agreement or any other Loan Document; or</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(iii)the variation of the terms of such liability in connection with the exercise of the Write-Down and Conversion Powers of the applicable Resolution Authority.</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10.18</w:t>
      </w:r>
      <w:r>
        <w:rPr>
          <w:rFonts w:ascii="Times New Roman;sans-serif" w:hAnsi="Times New Roman;sans-serif"/>
          <w:b w:val="false"/>
          <w:color w:val="000000"/>
          <w:sz w:val="22"/>
          <w:u w:val="single"/>
        </w:rPr>
        <w:t>[Reserved]</w:t>
      </w:r>
      <w:r>
        <w:rPr>
          <w:rFonts w:ascii="Times New Roman;sans-serif" w:hAnsi="Times New Roman;sans-serif"/>
          <w:b w:val="false"/>
          <w:color w:val="000000"/>
          <w:sz w:val="22"/>
        </w:rPr>
        <w:t>.</w:t>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pages follow]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75260"/>
                <wp:effectExtent l="0" t="0" r="0" b="0"/>
                <wp:wrapNone/>
                <wp:docPr id="184" name="Frame1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129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129</w:t>
                      </w:r>
                    </w:p>
                  </w:txbxContent>
                </v:textbox>
                <w10:wrap type="none"/>
              </v:rect>
            </w:pict>
          </mc:Fallback>
        </mc:AlternateContent>
      </w:r>
    </w:p>
    <w:p>
      <w:pPr>
        <w:pStyle w:val="TextBody"/>
        <w:bidi w:val="0"/>
        <w:spacing w:lineRule="auto" w:line="288" w:before="0" w:after="120"/>
        <w:jc w:val="left"/>
        <w:rPr>
          <w:color w:val="000000"/>
        </w:rPr>
      </w:pPr>
      <w:r>
        <w:rPr>
          <w:color w:val="000000"/>
        </w:rPr>
        <w:t>    </w:t>
      </w:r>
      <w:r>
        <w:rPr>
          <w:rFonts w:ascii="Times New Roman;sans-serif" w:hAnsi="Times New Roman;sans-serif"/>
          <w:b w:val="false"/>
          <w:color w:val="000000"/>
          <w:sz w:val="22"/>
        </w:rPr>
        <w:t>IN WITNESS WHEREOF, the parties hereto have caused this Credit Agreement to be duly executed by their respective authorized officers as of the day and year first above written.</w:t>
      </w:r>
    </w:p>
    <w:tbl>
      <w:tblPr>
        <w:tblW w:w="4154" w:type="dxa"/>
        <w:jc w:val="left"/>
        <w:tblInd w:w="0" w:type="dxa"/>
        <w:tblLayout w:type="fixed"/>
        <w:tblCellMar>
          <w:top w:w="28" w:type="dxa"/>
          <w:left w:w="28" w:type="dxa"/>
          <w:bottom w:w="28" w:type="dxa"/>
          <w:right w:w="28" w:type="dxa"/>
        </w:tblCellMar>
      </w:tblPr>
      <w:tblGrid>
        <w:gridCol w:w="494"/>
        <w:gridCol w:w="433"/>
        <w:gridCol w:w="433"/>
        <w:gridCol w:w="433"/>
        <w:gridCol w:w="433"/>
        <w:gridCol w:w="433"/>
        <w:gridCol w:w="433"/>
        <w:gridCol w:w="433"/>
        <w:gridCol w:w="629"/>
      </w:tblGrid>
      <w:tr>
        <w:trPr/>
        <w:tc>
          <w:tcPr>
            <w:tcW w:w="49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r>
      <w:tr>
        <w:trPr/>
        <w:tc>
          <w:tcPr>
            <w:tcW w:w="4154" w:type="dxa"/>
            <w:gridSpan w:val="9"/>
            <w:tcBorders/>
            <w:tcMar>
              <w:top w:w="0" w:type="dxa"/>
              <w:left w:w="0" w:type="dxa"/>
              <w:bottom w:w="0" w:type="dxa"/>
              <w:right w:w="0" w:type="dxa"/>
            </w:tcMar>
            <w:vAlign w:val="center"/>
          </w:tcPr>
          <w:p>
            <w:pPr>
              <w:pStyle w:val="TableContents"/>
              <w:bidi w:val="0"/>
              <w:spacing w:lineRule="auto" w:line="288" w:before="240" w:after="480"/>
              <w:ind w:left="0" w:right="0" w:hanging="180"/>
              <w:jc w:val="left"/>
              <w:rPr>
                <w:rFonts w:ascii="Times New Roman;sans-serif" w:hAnsi="Times New Roman;sans-serif"/>
                <w:b w:val="false"/>
                <w:color w:val="000000"/>
                <w:sz w:val="22"/>
              </w:rPr>
            </w:pPr>
            <w:r>
              <w:rPr>
                <w:rFonts w:ascii="Times New Roman;sans-serif" w:hAnsi="Times New Roman;sans-serif"/>
                <w:b w:val="false"/>
                <w:color w:val="000000"/>
                <w:sz w:val="22"/>
              </w:rPr>
              <w:t>SYNCHRONOSS TECHNOLOGIES, INC.</w:t>
            </w:r>
          </w:p>
        </w:tc>
      </w:tr>
      <w:tr>
        <w:trPr/>
        <w:tc>
          <w:tcPr>
            <w:tcW w:w="1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7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149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1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46685"/>
                <wp:effectExtent l="0" t="0" r="0" b="0"/>
                <wp:wrapNone/>
                <wp:docPr id="185" name="Frame1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[Synchronoss – Signature Page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[Synchronoss – Signature Page to Credit Agreement]</w:t>
                      </w:r>
                    </w:p>
                  </w:txbxContent>
                </v:textbox>
                <w10:wrap type="none"/>
              </v:rect>
            </w:pict>
          </mc:Fallback>
        </mc:AlternateContent>
      </w:r>
    </w:p>
    <w:tbl>
      <w:tblPr>
        <w:tblW w:w="5245" w:type="dxa"/>
        <w:jc w:val="left"/>
        <w:tblInd w:w="0" w:type="dxa"/>
        <w:tblLayout w:type="fixed"/>
        <w:tblCellMar>
          <w:top w:w="28" w:type="dxa"/>
          <w:left w:w="28" w:type="dxa"/>
          <w:bottom w:w="28" w:type="dxa"/>
          <w:right w:w="28" w:type="dxa"/>
        </w:tblCellMar>
      </w:tblPr>
      <w:tblGrid>
        <w:gridCol w:w="622"/>
        <w:gridCol w:w="549"/>
        <w:gridCol w:w="549"/>
        <w:gridCol w:w="549"/>
        <w:gridCol w:w="549"/>
        <w:gridCol w:w="549"/>
        <w:gridCol w:w="549"/>
        <w:gridCol w:w="549"/>
        <w:gridCol w:w="780"/>
      </w:tblGrid>
      <w:tr>
        <w:trPr/>
        <w:tc>
          <w:tcPr>
            <w:tcW w:w="622"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r>
      <w:tr>
        <w:trPr/>
        <w:tc>
          <w:tcPr>
            <w:tcW w:w="5245" w:type="dxa"/>
            <w:gridSpan w:val="9"/>
            <w:tcBorders/>
            <w:tcMar>
              <w:top w:w="0" w:type="dxa"/>
              <w:left w:w="0" w:type="dxa"/>
              <w:bottom w:w="0" w:type="dxa"/>
              <w:right w:w="0" w:type="dxa"/>
            </w:tcMar>
            <w:vAlign w:val="center"/>
          </w:tcPr>
          <w:p>
            <w:pPr>
              <w:pStyle w:val="TableContents"/>
              <w:bidi w:val="0"/>
              <w:spacing w:lineRule="auto" w:line="288" w:before="240" w:after="480"/>
              <w:ind w:left="0" w:right="0" w:hanging="180"/>
              <w:jc w:val="left"/>
              <w:rPr>
                <w:rFonts w:ascii="Times New Roman;sans-serif" w:hAnsi="Times New Roman;sans-serif"/>
                <w:b w:val="false"/>
                <w:color w:val="000000"/>
                <w:sz w:val="22"/>
              </w:rPr>
            </w:pPr>
            <w:r>
              <w:rPr>
                <w:rFonts w:ascii="Times New Roman;sans-serif" w:hAnsi="Times New Roman;sans-serif"/>
                <w:b w:val="false"/>
                <w:color w:val="000000"/>
                <w:sz w:val="22"/>
              </w:rPr>
              <w:t>BGC LENDER REP LLC, as the Administrative Agent</w:t>
            </w:r>
          </w:p>
        </w:tc>
      </w:tr>
      <w:tr>
        <w:trPr/>
        <w:tc>
          <w:tcPr>
            <w:tcW w:w="1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352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187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1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46685"/>
                <wp:effectExtent l="0" t="0" r="0" b="0"/>
                <wp:wrapNone/>
                <wp:docPr id="186" name="Frame1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[Synchronoss – Signature Page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[Synchronoss – Signature Page to Credit Agreement]</w:t>
                      </w:r>
                    </w:p>
                  </w:txbxContent>
                </v:textbox>
                <w10:wrap type="none"/>
              </v:rect>
            </w:pict>
          </mc:Fallback>
        </mc:AlternateContent>
      </w:r>
    </w:p>
    <w:tbl>
      <w:tblPr>
        <w:tblW w:w="2593" w:type="dxa"/>
        <w:jc w:val="left"/>
        <w:tblInd w:w="0" w:type="dxa"/>
        <w:tblLayout w:type="fixed"/>
        <w:tblCellMar>
          <w:top w:w="28" w:type="dxa"/>
          <w:left w:w="28" w:type="dxa"/>
          <w:bottom w:w="28" w:type="dxa"/>
          <w:right w:w="28" w:type="dxa"/>
        </w:tblCellMar>
      </w:tblPr>
      <w:tblGrid>
        <w:gridCol w:w="308"/>
        <w:gridCol w:w="271"/>
        <w:gridCol w:w="271"/>
        <w:gridCol w:w="271"/>
        <w:gridCol w:w="271"/>
        <w:gridCol w:w="271"/>
        <w:gridCol w:w="271"/>
        <w:gridCol w:w="271"/>
        <w:gridCol w:w="388"/>
      </w:tblGrid>
      <w:tr>
        <w:trPr/>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r>
      <w:tr>
        <w:trPr/>
        <w:tc>
          <w:tcPr>
            <w:tcW w:w="2593" w:type="dxa"/>
            <w:gridSpan w:val="9"/>
            <w:tcBorders/>
            <w:tcMar>
              <w:top w:w="0" w:type="dxa"/>
              <w:left w:w="0" w:type="dxa"/>
              <w:bottom w:w="0" w:type="dxa"/>
              <w:right w:w="0" w:type="dxa"/>
            </w:tcMar>
            <w:vAlign w:val="center"/>
          </w:tcPr>
          <w:p>
            <w:pPr>
              <w:pStyle w:val="TableContents"/>
              <w:bidi w:val="0"/>
              <w:spacing w:lineRule="auto" w:line="288" w:before="240" w:after="480"/>
              <w:ind w:left="0" w:right="0" w:hanging="180"/>
              <w:jc w:val="left"/>
              <w:rPr>
                <w:rFonts w:ascii="Times New Roman;sans-serif" w:hAnsi="Times New Roman;sans-serif"/>
                <w:b w:val="false"/>
                <w:color w:val="000000"/>
                <w:sz w:val="22"/>
              </w:rPr>
            </w:pPr>
            <w:r>
              <w:rPr>
                <w:rFonts w:ascii="Times New Roman;sans-serif" w:hAnsi="Times New Roman;sans-serif"/>
                <w:b w:val="false"/>
                <w:color w:val="000000"/>
                <w:sz w:val="22"/>
              </w:rPr>
              <w:t>[_________], as a Lender</w:t>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174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93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40"/>
        <w:jc w:val="center"/>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46685"/>
                <wp:effectExtent l="0" t="0" r="0" b="0"/>
                <wp:wrapNone/>
                <wp:docPr id="187" name="Frame1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[Synchronoss – Signature Page to Credit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[Synchronoss – Signature Page to Credit Agreement]</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Exhibit 10.2</w:t>
      </w:r>
    </w:p>
    <w:p>
      <w:pPr>
        <w:pStyle w:val="TextBody"/>
        <w:bidi w:val="0"/>
        <w:spacing w:lineRule="auto" w:line="288" w:before="0" w:after="240"/>
        <w:jc w:val="center"/>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NOTE REPURCHASE AGREEMENT</w:t>
      </w:r>
    </w:p>
    <w:p>
      <w:pPr>
        <w:pStyle w:val="TextBody"/>
        <w:bidi w:val="0"/>
        <w:spacing w:lineRule="auto" w:line="288" w:before="0" w:after="240"/>
        <w:ind w:left="0" w:right="0" w:firstLine="720"/>
        <w:jc w:val="both"/>
        <w:rPr>
          <w:shd w:fill="FFFFFF" w:val="clear"/>
        </w:rPr>
      </w:pPr>
      <w:r>
        <w:rPr>
          <w:rFonts w:ascii="Times New Roman;sans-serif" w:hAnsi="Times New Roman;sans-serif"/>
          <w:b w:val="false"/>
          <w:color w:val="000000"/>
          <w:sz w:val="22"/>
          <w:shd w:fill="FFFFFF" w:val="clear"/>
        </w:rPr>
        <w:t>THIS NOTE REPURCHASE AGREEMENT (this “</w:t>
      </w:r>
      <w:r>
        <w:rPr>
          <w:rFonts w:ascii="Times New Roman;sans-serif" w:hAnsi="Times New Roman;sans-serif"/>
          <w:b w:val="false"/>
          <w:color w:val="000000"/>
          <w:sz w:val="22"/>
          <w:u w:val="single"/>
          <w:shd w:fill="FFFFFF" w:val="clear"/>
        </w:rPr>
        <w:t>Repurchase Agreement</w:t>
      </w:r>
      <w:r>
        <w:rPr>
          <w:color w:val="000000"/>
          <w:shd w:fill="FFFFFF" w:val="clear"/>
        </w:rPr>
        <w:t>”</w:t>
      </w:r>
      <w:r>
        <w:rPr>
          <w:rFonts w:ascii="Times New Roman;sans-serif" w:hAnsi="Times New Roman;sans-serif"/>
          <w:b w:val="false"/>
          <w:color w:val="000000"/>
          <w:sz w:val="22"/>
          <w:shd w:fill="FFFFFF" w:val="clear"/>
        </w:rPr>
        <w:t>) is made and entered into as of June 28, 2024 by and among BRF Investments LLC (“</w:t>
      </w:r>
      <w:r>
        <w:rPr>
          <w:rFonts w:ascii="Times New Roman;sans-serif" w:hAnsi="Times New Roman;sans-serif"/>
          <w:b w:val="false"/>
          <w:color w:val="000000"/>
          <w:sz w:val="22"/>
          <w:u w:val="single"/>
          <w:shd w:fill="FFFFFF" w:val="clear"/>
        </w:rPr>
        <w:t>BRF</w:t>
      </w:r>
      <w:r>
        <w:rPr>
          <w:color w:val="000000"/>
          <w:shd w:fill="FFFFFF" w:val="clear"/>
        </w:rPr>
        <w:t>”</w:t>
      </w:r>
      <w:r>
        <w:rPr>
          <w:rFonts w:ascii="Times New Roman;sans-serif" w:hAnsi="Times New Roman;sans-serif"/>
          <w:b w:val="false"/>
          <w:color w:val="000000"/>
          <w:sz w:val="22"/>
          <w:shd w:fill="FFFFFF" w:val="clear"/>
        </w:rPr>
        <w:t>), B. Riley Securities Inc. (“</w:t>
      </w:r>
      <w:r>
        <w:rPr>
          <w:rFonts w:ascii="Times New Roman;sans-serif" w:hAnsi="Times New Roman;sans-serif"/>
          <w:b w:val="false"/>
          <w:color w:val="000000"/>
          <w:sz w:val="22"/>
          <w:u w:val="single"/>
          <w:shd w:fill="FFFFFF" w:val="clear"/>
        </w:rPr>
        <w:t>BRSI</w:t>
      </w:r>
      <w:r>
        <w:rPr>
          <w:color w:val="000000"/>
          <w:shd w:fill="FFFFFF" w:val="clear"/>
        </w:rPr>
        <w:t>”</w:t>
      </w:r>
      <w:r>
        <w:rPr>
          <w:rFonts w:ascii="Times New Roman;sans-serif" w:hAnsi="Times New Roman;sans-serif"/>
          <w:b w:val="false"/>
          <w:color w:val="000000"/>
          <w:sz w:val="22"/>
          <w:shd w:fill="FFFFFF" w:val="clear"/>
        </w:rPr>
        <w:t>, together with BRF, each a “</w:t>
      </w:r>
      <w:r>
        <w:rPr>
          <w:rFonts w:ascii="Times New Roman;sans-serif" w:hAnsi="Times New Roman;sans-serif"/>
          <w:b w:val="false"/>
          <w:color w:val="000000"/>
          <w:sz w:val="22"/>
          <w:u w:val="single"/>
          <w:shd w:fill="FFFFFF" w:val="clear"/>
        </w:rPr>
        <w:t>Holder</w:t>
      </w:r>
      <w:r>
        <w:rPr>
          <w:color w:val="000000"/>
          <w:shd w:fill="FFFFFF" w:val="clear"/>
        </w:rPr>
        <w:t xml:space="preserve">” </w:t>
      </w:r>
      <w:r>
        <w:rPr>
          <w:rFonts w:ascii="Times New Roman;sans-serif" w:hAnsi="Times New Roman;sans-serif"/>
          <w:b w:val="false"/>
          <w:color w:val="000000"/>
          <w:sz w:val="22"/>
          <w:shd w:fill="FFFFFF" w:val="clear"/>
        </w:rPr>
        <w:t>and collectively the “</w:t>
      </w:r>
      <w:r>
        <w:rPr>
          <w:rFonts w:ascii="Times New Roman;sans-serif" w:hAnsi="Times New Roman;sans-serif"/>
          <w:b w:val="false"/>
          <w:color w:val="000000"/>
          <w:sz w:val="22"/>
          <w:u w:val="single"/>
          <w:shd w:fill="FFFFFF" w:val="clear"/>
        </w:rPr>
        <w:t>Holders</w:t>
      </w:r>
      <w:r>
        <w:rPr>
          <w:color w:val="000000"/>
          <w:shd w:fill="FFFFFF" w:val="clear"/>
        </w:rPr>
        <w:t>”</w:t>
      </w:r>
      <w:r>
        <w:rPr>
          <w:rFonts w:ascii="Times New Roman;sans-serif" w:hAnsi="Times New Roman;sans-serif"/>
          <w:b w:val="false"/>
          <w:color w:val="000000"/>
          <w:sz w:val="22"/>
          <w:shd w:fill="FFFFFF" w:val="clear"/>
        </w:rPr>
        <w:t>) and Synchronoss Technologies, Inc., a Delaware corporation (the “</w:t>
      </w:r>
      <w:r>
        <w:rPr>
          <w:rFonts w:ascii="Times New Roman;sans-serif" w:hAnsi="Times New Roman;sans-serif"/>
          <w:b w:val="false"/>
          <w:color w:val="000000"/>
          <w:sz w:val="22"/>
          <w:u w:val="single"/>
          <w:shd w:fill="FFFFFF" w:val="clear"/>
        </w:rPr>
        <w:t>Company</w:t>
      </w:r>
      <w:r>
        <w:rPr>
          <w:color w:val="000000"/>
          <w:shd w:fill="FFFFFF" w:val="clear"/>
        </w:rPr>
        <w:t>”</w:t>
      </w:r>
      <w:r>
        <w:rPr>
          <w:rFonts w:ascii="Times New Roman;sans-serif" w:hAnsi="Times New Roman;sans-serif"/>
          <w:b w:val="false"/>
          <w:color w:val="000000"/>
          <w:sz w:val="22"/>
          <w:shd w:fill="FFFFFF" w:val="clear"/>
        </w:rPr>
        <w:t xml:space="preserve">). </w:t>
      </w:r>
    </w:p>
    <w:p>
      <w:pPr>
        <w:pStyle w:val="TextBody"/>
        <w:bidi w:val="0"/>
        <w:spacing w:lineRule="auto" w:line="288" w:before="0" w:after="240"/>
        <w:jc w:val="center"/>
        <w:rPr>
          <w:rFonts w:ascii="Times New Roman;sans-serif" w:hAnsi="Times New Roman;sans-serif"/>
          <w:b/>
          <w:color w:val="000000"/>
          <w:sz w:val="22"/>
          <w:u w:val="single"/>
          <w:shd w:fill="FFFFFF" w:val="clear"/>
        </w:rPr>
      </w:pPr>
      <w:r>
        <w:rPr>
          <w:rFonts w:ascii="Times New Roman;sans-serif" w:hAnsi="Times New Roman;sans-serif"/>
          <w:b/>
          <w:color w:val="000000"/>
          <w:sz w:val="22"/>
          <w:u w:val="single"/>
          <w:shd w:fill="FFFFFF" w:val="clear"/>
        </w:rPr>
        <w:t>RECITALS</w:t>
      </w:r>
    </w:p>
    <w:p>
      <w:pPr>
        <w:pStyle w:val="TextBody"/>
        <w:bidi w:val="0"/>
        <w:spacing w:lineRule="auto" w:line="288" w:before="0" w:after="240"/>
        <w:ind w:left="0" w:right="0" w:firstLine="720"/>
        <w:jc w:val="both"/>
        <w:rPr>
          <w:shd w:fill="FFFFFF" w:val="clear"/>
        </w:rPr>
      </w:pPr>
      <w:r>
        <w:rPr>
          <w:rFonts w:ascii="Times New Roman;sans-serif" w:hAnsi="Times New Roman;sans-serif"/>
          <w:b w:val="false"/>
          <w:color w:val="000000"/>
          <w:sz w:val="22"/>
          <w:shd w:fill="FFFFFF" w:val="clear"/>
        </w:rPr>
        <w:t>WHEREAS, the Holders are the owners and legal and beneficial holders of an aggregate principal amount in excess of $19,689,750 of the Company’s 8.375% Senior Notes due 2026, CUSIP 87157B 301 (the “</w:t>
      </w:r>
      <w:r>
        <w:rPr>
          <w:rFonts w:ascii="Times New Roman;sans-serif" w:hAnsi="Times New Roman;sans-serif"/>
          <w:b w:val="false"/>
          <w:color w:val="000000"/>
          <w:sz w:val="22"/>
          <w:u w:val="single"/>
          <w:shd w:fill="FFFFFF" w:val="clear"/>
        </w:rPr>
        <w:t>Notes</w:t>
      </w:r>
      <w:r>
        <w:rPr>
          <w:color w:val="000000"/>
          <w:shd w:fill="FFFFFF" w:val="clear"/>
        </w:rPr>
        <w:t>”</w:t>
      </w:r>
      <w:r>
        <w:rPr>
          <w:rFonts w:ascii="Times New Roman;sans-serif" w:hAnsi="Times New Roman;sans-serif"/>
          <w:b w:val="false"/>
          <w:color w:val="000000"/>
          <w:sz w:val="22"/>
          <w:shd w:fill="FFFFFF" w:val="clear"/>
        </w:rPr>
        <w:t>), issued pursuant to an Indenture, dated as of June 30, 2021, by and between the Company and The Bank of New York Mellon Trust Company, N.A., as Trustee (the “</w:t>
      </w:r>
      <w:r>
        <w:rPr>
          <w:rFonts w:ascii="Times New Roman;sans-serif" w:hAnsi="Times New Roman;sans-serif"/>
          <w:b w:val="false"/>
          <w:color w:val="000000"/>
          <w:sz w:val="22"/>
          <w:u w:val="single"/>
          <w:shd w:fill="FFFFFF" w:val="clear"/>
        </w:rPr>
        <w:t>Trustee</w:t>
      </w:r>
      <w:r>
        <w:rPr>
          <w:color w:val="000000"/>
          <w:shd w:fill="FFFFFF" w:val="clear"/>
        </w:rPr>
        <w:t>”</w:t>
      </w:r>
      <w:r>
        <w:rPr>
          <w:rFonts w:ascii="Times New Roman;sans-serif" w:hAnsi="Times New Roman;sans-serif"/>
          <w:b w:val="false"/>
          <w:color w:val="000000"/>
          <w:sz w:val="22"/>
          <w:shd w:fill="FFFFFF" w:val="clear"/>
        </w:rPr>
        <w:t>), as supplemented by the First Supplemental Indenture dated as of June 30, 2021, by and between the Company and the Trustee (the “</w:t>
      </w:r>
      <w:r>
        <w:rPr>
          <w:rFonts w:ascii="Times New Roman;sans-serif" w:hAnsi="Times New Roman;sans-serif"/>
          <w:b w:val="false"/>
          <w:color w:val="000000"/>
          <w:sz w:val="22"/>
          <w:u w:val="single"/>
          <w:shd w:fill="FFFFFF" w:val="clear"/>
        </w:rPr>
        <w:t>Indenture</w:t>
      </w:r>
      <w:r>
        <w:rPr>
          <w:color w:val="000000"/>
          <w:shd w:fill="FFFFFF" w:val="clear"/>
        </w:rPr>
        <w:t>”</w:t>
      </w:r>
      <w:r>
        <w:rPr>
          <w:rFonts w:ascii="Times New Roman;sans-serif" w:hAnsi="Times New Roman;sans-serif"/>
          <w:b w:val="false"/>
          <w:color w:val="000000"/>
          <w:sz w:val="22"/>
          <w:shd w:fill="FFFFFF" w:val="clear"/>
        </w:rPr>
        <w:t>);</w:t>
      </w:r>
    </w:p>
    <w:p>
      <w:pPr>
        <w:pStyle w:val="TextBody"/>
        <w:bidi w:val="0"/>
        <w:spacing w:lineRule="auto" w:line="288" w:before="0" w:after="240"/>
        <w:ind w:left="0" w:right="0" w:firstLine="720"/>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WHEREAS, the Notes, to date, have not matured; and</w:t>
      </w:r>
    </w:p>
    <w:p>
      <w:pPr>
        <w:pStyle w:val="TextBody"/>
        <w:bidi w:val="0"/>
        <w:spacing w:lineRule="auto" w:line="288" w:before="240" w:after="240"/>
        <w:ind w:left="0" w:right="0" w:firstLine="720"/>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 xml:space="preserve">WHEREAS, each Holder desires to sell to the Company, and the Company desires to repurchase from each such Holder, certain Notes, upon and subject to the terms and conditions set forth in this Repurchase Agreement. </w:t>
      </w:r>
    </w:p>
    <w:p>
      <w:pPr>
        <w:pStyle w:val="TextBody"/>
        <w:bidi w:val="0"/>
        <w:spacing w:lineRule="auto" w:line="288" w:before="0" w:after="240"/>
        <w:ind w:left="0" w:right="0" w:firstLine="720"/>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NOW, THEREFORE, in consideration of the premises and the mutual covenants, agreements and representations of the parties contained in this Repurchase Agreement, the payments provided for in this Repurchase Agreement and other good and valuable consideration, the receipt and sufficiency of which the parties acknowledge, the parties mutually agree as follows:</w:t>
      </w:r>
    </w:p>
    <w:p>
      <w:pPr>
        <w:pStyle w:val="TextBody"/>
        <w:bidi w:val="0"/>
        <w:spacing w:lineRule="auto" w:line="288" w:before="0" w:after="0"/>
        <w:ind w:left="0" w:right="0" w:firstLine="360"/>
        <w:jc w:val="both"/>
        <w:rPr>
          <w:shd w:fill="FFFFFF" w:val="clear"/>
        </w:rPr>
      </w:pPr>
      <w:r>
        <w:rPr>
          <w:rFonts w:ascii="Times New Roman;sans-serif" w:hAnsi="Times New Roman;sans-serif"/>
          <w:b w:val="false"/>
          <w:color w:val="000000"/>
          <w:sz w:val="22"/>
          <w:shd w:fill="FFFFFF" w:val="clear"/>
        </w:rPr>
        <w:t>1.</w:t>
      </w:r>
      <w:r>
        <w:rPr>
          <w:rFonts w:ascii="Times New Roman;sans-serif" w:hAnsi="Times New Roman;sans-serif"/>
          <w:b w:val="false"/>
          <w:color w:val="000000"/>
          <w:sz w:val="22"/>
          <w:u w:val="single"/>
          <w:shd w:fill="FFFFFF" w:val="clear"/>
        </w:rPr>
        <w:t>Repurchase Consideration</w:t>
      </w:r>
      <w:r>
        <w:rPr>
          <w:rFonts w:ascii="Times New Roman;sans-serif" w:hAnsi="Times New Roman;sans-serif"/>
          <w:b w:val="false"/>
          <w:color w:val="000000"/>
          <w:sz w:val="22"/>
          <w:shd w:fill="FFFFFF" w:val="clear"/>
        </w:rPr>
        <w:t xml:space="preserve">. Subject to the terms and conditions of this Repurchase Agreement, the Holders hereby, severally and not jointly, agree to sell the Notes in such amounts as set forth in </w:t>
      </w:r>
      <w:r>
        <w:rPr>
          <w:rFonts w:ascii="Times New Roman;sans-serif" w:hAnsi="Times New Roman;sans-serif"/>
          <w:b w:val="false"/>
          <w:color w:val="000000"/>
          <w:sz w:val="22"/>
          <w:u w:val="single"/>
          <w:shd w:fill="FFFFFF" w:val="clear"/>
        </w:rPr>
        <w:t>Exhibit A</w:t>
      </w:r>
      <w:r>
        <w:rPr>
          <w:color w:val="000000"/>
          <w:shd w:fill="FFFFFF" w:val="clear"/>
        </w:rPr>
        <w:t xml:space="preserve"> </w:t>
      </w:r>
      <w:r>
        <w:rPr>
          <w:rFonts w:ascii="Times New Roman;sans-serif" w:hAnsi="Times New Roman;sans-serif"/>
          <w:b w:val="false"/>
          <w:color w:val="000000"/>
          <w:sz w:val="22"/>
          <w:shd w:fill="FFFFFF" w:val="clear"/>
        </w:rPr>
        <w:t>to the Company (the “</w:t>
      </w:r>
      <w:r>
        <w:rPr>
          <w:rFonts w:ascii="Times New Roman;sans-serif" w:hAnsi="Times New Roman;sans-serif"/>
          <w:b w:val="false"/>
          <w:color w:val="000000"/>
          <w:sz w:val="22"/>
          <w:u w:val="single"/>
          <w:shd w:fill="FFFFFF" w:val="clear"/>
        </w:rPr>
        <w:t>Repurchased Notes</w:t>
      </w:r>
      <w:r>
        <w:rPr>
          <w:color w:val="000000"/>
          <w:shd w:fill="FFFFFF" w:val="clear"/>
        </w:rPr>
        <w:t>”</w:t>
      </w:r>
      <w:r>
        <w:rPr>
          <w:rFonts w:ascii="Times New Roman;sans-serif" w:hAnsi="Times New Roman;sans-serif"/>
          <w:b w:val="false"/>
          <w:color w:val="000000"/>
          <w:sz w:val="22"/>
          <w:shd w:fill="FFFFFF" w:val="clear"/>
        </w:rPr>
        <w:t>) for an aggregate purchase price of $16,500,000, representing an amount of cash in United States dollars equal to $20.95 per $25 principal amount of Notes repurchased (the “</w:t>
      </w:r>
      <w:r>
        <w:rPr>
          <w:rFonts w:ascii="Times New Roman;sans-serif" w:hAnsi="Times New Roman;sans-serif"/>
          <w:b w:val="false"/>
          <w:color w:val="000000"/>
          <w:sz w:val="22"/>
          <w:u w:val="single"/>
          <w:shd w:fill="FFFFFF" w:val="clear"/>
        </w:rPr>
        <w:t>Consideration</w:t>
      </w:r>
      <w:r>
        <w:rPr>
          <w:color w:val="000000"/>
          <w:shd w:fill="FFFFFF" w:val="clear"/>
        </w:rPr>
        <w:t>”</w:t>
      </w:r>
      <w:r>
        <w:rPr>
          <w:rFonts w:ascii="Times New Roman;sans-serif" w:hAnsi="Times New Roman;sans-serif"/>
          <w:b w:val="false"/>
          <w:color w:val="000000"/>
          <w:sz w:val="22"/>
          <w:shd w:fill="FFFFFF" w:val="clear"/>
        </w:rPr>
        <w:t xml:space="preserve">). </w:t>
      </w:r>
    </w:p>
    <w:p>
      <w:pPr>
        <w:pStyle w:val="TextBody"/>
        <w:bidi w:val="0"/>
        <w:spacing w:before="0" w:after="0"/>
        <w:jc w:val="both"/>
        <w:rPr/>
      </w:pPr>
      <w:r>
        <w:rPr/>
      </w:r>
    </w:p>
    <w:p>
      <w:pPr>
        <w:pStyle w:val="TextBody"/>
        <w:bidi w:val="0"/>
        <w:spacing w:lineRule="auto" w:line="288" w:before="0" w:after="0"/>
        <w:ind w:left="0" w:right="0" w:firstLine="360"/>
        <w:jc w:val="both"/>
        <w:rPr>
          <w:shd w:fill="FFFFFF" w:val="clear"/>
        </w:rPr>
      </w:pPr>
      <w:r>
        <w:rPr>
          <w:rFonts w:ascii="Times New Roman;sans-serif" w:hAnsi="Times New Roman;sans-serif"/>
          <w:b w:val="false"/>
          <w:color w:val="000000"/>
          <w:sz w:val="22"/>
          <w:shd w:fill="FFFFFF" w:val="clear"/>
        </w:rPr>
        <w:t>2.</w:t>
      </w:r>
      <w:r>
        <w:rPr>
          <w:rFonts w:ascii="Times New Roman;sans-serif" w:hAnsi="Times New Roman;sans-serif"/>
          <w:b w:val="false"/>
          <w:color w:val="000000"/>
          <w:sz w:val="22"/>
          <w:u w:val="single"/>
          <w:shd w:fill="FFFFFF" w:val="clear"/>
        </w:rPr>
        <w:t>Repurchase</w:t>
      </w:r>
      <w:r>
        <w:rPr>
          <w:rFonts w:ascii="Times New Roman;sans-serif" w:hAnsi="Times New Roman;sans-serif"/>
          <w:b w:val="false"/>
          <w:color w:val="000000"/>
          <w:sz w:val="22"/>
          <w:shd w:fill="FFFFFF" w:val="clear"/>
        </w:rPr>
        <w:t xml:space="preserve">. Subject to the terms and conditions of this Repurchase Agreement, each Holder hereby sells, assigns and transfers to, or upon the order of, the Company, all right, title and interest in such Repurchased Notes being sold by such Holder as set forth in </w:t>
      </w:r>
      <w:r>
        <w:rPr>
          <w:rFonts w:ascii="Times New Roman;sans-serif" w:hAnsi="Times New Roman;sans-serif"/>
          <w:b w:val="false"/>
          <w:color w:val="000000"/>
          <w:sz w:val="22"/>
          <w:u w:val="single"/>
          <w:shd w:fill="FFFFFF" w:val="clear"/>
        </w:rPr>
        <w:t>Exhibit A</w:t>
      </w:r>
      <w:r>
        <w:rPr>
          <w:color w:val="000000"/>
          <w:shd w:fill="FFFFFF" w:val="clear"/>
        </w:rPr>
        <w:t xml:space="preserve"> </w:t>
      </w:r>
      <w:r>
        <w:rPr>
          <w:rFonts w:ascii="Times New Roman;sans-serif" w:hAnsi="Times New Roman;sans-serif"/>
          <w:b w:val="false"/>
          <w:color w:val="000000"/>
          <w:sz w:val="22"/>
          <w:shd w:fill="FFFFFF" w:val="clear"/>
        </w:rPr>
        <w:t>(the “</w:t>
      </w:r>
      <w:r>
        <w:rPr>
          <w:rFonts w:ascii="Times New Roman;sans-serif" w:hAnsi="Times New Roman;sans-serif"/>
          <w:b w:val="false"/>
          <w:color w:val="000000"/>
          <w:sz w:val="22"/>
          <w:u w:val="single"/>
          <w:shd w:fill="FFFFFF" w:val="clear"/>
        </w:rPr>
        <w:t>Repurchase</w:t>
      </w:r>
      <w:r>
        <w:rPr>
          <w:color w:val="000000"/>
          <w:shd w:fill="FFFFFF" w:val="clear"/>
        </w:rPr>
        <w:t>”</w:t>
      </w:r>
      <w:r>
        <w:rPr>
          <w:rFonts w:ascii="Times New Roman;sans-serif" w:hAnsi="Times New Roman;sans-serif"/>
          <w:b w:val="false"/>
          <w:color w:val="000000"/>
          <w:sz w:val="22"/>
          <w:shd w:fill="FFFFFF" w:val="clear"/>
        </w:rPr>
        <w:t xml:space="preserve">), waives any and all other rights with respect to such Repurchased Notes, and releases and discharges the Company from any and all claims such Holder may now have, or may have in the future, arising out of, or related to, such Repurchased Notes, including, without limitation, any claims arising from any existing or past defaults, or any claims that such Holder is entitled to receive any accrued and unpaid interest or additional interest with respect to the Repurchased Notes. All questions as to the form of all documents and the validity and acceptance of the Repurchased Notes will be determined by the Company, in its sole discretion, which determination shall be final and binding. </w:t>
      </w:r>
    </w:p>
    <w:p>
      <w:pPr>
        <w:pStyle w:val="TextBody"/>
        <w:bidi w:val="0"/>
        <w:spacing w:before="0" w:after="0"/>
        <w:jc w:val="left"/>
        <w:rPr/>
      </w:pPr>
      <w:r>
        <w:rPr/>
      </w:r>
    </w:p>
    <w:p>
      <w:pPr>
        <w:pStyle w:val="TextBody"/>
        <w:bidi w:val="0"/>
        <w:spacing w:lineRule="auto" w:line="288" w:before="0" w:after="0"/>
        <w:ind w:left="0" w:right="0" w:firstLine="360"/>
        <w:jc w:val="both"/>
        <w:rPr>
          <w:shd w:fill="FFFFFF" w:val="clear"/>
        </w:rPr>
      </w:pPr>
      <w:r>
        <w:rPr>
          <w:rFonts w:ascii="Times New Roman;sans-serif" w:hAnsi="Times New Roman;sans-serif"/>
          <w:b w:val="false"/>
          <w:color w:val="000000"/>
          <w:sz w:val="22"/>
          <w:shd w:fill="FFFFFF" w:val="clear"/>
        </w:rPr>
        <w:t>3.</w:t>
      </w:r>
      <w:r>
        <w:rPr>
          <w:rFonts w:ascii="Times New Roman;sans-serif" w:hAnsi="Times New Roman;sans-serif"/>
          <w:b w:val="false"/>
          <w:color w:val="000000"/>
          <w:sz w:val="22"/>
          <w:u w:val="single"/>
          <w:shd w:fill="FFFFFF" w:val="clear"/>
        </w:rPr>
        <w:t>The Closing</w:t>
      </w:r>
      <w:r>
        <w:rPr>
          <w:rFonts w:ascii="Times New Roman;sans-serif" w:hAnsi="Times New Roman;sans-serif"/>
          <w:b w:val="false"/>
          <w:color w:val="000000"/>
          <w:sz w:val="22"/>
          <w:shd w:fill="FFFFFF" w:val="clear"/>
        </w:rPr>
        <w:t>. The closing of the Repurchase (the “</w:t>
      </w:r>
      <w:r>
        <w:rPr>
          <w:rFonts w:ascii="Times New Roman;sans-serif" w:hAnsi="Times New Roman;sans-serif"/>
          <w:b w:val="false"/>
          <w:color w:val="000000"/>
          <w:sz w:val="22"/>
          <w:u w:val="single"/>
          <w:shd w:fill="FFFFFF" w:val="clear"/>
        </w:rPr>
        <w:t>Closing</w:t>
      </w:r>
      <w:r>
        <w:rPr>
          <w:color w:val="000000"/>
          <w:shd w:fill="FFFFFF" w:val="clear"/>
        </w:rPr>
        <w:t>”</w:t>
      </w:r>
      <w:r>
        <w:rPr>
          <w:rFonts w:ascii="Times New Roman;sans-serif" w:hAnsi="Times New Roman;sans-serif"/>
          <w:b w:val="false"/>
          <w:color w:val="000000"/>
          <w:sz w:val="22"/>
          <w:shd w:fill="FFFFFF" w:val="clear"/>
        </w:rPr>
        <w:t>) shall take place on the date hereof or at such time and place as the Company and Holders mutually agree (the “</w:t>
      </w:r>
      <w:r>
        <w:rPr>
          <w:rFonts w:ascii="Times New Roman;sans-serif" w:hAnsi="Times New Roman;sans-serif"/>
          <w:b w:val="false"/>
          <w:color w:val="000000"/>
          <w:sz w:val="22"/>
          <w:u w:val="single"/>
          <w:shd w:fill="FFFFFF" w:val="clear"/>
        </w:rPr>
        <w:t>Closing Date</w:t>
      </w:r>
      <w:r>
        <w:rPr>
          <w:color w:val="000000"/>
          <w:shd w:fill="FFFFFF" w:val="clear"/>
        </w:rPr>
        <w:t>”</w:t>
      </w:r>
      <w:r>
        <w:rPr>
          <w:rFonts w:ascii="Times New Roman;sans-serif" w:hAnsi="Times New Roman;sans-serif"/>
          <w:b w:val="false"/>
          <w:color w:val="000000"/>
          <w:sz w:val="22"/>
          <w:shd w:fill="FFFFFF" w:val="clear"/>
        </w:rPr>
        <w:t>). At the Closing:</w:t>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75260"/>
                <wp:effectExtent l="0" t="0" r="0" b="0"/>
                <wp:wrapNone/>
                <wp:docPr id="188" name="Frame1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shd w:fill="FFFFFF" w:val="clear"/>
        </w:rPr>
      </w:pPr>
      <w:r>
        <w:rPr>
          <w:rFonts w:ascii="Times New Roman;sans-serif" w:hAnsi="Times New Roman;sans-serif"/>
          <w:b w:val="false"/>
          <w:color w:val="000000"/>
          <w:sz w:val="22"/>
          <w:shd w:fill="FFFFFF" w:val="clear"/>
        </w:rPr>
        <w:t>a.</w:t>
      </w:r>
      <w:r>
        <w:rPr>
          <w:rFonts w:ascii="Times New Roman;sans-serif" w:hAnsi="Times New Roman;sans-serif"/>
          <w:b w:val="false"/>
          <w:color w:val="000000"/>
          <w:sz w:val="22"/>
          <w:shd w:fill="FFFFFF" w:val="clear"/>
        </w:rPr>
        <w:t>the Company shall pay or cause to be paid to each Holder, by wire transfer of immediately available funds to the account or accounts designated by the Holder in writing prior to the Closing, the Consideration; and</w:t>
      </w:r>
    </w:p>
    <w:p>
      <w:pPr>
        <w:pStyle w:val="TextBody"/>
        <w:bidi w:val="0"/>
        <w:spacing w:before="0" w:after="0"/>
        <w:jc w:val="both"/>
        <w:rPr/>
      </w:pPr>
      <w:r>
        <w:rPr/>
      </w:r>
    </w:p>
    <w:p>
      <w:pPr>
        <w:pStyle w:val="TextBody"/>
        <w:bidi w:val="0"/>
        <w:spacing w:lineRule="auto" w:line="288" w:before="0" w:after="0"/>
        <w:ind w:left="0" w:right="0" w:firstLine="720"/>
        <w:jc w:val="both"/>
        <w:rPr>
          <w:shd w:fill="FFFFFF" w:val="clear"/>
        </w:rPr>
      </w:pPr>
      <w:r>
        <w:rPr>
          <w:rFonts w:ascii="Times New Roman;sans-serif" w:hAnsi="Times New Roman;sans-serif"/>
          <w:b w:val="false"/>
          <w:color w:val="000000"/>
          <w:sz w:val="22"/>
          <w:shd w:fill="FFFFFF" w:val="clear"/>
        </w:rPr>
        <w:t>b.</w:t>
      </w:r>
      <w:r>
        <w:rPr>
          <w:rFonts w:ascii="Times New Roman;sans-serif" w:hAnsi="Times New Roman;sans-serif"/>
          <w:b w:val="false"/>
          <w:color w:val="000000"/>
          <w:sz w:val="22"/>
          <w:shd w:fill="FFFFFF" w:val="clear"/>
        </w:rPr>
        <w:t xml:space="preserve">each Holder shall deliver to the Trustee the Repurchased Notes being sold by such Holder as set forth in </w:t>
      </w:r>
      <w:r>
        <w:rPr>
          <w:rFonts w:ascii="Times New Roman;sans-serif" w:hAnsi="Times New Roman;sans-serif"/>
          <w:b w:val="false"/>
          <w:color w:val="000000"/>
          <w:sz w:val="22"/>
          <w:u w:val="single"/>
          <w:shd w:fill="FFFFFF" w:val="clear"/>
        </w:rPr>
        <w:t>Exhibit A</w:t>
      </w:r>
      <w:r>
        <w:rPr>
          <w:rFonts w:ascii="Times New Roman;sans-serif" w:hAnsi="Times New Roman;sans-serif"/>
          <w:b w:val="false"/>
          <w:color w:val="000000"/>
          <w:sz w:val="22"/>
          <w:shd w:fill="FFFFFF" w:val="clear"/>
        </w:rPr>
        <w:t>, free and clear of all liens, encumbrances, security interests, options, preferences, priorities claims, charges and restrictions of any kind (“</w:t>
      </w:r>
      <w:r>
        <w:rPr>
          <w:rFonts w:ascii="Times New Roman;sans-serif" w:hAnsi="Times New Roman;sans-serif"/>
          <w:b w:val="false"/>
          <w:color w:val="000000"/>
          <w:sz w:val="22"/>
          <w:u w:val="single"/>
          <w:shd w:fill="FFFFFF" w:val="clear"/>
        </w:rPr>
        <w:t>Encumbrances</w:t>
      </w:r>
      <w:r>
        <w:rPr>
          <w:color w:val="000000"/>
          <w:shd w:fill="FFFFFF" w:val="clear"/>
        </w:rPr>
        <w:t>”</w:t>
      </w:r>
      <w:r>
        <w:rPr>
          <w:rFonts w:ascii="Times New Roman;sans-serif" w:hAnsi="Times New Roman;sans-serif"/>
          <w:b w:val="false"/>
          <w:color w:val="000000"/>
          <w:sz w:val="22"/>
          <w:shd w:fill="FFFFFF" w:val="clear"/>
        </w:rPr>
        <w:t>) (other than Encumbrances created by or resulting from actions of the Company or any of its subsidiaries and those arising solely under the Securities Act of 1933, as amended, and the rules and regulations of the Securities and Exchange Commission ( the “</w:t>
      </w:r>
      <w:r>
        <w:rPr>
          <w:rFonts w:ascii="Times New Roman;sans-serif" w:hAnsi="Times New Roman;sans-serif"/>
          <w:b w:val="false"/>
          <w:color w:val="000000"/>
          <w:sz w:val="22"/>
          <w:u w:val="single"/>
          <w:shd w:fill="FFFFFF" w:val="clear"/>
        </w:rPr>
        <w:t>SEC</w:t>
      </w:r>
      <w:r>
        <w:rPr>
          <w:color w:val="000000"/>
          <w:shd w:fill="FFFFFF" w:val="clear"/>
        </w:rPr>
        <w:t>”</w:t>
      </w:r>
      <w:r>
        <w:rPr>
          <w:rFonts w:ascii="Times New Roman;sans-serif" w:hAnsi="Times New Roman;sans-serif"/>
          <w:b w:val="false"/>
          <w:color w:val="000000"/>
          <w:sz w:val="22"/>
          <w:shd w:fill="FFFFFF" w:val="clear"/>
        </w:rPr>
        <w:t>) promulgated thereunder, or under similar state securities laws (“</w:t>
      </w:r>
      <w:r>
        <w:rPr>
          <w:rFonts w:ascii="Times New Roman;sans-serif" w:hAnsi="Times New Roman;sans-serif"/>
          <w:b w:val="false"/>
          <w:color w:val="000000"/>
          <w:sz w:val="22"/>
          <w:u w:val="single"/>
          <w:shd w:fill="FFFFFF" w:val="clear"/>
        </w:rPr>
        <w:t>Permitted Encumbrances</w:t>
      </w:r>
      <w:r>
        <w:rPr>
          <w:color w:val="000000"/>
          <w:shd w:fill="FFFFFF" w:val="clear"/>
        </w:rPr>
        <w:t>”</w:t>
      </w:r>
      <w:r>
        <w:rPr>
          <w:rFonts w:ascii="Times New Roman;sans-serif" w:hAnsi="Times New Roman;sans-serif"/>
          <w:b w:val="false"/>
          <w:color w:val="000000"/>
          <w:sz w:val="22"/>
          <w:shd w:fill="FFFFFF" w:val="clear"/>
        </w:rPr>
        <w:t>)), duly endorsed or accompanied by an assignment duly endorsed in a form acceptable to the Company and the Trustee, or by means of the book-entry transfer procedures of the Depositary Trust Company, as depository for the Notes, or by means of transfer acceptable to the Company, against payment by the Company of the Consideration.</w:t>
      </w:r>
    </w:p>
    <w:p>
      <w:pPr>
        <w:pStyle w:val="TextBody"/>
        <w:bidi w:val="0"/>
        <w:spacing w:before="0" w:after="0"/>
        <w:jc w:val="left"/>
        <w:rPr/>
      </w:pPr>
      <w:r>
        <w:rPr/>
      </w:r>
    </w:p>
    <w:p>
      <w:pPr>
        <w:pStyle w:val="TextBody"/>
        <w:bidi w:val="0"/>
        <w:spacing w:lineRule="auto" w:line="288" w:before="0" w:after="0"/>
        <w:ind w:left="0" w:right="0" w:firstLine="720"/>
        <w:jc w:val="both"/>
        <w:rPr>
          <w:shd w:fill="FFFFFF" w:val="clear"/>
        </w:rPr>
      </w:pPr>
      <w:r>
        <w:rPr>
          <w:rFonts w:ascii="Times New Roman;sans-serif" w:hAnsi="Times New Roman;sans-serif"/>
          <w:b w:val="false"/>
          <w:color w:val="000000"/>
          <w:sz w:val="22"/>
          <w:shd w:fill="FFFFFF" w:val="clear"/>
        </w:rPr>
        <w:t>c.</w:t>
      </w:r>
      <w:r>
        <w:rPr>
          <w:rFonts w:ascii="Times New Roman;sans-serif" w:hAnsi="Times New Roman;sans-serif"/>
          <w:b w:val="false"/>
          <w:color w:val="000000"/>
          <w:sz w:val="22"/>
          <w:shd w:fill="FFFFFF" w:val="clear"/>
        </w:rPr>
        <w:t>Upon consummation of the Repurchase, the Company will instruct the Trustee to cancel the Repurchased Notes, and thereafter the Repurchased Notes shall be null and void, and any and all rights arising thereunder shall be extinguished.</w:t>
      </w:r>
    </w:p>
    <w:p>
      <w:pPr>
        <w:pStyle w:val="TextBody"/>
        <w:bidi w:val="0"/>
        <w:spacing w:before="0" w:after="0"/>
        <w:jc w:val="left"/>
        <w:rPr/>
      </w:pPr>
      <w:r>
        <w:rPr/>
      </w:r>
    </w:p>
    <w:p>
      <w:pPr>
        <w:pStyle w:val="TextBody"/>
        <w:bidi w:val="0"/>
        <w:spacing w:lineRule="auto" w:line="288" w:before="0" w:after="240"/>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 xml:space="preserve">All authority herein conferred or agreed to be conferred in this Repurchase Agreement shall survive the dissolution of the Holders and any representation, warranty, undertaking and obligation of the Holders hereunder shall be binding upon the respective trustees in bankruptcy, legal representatives, successors and assigns of a Holder. </w:t>
      </w:r>
    </w:p>
    <w:p>
      <w:pPr>
        <w:pStyle w:val="TextBody"/>
        <w:bidi w:val="0"/>
        <w:spacing w:lineRule="auto" w:line="288" w:before="0" w:after="0"/>
        <w:ind w:left="0" w:right="0" w:firstLine="360"/>
        <w:jc w:val="both"/>
        <w:rPr>
          <w:shd w:fill="FFFFFF" w:val="clear"/>
        </w:rPr>
      </w:pPr>
      <w:r>
        <w:rPr>
          <w:rFonts w:ascii="Times New Roman;sans-serif" w:hAnsi="Times New Roman;sans-serif"/>
          <w:b w:val="false"/>
          <w:color w:val="000000"/>
          <w:sz w:val="22"/>
          <w:shd w:fill="FFFFFF" w:val="clear"/>
        </w:rPr>
        <w:t>4.</w:t>
      </w:r>
      <w:r>
        <w:rPr>
          <w:rFonts w:ascii="Times New Roman;sans-serif" w:hAnsi="Times New Roman;sans-serif"/>
          <w:b w:val="false"/>
          <w:color w:val="000000"/>
          <w:sz w:val="22"/>
          <w:u w:val="single"/>
          <w:shd w:fill="FFFFFF" w:val="clear"/>
        </w:rPr>
        <w:t>Representations and Warranties and Undertakings of the Company</w:t>
      </w:r>
      <w:r>
        <w:rPr>
          <w:rFonts w:ascii="Times New Roman;sans-serif" w:hAnsi="Times New Roman;sans-serif"/>
          <w:b w:val="false"/>
          <w:color w:val="000000"/>
          <w:sz w:val="22"/>
          <w:shd w:fill="FFFFFF" w:val="clear"/>
        </w:rPr>
        <w:t xml:space="preserve">. The Company represents and warrants to the Holders that: </w:t>
      </w:r>
    </w:p>
    <w:p>
      <w:pPr>
        <w:pStyle w:val="TextBody"/>
        <w:bidi w:val="0"/>
        <w:spacing w:before="0" w:after="0"/>
        <w:jc w:val="both"/>
        <w:rPr/>
      </w:pPr>
      <w:r>
        <w:rPr/>
      </w:r>
    </w:p>
    <w:p>
      <w:pPr>
        <w:pStyle w:val="TextBody"/>
        <w:bidi w:val="0"/>
        <w:spacing w:lineRule="auto" w:line="288" w:before="0" w:after="0"/>
        <w:ind w:left="0" w:right="0" w:firstLine="720"/>
        <w:jc w:val="both"/>
        <w:rPr>
          <w:shd w:fill="FFFFFF" w:val="clear"/>
        </w:rPr>
      </w:pPr>
      <w:r>
        <w:rPr>
          <w:rFonts w:ascii="Times New Roman;sans-serif" w:hAnsi="Times New Roman;sans-serif"/>
          <w:b w:val="false"/>
          <w:color w:val="000000"/>
          <w:sz w:val="22"/>
          <w:shd w:fill="FFFFFF" w:val="clear"/>
        </w:rPr>
        <w:t>a.</w:t>
      </w:r>
      <w:r>
        <w:rPr>
          <w:rFonts w:ascii="Times New Roman;sans-serif" w:hAnsi="Times New Roman;sans-serif"/>
          <w:b w:val="false"/>
          <w:color w:val="000000"/>
          <w:sz w:val="22"/>
          <w:shd w:fill="FFFFFF" w:val="clear"/>
        </w:rPr>
        <w:t xml:space="preserve">The Company is duly formed and validly existing under the laws of the State of Delaware, and the consummation of the transactions contemplated hereby are within the powers of the Company and have been duly authorized by all necessary action on the part of the Company, and this Repurchase Agreement constitutes a valid and binding agreement of the Company, enforceable in accordance with its terms, except (i) as limited by applicable bankruptcy, insolvency, reorganization, moratorium, and other laws of general application affecting enforcement or creditors’ rights generally or (ii) as limited by laws relating to the availability of specific performance, injunctive relief, or other equitable remedies. </w:t>
      </w:r>
    </w:p>
    <w:p>
      <w:pPr>
        <w:pStyle w:val="TextBody"/>
        <w:bidi w:val="0"/>
        <w:spacing w:before="0" w:after="0"/>
        <w:jc w:val="both"/>
        <w:rPr/>
      </w:pPr>
      <w:r>
        <w:rPr/>
      </w:r>
    </w:p>
    <w:p>
      <w:pPr>
        <w:pStyle w:val="TextBody"/>
        <w:bidi w:val="0"/>
        <w:spacing w:lineRule="auto" w:line="288"/>
        <w:ind w:left="0" w:right="0" w:firstLine="720"/>
        <w:jc w:val="both"/>
        <w:rPr>
          <w:shd w:fill="FFFFFF" w:val="clear"/>
        </w:rPr>
      </w:pPr>
      <w:r>
        <w:rPr>
          <w:rFonts w:ascii="Times New Roman;sans-serif" w:hAnsi="Times New Roman;sans-serif"/>
          <w:b w:val="false"/>
          <w:color w:val="000000"/>
          <w:sz w:val="22"/>
          <w:shd w:fill="FFFFFF" w:val="clear"/>
        </w:rPr>
        <w:t>b.</w:t>
      </w:r>
      <w:r>
        <w:rPr>
          <w:rFonts w:ascii="Times New Roman;sans-serif" w:hAnsi="Times New Roman;sans-serif"/>
          <w:b w:val="false"/>
          <w:color w:val="000000"/>
          <w:sz w:val="22"/>
          <w:shd w:fill="FFFFFF" w:val="clear"/>
        </w:rPr>
        <w:t xml:space="preserve">The execution of this Repurchase Agreement by the Company and the consummation by the Company of the transactions contemplated hereby (i) do not require the consent, approval, authorization, order, registration or qualification of, or filing (assuming the truth and accuracy of the representations and warranties in </w:t>
      </w:r>
      <w:r>
        <w:rPr>
          <w:rFonts w:ascii="Times New Roman;sans-serif" w:hAnsi="Times New Roman;sans-serif"/>
          <w:b w:val="false"/>
          <w:color w:val="000000"/>
          <w:sz w:val="22"/>
          <w:u w:val="single"/>
          <w:shd w:fill="FFFFFF" w:val="clear"/>
        </w:rPr>
        <w:t>Section 5</w:t>
      </w:r>
      <w:r>
        <w:rPr>
          <w:color w:val="000000"/>
          <w:shd w:fill="FFFFFF" w:val="clear"/>
        </w:rPr>
        <w:t xml:space="preserve"> </w:t>
      </w:r>
      <w:r>
        <w:rPr>
          <w:rFonts w:ascii="Times New Roman;sans-serif" w:hAnsi="Times New Roman;sans-serif"/>
          <w:b w:val="false"/>
          <w:color w:val="000000"/>
          <w:sz w:val="22"/>
          <w:shd w:fill="FFFFFF" w:val="clear"/>
        </w:rPr>
        <w:t>and excluding any filing required under the requirements of the Securities Exchange Act of 1934, as amended (the “</w:t>
      </w:r>
      <w:r>
        <w:rPr>
          <w:rFonts w:ascii="Times New Roman;sans-serif" w:hAnsi="Times New Roman;sans-serif"/>
          <w:b w:val="false"/>
          <w:color w:val="000000"/>
          <w:sz w:val="22"/>
          <w:u w:val="single"/>
          <w:shd w:fill="FFFFFF" w:val="clear"/>
        </w:rPr>
        <w:t>Exchange Act</w:t>
      </w:r>
      <w:r>
        <w:rPr>
          <w:color w:val="000000"/>
          <w:shd w:fill="FFFFFF" w:val="clear"/>
        </w:rPr>
        <w:t>”</w:t>
      </w:r>
      <w:r>
        <w:rPr>
          <w:rFonts w:ascii="Times New Roman;sans-serif" w:hAnsi="Times New Roman;sans-serif"/>
          <w:b w:val="false"/>
          <w:color w:val="000000"/>
          <w:sz w:val="22"/>
          <w:shd w:fill="FFFFFF" w:val="clear"/>
        </w:rPr>
        <w:t xml:space="preserve">)) with, any governmental authority, non- governmental regulatory authorities, or court, or body or arbitrator having jurisdiction over the Company (except as may be required under the securities or Blue Sky laws of the various states); and (ii) do not and will not constitute or result in a breach, violation or default under any note, bond, mortgage, deed, indenture (including, without limitation, the Indenture), lien, instrument, contract, agreement, lease or license, whether written or oral, express or implied, or with the Company’s organizational documents or bylaws, or any statute, law, ordinance, decree, order, injunction, rule, directive, judgment or regulation of any court, administrative or regulatory body, governmental authority, arbitrator, mediator or similar body on the part of the Company or on the part of any other party thereto or </w:t>
      </w:r>
    </w:p>
    <w:p>
      <w:pPr>
        <w:pStyle w:val="TextBody"/>
        <w:bidi w:val="0"/>
        <w:spacing w:before="0" w:after="0"/>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75260"/>
                <wp:effectExtent l="0" t="0" r="0" b="0"/>
                <wp:wrapNone/>
                <wp:docPr id="189" name="Frame1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cause the acceleration or termination of any obligation or right of the Company or any other party thereto, except, in case of this clause (ii) (except with respect to the Indenture), for any such breach, violation or default as would not, individually or in the aggregate, (x) have a material adverse effect on the business, properties, financial position, stockholders’ equity, or results of operations of the Company and its subsidiaries taken as a whole or (y) materially delay or materially impair the ability of the Company to comply, or prevent the Company from complying, with its obligations under this Agreement.</w:t>
      </w:r>
    </w:p>
    <w:p>
      <w:pPr>
        <w:pStyle w:val="TextBody"/>
        <w:bidi w:val="0"/>
        <w:spacing w:before="0" w:after="0"/>
        <w:jc w:val="both"/>
        <w:rPr/>
      </w:pPr>
      <w:r>
        <w:rPr/>
      </w:r>
    </w:p>
    <w:p>
      <w:pPr>
        <w:pStyle w:val="TextBody"/>
        <w:bidi w:val="0"/>
        <w:spacing w:lineRule="auto" w:line="288" w:before="0" w:after="0"/>
        <w:ind w:left="0" w:right="0" w:firstLine="720"/>
        <w:jc w:val="both"/>
        <w:rPr>
          <w:shd w:fill="FFFFFF" w:val="clear"/>
        </w:rPr>
      </w:pPr>
      <w:r>
        <w:rPr>
          <w:rFonts w:ascii="Times New Roman;sans-serif" w:hAnsi="Times New Roman;sans-serif"/>
          <w:b w:val="false"/>
          <w:color w:val="000000"/>
          <w:sz w:val="22"/>
          <w:shd w:fill="FFFFFF" w:val="clear"/>
        </w:rPr>
        <w:t>c.</w:t>
      </w:r>
      <w:r>
        <w:rPr>
          <w:rFonts w:ascii="Times New Roman;sans-serif" w:hAnsi="Times New Roman;sans-serif"/>
          <w:b w:val="false"/>
          <w:color w:val="000000"/>
          <w:sz w:val="22"/>
          <w:shd w:fill="FFFFFF" w:val="clear"/>
        </w:rPr>
        <w:t xml:space="preserve">Neither the Company nor any of its subsidiaries is (i) in violation of its organizational documents or bylaws or similar organizational documents; (ii) in default, and, to the knowledge of the Company (having made due and reasonable enquiry), no event has occurred that, with notice or lapse of time or both, would constitute such a default, in the performance or observance of any term, covenant or condition contained in any indenture (including, without limitation, the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or (iii) in violation of any law or statute or any judgment, order, rule or regulation of any court or arbitrator or governmental or regulatory authority (including, without limitation, the rules and regulations of The Nasdaq Stock Market, LLC), in each case, applicable to the Company, except, in the case of clauses (ii) and (iii) above (other than with respect to the Indenture), for any such conflict, breach or violation that would not, individually or in the aggregate, have a material adverse effect on the business, properties, financial position, stockholders’ equity, or results of operations of the Company and its subsidiaries taken as a whole. </w:t>
      </w:r>
    </w:p>
    <w:p>
      <w:pPr>
        <w:pStyle w:val="TextBody"/>
        <w:bidi w:val="0"/>
        <w:spacing w:before="0" w:after="0"/>
        <w:jc w:val="both"/>
        <w:rPr/>
      </w:pPr>
      <w:r>
        <w:rPr/>
      </w:r>
    </w:p>
    <w:p>
      <w:pPr>
        <w:pStyle w:val="TextBody"/>
        <w:bidi w:val="0"/>
        <w:spacing w:lineRule="auto" w:line="288" w:before="0" w:after="0"/>
        <w:ind w:left="0" w:right="0" w:firstLine="720"/>
        <w:jc w:val="both"/>
        <w:rPr>
          <w:shd w:fill="FFFFFF" w:val="clear"/>
        </w:rPr>
      </w:pPr>
      <w:r>
        <w:rPr>
          <w:rFonts w:ascii="Times New Roman;sans-serif" w:hAnsi="Times New Roman;sans-serif"/>
          <w:b w:val="false"/>
          <w:color w:val="000000"/>
          <w:sz w:val="22"/>
          <w:shd w:fill="FFFFFF" w:val="clear"/>
        </w:rPr>
        <w:t>d.</w:t>
      </w:r>
      <w:r>
        <w:rPr>
          <w:rFonts w:ascii="Times New Roman;sans-serif" w:hAnsi="Times New Roman;sans-serif"/>
          <w:b w:val="false"/>
          <w:color w:val="000000"/>
          <w:sz w:val="22"/>
          <w:shd w:fill="FFFFFF" w:val="clear"/>
        </w:rPr>
        <w:t xml:space="preserve">The Company is not and, after giving effect to the transactions contemplated by this Repurchase Agreement, will not be required to register as an “investment company” or an entity “controlled” by an “investment company” within the meaning of the Investment Company Act of 1940, as amended, and the rules and regulations of the SEC thereunder. </w:t>
      </w:r>
    </w:p>
    <w:p>
      <w:pPr>
        <w:pStyle w:val="TextBody"/>
        <w:bidi w:val="0"/>
        <w:spacing w:before="0" w:after="0"/>
        <w:jc w:val="left"/>
        <w:rPr/>
      </w:pPr>
      <w:r>
        <w:rPr/>
      </w:r>
    </w:p>
    <w:p>
      <w:pPr>
        <w:pStyle w:val="TextBody"/>
        <w:bidi w:val="0"/>
        <w:spacing w:lineRule="auto" w:line="288" w:before="0" w:after="0"/>
        <w:ind w:left="0" w:right="0" w:firstLine="720"/>
        <w:jc w:val="both"/>
        <w:rPr>
          <w:shd w:fill="FFFFFF" w:val="clear"/>
        </w:rPr>
      </w:pPr>
      <w:r>
        <w:rPr>
          <w:rFonts w:ascii="Times New Roman;sans-serif" w:hAnsi="Times New Roman;sans-serif"/>
          <w:b w:val="false"/>
          <w:color w:val="000000"/>
          <w:sz w:val="22"/>
          <w:shd w:fill="FFFFFF" w:val="clear"/>
        </w:rPr>
        <w:t>e.</w:t>
      </w:r>
      <w:r>
        <w:rPr>
          <w:rFonts w:ascii="Times New Roman;sans-serif" w:hAnsi="Times New Roman;sans-serif"/>
          <w:b w:val="false"/>
          <w:color w:val="000000"/>
          <w:sz w:val="22"/>
          <w:shd w:fill="FFFFFF" w:val="clear"/>
        </w:rPr>
        <w:t>There are no bankruptcy, insolvency, reorganization or receivership proceedings pending against, being contemplated by or threatened against the Company. The Company is not (and will not be upon consummation of the transactions contemplated hereby and the Series B Repurchase Agreement of even date herewith between the Company and the Holder (as defined therein)) insolvent.</w:t>
      </w:r>
    </w:p>
    <w:p>
      <w:pPr>
        <w:pStyle w:val="TextBody"/>
        <w:bidi w:val="0"/>
        <w:spacing w:before="0" w:after="0"/>
        <w:jc w:val="left"/>
        <w:rPr/>
      </w:pPr>
      <w:r>
        <w:rPr/>
      </w:r>
    </w:p>
    <w:p>
      <w:pPr>
        <w:pStyle w:val="TextBody"/>
        <w:bidi w:val="0"/>
        <w:spacing w:lineRule="auto" w:line="288" w:before="0" w:after="0"/>
        <w:ind w:left="0" w:right="0" w:firstLine="360"/>
        <w:jc w:val="both"/>
        <w:rPr>
          <w:shd w:fill="FFFFFF" w:val="clear"/>
        </w:rPr>
      </w:pPr>
      <w:r>
        <w:rPr>
          <w:rFonts w:ascii="Times New Roman;sans-serif" w:hAnsi="Times New Roman;sans-serif"/>
          <w:b w:val="false"/>
          <w:color w:val="000000"/>
          <w:sz w:val="22"/>
          <w:shd w:fill="FFFFFF" w:val="clear"/>
        </w:rPr>
        <w:t>5.</w:t>
      </w:r>
      <w:r>
        <w:rPr>
          <w:rFonts w:ascii="Times New Roman;sans-serif" w:hAnsi="Times New Roman;sans-serif"/>
          <w:b w:val="false"/>
          <w:color w:val="000000"/>
          <w:sz w:val="22"/>
          <w:u w:val="single"/>
          <w:shd w:fill="FFFFFF" w:val="clear"/>
        </w:rPr>
        <w:t>Representations and Warranties of each Holder</w:t>
      </w:r>
      <w:r>
        <w:rPr>
          <w:rFonts w:ascii="Times New Roman;sans-serif" w:hAnsi="Times New Roman;sans-serif"/>
          <w:b w:val="false"/>
          <w:color w:val="000000"/>
          <w:sz w:val="22"/>
          <w:shd w:fill="FFFFFF" w:val="clear"/>
        </w:rPr>
        <w:t xml:space="preserve">. Each Holder hereby, severally and not jointly, represents and warrants to the Company that: </w:t>
      </w:r>
    </w:p>
    <w:p>
      <w:pPr>
        <w:pStyle w:val="TextBody"/>
        <w:bidi w:val="0"/>
        <w:spacing w:before="0" w:after="0"/>
        <w:jc w:val="left"/>
        <w:rPr/>
      </w:pPr>
      <w:r>
        <w:rPr/>
      </w:r>
    </w:p>
    <w:p>
      <w:pPr>
        <w:pStyle w:val="TextBody"/>
        <w:bidi w:val="0"/>
        <w:spacing w:lineRule="auto" w:line="288" w:before="0" w:after="0"/>
        <w:ind w:left="0" w:right="0" w:firstLine="720"/>
        <w:jc w:val="both"/>
        <w:rPr>
          <w:shd w:fill="FFFFFF" w:val="clear"/>
        </w:rPr>
      </w:pPr>
      <w:r>
        <w:rPr>
          <w:rFonts w:ascii="Times New Roman;sans-serif" w:hAnsi="Times New Roman;sans-serif"/>
          <w:b w:val="false"/>
          <w:color w:val="000000"/>
          <w:sz w:val="22"/>
          <w:shd w:fill="FFFFFF" w:val="clear"/>
        </w:rPr>
        <w:t>a.</w:t>
      </w:r>
      <w:r>
        <w:rPr>
          <w:rFonts w:ascii="Times New Roman;sans-serif" w:hAnsi="Times New Roman;sans-serif"/>
          <w:b w:val="false"/>
          <w:color w:val="000000"/>
          <w:sz w:val="22"/>
          <w:shd w:fill="FFFFFF" w:val="clear"/>
        </w:rPr>
        <w:t xml:space="preserve">The Holder has full power and authority to exchange, sell, assign and transfer the Notes sold hereby and to enter into this Repurchase Agreement and perform all obligations required to be performed by the Holder hereunder. </w:t>
      </w:r>
    </w:p>
    <w:p>
      <w:pPr>
        <w:pStyle w:val="TextBody"/>
        <w:bidi w:val="0"/>
        <w:spacing w:before="0" w:after="0"/>
        <w:jc w:val="both"/>
        <w:rPr/>
      </w:pPr>
      <w:r>
        <w:rPr/>
      </w:r>
    </w:p>
    <w:p>
      <w:pPr>
        <w:pStyle w:val="TextBody"/>
        <w:bidi w:val="0"/>
        <w:spacing w:lineRule="auto" w:line="288" w:before="0" w:after="0"/>
        <w:ind w:left="0" w:right="0" w:firstLine="720"/>
        <w:jc w:val="both"/>
        <w:rPr>
          <w:shd w:fill="FFFFFF" w:val="clear"/>
        </w:rPr>
      </w:pPr>
      <w:r>
        <w:rPr>
          <w:rFonts w:ascii="Times New Roman;sans-serif" w:hAnsi="Times New Roman;sans-serif"/>
          <w:b w:val="false"/>
          <w:color w:val="000000"/>
          <w:sz w:val="22"/>
          <w:shd w:fill="FFFFFF" w:val="clear"/>
        </w:rPr>
        <w:t>b.</w:t>
      </w:r>
      <w:r>
        <w:rPr>
          <w:rFonts w:ascii="Times New Roman;sans-serif" w:hAnsi="Times New Roman;sans-serif"/>
          <w:b w:val="false"/>
          <w:color w:val="000000"/>
          <w:sz w:val="22"/>
          <w:shd w:fill="FFFFFF" w:val="clear"/>
        </w:rPr>
        <w:t xml:space="preserve">The Holder is the current beneficial owner of the Repurchased Notes being sold by such Holder as set forth in </w:t>
      </w:r>
      <w:r>
        <w:rPr>
          <w:rFonts w:ascii="Times New Roman;sans-serif" w:hAnsi="Times New Roman;sans-serif"/>
          <w:b w:val="false"/>
          <w:color w:val="000000"/>
          <w:sz w:val="22"/>
          <w:u w:val="single"/>
          <w:shd w:fill="FFFFFF" w:val="clear"/>
        </w:rPr>
        <w:t>Exhibit A</w:t>
      </w:r>
      <w:r>
        <w:rPr>
          <w:rFonts w:ascii="Times New Roman;sans-serif" w:hAnsi="Times New Roman;sans-serif"/>
          <w:b w:val="false"/>
          <w:color w:val="000000"/>
          <w:sz w:val="22"/>
          <w:shd w:fill="FFFFFF" w:val="clear"/>
        </w:rPr>
        <w:t xml:space="preserve">. When such Repurchased Notes are sold, the Company will acquire good, marketable and unencumbered title thereto, free and clear of all liens, restrictions, charges and encumbrances. The Repurchased Notes being sold by such Holder as set forth in </w:t>
      </w:r>
      <w:r>
        <w:rPr>
          <w:rFonts w:ascii="Times New Roman;sans-serif" w:hAnsi="Times New Roman;sans-serif"/>
          <w:b w:val="false"/>
          <w:color w:val="000000"/>
          <w:sz w:val="22"/>
          <w:u w:val="single"/>
          <w:shd w:fill="FFFFFF" w:val="clear"/>
        </w:rPr>
        <w:t>Exhibit A</w:t>
      </w:r>
      <w:r>
        <w:rPr>
          <w:color w:val="000000"/>
          <w:shd w:fill="FFFFFF" w:val="clear"/>
        </w:rPr>
        <w:t xml:space="preserve"> </w:t>
      </w:r>
      <w:r>
        <w:rPr>
          <w:rFonts w:ascii="Times New Roman;sans-serif" w:hAnsi="Times New Roman;sans-serif"/>
          <w:b w:val="false"/>
          <w:color w:val="000000"/>
          <w:sz w:val="22"/>
          <w:shd w:fill="FFFFFF" w:val="clear"/>
        </w:rPr>
        <w:t>are not subject to any adverse claims, rights or proxies. The Holder shall be responsible for its own tax liability that may arise as a result of the transactions contemplated by this Repurchase Agreement.</w:t>
      </w:r>
    </w:p>
    <w:p>
      <w:pPr>
        <w:pStyle w:val="TextBody"/>
        <w:bidi w:val="0"/>
        <w:spacing w:before="0" w:after="0"/>
        <w:jc w:val="both"/>
        <w:rPr/>
      </w:pPr>
      <w:r>
        <w:rPr/>
      </w:r>
    </w:p>
    <w:p>
      <w:pPr>
        <w:pStyle w:val="TextBody"/>
        <w:bidi w:val="0"/>
        <w:spacing w:lineRule="auto" w:line="288" w:before="0" w:after="0"/>
        <w:ind w:left="0" w:right="0" w:firstLine="720"/>
        <w:jc w:val="both"/>
        <w:rPr>
          <w:shd w:fill="FFFFFF" w:val="clear"/>
        </w:rPr>
      </w:pPr>
      <w:r>
        <w:rPr>
          <w:rFonts w:ascii="Times New Roman;sans-serif" w:hAnsi="Times New Roman;sans-serif"/>
          <w:b w:val="false"/>
          <w:color w:val="000000"/>
          <w:sz w:val="22"/>
          <w:shd w:fill="FFFFFF" w:val="clear"/>
        </w:rPr>
        <w:t>c.</w:t>
      </w:r>
      <w:r>
        <w:rPr>
          <w:rFonts w:ascii="Times New Roman;sans-serif" w:hAnsi="Times New Roman;sans-serif"/>
          <w:b w:val="false"/>
          <w:color w:val="000000"/>
          <w:sz w:val="22"/>
          <w:shd w:fill="FFFFFF" w:val="clear"/>
        </w:rPr>
        <w:t xml:space="preserve">The Repurchase will not contravene any law, rule or regulation binding on the Holder or any investment guideline or restriction applicable to the Holder. </w:t>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75260"/>
                <wp:effectExtent l="0" t="0" r="0" b="0"/>
                <wp:wrapNone/>
                <wp:docPr id="190" name="Frame1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shd w:fill="FFFFFF" w:val="clear"/>
        </w:rPr>
      </w:pPr>
      <w:r>
        <w:rPr>
          <w:rFonts w:ascii="Times New Roman;sans-serif" w:hAnsi="Times New Roman;sans-serif"/>
          <w:b w:val="false"/>
          <w:color w:val="000000"/>
          <w:sz w:val="22"/>
          <w:shd w:fill="FFFFFF" w:val="clear"/>
        </w:rPr>
        <w:t>d.</w:t>
      </w:r>
      <w:r>
        <w:rPr>
          <w:rFonts w:ascii="Times New Roman;sans-serif" w:hAnsi="Times New Roman;sans-serif"/>
          <w:b w:val="false"/>
          <w:color w:val="000000"/>
          <w:sz w:val="22"/>
          <w:shd w:fill="FFFFFF" w:val="clear"/>
        </w:rPr>
        <w:t xml:space="preserve">The Holder acknowledges that no person has been authorized to give any information or to make any representation or warranty concerning the Company or the Repurchase other than the information set forth herein in connection with the Holder’s examination of the Company and the terms of the Repurchase, and the Company does not take any responsibility for, and the Company cannot provide any assurance as to the reliability of, any other information that others may provide to the Holder. </w:t>
      </w:r>
    </w:p>
    <w:p>
      <w:pPr>
        <w:pStyle w:val="TextBody"/>
        <w:bidi w:val="0"/>
        <w:spacing w:before="0" w:after="0"/>
        <w:jc w:val="left"/>
        <w:rPr/>
      </w:pPr>
      <w:r>
        <w:rPr/>
      </w:r>
    </w:p>
    <w:p>
      <w:pPr>
        <w:pStyle w:val="TextBody"/>
        <w:bidi w:val="0"/>
        <w:spacing w:lineRule="auto" w:line="288" w:before="0" w:after="0"/>
        <w:ind w:left="0" w:right="0" w:firstLine="720"/>
        <w:jc w:val="both"/>
        <w:rPr>
          <w:shd w:fill="FFFFFF" w:val="clear"/>
        </w:rPr>
      </w:pPr>
      <w:r>
        <w:rPr>
          <w:rFonts w:ascii="Times New Roman;sans-serif" w:hAnsi="Times New Roman;sans-serif"/>
          <w:b w:val="false"/>
          <w:color w:val="000000"/>
          <w:sz w:val="22"/>
          <w:shd w:fill="FFFFFF" w:val="clear"/>
        </w:rPr>
        <w:t>e.</w:t>
      </w:r>
      <w:r>
        <w:rPr>
          <w:rFonts w:ascii="Times New Roman;sans-serif" w:hAnsi="Times New Roman;sans-serif"/>
          <w:b w:val="false"/>
          <w:color w:val="000000"/>
          <w:sz w:val="22"/>
          <w:shd w:fill="FFFFFF" w:val="clear"/>
        </w:rPr>
        <w:t>The Holder acknowledges that (i) it has reviewed the Company’s filings with the SEC and (ii) it is relying only upon the information contained in the Company’s filings with the SEC and the representations and warranties of the Company in this Repurchase Agreement and not upon any other information. The Holder acknowledges and understands that: (x) the Company currently may have, and later may come into possession of, information with respect to the Company that is not known to Holder and that may be material to a decision to sell the Repurchased Notes (such information, “</w:t>
      </w:r>
      <w:r>
        <w:rPr>
          <w:rFonts w:ascii="Times New Roman;sans-serif" w:hAnsi="Times New Roman;sans-serif"/>
          <w:b w:val="false"/>
          <w:color w:val="000000"/>
          <w:sz w:val="22"/>
          <w:u w:val="single"/>
          <w:shd w:fill="FFFFFF" w:val="clear"/>
        </w:rPr>
        <w:t>Holder Excluded Information</w:t>
      </w:r>
      <w:r>
        <w:rPr>
          <w:color w:val="000000"/>
          <w:shd w:fill="FFFFFF" w:val="clear"/>
        </w:rPr>
        <w:t>”</w:t>
      </w:r>
      <w:r>
        <w:rPr>
          <w:rFonts w:ascii="Times New Roman;sans-serif" w:hAnsi="Times New Roman;sans-serif"/>
          <w:b w:val="false"/>
          <w:color w:val="000000"/>
          <w:sz w:val="22"/>
          <w:shd w:fill="FFFFFF" w:val="clear"/>
        </w:rPr>
        <w:t xml:space="preserve">); (y) Holder has determined to sell the Repurchased Notes being sold by such Holder as set forth in </w:t>
      </w:r>
      <w:r>
        <w:rPr>
          <w:rFonts w:ascii="Times New Roman;sans-serif" w:hAnsi="Times New Roman;sans-serif"/>
          <w:b w:val="false"/>
          <w:color w:val="000000"/>
          <w:sz w:val="22"/>
          <w:u w:val="single"/>
          <w:shd w:fill="FFFFFF" w:val="clear"/>
        </w:rPr>
        <w:t>Exhibit A</w:t>
      </w:r>
      <w:r>
        <w:rPr>
          <w:color w:val="000000"/>
          <w:shd w:fill="FFFFFF" w:val="clear"/>
        </w:rPr>
        <w:t xml:space="preserve"> </w:t>
      </w:r>
      <w:r>
        <w:rPr>
          <w:rFonts w:ascii="Times New Roman;sans-serif" w:hAnsi="Times New Roman;sans-serif"/>
          <w:b w:val="false"/>
          <w:color w:val="000000"/>
          <w:sz w:val="22"/>
          <w:shd w:fill="FFFFFF" w:val="clear"/>
        </w:rPr>
        <w:t>notwithstanding its lack of knowledge of Holder Excluded Information; and (z) the Company shall not have any liability to Holder, and Holder waives and releases any claims that he might have against the Company, whether under applicable securities laws or otherwise, with respect to the nondisclosure of Holder Excluded Information in connection with the Repurchase and the transactions contemplated by this Agreement</w:t>
      </w:r>
    </w:p>
    <w:p>
      <w:pPr>
        <w:pStyle w:val="TextBody"/>
        <w:bidi w:val="0"/>
        <w:spacing w:before="0" w:after="0"/>
        <w:jc w:val="left"/>
        <w:rPr/>
      </w:pPr>
      <w:r>
        <w:rPr/>
      </w:r>
    </w:p>
    <w:p>
      <w:pPr>
        <w:pStyle w:val="TextBody"/>
        <w:bidi w:val="0"/>
        <w:spacing w:lineRule="auto" w:line="288" w:before="0" w:after="0"/>
        <w:ind w:left="0" w:right="0" w:firstLine="720"/>
        <w:jc w:val="both"/>
        <w:rPr>
          <w:shd w:fill="FFFFFF" w:val="clear"/>
        </w:rPr>
      </w:pPr>
      <w:r>
        <w:rPr>
          <w:rFonts w:ascii="Times New Roman;sans-serif" w:hAnsi="Times New Roman;sans-serif"/>
          <w:b w:val="false"/>
          <w:color w:val="000000"/>
          <w:sz w:val="22"/>
          <w:shd w:fill="FFFFFF" w:val="clear"/>
        </w:rPr>
        <w:t>f.</w:t>
      </w:r>
      <w:r>
        <w:rPr>
          <w:rFonts w:ascii="Times New Roman;sans-serif" w:hAnsi="Times New Roman;sans-serif"/>
          <w:b w:val="false"/>
          <w:color w:val="000000"/>
          <w:sz w:val="22"/>
          <w:shd w:fill="FFFFFF" w:val="clear"/>
        </w:rPr>
        <w:t xml:space="preserve">The Holder acknowledges and understands that the Company’s plans for the future, if successful, may result in the Repurchased Notes being sold by the Holder becoming more valuable and that the future value of the Repurchased Notes could exceed the amounts the Holder will receive under this Repurchase Agreement. In addition, the Holder acknowledges and understands that the Consideration may be less than the Holder would receive if the Repurchased Notes were redeemed pursuant to the terms of the Indenture or were repaid upon maturity. The Holder has determined to forego the possibility of such future value in order to obtain consideration in accordance with this Repurchase Agreement. Neither the Company, nor any of their respective officers, directors, employees or agents have made any representations to the Holder regarding the present or future value of the Repurchased Notes being sold by the Holder, or the advisability of the decision to sell the Repurchased Notes pursuant to this Repurchase Agreement. The Holder confirms that it is not relying on any communication (written or oral) of the Company or any of its affiliates or representatives as investment advice or as a recommendation to participate in the Repurchase and receive the Consideration for the Repurchased Notes. It is understood that information provided by the Company, or any of its affiliates or representatives shall not be considered investment advice or a recommendation to conduct the Repurchase. </w:t>
      </w:r>
    </w:p>
    <w:p>
      <w:pPr>
        <w:pStyle w:val="TextBody"/>
        <w:bidi w:val="0"/>
        <w:spacing w:before="0" w:after="0"/>
        <w:jc w:val="left"/>
        <w:rPr/>
      </w:pPr>
      <w:r>
        <w:rPr/>
      </w:r>
    </w:p>
    <w:p>
      <w:pPr>
        <w:pStyle w:val="TextBody"/>
        <w:bidi w:val="0"/>
        <w:spacing w:lineRule="auto" w:line="288" w:before="0" w:after="0"/>
        <w:ind w:left="0" w:right="0" w:firstLine="720"/>
        <w:jc w:val="both"/>
        <w:rPr>
          <w:shd w:fill="FFFFFF" w:val="clear"/>
        </w:rPr>
      </w:pPr>
      <w:r>
        <w:rPr>
          <w:rFonts w:ascii="Times New Roman;sans-serif" w:hAnsi="Times New Roman;sans-serif"/>
          <w:b w:val="false"/>
          <w:color w:val="000000"/>
          <w:sz w:val="22"/>
          <w:shd w:fill="FFFFFF" w:val="clear"/>
        </w:rPr>
        <w:t>g.</w:t>
      </w:r>
      <w:r>
        <w:rPr>
          <w:rFonts w:ascii="Times New Roman;sans-serif" w:hAnsi="Times New Roman;sans-serif"/>
          <w:b w:val="false"/>
          <w:color w:val="000000"/>
          <w:sz w:val="22"/>
          <w:shd w:fill="FFFFFF" w:val="clear"/>
        </w:rPr>
        <w:t xml:space="preserve">The Holder is a corporation, limited partnership, limited liability company or other entity, as the case may be, duly formed, validly existing and in good standing under the laws of the jurisdiction of its formation. </w:t>
      </w:r>
    </w:p>
    <w:p>
      <w:pPr>
        <w:pStyle w:val="TextBody"/>
        <w:bidi w:val="0"/>
        <w:spacing w:before="0" w:after="0"/>
        <w:jc w:val="left"/>
        <w:rPr/>
      </w:pPr>
      <w:r>
        <w:rPr/>
      </w:r>
    </w:p>
    <w:p>
      <w:pPr>
        <w:pStyle w:val="TextBody"/>
        <w:bidi w:val="0"/>
        <w:spacing w:lineRule="auto" w:line="288" w:before="0" w:after="0"/>
        <w:ind w:left="0" w:right="0" w:firstLine="720"/>
        <w:jc w:val="both"/>
        <w:rPr>
          <w:shd w:fill="FFFFFF" w:val="clear"/>
        </w:rPr>
      </w:pPr>
      <w:r>
        <w:rPr>
          <w:rFonts w:ascii="Times New Roman;sans-serif" w:hAnsi="Times New Roman;sans-serif"/>
          <w:b w:val="false"/>
          <w:color w:val="000000"/>
          <w:sz w:val="22"/>
          <w:shd w:fill="FFFFFF" w:val="clear"/>
        </w:rPr>
        <w:t>h.</w:t>
      </w:r>
      <w:r>
        <w:rPr>
          <w:rFonts w:ascii="Times New Roman;sans-serif" w:hAnsi="Times New Roman;sans-serif"/>
          <w:b w:val="false"/>
          <w:color w:val="000000"/>
          <w:sz w:val="22"/>
          <w:shd w:fill="FFFFFF" w:val="clear"/>
        </w:rPr>
        <w:t xml:space="preserve">The Holder acknowledges that (i) it is a sophisticated investor, (ii) the terms of the Repurchase have been mutually negotiated between the Holder and the Company and (iii) that the Holder was given a meaningful opportunity to negotiate the terms of the Repurchase. </w:t>
      </w:r>
    </w:p>
    <w:p>
      <w:pPr>
        <w:pStyle w:val="TextBody"/>
        <w:bidi w:val="0"/>
        <w:spacing w:before="0" w:after="0"/>
        <w:jc w:val="left"/>
        <w:rPr/>
      </w:pPr>
      <w:r>
        <w:rPr/>
      </w:r>
    </w:p>
    <w:p>
      <w:pPr>
        <w:pStyle w:val="TextBody"/>
        <w:bidi w:val="0"/>
        <w:spacing w:lineRule="auto" w:line="288" w:before="0" w:after="0"/>
        <w:ind w:left="0" w:right="0" w:firstLine="720"/>
        <w:jc w:val="both"/>
        <w:rPr>
          <w:shd w:fill="FFFFFF" w:val="clear"/>
        </w:rPr>
      </w:pPr>
      <w:r>
        <w:rPr>
          <w:rFonts w:ascii="Times New Roman;sans-serif" w:hAnsi="Times New Roman;sans-serif"/>
          <w:b w:val="false"/>
          <w:color w:val="000000"/>
          <w:sz w:val="22"/>
          <w:shd w:fill="FFFFFF" w:val="clear"/>
        </w:rPr>
        <w:t>i.</w:t>
      </w:r>
      <w:r>
        <w:rPr>
          <w:rFonts w:ascii="Times New Roman;sans-serif" w:hAnsi="Times New Roman;sans-serif"/>
          <w:b w:val="false"/>
          <w:color w:val="000000"/>
          <w:sz w:val="22"/>
          <w:shd w:fill="FFFFFF" w:val="clear"/>
        </w:rPr>
        <w:t xml:space="preserve">The Holder will, upon request, execute and deliver any additional documents deemed by the Company or the Trustee to be necessary or desirable to complete the sale, assignment and transfer of the Repurchased Notes sold hereby. </w:t>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75260"/>
                <wp:effectExtent l="0" t="0" r="0" b="0"/>
                <wp:wrapNone/>
                <wp:docPr id="191" name="Frame1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shd w:fill="FFFFFF" w:val="clear"/>
        </w:rPr>
      </w:pPr>
      <w:r>
        <w:rPr>
          <w:rFonts w:ascii="Times New Roman;sans-serif" w:hAnsi="Times New Roman;sans-serif"/>
          <w:b w:val="false"/>
          <w:color w:val="000000"/>
          <w:sz w:val="22"/>
          <w:shd w:fill="FFFFFF" w:val="clear"/>
        </w:rPr>
        <w:t>j.</w:t>
      </w:r>
      <w:r>
        <w:rPr>
          <w:rFonts w:ascii="Times New Roman;sans-serif" w:hAnsi="Times New Roman;sans-serif"/>
          <w:b w:val="false"/>
          <w:color w:val="000000"/>
          <w:sz w:val="22"/>
          <w:shd w:fill="FFFFFF" w:val="clear"/>
        </w:rPr>
        <w:t xml:space="preserve">There is no investment banker, broker, finder or other intermediary which has been retained by, will be retained by or is authorized to act on behalf of the Holder who might be entitled to any fee or commission from the Company or the Holder upon consummation of the transactions contemplated by this Repurchase Agreement. </w:t>
      </w:r>
    </w:p>
    <w:p>
      <w:pPr>
        <w:pStyle w:val="TextBody"/>
        <w:bidi w:val="0"/>
        <w:spacing w:before="0" w:after="0"/>
        <w:jc w:val="left"/>
        <w:rPr/>
      </w:pPr>
      <w:r>
        <w:rPr/>
      </w:r>
    </w:p>
    <w:p>
      <w:pPr>
        <w:pStyle w:val="TextBody"/>
        <w:bidi w:val="0"/>
        <w:spacing w:lineRule="auto" w:line="288" w:before="0" w:after="0"/>
        <w:ind w:left="0" w:right="0" w:firstLine="720"/>
        <w:jc w:val="both"/>
        <w:rPr>
          <w:shd w:fill="FFFFFF" w:val="clear"/>
        </w:rPr>
      </w:pPr>
      <w:r>
        <w:rPr>
          <w:rFonts w:ascii="Times New Roman;sans-serif" w:hAnsi="Times New Roman;sans-serif"/>
          <w:b w:val="false"/>
          <w:color w:val="000000"/>
          <w:sz w:val="22"/>
          <w:shd w:fill="FFFFFF" w:val="clear"/>
        </w:rPr>
        <w:t>k.</w:t>
      </w:r>
      <w:r>
        <w:rPr>
          <w:rFonts w:ascii="Times New Roman;sans-serif" w:hAnsi="Times New Roman;sans-serif"/>
          <w:b w:val="false"/>
          <w:color w:val="000000"/>
          <w:sz w:val="22"/>
          <w:shd w:fill="FFFFFF" w:val="clear"/>
        </w:rPr>
        <w:t>The Holder understands that the Company and others will rely upon the truth and accuracy of the foregoing representations, warranties and covenants and agrees that if any of the representations and warranties deemed to have been made by it by its participation in the transactions contemplated by this Repurchase Agreement are no longer accurate, the Holder shall promptly notify the Company. The Holder understands that, unless the Holder notifies the Company in writing to the contrary before the Closing, each of the Holder’s representations and warranties contained in this Repurchase Agreement will be deemed to have been reaffirmed and confirmed as of the Closing.</w:t>
      </w:r>
    </w:p>
    <w:p>
      <w:pPr>
        <w:pStyle w:val="TextBody"/>
        <w:bidi w:val="0"/>
        <w:spacing w:before="0" w:after="0"/>
        <w:jc w:val="left"/>
        <w:rPr/>
      </w:pPr>
      <w:r>
        <w:rPr/>
      </w:r>
    </w:p>
    <w:p>
      <w:pPr>
        <w:pStyle w:val="TextBody"/>
        <w:bidi w:val="0"/>
        <w:spacing w:lineRule="auto" w:line="288" w:before="0" w:after="0"/>
        <w:ind w:left="0" w:right="0" w:firstLine="720"/>
        <w:jc w:val="both"/>
        <w:rPr>
          <w:shd w:fill="FFFFFF" w:val="clear"/>
        </w:rPr>
      </w:pPr>
      <w:r>
        <w:rPr>
          <w:rFonts w:ascii="Times New Roman;sans-serif" w:hAnsi="Times New Roman;sans-serif"/>
          <w:b w:val="false"/>
          <w:color w:val="000000"/>
          <w:sz w:val="22"/>
          <w:shd w:fill="FFFFFF" w:val="clear"/>
        </w:rPr>
        <w:t>l.</w:t>
      </w:r>
      <w:r>
        <w:rPr>
          <w:rFonts w:ascii="Times New Roman;sans-serif" w:hAnsi="Times New Roman;sans-serif"/>
          <w:b w:val="false"/>
          <w:color w:val="000000"/>
          <w:sz w:val="22"/>
          <w:shd w:fill="FFFFFF" w:val="clear"/>
        </w:rPr>
        <w:t xml:space="preserve">The Holder acknowledges and agrees that the Company has not made any representation, warranty, covenant or agreement, whether express or implied, of any kind or character to the Holder with respect to the subject matter of this Repurchase Agreement, except as expressly set forth in this Repurchase Agreement. </w:t>
      </w:r>
    </w:p>
    <w:p>
      <w:pPr>
        <w:pStyle w:val="TextBody"/>
        <w:bidi w:val="0"/>
        <w:spacing w:before="0" w:after="0"/>
        <w:jc w:val="left"/>
        <w:rPr/>
      </w:pPr>
      <w:r>
        <w:rPr/>
      </w:r>
    </w:p>
    <w:p>
      <w:pPr>
        <w:pStyle w:val="TextBody"/>
        <w:bidi w:val="0"/>
        <w:spacing w:lineRule="auto" w:line="288" w:before="0" w:after="0"/>
        <w:ind w:left="0" w:right="0" w:firstLine="360"/>
        <w:jc w:val="both"/>
        <w:rPr>
          <w:shd w:fill="FFFFFF" w:val="clear"/>
        </w:rPr>
      </w:pPr>
      <w:r>
        <w:rPr>
          <w:rFonts w:ascii="Times New Roman;sans-serif" w:hAnsi="Times New Roman;sans-serif"/>
          <w:b w:val="false"/>
          <w:color w:val="000000"/>
          <w:sz w:val="22"/>
          <w:shd w:fill="FFFFFF" w:val="clear"/>
        </w:rPr>
        <w:t>6.</w:t>
      </w:r>
      <w:r>
        <w:rPr>
          <w:rFonts w:ascii="Times New Roman;sans-serif" w:hAnsi="Times New Roman;sans-serif"/>
          <w:b w:val="false"/>
          <w:color w:val="000000"/>
          <w:sz w:val="22"/>
          <w:u w:val="single"/>
          <w:shd w:fill="FFFFFF" w:val="clear"/>
        </w:rPr>
        <w:t>Conditions to the Holders’ Obligation to Close</w:t>
      </w:r>
      <w:r>
        <w:rPr>
          <w:rFonts w:ascii="Times New Roman;sans-serif" w:hAnsi="Times New Roman;sans-serif"/>
          <w:b w:val="false"/>
          <w:color w:val="000000"/>
          <w:sz w:val="22"/>
          <w:shd w:fill="FFFFFF" w:val="clear"/>
        </w:rPr>
        <w:t xml:space="preserve">. The obligation of the Holders hereunder to consummate the Repurchase are subject to the satisfaction (or, to the extent permissible under applicable law, waiver by each Holder) of each of the following conditions: </w:t>
      </w:r>
    </w:p>
    <w:p>
      <w:pPr>
        <w:pStyle w:val="TextBody"/>
        <w:bidi w:val="0"/>
        <w:spacing w:before="0" w:after="0"/>
        <w:jc w:val="left"/>
        <w:rPr/>
      </w:pPr>
      <w:r>
        <w:rPr/>
      </w:r>
    </w:p>
    <w:p>
      <w:pPr>
        <w:pStyle w:val="TextBody"/>
        <w:bidi w:val="0"/>
        <w:spacing w:lineRule="auto" w:line="288" w:before="0" w:after="0"/>
        <w:ind w:left="0" w:right="0" w:firstLine="720"/>
        <w:jc w:val="both"/>
        <w:rPr>
          <w:shd w:fill="FFFFFF" w:val="clear"/>
        </w:rPr>
      </w:pPr>
      <w:r>
        <w:rPr>
          <w:rFonts w:ascii="Times New Roman;sans-serif" w:hAnsi="Times New Roman;sans-serif"/>
          <w:b w:val="false"/>
          <w:color w:val="000000"/>
          <w:sz w:val="22"/>
          <w:shd w:fill="FFFFFF" w:val="clear"/>
        </w:rPr>
        <w:t>a.</w:t>
      </w:r>
      <w:r>
        <w:rPr>
          <w:rFonts w:ascii="Times New Roman;sans-serif" w:hAnsi="Times New Roman;sans-serif"/>
          <w:b w:val="false"/>
          <w:color w:val="000000"/>
          <w:sz w:val="22"/>
          <w:shd w:fill="FFFFFF" w:val="clear"/>
        </w:rPr>
        <w:t xml:space="preserve">each of the representations and warranties of the Company contained in </w:t>
      </w:r>
      <w:r>
        <w:rPr>
          <w:rFonts w:ascii="Times New Roman;sans-serif" w:hAnsi="Times New Roman;sans-serif"/>
          <w:b w:val="false"/>
          <w:color w:val="000000"/>
          <w:sz w:val="22"/>
          <w:u w:val="single"/>
          <w:shd w:fill="FFFFFF" w:val="clear"/>
        </w:rPr>
        <w:t xml:space="preserve">Section 4 </w:t>
      </w:r>
      <w:r>
        <w:rPr>
          <w:rFonts w:ascii="Times New Roman;sans-serif" w:hAnsi="Times New Roman;sans-serif"/>
          <w:b w:val="false"/>
          <w:color w:val="000000"/>
          <w:sz w:val="22"/>
          <w:shd w:fill="FFFFFF" w:val="clear"/>
        </w:rPr>
        <w:t>shall be true and correct in all material respects on and as of the Closing Date with the same effect as though such representations and warranties had been made on and as of the Closing Date;</w:t>
      </w:r>
    </w:p>
    <w:p>
      <w:pPr>
        <w:pStyle w:val="TextBody"/>
        <w:bidi w:val="0"/>
        <w:spacing w:before="0" w:after="0"/>
        <w:jc w:val="both"/>
        <w:rPr/>
      </w:pPr>
      <w:r>
        <w:rPr/>
      </w:r>
    </w:p>
    <w:p>
      <w:pPr>
        <w:pStyle w:val="TextBody"/>
        <w:bidi w:val="0"/>
        <w:spacing w:lineRule="auto" w:line="288" w:before="0" w:after="0"/>
        <w:ind w:left="0" w:right="0" w:firstLine="720"/>
        <w:jc w:val="both"/>
        <w:rPr>
          <w:shd w:fill="FFFFFF" w:val="clear"/>
        </w:rPr>
      </w:pPr>
      <w:r>
        <w:rPr>
          <w:rFonts w:ascii="Times New Roman;sans-serif" w:hAnsi="Times New Roman;sans-serif"/>
          <w:b w:val="false"/>
          <w:color w:val="000000"/>
          <w:sz w:val="22"/>
          <w:shd w:fill="FFFFFF" w:val="clear"/>
        </w:rPr>
        <w:t>b.</w:t>
      </w:r>
      <w:r>
        <w:rPr>
          <w:rFonts w:ascii="Times New Roman;sans-serif" w:hAnsi="Times New Roman;sans-serif"/>
          <w:b w:val="false"/>
          <w:color w:val="000000"/>
          <w:sz w:val="22"/>
          <w:shd w:fill="FFFFFF" w:val="clear"/>
        </w:rPr>
        <w:t>the Company shall have performed all of its covenants required to be performed hereunder prior to such time in all material respects; and</w:t>
      </w:r>
    </w:p>
    <w:p>
      <w:pPr>
        <w:pStyle w:val="TextBody"/>
        <w:bidi w:val="0"/>
        <w:spacing w:before="0" w:after="0"/>
        <w:jc w:val="left"/>
        <w:rPr/>
      </w:pPr>
      <w:r>
        <w:rPr/>
      </w:r>
    </w:p>
    <w:p>
      <w:pPr>
        <w:pStyle w:val="TextBody"/>
        <w:bidi w:val="0"/>
        <w:spacing w:lineRule="auto" w:line="288" w:before="0" w:after="0"/>
        <w:ind w:left="0" w:right="0" w:firstLine="720"/>
        <w:jc w:val="both"/>
        <w:rPr>
          <w:shd w:fill="FFFFFF" w:val="clear"/>
        </w:rPr>
      </w:pPr>
      <w:r>
        <w:rPr>
          <w:rFonts w:ascii="Times New Roman;sans-serif" w:hAnsi="Times New Roman;sans-serif"/>
          <w:b w:val="false"/>
          <w:color w:val="000000"/>
          <w:sz w:val="22"/>
          <w:shd w:fill="FFFFFF" w:val="clear"/>
        </w:rPr>
        <w:t>c.</w:t>
      </w:r>
      <w:r>
        <w:rPr>
          <w:rFonts w:ascii="Times New Roman;sans-serif" w:hAnsi="Times New Roman;sans-serif"/>
          <w:b w:val="false"/>
          <w:color w:val="000000"/>
          <w:sz w:val="22"/>
          <w:shd w:fill="FFFFFF" w:val="clear"/>
        </w:rPr>
        <w:t>since the date of this Repurchase Agreement, no statute, regulation, executive order, decree, ruling or injunction shall have been enacted, entered, promulgated or endorsed by any court or governmental authority of competent jurisdiction and shall be continuing that prohibits the consummation of the Repurchase.</w:t>
      </w:r>
    </w:p>
    <w:p>
      <w:pPr>
        <w:pStyle w:val="TextBody"/>
        <w:bidi w:val="0"/>
        <w:spacing w:before="0" w:after="0"/>
        <w:jc w:val="left"/>
        <w:rPr/>
      </w:pPr>
      <w:r>
        <w:rPr/>
      </w:r>
    </w:p>
    <w:p>
      <w:pPr>
        <w:pStyle w:val="TextBody"/>
        <w:bidi w:val="0"/>
        <w:spacing w:lineRule="auto" w:line="288" w:before="0" w:after="0"/>
        <w:ind w:left="0" w:right="0" w:firstLine="360"/>
        <w:jc w:val="both"/>
        <w:rPr>
          <w:shd w:fill="FFFFFF" w:val="clear"/>
        </w:rPr>
      </w:pPr>
      <w:r>
        <w:rPr>
          <w:rFonts w:ascii="Times New Roman;sans-serif" w:hAnsi="Times New Roman;sans-serif"/>
          <w:b w:val="false"/>
          <w:color w:val="000000"/>
          <w:sz w:val="22"/>
          <w:shd w:fill="FFFFFF" w:val="clear"/>
        </w:rPr>
        <w:t>7.</w:t>
      </w:r>
      <w:r>
        <w:rPr>
          <w:rFonts w:ascii="Times New Roman;sans-serif" w:hAnsi="Times New Roman;sans-serif"/>
          <w:b w:val="false"/>
          <w:color w:val="000000"/>
          <w:sz w:val="22"/>
          <w:u w:val="single"/>
          <w:shd w:fill="FFFFFF" w:val="clear"/>
        </w:rPr>
        <w:t>Conditions to the Company’s Obligation to Close</w:t>
      </w:r>
      <w:r>
        <w:rPr>
          <w:rFonts w:ascii="Times New Roman;sans-serif" w:hAnsi="Times New Roman;sans-serif"/>
          <w:b w:val="false"/>
          <w:color w:val="000000"/>
          <w:sz w:val="22"/>
          <w:shd w:fill="FFFFFF" w:val="clear"/>
        </w:rPr>
        <w:t xml:space="preserve">. The obligation of the Company hereunder to consummate the Repurchase are subject to the satisfaction (or, to the extent permissible under applicable law, waiver by the Company) of each of the following conditions: </w:t>
      </w:r>
    </w:p>
    <w:p>
      <w:pPr>
        <w:pStyle w:val="TextBody"/>
        <w:bidi w:val="0"/>
        <w:spacing w:before="0" w:after="0"/>
        <w:jc w:val="left"/>
        <w:rPr/>
      </w:pPr>
      <w:r>
        <w:rPr/>
      </w:r>
    </w:p>
    <w:p>
      <w:pPr>
        <w:pStyle w:val="TextBody"/>
        <w:bidi w:val="0"/>
        <w:spacing w:lineRule="auto" w:line="288" w:before="0" w:after="0"/>
        <w:ind w:left="0" w:right="0" w:firstLine="720"/>
        <w:jc w:val="both"/>
        <w:rPr>
          <w:shd w:fill="FFFFFF" w:val="clear"/>
        </w:rPr>
      </w:pPr>
      <w:r>
        <w:rPr>
          <w:rFonts w:ascii="Times New Roman;sans-serif" w:hAnsi="Times New Roman;sans-serif"/>
          <w:b w:val="false"/>
          <w:color w:val="000000"/>
          <w:sz w:val="22"/>
          <w:shd w:fill="FFFFFF" w:val="clear"/>
        </w:rPr>
        <w:t>a.</w:t>
      </w:r>
      <w:r>
        <w:rPr>
          <w:rFonts w:ascii="Times New Roman;sans-serif" w:hAnsi="Times New Roman;sans-serif"/>
          <w:b w:val="false"/>
          <w:color w:val="000000"/>
          <w:sz w:val="22"/>
          <w:shd w:fill="FFFFFF" w:val="clear"/>
        </w:rPr>
        <w:t xml:space="preserve">each of the representations and warranties of each Holder contained in </w:t>
      </w:r>
      <w:r>
        <w:rPr>
          <w:rFonts w:ascii="Times New Roman;sans-serif" w:hAnsi="Times New Roman;sans-serif"/>
          <w:b w:val="false"/>
          <w:color w:val="000000"/>
          <w:sz w:val="22"/>
          <w:u w:val="single"/>
          <w:shd w:fill="FFFFFF" w:val="clear"/>
        </w:rPr>
        <w:t xml:space="preserve">Section 5 </w:t>
      </w:r>
      <w:r>
        <w:rPr>
          <w:rFonts w:ascii="Times New Roman;sans-serif" w:hAnsi="Times New Roman;sans-serif"/>
          <w:b w:val="false"/>
          <w:color w:val="000000"/>
          <w:sz w:val="22"/>
          <w:shd w:fill="FFFFFF" w:val="clear"/>
        </w:rPr>
        <w:t>shall be true and correct in all material respects on and as of the Closing Date with the same effect as though such representations and warranties had been made on and as of the Closing Date;</w:t>
      </w:r>
    </w:p>
    <w:p>
      <w:pPr>
        <w:pStyle w:val="TextBody"/>
        <w:bidi w:val="0"/>
        <w:spacing w:before="0" w:after="0"/>
        <w:jc w:val="left"/>
        <w:rPr/>
      </w:pPr>
      <w:r>
        <w:rPr/>
      </w:r>
    </w:p>
    <w:p>
      <w:pPr>
        <w:pStyle w:val="TextBody"/>
        <w:bidi w:val="0"/>
        <w:spacing w:lineRule="auto" w:line="288" w:before="0" w:after="0"/>
        <w:ind w:left="0" w:right="0" w:firstLine="720"/>
        <w:jc w:val="both"/>
        <w:rPr>
          <w:shd w:fill="FFFFFF" w:val="clear"/>
        </w:rPr>
      </w:pPr>
      <w:r>
        <w:rPr>
          <w:rFonts w:ascii="Times New Roman;sans-serif" w:hAnsi="Times New Roman;sans-serif"/>
          <w:b w:val="false"/>
          <w:color w:val="000000"/>
          <w:sz w:val="22"/>
          <w:shd w:fill="FFFFFF" w:val="clear"/>
        </w:rPr>
        <w:t>b.</w:t>
      </w:r>
      <w:r>
        <w:rPr>
          <w:rFonts w:ascii="Times New Roman;sans-serif" w:hAnsi="Times New Roman;sans-serif"/>
          <w:b w:val="false"/>
          <w:color w:val="000000"/>
          <w:sz w:val="22"/>
          <w:shd w:fill="FFFFFF" w:val="clear"/>
        </w:rPr>
        <w:t xml:space="preserve">each Holder shall have performed all of its covenants required to be performed hereunder prior to such time in all material respects; </w:t>
      </w:r>
    </w:p>
    <w:p>
      <w:pPr>
        <w:pStyle w:val="TextBody"/>
        <w:bidi w:val="0"/>
        <w:spacing w:before="0" w:after="0"/>
        <w:jc w:val="left"/>
        <w:rPr/>
      </w:pPr>
      <w:r>
        <w:rPr/>
      </w:r>
    </w:p>
    <w:p>
      <w:pPr>
        <w:pStyle w:val="TextBody"/>
        <w:bidi w:val="0"/>
        <w:spacing w:lineRule="auto" w:line="288" w:before="0" w:after="0"/>
        <w:ind w:left="0" w:right="0" w:firstLine="720"/>
        <w:jc w:val="both"/>
        <w:rPr>
          <w:shd w:fill="FFFFFF" w:val="clear"/>
        </w:rPr>
      </w:pPr>
      <w:r>
        <w:rPr>
          <w:rFonts w:ascii="Times New Roman;sans-serif" w:hAnsi="Times New Roman;sans-serif"/>
          <w:b w:val="false"/>
          <w:color w:val="000000"/>
          <w:sz w:val="22"/>
          <w:shd w:fill="FFFFFF" w:val="clear"/>
        </w:rPr>
        <w:t>c.</w:t>
      </w:r>
      <w:r>
        <w:rPr>
          <w:rFonts w:ascii="Times New Roman;sans-serif" w:hAnsi="Times New Roman;sans-serif"/>
          <w:b w:val="false"/>
          <w:color w:val="000000"/>
          <w:sz w:val="22"/>
          <w:shd w:fill="FFFFFF" w:val="clear"/>
        </w:rPr>
        <w:t>each Holder shall have delivered a completed Internal Revenue Service (“</w:t>
      </w:r>
      <w:r>
        <w:rPr>
          <w:rFonts w:ascii="Times New Roman;sans-serif" w:hAnsi="Times New Roman;sans-serif"/>
          <w:b w:val="false"/>
          <w:color w:val="000000"/>
          <w:sz w:val="22"/>
          <w:u w:val="single"/>
          <w:shd w:fill="FFFFFF" w:val="clear"/>
        </w:rPr>
        <w:t>IRS</w:t>
      </w:r>
      <w:r>
        <w:rPr>
          <w:color w:val="000000"/>
          <w:shd w:fill="FFFFFF" w:val="clear"/>
        </w:rPr>
        <w:t>”</w:t>
      </w:r>
      <w:r>
        <w:rPr>
          <w:rFonts w:ascii="Times New Roman;sans-serif" w:hAnsi="Times New Roman;sans-serif"/>
          <w:b w:val="false"/>
          <w:color w:val="000000"/>
          <w:sz w:val="22"/>
          <w:shd w:fill="FFFFFF" w:val="clear"/>
        </w:rPr>
        <w:t>) Form W-9 to the Company; and</w:t>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75260"/>
                <wp:effectExtent l="0" t="0" r="0" b="0"/>
                <wp:wrapNone/>
                <wp:docPr id="192" name="Frame1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shd w:fill="FFFFFF" w:val="clear"/>
        </w:rPr>
      </w:pPr>
      <w:r>
        <w:rPr>
          <w:rFonts w:ascii="Times New Roman;sans-serif" w:hAnsi="Times New Roman;sans-serif"/>
          <w:b w:val="false"/>
          <w:color w:val="000000"/>
          <w:sz w:val="22"/>
          <w:shd w:fill="FFFFFF" w:val="clear"/>
        </w:rPr>
        <w:t>d.</w:t>
      </w:r>
      <w:r>
        <w:rPr>
          <w:rFonts w:ascii="Times New Roman;sans-serif" w:hAnsi="Times New Roman;sans-serif"/>
          <w:b w:val="false"/>
          <w:color w:val="000000"/>
          <w:sz w:val="22"/>
          <w:shd w:fill="FFFFFF" w:val="clear"/>
        </w:rPr>
        <w:t>since the date of this Repurchase Agreement, no statute, regulation, executive order, decree, ruling or injunction shall have been enacted, entered, promulgated or endorsed by any court or governmental authority of competent jurisdiction and shall be continuing that prohibits the consummation of the Repurchase.</w:t>
      </w:r>
    </w:p>
    <w:p>
      <w:pPr>
        <w:pStyle w:val="TextBody"/>
        <w:bidi w:val="0"/>
        <w:spacing w:before="0" w:after="0"/>
        <w:jc w:val="left"/>
        <w:rPr/>
      </w:pPr>
      <w:r>
        <w:rPr/>
      </w:r>
    </w:p>
    <w:p>
      <w:pPr>
        <w:pStyle w:val="TextBody"/>
        <w:bidi w:val="0"/>
        <w:spacing w:lineRule="auto" w:line="288" w:before="0" w:after="0"/>
        <w:ind w:left="0" w:right="0" w:firstLine="360"/>
        <w:jc w:val="both"/>
        <w:rPr>
          <w:shd w:fill="FFFFFF" w:val="clear"/>
        </w:rPr>
      </w:pPr>
      <w:r>
        <w:rPr>
          <w:rFonts w:ascii="Times New Roman;sans-serif" w:hAnsi="Times New Roman;sans-serif"/>
          <w:b w:val="false"/>
          <w:color w:val="000000"/>
          <w:sz w:val="22"/>
          <w:shd w:fill="FFFFFF" w:val="clear"/>
        </w:rPr>
        <w:t>8.</w:t>
      </w:r>
      <w:r>
        <w:rPr>
          <w:rFonts w:ascii="Times New Roman;sans-serif" w:hAnsi="Times New Roman;sans-serif"/>
          <w:b w:val="false"/>
          <w:color w:val="000000"/>
          <w:sz w:val="22"/>
          <w:u w:val="single"/>
          <w:shd w:fill="FFFFFF" w:val="clear"/>
        </w:rPr>
        <w:t>Complete Agreement</w:t>
      </w:r>
      <w:r>
        <w:rPr>
          <w:rFonts w:ascii="Times New Roman;sans-serif" w:hAnsi="Times New Roman;sans-serif"/>
          <w:b w:val="false"/>
          <w:color w:val="000000"/>
          <w:sz w:val="22"/>
          <w:shd w:fill="FFFFFF" w:val="clear"/>
        </w:rPr>
        <w:t xml:space="preserve">. This Repurchase Agreement constitutes the entire agreement between the parties hereto regarding the subject matter of this Repurchase Agreement and supersede and preempt any prior understandings, agreements or representations, written or oral, which may have related to the subject matter hereof. The recitals hereto are hereby incorporated herein in their entirety. </w:t>
      </w:r>
    </w:p>
    <w:p>
      <w:pPr>
        <w:pStyle w:val="TextBody"/>
        <w:bidi w:val="0"/>
        <w:spacing w:before="0" w:after="0"/>
        <w:jc w:val="both"/>
        <w:rPr/>
      </w:pPr>
      <w:r>
        <w:rPr/>
      </w:r>
    </w:p>
    <w:p>
      <w:pPr>
        <w:pStyle w:val="TextBody"/>
        <w:bidi w:val="0"/>
        <w:spacing w:lineRule="auto" w:line="288" w:before="0" w:after="0"/>
        <w:ind w:left="0" w:right="0" w:firstLine="360"/>
        <w:jc w:val="both"/>
        <w:rPr>
          <w:shd w:fill="FFFFFF" w:val="clear"/>
        </w:rPr>
      </w:pPr>
      <w:r>
        <w:rPr>
          <w:rFonts w:ascii="Times New Roman;sans-serif" w:hAnsi="Times New Roman;sans-serif"/>
          <w:b w:val="false"/>
          <w:color w:val="000000"/>
          <w:sz w:val="22"/>
          <w:shd w:fill="FFFFFF" w:val="clear"/>
        </w:rPr>
        <w:t>9.</w:t>
      </w:r>
      <w:r>
        <w:rPr>
          <w:rFonts w:ascii="Times New Roman;sans-serif" w:hAnsi="Times New Roman;sans-serif"/>
          <w:b w:val="false"/>
          <w:color w:val="000000"/>
          <w:sz w:val="22"/>
          <w:u w:val="single"/>
          <w:shd w:fill="FFFFFF" w:val="clear"/>
        </w:rPr>
        <w:t>Survival</w:t>
      </w:r>
      <w:r>
        <w:rPr>
          <w:rFonts w:ascii="Times New Roman;sans-serif" w:hAnsi="Times New Roman;sans-serif"/>
          <w:b w:val="false"/>
          <w:color w:val="000000"/>
          <w:sz w:val="22"/>
          <w:shd w:fill="FFFFFF" w:val="clear"/>
        </w:rPr>
        <w:t>. Each of the representations, warranties, covenants, and agreements in this Repurchase Agreement or pursuant hereto shall survive the Closing. Notwithstanding any knowledge of facts determined or determinable by any party by investigation, each party shall have the right to fully rely on the representations, warranties, covenants and agreements of the other parties contained in this Repurchase Agreement or in any other documents or papers delivered in connection herewith. Each representation, warranty, covenant and agreement of the parties contained in this Repurchase Agreement is independent of each other representation, warranty, covenant and agreement. Except as expressly set forth in this Repurchase Agreement, no party has made any representation warranty, covenant or agreement.</w:t>
      </w:r>
      <w:r>
        <w:rPr>
          <w:color w:val="000000"/>
          <w:u w:val="single"/>
          <w:shd w:fill="FFFFFF" w:val="clear"/>
        </w:rPr>
        <w:t xml:space="preserve"> </w:t>
      </w:r>
    </w:p>
    <w:p>
      <w:pPr>
        <w:pStyle w:val="TextBody"/>
        <w:bidi w:val="0"/>
        <w:spacing w:before="0" w:after="0"/>
        <w:jc w:val="left"/>
        <w:rPr/>
      </w:pPr>
      <w:r>
        <w:rPr/>
      </w:r>
    </w:p>
    <w:p>
      <w:pPr>
        <w:pStyle w:val="TextBody"/>
        <w:bidi w:val="0"/>
        <w:spacing w:lineRule="auto" w:line="288" w:before="0" w:after="0"/>
        <w:ind w:left="0" w:right="0" w:firstLine="360"/>
        <w:jc w:val="both"/>
        <w:rPr>
          <w:shd w:fill="FFFFFF" w:val="clear"/>
        </w:rPr>
      </w:pPr>
      <w:r>
        <w:rPr>
          <w:rFonts w:ascii="Times New Roman;sans-serif" w:hAnsi="Times New Roman;sans-serif"/>
          <w:b w:val="false"/>
          <w:color w:val="000000"/>
          <w:sz w:val="22"/>
          <w:shd w:fill="FFFFFF" w:val="clear"/>
        </w:rPr>
        <w:t>10.</w:t>
      </w:r>
      <w:r>
        <w:rPr>
          <w:rFonts w:ascii="Times New Roman;sans-serif" w:hAnsi="Times New Roman;sans-serif"/>
          <w:b w:val="false"/>
          <w:color w:val="000000"/>
          <w:sz w:val="22"/>
          <w:u w:val="single"/>
          <w:shd w:fill="FFFFFF" w:val="clear"/>
        </w:rPr>
        <w:t>Waiver, Amendment</w:t>
      </w:r>
      <w:r>
        <w:rPr>
          <w:rFonts w:ascii="Times New Roman;sans-serif" w:hAnsi="Times New Roman;sans-serif"/>
          <w:b w:val="false"/>
          <w:color w:val="000000"/>
          <w:sz w:val="22"/>
          <w:shd w:fill="FFFFFF" w:val="clear"/>
        </w:rPr>
        <w:t xml:space="preserve">. Neither this Repurchase Agreement nor any provisions hereof shall be modified, changed, discharged or terminated except by an instrument in writing, signed by the party against whom any waiver, change, discharge or termination is sought. </w:t>
      </w:r>
    </w:p>
    <w:p>
      <w:pPr>
        <w:pStyle w:val="TextBody"/>
        <w:bidi w:val="0"/>
        <w:spacing w:before="0" w:after="0"/>
        <w:jc w:val="left"/>
        <w:rPr/>
      </w:pPr>
      <w:r>
        <w:rPr/>
      </w:r>
    </w:p>
    <w:p>
      <w:pPr>
        <w:pStyle w:val="TextBody"/>
        <w:bidi w:val="0"/>
        <w:spacing w:lineRule="auto" w:line="288" w:before="0" w:after="0"/>
        <w:ind w:left="0" w:right="0" w:firstLine="360"/>
        <w:jc w:val="both"/>
        <w:rPr>
          <w:shd w:fill="FFFFFF" w:val="clear"/>
        </w:rPr>
      </w:pPr>
      <w:r>
        <w:rPr>
          <w:rFonts w:ascii="Times New Roman;sans-serif" w:hAnsi="Times New Roman;sans-serif"/>
          <w:b w:val="false"/>
          <w:color w:val="000000"/>
          <w:sz w:val="22"/>
          <w:shd w:fill="FFFFFF" w:val="clear"/>
        </w:rPr>
        <w:t>11.</w:t>
      </w:r>
      <w:r>
        <w:rPr>
          <w:color w:val="000000"/>
          <w:shd w:fill="FFFFFF" w:val="clear"/>
        </w:rPr>
        <w:t xml:space="preserve"> </w:t>
      </w:r>
      <w:r>
        <w:rPr>
          <w:rFonts w:ascii="Times New Roman;sans-serif" w:hAnsi="Times New Roman;sans-serif"/>
          <w:b w:val="false"/>
          <w:color w:val="000000"/>
          <w:sz w:val="22"/>
          <w:u w:val="single"/>
          <w:shd w:fill="FFFFFF" w:val="clear"/>
        </w:rPr>
        <w:t>Assignability</w:t>
      </w:r>
      <w:r>
        <w:rPr>
          <w:rFonts w:ascii="Times New Roman;sans-serif" w:hAnsi="Times New Roman;sans-serif"/>
          <w:b w:val="false"/>
          <w:color w:val="000000"/>
          <w:sz w:val="22"/>
          <w:shd w:fill="FFFFFF" w:val="clear"/>
        </w:rPr>
        <w:t xml:space="preserve">. Neither this Repurchase Agreement nor any right, remedy, obligation or liability arising hereunder or by reason hereof shall be assignable by either the Company or the Holders without the prior written consent of the other parties. </w:t>
      </w:r>
    </w:p>
    <w:p>
      <w:pPr>
        <w:pStyle w:val="TextBody"/>
        <w:bidi w:val="0"/>
        <w:spacing w:before="0" w:after="0"/>
        <w:jc w:val="left"/>
        <w:rPr/>
      </w:pPr>
      <w:r>
        <w:rPr/>
      </w:r>
    </w:p>
    <w:p>
      <w:pPr>
        <w:pStyle w:val="TextBody"/>
        <w:bidi w:val="0"/>
        <w:spacing w:lineRule="auto" w:line="288" w:before="0" w:after="0"/>
        <w:ind w:left="0" w:right="0" w:firstLine="360"/>
        <w:jc w:val="both"/>
        <w:rPr>
          <w:shd w:fill="FFFFFF" w:val="clear"/>
        </w:rPr>
      </w:pPr>
      <w:r>
        <w:rPr>
          <w:rFonts w:ascii="Times New Roman;sans-serif" w:hAnsi="Times New Roman;sans-serif"/>
          <w:b w:val="false"/>
          <w:color w:val="000000"/>
          <w:sz w:val="22"/>
          <w:shd w:fill="FFFFFF" w:val="clear"/>
        </w:rPr>
        <w:t>12.</w:t>
      </w:r>
      <w:r>
        <w:rPr>
          <w:rFonts w:ascii="Times New Roman;sans-serif" w:hAnsi="Times New Roman;sans-serif"/>
          <w:b w:val="false"/>
          <w:color w:val="000000"/>
          <w:sz w:val="22"/>
          <w:u w:val="single"/>
          <w:shd w:fill="FFFFFF" w:val="clear"/>
        </w:rPr>
        <w:t>Waiver of Jury Trial</w:t>
      </w:r>
      <w:r>
        <w:rPr>
          <w:rFonts w:ascii="Times New Roman;sans-serif" w:hAnsi="Times New Roman;sans-serif"/>
          <w:b w:val="false"/>
          <w:color w:val="000000"/>
          <w:sz w:val="22"/>
          <w:shd w:fill="FFFFFF" w:val="clear"/>
        </w:rPr>
        <w:t xml:space="preserve">. THE HOLDERS IRREVOCABLY WAIVE ANY AND ALL RIGHT TO TRIAL BY JURY WITH RESPECT TO ANY LEGAL PROCEEDING ARISING OUT OF THE REPURCHASE CONTEMPLATED BY THIS REPURCHASE AGREEMENT. </w:t>
      </w:r>
    </w:p>
    <w:p>
      <w:pPr>
        <w:pStyle w:val="TextBody"/>
        <w:bidi w:val="0"/>
        <w:spacing w:before="0" w:after="0"/>
        <w:jc w:val="left"/>
        <w:rPr/>
      </w:pPr>
      <w:r>
        <w:rPr/>
      </w:r>
    </w:p>
    <w:p>
      <w:pPr>
        <w:pStyle w:val="TextBody"/>
        <w:bidi w:val="0"/>
        <w:spacing w:lineRule="auto" w:line="288" w:before="0" w:after="0"/>
        <w:ind w:left="0" w:right="0" w:firstLine="360"/>
        <w:jc w:val="both"/>
        <w:rPr>
          <w:shd w:fill="FFFFFF" w:val="clear"/>
        </w:rPr>
      </w:pPr>
      <w:r>
        <w:rPr>
          <w:rFonts w:ascii="Times New Roman;sans-serif" w:hAnsi="Times New Roman;sans-serif"/>
          <w:b w:val="false"/>
          <w:color w:val="000000"/>
          <w:sz w:val="22"/>
          <w:shd w:fill="FFFFFF" w:val="clear"/>
        </w:rPr>
        <w:t>13.</w:t>
      </w:r>
      <w:r>
        <w:rPr>
          <w:rFonts w:ascii="Times New Roman;sans-serif" w:hAnsi="Times New Roman;sans-serif"/>
          <w:b w:val="false"/>
          <w:color w:val="000000"/>
          <w:sz w:val="22"/>
          <w:u w:val="single"/>
          <w:shd w:fill="FFFFFF" w:val="clear"/>
        </w:rPr>
        <w:t>Governing Law</w:t>
      </w:r>
      <w:r>
        <w:rPr>
          <w:rFonts w:ascii="Times New Roman;sans-serif" w:hAnsi="Times New Roman;sans-serif"/>
          <w:b w:val="false"/>
          <w:color w:val="000000"/>
          <w:sz w:val="22"/>
          <w:shd w:fill="FFFFFF" w:val="clear"/>
        </w:rPr>
        <w:t xml:space="preserve">. This Repurchase Agreement shall be governed by the laws of the State of New York without regard to any state’s rules regarding conflicts of laws. The parties agree that all disputes arising under this Repurchase Agreement shall be submitted exclusively to the state and/or federal courts located in The City of New York, Borough of Manhattan and any state appellate court therefrom within the State of New York, and the parties hereby irrevocably waive any objection it may now or hereafter have as to the convenience of such forum. </w:t>
      </w:r>
    </w:p>
    <w:p>
      <w:pPr>
        <w:pStyle w:val="TextBody"/>
        <w:bidi w:val="0"/>
        <w:spacing w:before="0" w:after="0"/>
        <w:jc w:val="left"/>
        <w:rPr/>
      </w:pPr>
      <w:r>
        <w:rPr/>
      </w:r>
    </w:p>
    <w:p>
      <w:pPr>
        <w:pStyle w:val="TextBody"/>
        <w:bidi w:val="0"/>
        <w:spacing w:lineRule="auto" w:line="288" w:before="0" w:after="0"/>
        <w:ind w:left="0" w:right="0" w:firstLine="360"/>
        <w:jc w:val="both"/>
        <w:rPr>
          <w:shd w:fill="FFFFFF" w:val="clear"/>
        </w:rPr>
      </w:pPr>
      <w:r>
        <w:rPr>
          <w:rFonts w:ascii="Times New Roman;sans-serif" w:hAnsi="Times New Roman;sans-serif"/>
          <w:b w:val="false"/>
          <w:color w:val="000000"/>
          <w:sz w:val="22"/>
          <w:shd w:fill="FFFFFF" w:val="clear"/>
        </w:rPr>
        <w:t>14.</w:t>
      </w:r>
      <w:r>
        <w:rPr>
          <w:rFonts w:ascii="Times New Roman;sans-serif" w:hAnsi="Times New Roman;sans-serif"/>
          <w:b w:val="false"/>
          <w:color w:val="000000"/>
          <w:sz w:val="22"/>
          <w:u w:val="single"/>
          <w:shd w:fill="FFFFFF" w:val="clear"/>
        </w:rPr>
        <w:t>Interpretation; Section and Other Headings</w:t>
      </w:r>
      <w:r>
        <w:rPr>
          <w:rFonts w:ascii="Times New Roman;sans-serif" w:hAnsi="Times New Roman;sans-serif"/>
          <w:b w:val="false"/>
          <w:color w:val="000000"/>
          <w:sz w:val="22"/>
          <w:shd w:fill="FFFFFF" w:val="clear"/>
        </w:rPr>
        <w:t xml:space="preserve">. The parties acknowledge and agree that this Repurchase Agreement has been negotiated at arm's length and among parties equally sophisticated and knowledgeable in the matters covered hereby. Accordingly, any rule of law or legal decision that would require interpretation of any ambiguities in this Repurchase Agreement against the party that has drafted it is not applicable and is hereby waived. The section and other headings contained in this Repurchase Agreement are for reference purposes only and shall not affect the meaning or interpretation of this Repurchase Agreement. </w:t>
      </w:r>
    </w:p>
    <w:p>
      <w:pPr>
        <w:pStyle w:val="TextBody"/>
        <w:bidi w:val="0"/>
        <w:spacing w:before="0" w:after="0"/>
        <w:jc w:val="left"/>
        <w:rPr/>
      </w:pPr>
      <w:r>
        <w:rPr/>
      </w:r>
    </w:p>
    <w:p>
      <w:pPr>
        <w:pStyle w:val="TextBody"/>
        <w:bidi w:val="0"/>
        <w:spacing w:lineRule="auto" w:line="288"/>
        <w:ind w:left="0" w:right="0" w:firstLine="360"/>
        <w:jc w:val="both"/>
        <w:rPr>
          <w:shd w:fill="FFFFFF" w:val="clear"/>
        </w:rPr>
      </w:pPr>
      <w:r>
        <w:rPr>
          <w:rFonts w:ascii="Times New Roman;sans-serif" w:hAnsi="Times New Roman;sans-serif"/>
          <w:b w:val="false"/>
          <w:color w:val="000000"/>
          <w:sz w:val="22"/>
          <w:shd w:fill="FFFFFF" w:val="clear"/>
        </w:rPr>
        <w:t>15.</w:t>
      </w:r>
      <w:r>
        <w:rPr>
          <w:rFonts w:ascii="Times New Roman;sans-serif" w:hAnsi="Times New Roman;sans-serif"/>
          <w:b w:val="false"/>
          <w:color w:val="000000"/>
          <w:sz w:val="22"/>
          <w:u w:val="single"/>
          <w:shd w:fill="FFFFFF" w:val="clear"/>
        </w:rPr>
        <w:t>Counterparts</w:t>
      </w:r>
      <w:r>
        <w:rPr>
          <w:rFonts w:ascii="Times New Roman;sans-serif" w:hAnsi="Times New Roman;sans-serif"/>
          <w:b w:val="false"/>
          <w:color w:val="000000"/>
          <w:sz w:val="22"/>
          <w:shd w:fill="FFFFFF" w:val="clear"/>
        </w:rPr>
        <w:t xml:space="preserve">. This Repurchase Agreement may be signed in two or more counterparts, each of which shall be an original, with the same effect as if the signatures thereto and hereto were upon the same </w:t>
      </w:r>
    </w:p>
    <w:p>
      <w:pPr>
        <w:pStyle w:val="TextBody"/>
        <w:bidi w:val="0"/>
        <w:spacing w:before="0" w:after="0"/>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75260"/>
                <wp:effectExtent l="0" t="0" r="0" b="0"/>
                <wp:wrapNone/>
                <wp:docPr id="193" name="Frame1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instrument.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pStyle w:val="TextBody"/>
        <w:bidi w:val="0"/>
        <w:spacing w:before="0" w:after="0"/>
        <w:jc w:val="left"/>
        <w:rPr/>
      </w:pPr>
      <w:r>
        <w:rPr/>
      </w:r>
    </w:p>
    <w:p>
      <w:pPr>
        <w:pStyle w:val="TextBody"/>
        <w:bidi w:val="0"/>
        <w:spacing w:lineRule="auto" w:line="288" w:before="0" w:after="0"/>
        <w:ind w:left="0" w:right="0" w:firstLine="360"/>
        <w:jc w:val="both"/>
        <w:rPr>
          <w:shd w:fill="FFFFFF" w:val="clear"/>
        </w:rPr>
      </w:pPr>
      <w:r>
        <w:rPr>
          <w:rFonts w:ascii="Times New Roman;sans-serif" w:hAnsi="Times New Roman;sans-serif"/>
          <w:b w:val="false"/>
          <w:color w:val="000000"/>
          <w:sz w:val="22"/>
          <w:shd w:fill="FFFFFF" w:val="clear"/>
        </w:rPr>
        <w:t>16.</w:t>
      </w:r>
      <w:r>
        <w:rPr>
          <w:color w:val="000000"/>
          <w:shd w:fill="FFFFFF" w:val="clear"/>
        </w:rPr>
        <w:t xml:space="preserve"> </w:t>
      </w:r>
      <w:r>
        <w:rPr>
          <w:rFonts w:ascii="Times New Roman;sans-serif" w:hAnsi="Times New Roman;sans-serif"/>
          <w:b w:val="false"/>
          <w:color w:val="000000"/>
          <w:sz w:val="22"/>
          <w:u w:val="single"/>
          <w:shd w:fill="FFFFFF" w:val="clear"/>
        </w:rPr>
        <w:t>Notices</w:t>
      </w:r>
      <w:r>
        <w:rPr>
          <w:rFonts w:ascii="Times New Roman;sans-serif" w:hAnsi="Times New Roman;sans-serif"/>
          <w:b w:val="false"/>
          <w:color w:val="000000"/>
          <w:sz w:val="22"/>
          <w:shd w:fill="FFFFFF" w:val="clear"/>
        </w:rPr>
        <w:t xml:space="preserve">. All notices and other communications to the Company provided for herein shall be in writing and shall be deemed to have been duly given if delivered personally or sent by registered or certified mail, return receipt requested, postage prepaid to the following addresses, or in the case of each Holder, the address provided on the signature page below (or such other address as either party shall have specified by notice in writing to the other): </w:t>
      </w:r>
    </w:p>
    <w:tbl>
      <w:tblPr>
        <w:tblW w:w="10205" w:type="dxa"/>
        <w:jc w:val="left"/>
        <w:tblInd w:w="0" w:type="dxa"/>
        <w:tblLayout w:type="fixed"/>
        <w:tblCellMar>
          <w:top w:w="28" w:type="dxa"/>
          <w:left w:w="28" w:type="dxa"/>
          <w:bottom w:w="28" w:type="dxa"/>
          <w:right w:w="28" w:type="dxa"/>
        </w:tblCellMar>
      </w:tblPr>
      <w:tblGrid>
        <w:gridCol w:w="1501"/>
        <w:gridCol w:w="1320"/>
        <w:gridCol w:w="1325"/>
        <w:gridCol w:w="109"/>
        <w:gridCol w:w="109"/>
        <w:gridCol w:w="109"/>
        <w:gridCol w:w="1677"/>
        <w:gridCol w:w="1677"/>
        <w:gridCol w:w="2378"/>
      </w:tblGrid>
      <w:tr>
        <w:trPr/>
        <w:tc>
          <w:tcPr>
            <w:tcW w:w="1501"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2378" w:type="dxa"/>
            <w:tcBorders/>
            <w:vAlign w:val="center"/>
          </w:tcPr>
          <w:p>
            <w:pPr>
              <w:pStyle w:val="TableContents"/>
              <w:bidi w:val="0"/>
              <w:spacing w:before="0" w:after="283"/>
              <w:jc w:val="left"/>
              <w:rPr>
                <w:sz w:val="4"/>
                <w:szCs w:val="4"/>
              </w:rPr>
            </w:pPr>
            <w:r>
              <w:rPr>
                <w:sz w:val="4"/>
                <w:szCs w:val="4"/>
              </w:rPr>
            </w:r>
          </w:p>
        </w:tc>
      </w:tr>
      <w:tr>
        <w:trPr/>
        <w:tc>
          <w:tcPr>
            <w:tcW w:w="4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If to the Company:</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With a copy to (which shall not constitute notice):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Synchronoss Technologies, Inc.</w:t>
            </w:r>
          </w:p>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200 Crossing Boulevard, 8th Floor</w:t>
            </w:r>
          </w:p>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Bridgewater, New Jersey 08807</w:t>
            </w:r>
          </w:p>
          <w:p>
            <w:pPr>
              <w:pStyle w:val="TableContents"/>
              <w:bidi w:val="0"/>
              <w:spacing w:lineRule="auto" w:line="288" w:before="0" w:after="20"/>
              <w:jc w:val="left"/>
              <w:rPr/>
            </w:pPr>
            <w:r>
              <w:rPr>
                <w:rFonts w:ascii="Times New Roman;sans-serif" w:hAnsi="Times New Roman;sans-serif"/>
                <w:b w:val="false"/>
                <w:color w:val="000000"/>
                <w:sz w:val="22"/>
              </w:rPr>
              <w:t xml:space="preserve">E-mail: </w:t>
            </w:r>
            <w:r>
              <w:rPr>
                <w:rFonts w:ascii="Times New Roman;sans-serif" w:hAnsi="Times New Roman;sans-serif"/>
                <w:b w:val="false"/>
                <w:color w:val="0563C1"/>
                <w:sz w:val="22"/>
                <w:u w:val="single"/>
              </w:rPr>
              <w:t>legal@synchronoss.com</w:t>
            </w:r>
          </w:p>
          <w:p>
            <w:pPr>
              <w:pStyle w:val="TableContents"/>
              <w:bidi w:val="0"/>
              <w:spacing w:before="0" w:after="20"/>
              <w:jc w:val="left"/>
              <w:rPr/>
            </w:pPr>
            <w:r>
              <w:rPr/>
            </w:r>
          </w:p>
          <w:p>
            <w:pPr>
              <w:pStyle w:val="TableContents"/>
              <w:bidi w:val="0"/>
              <w:spacing w:before="0" w:after="20"/>
              <w:jc w:val="left"/>
              <w:rPr/>
            </w:pPr>
            <w:r>
              <w:rPr/>
            </w:r>
          </w:p>
          <w:p>
            <w:pPr>
              <w:pStyle w:val="TableContents"/>
              <w:bidi w:val="0"/>
              <w:spacing w:lineRule="auto" w:line="288" w:before="0" w:after="20"/>
              <w:jc w:val="left"/>
              <w:rPr>
                <w:rFonts w:ascii="Times New Roman;sans-serif" w:hAnsi="Times New Roman;sans-serif"/>
                <w:b w:val="false"/>
                <w:color w:val="000000"/>
                <w:sz w:val="22"/>
              </w:rPr>
            </w:pPr>
            <w:r>
              <w:rPr>
                <w:rFonts w:ascii="Times New Roman;sans-serif" w:hAnsi="Times New Roman;sans-serif"/>
                <w:b w:val="false"/>
                <w:color w:val="000000"/>
                <w:sz w:val="22"/>
              </w:rPr>
              <w:t>Gunderson Dettmer Stough Villeneuve Franklin &amp; Hachigian, LLP</w:t>
            </w:r>
          </w:p>
          <w:p>
            <w:pPr>
              <w:pStyle w:val="TableContents"/>
              <w:bidi w:val="0"/>
              <w:spacing w:lineRule="auto" w:line="288" w:before="0" w:after="20"/>
              <w:jc w:val="left"/>
              <w:rPr>
                <w:rFonts w:ascii="Times New Roman;sans-serif" w:hAnsi="Times New Roman;sans-serif"/>
                <w:b w:val="false"/>
                <w:color w:val="000000"/>
                <w:sz w:val="22"/>
              </w:rPr>
            </w:pPr>
            <w:r>
              <w:rPr>
                <w:rFonts w:ascii="Times New Roman;sans-serif" w:hAnsi="Times New Roman;sans-serif"/>
                <w:b w:val="false"/>
                <w:color w:val="000000"/>
                <w:sz w:val="22"/>
              </w:rPr>
              <w:t>One Marina Park Drive, Suite 900</w:t>
            </w:r>
          </w:p>
          <w:p>
            <w:pPr>
              <w:pStyle w:val="TableContents"/>
              <w:bidi w:val="0"/>
              <w:spacing w:lineRule="auto" w:line="288" w:before="0" w:after="20"/>
              <w:jc w:val="left"/>
              <w:rPr>
                <w:rFonts w:ascii="Times New Roman;sans-serif" w:hAnsi="Times New Roman;sans-serif"/>
                <w:b w:val="false"/>
                <w:color w:val="000000"/>
                <w:sz w:val="22"/>
              </w:rPr>
            </w:pPr>
            <w:r>
              <w:rPr>
                <w:rFonts w:ascii="Times New Roman;sans-serif" w:hAnsi="Times New Roman;sans-serif"/>
                <w:b w:val="false"/>
                <w:color w:val="000000"/>
                <w:sz w:val="22"/>
              </w:rPr>
              <w:t>Boston, MA 02210</w:t>
            </w:r>
          </w:p>
          <w:p>
            <w:pPr>
              <w:pStyle w:val="TableContents"/>
              <w:bidi w:val="0"/>
              <w:spacing w:lineRule="auto" w:line="288" w:before="0" w:after="20"/>
              <w:jc w:val="left"/>
              <w:rPr>
                <w:rFonts w:ascii="Times New Roman;sans-serif" w:hAnsi="Times New Roman;sans-serif"/>
                <w:b w:val="false"/>
                <w:color w:val="000000"/>
                <w:sz w:val="22"/>
              </w:rPr>
            </w:pPr>
            <w:r>
              <w:rPr>
                <w:rFonts w:ascii="Times New Roman;sans-serif" w:hAnsi="Times New Roman;sans-serif"/>
                <w:b w:val="false"/>
                <w:color w:val="000000"/>
                <w:sz w:val="22"/>
              </w:rPr>
              <w:t>Attention: Marc Dupre</w:t>
            </w:r>
          </w:p>
          <w:p>
            <w:pPr>
              <w:pStyle w:val="TableContents"/>
              <w:bidi w:val="0"/>
              <w:spacing w:lineRule="auto" w:line="288" w:before="0" w:after="20"/>
              <w:jc w:val="left"/>
              <w:rPr/>
            </w:pPr>
            <w:r>
              <w:rPr>
                <w:rFonts w:ascii="Times New Roman;sans-serif" w:hAnsi="Times New Roman;sans-serif"/>
                <w:b w:val="false"/>
                <w:color w:val="000000"/>
                <w:sz w:val="22"/>
              </w:rPr>
              <w:t xml:space="preserve">Email: </w:t>
            </w:r>
            <w:r>
              <w:rPr>
                <w:rFonts w:ascii="Times New Roman;sans-serif" w:hAnsi="Times New Roman;sans-serif"/>
                <w:b w:val="false"/>
                <w:color w:val="0563C1"/>
                <w:sz w:val="22"/>
                <w:u w:val="single"/>
              </w:rPr>
              <w:t>mdupre@gunder.com</w:t>
            </w:r>
          </w:p>
        </w:tc>
      </w:tr>
    </w:tbl>
    <w:p>
      <w:pPr>
        <w:pStyle w:val="TextBody"/>
        <w:bidi w:val="0"/>
        <w:spacing w:before="0" w:after="0"/>
        <w:jc w:val="both"/>
        <w:rPr/>
      </w:pPr>
      <w:r>
        <w:rPr/>
      </w:r>
    </w:p>
    <w:p>
      <w:pPr>
        <w:pStyle w:val="TextBody"/>
        <w:bidi w:val="0"/>
        <w:spacing w:lineRule="auto" w:line="288" w:before="0" w:after="0"/>
        <w:ind w:left="0" w:right="0" w:firstLine="360"/>
        <w:jc w:val="both"/>
        <w:rPr>
          <w:shd w:fill="FFFFFF" w:val="clear"/>
        </w:rPr>
      </w:pPr>
      <w:r>
        <w:rPr>
          <w:rFonts w:ascii="Times New Roman;sans-serif" w:hAnsi="Times New Roman;sans-serif"/>
          <w:b w:val="false"/>
          <w:color w:val="000000"/>
          <w:sz w:val="22"/>
          <w:shd w:fill="FFFFFF" w:val="clear"/>
        </w:rPr>
        <w:t>17.</w:t>
      </w:r>
      <w:r>
        <w:rPr>
          <w:rFonts w:ascii="Times New Roman;sans-serif" w:hAnsi="Times New Roman;sans-serif"/>
          <w:b w:val="false"/>
          <w:color w:val="000000"/>
          <w:sz w:val="22"/>
          <w:u w:val="single"/>
          <w:shd w:fill="FFFFFF" w:val="clear"/>
        </w:rPr>
        <w:t>Binding Effect</w:t>
      </w:r>
      <w:r>
        <w:rPr>
          <w:rFonts w:ascii="Times New Roman;sans-serif" w:hAnsi="Times New Roman;sans-serif"/>
          <w:b w:val="false"/>
          <w:color w:val="000000"/>
          <w:sz w:val="22"/>
          <w:shd w:fill="FFFFFF" w:val="clear"/>
        </w:rPr>
        <w:t xml:space="preserve">. The provisions of this Repurchase Agreement shall be binding upon and accrue to the benefit of the parties hereto and their respective heirs, legal representatives, successors and permitted assigns. </w:t>
      </w:r>
    </w:p>
    <w:p>
      <w:pPr>
        <w:pStyle w:val="TextBody"/>
        <w:bidi w:val="0"/>
        <w:spacing w:before="0" w:after="0"/>
        <w:jc w:val="both"/>
        <w:rPr/>
      </w:pPr>
      <w:r>
        <w:rPr/>
      </w:r>
    </w:p>
    <w:p>
      <w:pPr>
        <w:pStyle w:val="TextBody"/>
        <w:bidi w:val="0"/>
        <w:spacing w:lineRule="auto" w:line="288" w:before="0" w:after="0"/>
        <w:ind w:left="0" w:right="0" w:firstLine="360"/>
        <w:jc w:val="both"/>
        <w:rPr>
          <w:shd w:fill="FFFFFF" w:val="clear"/>
        </w:rPr>
      </w:pPr>
      <w:r>
        <w:rPr>
          <w:rFonts w:ascii="Times New Roman;sans-serif" w:hAnsi="Times New Roman;sans-serif"/>
          <w:b w:val="false"/>
          <w:color w:val="000000"/>
          <w:sz w:val="22"/>
          <w:shd w:fill="FFFFFF" w:val="clear"/>
        </w:rPr>
        <w:t>18.</w:t>
      </w:r>
      <w:r>
        <w:rPr>
          <w:color w:val="000000"/>
          <w:shd w:fill="FFFFFF" w:val="clear"/>
        </w:rPr>
        <w:t xml:space="preserve"> </w:t>
      </w:r>
      <w:r>
        <w:rPr>
          <w:rFonts w:ascii="Times New Roman;sans-serif" w:hAnsi="Times New Roman;sans-serif"/>
          <w:b w:val="false"/>
          <w:color w:val="000000"/>
          <w:sz w:val="22"/>
          <w:u w:val="single"/>
          <w:shd w:fill="FFFFFF" w:val="clear"/>
        </w:rPr>
        <w:t>Notification of Changes</w:t>
      </w:r>
      <w:r>
        <w:rPr>
          <w:rFonts w:ascii="Times New Roman;sans-serif" w:hAnsi="Times New Roman;sans-serif"/>
          <w:b w:val="false"/>
          <w:color w:val="000000"/>
          <w:sz w:val="22"/>
          <w:shd w:fill="FFFFFF" w:val="clear"/>
        </w:rPr>
        <w:t xml:space="preserve">. Each Holder hereby covenants and agrees to notify the Company upon the occurrence of any event prior to the Closing which would cause any representation, warranty, or covenant of such Holder contained in this Repurchase Agreement to be false or incorrect. </w:t>
      </w:r>
    </w:p>
    <w:p>
      <w:pPr>
        <w:pStyle w:val="TextBody"/>
        <w:bidi w:val="0"/>
        <w:spacing w:before="0" w:after="0"/>
        <w:jc w:val="left"/>
        <w:rPr/>
      </w:pPr>
      <w:r>
        <w:rPr/>
      </w:r>
    </w:p>
    <w:p>
      <w:pPr>
        <w:pStyle w:val="TextBody"/>
        <w:bidi w:val="0"/>
        <w:spacing w:lineRule="auto" w:line="288" w:before="0" w:after="0"/>
        <w:ind w:left="0" w:right="0" w:firstLine="360"/>
        <w:jc w:val="both"/>
        <w:rPr>
          <w:shd w:fill="FFFFFF" w:val="clear"/>
        </w:rPr>
      </w:pPr>
      <w:r>
        <w:rPr>
          <w:rFonts w:ascii="Times New Roman;sans-serif" w:hAnsi="Times New Roman;sans-serif"/>
          <w:b w:val="false"/>
          <w:color w:val="000000"/>
          <w:sz w:val="22"/>
          <w:shd w:fill="FFFFFF" w:val="clear"/>
        </w:rPr>
        <w:t>19.</w:t>
      </w:r>
      <w:r>
        <w:rPr>
          <w:rFonts w:ascii="Times New Roman;sans-serif" w:hAnsi="Times New Roman;sans-serif"/>
          <w:b w:val="false"/>
          <w:color w:val="000000"/>
          <w:sz w:val="22"/>
          <w:u w:val="single"/>
          <w:shd w:fill="FFFFFF" w:val="clear"/>
        </w:rPr>
        <w:t>Expenses</w:t>
      </w:r>
      <w:r>
        <w:rPr>
          <w:rFonts w:ascii="Times New Roman;sans-serif" w:hAnsi="Times New Roman;sans-serif"/>
          <w:b w:val="false"/>
          <w:color w:val="000000"/>
          <w:sz w:val="22"/>
          <w:shd w:fill="FFFFFF" w:val="clear"/>
        </w:rPr>
        <w:t xml:space="preserve">. All costs and expenses incurred in connection with this Repurchase Agreement shall be paid by the party incurring such cost or expense, including without limitation the fees and expenses of any investment banks, attorneys, accountants or other experts or advisors retained by such party. </w:t>
      </w:r>
    </w:p>
    <w:p>
      <w:pPr>
        <w:pStyle w:val="TextBody"/>
        <w:bidi w:val="0"/>
        <w:spacing w:before="0" w:after="0"/>
        <w:jc w:val="left"/>
        <w:rPr/>
      </w:pPr>
      <w:r>
        <w:rPr/>
      </w:r>
    </w:p>
    <w:p>
      <w:pPr>
        <w:pStyle w:val="TextBody"/>
        <w:bidi w:val="0"/>
        <w:spacing w:lineRule="auto" w:line="288" w:before="0" w:after="0"/>
        <w:ind w:left="0" w:right="0" w:firstLine="360"/>
        <w:jc w:val="both"/>
        <w:rPr>
          <w:shd w:fill="FFFFFF" w:val="clear"/>
        </w:rPr>
      </w:pPr>
      <w:r>
        <w:rPr>
          <w:rFonts w:ascii="Times New Roman;sans-serif" w:hAnsi="Times New Roman;sans-serif"/>
          <w:b w:val="false"/>
          <w:color w:val="000000"/>
          <w:sz w:val="22"/>
          <w:shd w:fill="FFFFFF" w:val="clear"/>
        </w:rPr>
        <w:t>20.</w:t>
      </w:r>
      <w:r>
        <w:rPr>
          <w:rFonts w:ascii="Times New Roman;sans-serif" w:hAnsi="Times New Roman;sans-serif"/>
          <w:b w:val="false"/>
          <w:color w:val="000000"/>
          <w:sz w:val="22"/>
          <w:u w:val="single"/>
          <w:shd w:fill="FFFFFF" w:val="clear"/>
        </w:rPr>
        <w:t>Severability</w:t>
      </w:r>
      <w:r>
        <w:rPr>
          <w:rFonts w:ascii="Times New Roman;sans-serif" w:hAnsi="Times New Roman;sans-serif"/>
          <w:b w:val="false"/>
          <w:color w:val="000000"/>
          <w:sz w:val="22"/>
          <w:shd w:fill="FFFFFF" w:val="clear"/>
        </w:rPr>
        <w:t xml:space="preserve">. If any term or provision of this Repurchase Agreement is invalid, illegal or unenforceable in any jurisdiction, such invalidity, illegality or unenforceability shall not affect any other term or provision of this Repurchase Agreement or invalidate or render unenforceable such term or provision in any other jurisdiction. </w:t>
      </w:r>
    </w:p>
    <w:p>
      <w:pPr>
        <w:pStyle w:val="TextBody"/>
        <w:bidi w:val="0"/>
        <w:spacing w:before="0" w:after="0"/>
        <w:jc w:val="left"/>
        <w:rPr/>
      </w:pPr>
      <w:r>
        <w:rPr/>
      </w:r>
    </w:p>
    <w:p>
      <w:pPr>
        <w:pStyle w:val="TextBody"/>
        <w:bidi w:val="0"/>
        <w:spacing w:lineRule="auto" w:line="288"/>
        <w:ind w:left="0" w:right="0" w:firstLine="360"/>
        <w:jc w:val="both"/>
        <w:rPr>
          <w:shd w:fill="FFFFFF" w:val="clear"/>
        </w:rPr>
      </w:pPr>
      <w:r>
        <w:rPr>
          <w:rFonts w:ascii="Times New Roman;sans-serif" w:hAnsi="Times New Roman;sans-serif"/>
          <w:b w:val="false"/>
          <w:color w:val="000000"/>
          <w:sz w:val="22"/>
          <w:shd w:fill="FFFFFF" w:val="clear"/>
        </w:rPr>
        <w:t>21.</w:t>
      </w:r>
      <w:r>
        <w:rPr>
          <w:rFonts w:ascii="Times New Roman;sans-serif" w:hAnsi="Times New Roman;sans-serif"/>
          <w:b w:val="false"/>
          <w:color w:val="000000"/>
          <w:sz w:val="22"/>
          <w:u w:val="single"/>
          <w:shd w:fill="FFFFFF" w:val="clear"/>
        </w:rPr>
        <w:t>No Further Obligations Under the Repurchased Notes</w:t>
      </w:r>
      <w:r>
        <w:rPr>
          <w:rFonts w:ascii="Times New Roman;sans-serif" w:hAnsi="Times New Roman;sans-serif"/>
          <w:b w:val="false"/>
          <w:color w:val="000000"/>
          <w:sz w:val="22"/>
          <w:shd w:fill="FFFFFF" w:val="clear"/>
        </w:rPr>
        <w:t xml:space="preserve">. Each Holder acknowledges and agrees that the sale of the Repurchased Notes by each Holder and the purchase of the Repurchased Notes by the Company pursuant to this Repurchase Agreement shall constitute the final disposition of the Repurchased Notes by such Holder, and, following the consummation of the Repurchase and each Holder’s receipt of the Consideration as full consideration for the Repurchased Notes, such Holder shall have no further rights or obligations with respect to the Repurchased Notes, and shall not be entitled to any additional consideration in respect of the Repurchased Notes by virtue of any of the foregoing actions on the part of </w:t>
      </w:r>
    </w:p>
    <w:p>
      <w:pPr>
        <w:pStyle w:val="TextBody"/>
        <w:bidi w:val="0"/>
        <w:spacing w:before="0" w:after="0"/>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75260"/>
                <wp:effectExtent l="0" t="0" r="0" b="0"/>
                <wp:wrapNone/>
                <wp:docPr id="194" name="Frame1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the Company or its representatives and waives any and all rights thereto, including any rights with respect to the prepayment of the Repurchased Notes and the consideration therefor.</w:t>
      </w:r>
    </w:p>
    <w:p>
      <w:pPr>
        <w:pStyle w:val="TextBody"/>
        <w:bidi w:val="0"/>
        <w:spacing w:before="0" w:after="0"/>
        <w:jc w:val="left"/>
        <w:rPr/>
      </w:pPr>
      <w:r>
        <w:rPr/>
      </w:r>
    </w:p>
    <w:p>
      <w:pPr>
        <w:pStyle w:val="TextBody"/>
        <w:bidi w:val="0"/>
        <w:spacing w:lineRule="auto" w:line="288" w:before="0" w:after="0"/>
        <w:ind w:left="0" w:right="0" w:firstLine="360"/>
        <w:jc w:val="both"/>
        <w:rPr>
          <w:shd w:fill="FFFFFF" w:val="clear"/>
        </w:rPr>
      </w:pPr>
      <w:r>
        <w:rPr>
          <w:rFonts w:ascii="Times New Roman;sans-serif" w:hAnsi="Times New Roman;sans-serif"/>
          <w:b w:val="false"/>
          <w:color w:val="000000"/>
          <w:sz w:val="22"/>
          <w:shd w:fill="FFFFFF" w:val="clear"/>
        </w:rPr>
        <w:t>22.</w:t>
      </w:r>
      <w:r>
        <w:rPr>
          <w:rFonts w:ascii="Times New Roman;sans-serif" w:hAnsi="Times New Roman;sans-serif"/>
          <w:b w:val="false"/>
          <w:color w:val="000000"/>
          <w:sz w:val="22"/>
          <w:u w:val="single"/>
          <w:shd w:fill="FFFFFF" w:val="clear"/>
        </w:rPr>
        <w:t>Further Assurances</w:t>
      </w:r>
      <w:r>
        <w:rPr>
          <w:rFonts w:ascii="Times New Roman;sans-serif" w:hAnsi="Times New Roman;sans-serif"/>
          <w:b w:val="false"/>
          <w:color w:val="000000"/>
          <w:sz w:val="24"/>
          <w:shd w:fill="FFFFFF" w:val="clear"/>
        </w:rPr>
        <w:t xml:space="preserve">. </w:t>
      </w:r>
      <w:r>
        <w:rPr>
          <w:rFonts w:ascii="Times New Roman;sans-serif" w:hAnsi="Times New Roman;sans-serif"/>
          <w:b w:val="false"/>
          <w:color w:val="000000"/>
          <w:sz w:val="22"/>
          <w:shd w:fill="FFFFFF" w:val="clear"/>
        </w:rPr>
        <w:t>Each of the parties hereto agrees to use its reasonable efforts promptly to take or cause to be taken all action, and promptly to do or cause to be done all things necessary, proper or advisable under applicable laws and regulations to consummate and make effective the Repurchase, subject to the terms and conditions hereof and compliance with applicable law. In case at any time before or after the Closing any further action is necessary or desirable to carry out the purposes of the Repurchase, the proper officers, managers and directors of each party to this Repurchase Agreement shall take all such necessary action as may be reasonably requested by the requesting party.</w:t>
      </w:r>
    </w:p>
    <w:p>
      <w:pPr>
        <w:pStyle w:val="TextBody"/>
        <w:bidi w:val="0"/>
        <w:spacing w:before="0" w:after="0"/>
        <w:jc w:val="left"/>
        <w:rPr/>
      </w:pPr>
      <w:r>
        <w:rPr/>
      </w:r>
    </w:p>
    <w:p>
      <w:pPr>
        <w:pStyle w:val="TextBody"/>
        <w:bidi w:val="0"/>
        <w:spacing w:lineRule="auto" w:line="288" w:before="0" w:after="240"/>
        <w:ind w:left="0" w:right="0" w:firstLine="360"/>
        <w:jc w:val="both"/>
        <w:rPr>
          <w:shd w:fill="FFFFFF" w:val="clear"/>
        </w:rPr>
      </w:pPr>
      <w:r>
        <w:rPr>
          <w:rFonts w:ascii="Times New Roman;sans-serif" w:hAnsi="Times New Roman;sans-serif"/>
          <w:b w:val="false"/>
          <w:color w:val="000000"/>
          <w:sz w:val="22"/>
          <w:shd w:fill="FFFFFF" w:val="clear"/>
        </w:rPr>
        <w:t>23.</w:t>
      </w:r>
      <w:r>
        <w:rPr>
          <w:rFonts w:ascii="Times New Roman;sans-serif" w:hAnsi="Times New Roman;sans-serif"/>
          <w:b w:val="false"/>
          <w:color w:val="000000"/>
          <w:sz w:val="22"/>
          <w:u w:val="single"/>
          <w:shd w:fill="FFFFFF" w:val="clear"/>
        </w:rPr>
        <w:t>Remedies</w:t>
      </w:r>
      <w:r>
        <w:rPr>
          <w:rFonts w:ascii="Times New Roman;sans-serif" w:hAnsi="Times New Roman;sans-serif"/>
          <w:b w:val="false"/>
          <w:color w:val="000000"/>
          <w:sz w:val="22"/>
          <w:shd w:fill="FFFFFF" w:val="clear"/>
        </w:rPr>
        <w:t>. Each party hereto acknowledges that monetary damages may not be an adequate remedy in the event that any covenant or agreement in this Repurchase Agreement is not performed in accordance with its terms, and it is therefore agreed that, in addition to and without limiting any other remedy or right it may have, the non-breaching party will have the right to seek an injunction, temporary restraining order or other equitable relief in any court of competent jurisdiction enjoining any such breach and enforcing specifically the terms and provisions hereof. Each party hereto agrees to waive any requirement for the securing or posting of any bond in connection with such remedy. All rights, powers and remedies provided under this Repurchase Agreement or otherwise available in respect hereof at law or in equity shall be cumulative and not alternative, and the exercise or beginning of the exercise of any thereof by any party shall not preclude the simultaneous or later exercise of any other such right, power or remedy by such party.</w:t>
      </w:r>
    </w:p>
    <w:p>
      <w:pPr>
        <w:pStyle w:val="TextBody"/>
        <w:bidi w:val="0"/>
        <w:spacing w:lineRule="auto" w:line="288" w:before="240" w:after="283"/>
        <w:jc w:val="center"/>
        <w:rPr>
          <w:shd w:fill="FFFFFF" w:val="clear"/>
        </w:rPr>
      </w:pPr>
      <w:r>
        <w:rPr>
          <w:rFonts w:ascii="Times New Roman;sans-serif" w:hAnsi="Times New Roman;sans-serif"/>
          <w:b w:val="false"/>
          <w:color w:val="000000"/>
          <w:sz w:val="22"/>
          <w:shd w:fill="FFFFFF" w:val="clear"/>
        </w:rPr>
        <w:t>[</w:t>
      </w:r>
      <w:r>
        <w:rPr>
          <w:rFonts w:ascii="Times New Roman;sans-serif" w:hAnsi="Times New Roman;sans-serif"/>
          <w:b w:val="false"/>
          <w:i/>
          <w:color w:val="000000"/>
          <w:sz w:val="22"/>
          <w:shd w:fill="FFFFFF" w:val="clear"/>
        </w:rPr>
        <w:t>SIGNATURE PAGES FOLLOW</w:t>
      </w:r>
      <w:r>
        <w:rPr>
          <w:rFonts w:ascii="Times New Roman;sans-serif" w:hAnsi="Times New Roman;sans-serif"/>
          <w:b w:val="false"/>
          <w:color w:val="000000"/>
          <w:sz w:val="22"/>
          <w:shd w:fill="FFFFFF" w:val="clear"/>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75260"/>
                <wp:effectExtent l="0" t="0" r="0" b="0"/>
                <wp:wrapNone/>
                <wp:docPr id="195" name="Frame1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EXHIBIT A</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053"/>
        <w:gridCol w:w="910"/>
        <w:gridCol w:w="917"/>
        <w:gridCol w:w="620"/>
        <w:gridCol w:w="593"/>
        <w:gridCol w:w="577"/>
        <w:gridCol w:w="790"/>
        <w:gridCol w:w="756"/>
        <w:gridCol w:w="758"/>
        <w:gridCol w:w="1035"/>
        <w:gridCol w:w="905"/>
        <w:gridCol w:w="1291"/>
      </w:tblGrid>
      <w:tr>
        <w:trPr/>
        <w:tc>
          <w:tcPr>
            <w:tcW w:w="1053"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Holder</w:t>
            </w:r>
          </w:p>
        </w:tc>
        <w:tc>
          <w:tcPr>
            <w:tcW w:w="179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Notes Sold</w:t>
            </w:r>
          </w:p>
        </w:tc>
        <w:tc>
          <w:tcPr>
            <w:tcW w:w="23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Aggregate Consideration</w:t>
            </w:r>
          </w:p>
        </w:tc>
        <w:tc>
          <w:tcPr>
            <w:tcW w:w="323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Aggregate Principal Amount of Notes</w:t>
            </w:r>
          </w:p>
        </w:tc>
      </w:tr>
      <w:tr>
        <w:trPr/>
        <w:tc>
          <w:tcPr>
            <w:tcW w:w="288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BRF Investments LLC</w:t>
            </w:r>
          </w:p>
        </w:tc>
        <w:tc>
          <w:tcPr>
            <w:tcW w:w="179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763,252 Senior Notes</w:t>
            </w:r>
          </w:p>
        </w:tc>
        <w:tc>
          <w:tcPr>
            <w:tcW w:w="23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$15,990,129.40</w:t>
            </w:r>
          </w:p>
        </w:tc>
        <w:tc>
          <w:tcPr>
            <w:tcW w:w="323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$19,081,300.00</w:t>
            </w:r>
          </w:p>
        </w:tc>
      </w:tr>
      <w:tr>
        <w:trPr/>
        <w:tc>
          <w:tcPr>
            <w:tcW w:w="288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B. Riley Principal Investments, LLC</w:t>
            </w:r>
          </w:p>
        </w:tc>
        <w:tc>
          <w:tcPr>
            <w:tcW w:w="179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24,338 Senior Notes</w:t>
            </w:r>
          </w:p>
        </w:tc>
        <w:tc>
          <w:tcPr>
            <w:tcW w:w="23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$509,881.10</w:t>
            </w:r>
          </w:p>
        </w:tc>
        <w:tc>
          <w:tcPr>
            <w:tcW w:w="323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$608,450.00</w:t>
            </w:r>
          </w:p>
        </w:tc>
      </w:tr>
      <w:tr>
        <w:trPr/>
        <w:tc>
          <w:tcPr>
            <w:tcW w:w="2880"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79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Total</w:t>
            </w:r>
          </w:p>
        </w:tc>
        <w:tc>
          <w:tcPr>
            <w:tcW w:w="23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$16,500,010.5</w:t>
            </w:r>
          </w:p>
        </w:tc>
        <w:tc>
          <w:tcPr>
            <w:tcW w:w="3231"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$19,689,750.00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327660"/>
                <wp:effectExtent l="0" t="0" r="0" b="0"/>
                <wp:wrapNone/>
                <wp:docPr id="196" name="Frame196"/>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 xml:space="preserve">IN WITNESS WHEREOF, the Holder has executed this Repurchase Agreement as of the date first written above. </w:t>
      </w:r>
    </w:p>
    <w:tbl>
      <w:tblPr>
        <w:tblW w:w="2367" w:type="dxa"/>
        <w:jc w:val="left"/>
        <w:tblInd w:w="0" w:type="dxa"/>
        <w:tblLayout w:type="fixed"/>
        <w:tblCellMar>
          <w:top w:w="28" w:type="dxa"/>
          <w:left w:w="28" w:type="dxa"/>
          <w:bottom w:w="28" w:type="dxa"/>
          <w:right w:w="28" w:type="dxa"/>
        </w:tblCellMar>
      </w:tblPr>
      <w:tblGrid>
        <w:gridCol w:w="480"/>
        <w:gridCol w:w="420"/>
        <w:gridCol w:w="422"/>
        <w:gridCol w:w="163"/>
        <w:gridCol w:w="163"/>
        <w:gridCol w:w="163"/>
        <w:gridCol w:w="163"/>
        <w:gridCol w:w="163"/>
        <w:gridCol w:w="230"/>
      </w:tblGrid>
      <w:tr>
        <w:trPr/>
        <w:tc>
          <w:tcPr>
            <w:tcW w:w="48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1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Holder:</w:t>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7" w:type="dxa"/>
            <w:gridSpan w:val="9"/>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BRF Investments LLC</w:t>
            </w:r>
          </w:p>
        </w:tc>
      </w:tr>
    </w:tbl>
    <w:p>
      <w:pPr>
        <w:pStyle w:val="TextBody"/>
        <w:bidi w:val="0"/>
        <w:spacing w:before="0" w:after="0"/>
        <w:jc w:val="left"/>
        <w:rPr/>
      </w:pPr>
      <w:r>
        <w:rPr/>
      </w:r>
    </w:p>
    <w:tbl>
      <w:tblPr>
        <w:tblW w:w="1149" w:type="dxa"/>
        <w:jc w:val="left"/>
        <w:tblInd w:w="0" w:type="dxa"/>
        <w:tblLayout w:type="fixed"/>
        <w:tblCellMar>
          <w:top w:w="28" w:type="dxa"/>
          <w:left w:w="28" w:type="dxa"/>
          <w:bottom w:w="28" w:type="dxa"/>
          <w:right w:w="28" w:type="dxa"/>
        </w:tblCellMar>
      </w:tblPr>
      <w:tblGrid>
        <w:gridCol w:w="162"/>
        <w:gridCol w:w="143"/>
        <w:gridCol w:w="145"/>
        <w:gridCol w:w="109"/>
        <w:gridCol w:w="109"/>
        <w:gridCol w:w="109"/>
        <w:gridCol w:w="109"/>
        <w:gridCol w:w="109"/>
        <w:gridCol w:w="154"/>
      </w:tblGrid>
      <w:tr>
        <w:trPr/>
        <w:tc>
          <w:tcPr>
            <w:tcW w:w="16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434" w:type="dxa"/>
        <w:jc w:val="left"/>
        <w:tblInd w:w="0" w:type="dxa"/>
        <w:tblLayout w:type="fixed"/>
        <w:tblCellMar>
          <w:top w:w="28" w:type="dxa"/>
          <w:left w:w="28" w:type="dxa"/>
          <w:bottom w:w="28" w:type="dxa"/>
          <w:right w:w="28" w:type="dxa"/>
        </w:tblCellMar>
      </w:tblPr>
      <w:tblGrid>
        <w:gridCol w:w="266"/>
        <w:gridCol w:w="234"/>
        <w:gridCol w:w="235"/>
        <w:gridCol w:w="109"/>
        <w:gridCol w:w="109"/>
        <w:gridCol w:w="109"/>
        <w:gridCol w:w="109"/>
        <w:gridCol w:w="109"/>
        <w:gridCol w:w="154"/>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299" w:type="dxa"/>
        <w:jc w:val="left"/>
        <w:tblInd w:w="0" w:type="dxa"/>
        <w:tblLayout w:type="fixed"/>
        <w:tblCellMar>
          <w:top w:w="28" w:type="dxa"/>
          <w:left w:w="28" w:type="dxa"/>
          <w:bottom w:w="28" w:type="dxa"/>
          <w:right w:w="28" w:type="dxa"/>
        </w:tblCellMar>
      </w:tblPr>
      <w:tblGrid>
        <w:gridCol w:w="217"/>
        <w:gridCol w:w="191"/>
        <w:gridCol w:w="192"/>
        <w:gridCol w:w="109"/>
        <w:gridCol w:w="109"/>
        <w:gridCol w:w="109"/>
        <w:gridCol w:w="109"/>
        <w:gridCol w:w="109"/>
        <w:gridCol w:w="154"/>
      </w:tblGrid>
      <w:tr>
        <w:trPr/>
        <w:tc>
          <w:tcPr>
            <w:tcW w:w="21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644" w:type="dxa"/>
        <w:jc w:val="left"/>
        <w:tblInd w:w="0" w:type="dxa"/>
        <w:tblLayout w:type="fixed"/>
        <w:tblCellMar>
          <w:top w:w="28" w:type="dxa"/>
          <w:left w:w="28" w:type="dxa"/>
          <w:bottom w:w="28" w:type="dxa"/>
          <w:right w:w="28" w:type="dxa"/>
        </w:tblCellMar>
      </w:tblPr>
      <w:tblGrid>
        <w:gridCol w:w="342"/>
        <w:gridCol w:w="301"/>
        <w:gridCol w:w="302"/>
        <w:gridCol w:w="109"/>
        <w:gridCol w:w="109"/>
        <w:gridCol w:w="109"/>
        <w:gridCol w:w="109"/>
        <w:gridCol w:w="109"/>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Address: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3944" w:type="dxa"/>
        <w:jc w:val="left"/>
        <w:tblInd w:w="0" w:type="dxa"/>
        <w:tblLayout w:type="fixed"/>
        <w:tblCellMar>
          <w:top w:w="28" w:type="dxa"/>
          <w:left w:w="28" w:type="dxa"/>
          <w:bottom w:w="28" w:type="dxa"/>
          <w:right w:w="28" w:type="dxa"/>
        </w:tblCellMar>
      </w:tblPr>
      <w:tblGrid>
        <w:gridCol w:w="893"/>
        <w:gridCol w:w="787"/>
        <w:gridCol w:w="789"/>
        <w:gridCol w:w="230"/>
        <w:gridCol w:w="230"/>
        <w:gridCol w:w="230"/>
        <w:gridCol w:w="230"/>
        <w:gridCol w:w="230"/>
        <w:gridCol w:w="325"/>
      </w:tblGrid>
      <w:tr>
        <w:trPr/>
        <w:tc>
          <w:tcPr>
            <w:tcW w:w="893"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2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Telephone:</w:t>
            </w:r>
          </w:p>
        </w:tc>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9"/>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9"/>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State/Country of Domicile or Formation:</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313055"/>
                <wp:effectExtent l="0" t="0" r="0" b="0"/>
                <wp:wrapNone/>
                <wp:docPr id="197" name="Frame197"/>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REPURCHASE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REPURCHASE AGREEMENT]</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 xml:space="preserve">IN WITNESS WHEREOF, the Holder has executed this Repurchase Agreement as of the date first written above. </w:t>
      </w:r>
    </w:p>
    <w:tbl>
      <w:tblPr>
        <w:tblW w:w="2383" w:type="dxa"/>
        <w:jc w:val="left"/>
        <w:tblInd w:w="0" w:type="dxa"/>
        <w:tblLayout w:type="fixed"/>
        <w:tblCellMar>
          <w:top w:w="28" w:type="dxa"/>
          <w:left w:w="28" w:type="dxa"/>
          <w:bottom w:w="28" w:type="dxa"/>
          <w:right w:w="28" w:type="dxa"/>
        </w:tblCellMar>
      </w:tblPr>
      <w:tblGrid>
        <w:gridCol w:w="483"/>
        <w:gridCol w:w="423"/>
        <w:gridCol w:w="425"/>
        <w:gridCol w:w="164"/>
        <w:gridCol w:w="164"/>
        <w:gridCol w:w="164"/>
        <w:gridCol w:w="164"/>
        <w:gridCol w:w="164"/>
        <w:gridCol w:w="232"/>
      </w:tblGrid>
      <w:tr>
        <w:trPr/>
        <w:tc>
          <w:tcPr>
            <w:tcW w:w="48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1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Holder:</w:t>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3" w:type="dxa"/>
            <w:gridSpan w:val="9"/>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B. Riley Securities Inc.</w:t>
            </w:r>
          </w:p>
        </w:tc>
      </w:tr>
    </w:tbl>
    <w:p>
      <w:pPr>
        <w:pStyle w:val="TextBody"/>
        <w:bidi w:val="0"/>
        <w:spacing w:before="0" w:after="0"/>
        <w:jc w:val="left"/>
        <w:rPr/>
      </w:pPr>
      <w:r>
        <w:rPr/>
      </w:r>
    </w:p>
    <w:tbl>
      <w:tblPr>
        <w:tblW w:w="1149" w:type="dxa"/>
        <w:jc w:val="left"/>
        <w:tblInd w:w="0" w:type="dxa"/>
        <w:tblLayout w:type="fixed"/>
        <w:tblCellMar>
          <w:top w:w="28" w:type="dxa"/>
          <w:left w:w="28" w:type="dxa"/>
          <w:bottom w:w="28" w:type="dxa"/>
          <w:right w:w="28" w:type="dxa"/>
        </w:tblCellMar>
      </w:tblPr>
      <w:tblGrid>
        <w:gridCol w:w="162"/>
        <w:gridCol w:w="143"/>
        <w:gridCol w:w="145"/>
        <w:gridCol w:w="109"/>
        <w:gridCol w:w="109"/>
        <w:gridCol w:w="109"/>
        <w:gridCol w:w="109"/>
        <w:gridCol w:w="109"/>
        <w:gridCol w:w="154"/>
      </w:tblGrid>
      <w:tr>
        <w:trPr/>
        <w:tc>
          <w:tcPr>
            <w:tcW w:w="16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434" w:type="dxa"/>
        <w:jc w:val="left"/>
        <w:tblInd w:w="0" w:type="dxa"/>
        <w:tblLayout w:type="fixed"/>
        <w:tblCellMar>
          <w:top w:w="28" w:type="dxa"/>
          <w:left w:w="28" w:type="dxa"/>
          <w:bottom w:w="28" w:type="dxa"/>
          <w:right w:w="28" w:type="dxa"/>
        </w:tblCellMar>
      </w:tblPr>
      <w:tblGrid>
        <w:gridCol w:w="266"/>
        <w:gridCol w:w="234"/>
        <w:gridCol w:w="235"/>
        <w:gridCol w:w="109"/>
        <w:gridCol w:w="109"/>
        <w:gridCol w:w="109"/>
        <w:gridCol w:w="109"/>
        <w:gridCol w:w="109"/>
        <w:gridCol w:w="154"/>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299" w:type="dxa"/>
        <w:jc w:val="left"/>
        <w:tblInd w:w="0" w:type="dxa"/>
        <w:tblLayout w:type="fixed"/>
        <w:tblCellMar>
          <w:top w:w="28" w:type="dxa"/>
          <w:left w:w="28" w:type="dxa"/>
          <w:bottom w:w="28" w:type="dxa"/>
          <w:right w:w="28" w:type="dxa"/>
        </w:tblCellMar>
      </w:tblPr>
      <w:tblGrid>
        <w:gridCol w:w="217"/>
        <w:gridCol w:w="191"/>
        <w:gridCol w:w="192"/>
        <w:gridCol w:w="109"/>
        <w:gridCol w:w="109"/>
        <w:gridCol w:w="109"/>
        <w:gridCol w:w="109"/>
        <w:gridCol w:w="109"/>
        <w:gridCol w:w="154"/>
      </w:tblGrid>
      <w:tr>
        <w:trPr/>
        <w:tc>
          <w:tcPr>
            <w:tcW w:w="21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644" w:type="dxa"/>
        <w:jc w:val="left"/>
        <w:tblInd w:w="0" w:type="dxa"/>
        <w:tblLayout w:type="fixed"/>
        <w:tblCellMar>
          <w:top w:w="28" w:type="dxa"/>
          <w:left w:w="28" w:type="dxa"/>
          <w:bottom w:w="28" w:type="dxa"/>
          <w:right w:w="28" w:type="dxa"/>
        </w:tblCellMar>
      </w:tblPr>
      <w:tblGrid>
        <w:gridCol w:w="342"/>
        <w:gridCol w:w="301"/>
        <w:gridCol w:w="302"/>
        <w:gridCol w:w="109"/>
        <w:gridCol w:w="109"/>
        <w:gridCol w:w="109"/>
        <w:gridCol w:w="109"/>
        <w:gridCol w:w="109"/>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Address: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3944" w:type="dxa"/>
        <w:jc w:val="left"/>
        <w:tblInd w:w="0" w:type="dxa"/>
        <w:tblLayout w:type="fixed"/>
        <w:tblCellMar>
          <w:top w:w="28" w:type="dxa"/>
          <w:left w:w="28" w:type="dxa"/>
          <w:bottom w:w="28" w:type="dxa"/>
          <w:right w:w="28" w:type="dxa"/>
        </w:tblCellMar>
      </w:tblPr>
      <w:tblGrid>
        <w:gridCol w:w="893"/>
        <w:gridCol w:w="787"/>
        <w:gridCol w:w="789"/>
        <w:gridCol w:w="230"/>
        <w:gridCol w:w="230"/>
        <w:gridCol w:w="230"/>
        <w:gridCol w:w="230"/>
        <w:gridCol w:w="230"/>
        <w:gridCol w:w="325"/>
      </w:tblGrid>
      <w:tr>
        <w:trPr/>
        <w:tc>
          <w:tcPr>
            <w:tcW w:w="893"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2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Telephone:</w:t>
            </w:r>
          </w:p>
        </w:tc>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9"/>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9"/>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State/Country of Domicile or Formation:</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313055"/>
                <wp:effectExtent l="0" t="0" r="0" b="0"/>
                <wp:wrapNone/>
                <wp:docPr id="198" name="Frame198"/>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REPURCHASE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REPURCHASE AGREEMENT]</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 xml:space="preserve">IN WITNESS WHEREOF, the Company has executed this Repurchase Agreement as of the date first written above. </w:t>
      </w:r>
    </w:p>
    <w:tbl>
      <w:tblPr>
        <w:tblW w:w="5087" w:type="dxa"/>
        <w:jc w:val="left"/>
        <w:tblInd w:w="0" w:type="dxa"/>
        <w:tblLayout w:type="fixed"/>
        <w:tblCellMar>
          <w:top w:w="28" w:type="dxa"/>
          <w:left w:w="28" w:type="dxa"/>
          <w:bottom w:w="28" w:type="dxa"/>
          <w:right w:w="28" w:type="dxa"/>
        </w:tblCellMar>
      </w:tblPr>
      <w:tblGrid>
        <w:gridCol w:w="493"/>
        <w:gridCol w:w="433"/>
        <w:gridCol w:w="433"/>
        <w:gridCol w:w="433"/>
        <w:gridCol w:w="433"/>
        <w:gridCol w:w="433"/>
        <w:gridCol w:w="705"/>
        <w:gridCol w:w="705"/>
        <w:gridCol w:w="1019"/>
      </w:tblGrid>
      <w:tr>
        <w:trPr/>
        <w:tc>
          <w:tcPr>
            <w:tcW w:w="49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r>
      <w:tr>
        <w:trPr/>
        <w:tc>
          <w:tcPr>
            <w:tcW w:w="1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SYNCHRONOSS TECHNOLOGIES, INC.</w:t>
            </w:r>
          </w:p>
        </w:tc>
      </w:tr>
      <w:tr>
        <w:trPr/>
        <w:tc>
          <w:tcPr>
            <w:tcW w:w="1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2"/>
              </w:rPr>
              <w:t>Jeffrey Miller</w:t>
            </w:r>
          </w:p>
        </w:tc>
      </w:tr>
      <w:tr>
        <w:trPr/>
        <w:tc>
          <w:tcPr>
            <w:tcW w:w="1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2"/>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313055"/>
                <wp:effectExtent l="0" t="0" r="0" b="0"/>
                <wp:wrapNone/>
                <wp:docPr id="199" name="Frame199"/>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REPURCHASE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REPURCHASE AGREEMENT]</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Exhibit 10.3</w:t>
      </w:r>
    </w:p>
    <w:p>
      <w:pPr>
        <w:pStyle w:val="TextBody"/>
        <w:bidi w:val="0"/>
        <w:spacing w:before="0" w:after="0"/>
        <w:jc w:val="right"/>
        <w:rPr/>
      </w:pPr>
      <w:r>
        <w:rPr/>
      </w:r>
    </w:p>
    <w:p>
      <w:pPr>
        <w:pStyle w:val="TextBody"/>
        <w:bidi w:val="0"/>
        <w:spacing w:lineRule="auto" w:line="288" w:before="0" w:after="240"/>
        <w:jc w:val="center"/>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SERIES B REPURCHASE AGREEMENT</w:t>
      </w:r>
    </w:p>
    <w:p>
      <w:pPr>
        <w:pStyle w:val="TextBody"/>
        <w:bidi w:val="0"/>
        <w:spacing w:lineRule="auto" w:line="288" w:before="0" w:after="240"/>
        <w:ind w:left="0" w:right="0" w:firstLine="720"/>
        <w:jc w:val="both"/>
        <w:rPr>
          <w:shd w:fill="FFFFFF" w:val="clear"/>
        </w:rPr>
      </w:pPr>
      <w:r>
        <w:rPr>
          <w:rFonts w:ascii="Times New Roman;sans-serif" w:hAnsi="Times New Roman;sans-serif"/>
          <w:b w:val="false"/>
          <w:color w:val="000000"/>
          <w:sz w:val="22"/>
          <w:shd w:fill="FFFFFF" w:val="clear"/>
        </w:rPr>
        <w:t>THIS SERIES B REPURCHASE AGREEMENT (this “</w:t>
      </w:r>
      <w:r>
        <w:rPr>
          <w:rFonts w:ascii="Times New Roman;sans-serif" w:hAnsi="Times New Roman;sans-serif"/>
          <w:b w:val="false"/>
          <w:color w:val="000000"/>
          <w:sz w:val="22"/>
          <w:u w:val="single"/>
          <w:shd w:fill="FFFFFF" w:val="clear"/>
        </w:rPr>
        <w:t>Repurchase Agreement</w:t>
      </w:r>
      <w:r>
        <w:rPr>
          <w:color w:val="000000"/>
          <w:shd w:fill="FFFFFF" w:val="clear"/>
        </w:rPr>
        <w:t>”</w:t>
      </w:r>
      <w:r>
        <w:rPr>
          <w:rFonts w:ascii="Times New Roman;sans-serif" w:hAnsi="Times New Roman;sans-serif"/>
          <w:b w:val="false"/>
          <w:color w:val="000000"/>
          <w:sz w:val="22"/>
          <w:shd w:fill="FFFFFF" w:val="clear"/>
        </w:rPr>
        <w:t>) is made and entered into as of June 28, 2024 by and between BRF Investments, LLC (the “</w:t>
      </w:r>
      <w:r>
        <w:rPr>
          <w:rFonts w:ascii="Times New Roman;sans-serif" w:hAnsi="Times New Roman;sans-serif"/>
          <w:b w:val="false"/>
          <w:color w:val="000000"/>
          <w:sz w:val="22"/>
          <w:u w:val="single"/>
          <w:shd w:fill="FFFFFF" w:val="clear"/>
        </w:rPr>
        <w:t>Holder</w:t>
      </w:r>
      <w:r>
        <w:rPr>
          <w:color w:val="000000"/>
          <w:shd w:fill="FFFFFF" w:val="clear"/>
        </w:rPr>
        <w:t>”</w:t>
      </w:r>
      <w:r>
        <w:rPr>
          <w:rFonts w:ascii="Times New Roman;sans-serif" w:hAnsi="Times New Roman;sans-serif"/>
          <w:b w:val="false"/>
          <w:color w:val="000000"/>
          <w:sz w:val="22"/>
          <w:shd w:fill="FFFFFF" w:val="clear"/>
        </w:rPr>
        <w:t>) and Synchronoss Technologies, Inc., a Delaware corporation (the “</w:t>
      </w:r>
      <w:r>
        <w:rPr>
          <w:rFonts w:ascii="Times New Roman;sans-serif" w:hAnsi="Times New Roman;sans-serif"/>
          <w:b w:val="false"/>
          <w:color w:val="000000"/>
          <w:sz w:val="22"/>
          <w:u w:val="single"/>
          <w:shd w:fill="FFFFFF" w:val="clear"/>
        </w:rPr>
        <w:t>Company</w:t>
      </w:r>
      <w:r>
        <w:rPr>
          <w:color w:val="000000"/>
          <w:shd w:fill="FFFFFF" w:val="clear"/>
        </w:rPr>
        <w:t>”</w:t>
      </w:r>
      <w:r>
        <w:rPr>
          <w:rFonts w:ascii="Times New Roman;sans-serif" w:hAnsi="Times New Roman;sans-serif"/>
          <w:b w:val="false"/>
          <w:color w:val="000000"/>
          <w:sz w:val="22"/>
          <w:shd w:fill="FFFFFF" w:val="clear"/>
        </w:rPr>
        <w:t xml:space="preserve">). </w:t>
      </w:r>
    </w:p>
    <w:p>
      <w:pPr>
        <w:pStyle w:val="TextBody"/>
        <w:bidi w:val="0"/>
        <w:spacing w:lineRule="auto" w:line="288" w:before="0" w:after="240"/>
        <w:jc w:val="center"/>
        <w:rPr>
          <w:rFonts w:ascii="Times New Roman;sans-serif" w:hAnsi="Times New Roman;sans-serif"/>
          <w:b/>
          <w:color w:val="000000"/>
          <w:sz w:val="22"/>
          <w:u w:val="single"/>
          <w:shd w:fill="FFFFFF" w:val="clear"/>
        </w:rPr>
      </w:pPr>
      <w:r>
        <w:rPr>
          <w:rFonts w:ascii="Times New Roman;sans-serif" w:hAnsi="Times New Roman;sans-serif"/>
          <w:b/>
          <w:color w:val="000000"/>
          <w:sz w:val="22"/>
          <w:u w:val="single"/>
          <w:shd w:fill="FFFFFF" w:val="clear"/>
        </w:rPr>
        <w:t>RECITALS</w:t>
      </w:r>
    </w:p>
    <w:p>
      <w:pPr>
        <w:pStyle w:val="TextBody"/>
        <w:bidi w:val="0"/>
        <w:spacing w:lineRule="auto" w:line="288" w:before="0" w:after="240"/>
        <w:ind w:left="0" w:right="0" w:firstLine="720"/>
        <w:jc w:val="both"/>
        <w:rPr>
          <w:shd w:fill="FFFFFF" w:val="clear"/>
        </w:rPr>
      </w:pPr>
      <w:r>
        <w:rPr>
          <w:rFonts w:ascii="Times New Roman;sans-serif" w:hAnsi="Times New Roman;sans-serif"/>
          <w:b w:val="false"/>
          <w:color w:val="000000"/>
          <w:sz w:val="22"/>
          <w:shd w:fill="FFFFFF" w:val="clear"/>
        </w:rPr>
        <w:t>WHEREAS, the Holder is the owner and legal and beneficial holder of 60,826 shares (the “</w:t>
      </w:r>
      <w:r>
        <w:rPr>
          <w:rFonts w:ascii="Times New Roman;sans-serif" w:hAnsi="Times New Roman;sans-serif"/>
          <w:b w:val="false"/>
          <w:color w:val="000000"/>
          <w:sz w:val="22"/>
          <w:u w:val="single"/>
          <w:shd w:fill="FFFFFF" w:val="clear"/>
        </w:rPr>
        <w:t>Securities</w:t>
      </w:r>
      <w:r>
        <w:rPr>
          <w:color w:val="000000"/>
          <w:shd w:fill="FFFFFF" w:val="clear"/>
        </w:rPr>
        <w:t>”</w:t>
      </w:r>
      <w:r>
        <w:rPr>
          <w:rFonts w:ascii="Times New Roman;sans-serif" w:hAnsi="Times New Roman;sans-serif"/>
          <w:b w:val="false"/>
          <w:color w:val="000000"/>
          <w:sz w:val="22"/>
          <w:shd w:fill="FFFFFF" w:val="clear"/>
        </w:rPr>
        <w:t>) of Series B Perpetual Non-Convertible Preferred Stock, par value $0.0001 per share (the “</w:t>
      </w:r>
      <w:r>
        <w:rPr>
          <w:rFonts w:ascii="Times New Roman;sans-serif" w:hAnsi="Times New Roman;sans-serif"/>
          <w:b w:val="false"/>
          <w:color w:val="000000"/>
          <w:sz w:val="22"/>
          <w:u w:val="single"/>
          <w:shd w:fill="FFFFFF" w:val="clear"/>
        </w:rPr>
        <w:t>Series B Preferred Stock</w:t>
      </w:r>
      <w:r>
        <w:rPr>
          <w:color w:val="000000"/>
          <w:shd w:fill="FFFFFF" w:val="clear"/>
        </w:rPr>
        <w:t>”</w:t>
      </w:r>
      <w:r>
        <w:rPr>
          <w:rFonts w:ascii="Times New Roman;sans-serif" w:hAnsi="Times New Roman;sans-serif"/>
          <w:b w:val="false"/>
          <w:color w:val="000000"/>
          <w:sz w:val="22"/>
          <w:shd w:fill="FFFFFF" w:val="clear"/>
        </w:rPr>
        <w:t>) of the Company; and</w:t>
      </w:r>
    </w:p>
    <w:p>
      <w:pPr>
        <w:pStyle w:val="TextBody"/>
        <w:bidi w:val="0"/>
        <w:spacing w:lineRule="auto" w:line="288" w:before="240" w:after="240"/>
        <w:ind w:left="0" w:right="0" w:firstLine="720"/>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 xml:space="preserve">WHEREAS, the Holder desires to sell to the Company, and the Company desires to repurchase from the Holder, the Securities, upon and subject to the terms and conditions set forth in this Repurchase Agreement. </w:t>
      </w:r>
    </w:p>
    <w:p>
      <w:pPr>
        <w:pStyle w:val="TextBody"/>
        <w:bidi w:val="0"/>
        <w:spacing w:lineRule="auto" w:line="288" w:before="0" w:after="240"/>
        <w:ind w:left="0" w:right="0" w:firstLine="720"/>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NOW, THEREFORE, in consideration of the premises and the mutual covenants, agreements and representations of the parties contained in this Repurchase Agreement, the payments provided for in this Repurchase Agreement and other good and valuable consideration, the receipt and sufficiency of which the parties acknowledge, the parties mutually agree as follows:</w:t>
      </w:r>
    </w:p>
    <w:p>
      <w:pPr>
        <w:pStyle w:val="TextBody"/>
        <w:bidi w:val="0"/>
        <w:spacing w:lineRule="auto" w:line="288" w:before="0" w:after="0"/>
        <w:ind w:left="0" w:right="0" w:firstLine="360"/>
        <w:jc w:val="both"/>
        <w:rPr>
          <w:shd w:fill="FFFFFF" w:val="clear"/>
        </w:rPr>
      </w:pPr>
      <w:r>
        <w:rPr>
          <w:rFonts w:ascii="Times New Roman;sans-serif" w:hAnsi="Times New Roman;sans-serif"/>
          <w:b w:val="false"/>
          <w:color w:val="000000"/>
          <w:sz w:val="22"/>
          <w:shd w:fill="FFFFFF" w:val="clear"/>
        </w:rPr>
        <w:t>1.</w:t>
      </w:r>
      <w:r>
        <w:rPr>
          <w:rFonts w:ascii="Times New Roman;sans-serif" w:hAnsi="Times New Roman;sans-serif"/>
          <w:b w:val="false"/>
          <w:color w:val="000000"/>
          <w:sz w:val="22"/>
          <w:u w:val="single"/>
          <w:shd w:fill="FFFFFF" w:val="clear"/>
        </w:rPr>
        <w:t>Repurchase Consideration</w:t>
      </w:r>
      <w:r>
        <w:rPr>
          <w:rFonts w:ascii="Times New Roman;sans-serif" w:hAnsi="Times New Roman;sans-serif"/>
          <w:b w:val="false"/>
          <w:color w:val="000000"/>
          <w:sz w:val="22"/>
          <w:shd w:fill="FFFFFF" w:val="clear"/>
        </w:rPr>
        <w:t>. Subject to the terms and conditions of this Repurchase Agreement, Holder hereby agrees to sell the Securities to the Company for an aggregate purchase price of $52,600,000 (the “</w:t>
      </w:r>
      <w:r>
        <w:rPr>
          <w:rFonts w:ascii="Times New Roman;sans-serif" w:hAnsi="Times New Roman;sans-serif"/>
          <w:b w:val="false"/>
          <w:color w:val="000000"/>
          <w:sz w:val="22"/>
          <w:u w:val="single"/>
          <w:shd w:fill="FFFFFF" w:val="clear"/>
        </w:rPr>
        <w:t>Consideration</w:t>
      </w:r>
      <w:r>
        <w:rPr>
          <w:color w:val="000000"/>
          <w:shd w:fill="FFFFFF" w:val="clear"/>
        </w:rPr>
        <w:t>”</w:t>
      </w:r>
      <w:r>
        <w:rPr>
          <w:rFonts w:ascii="Times New Roman;sans-serif" w:hAnsi="Times New Roman;sans-serif"/>
          <w:b w:val="false"/>
          <w:color w:val="000000"/>
          <w:sz w:val="22"/>
          <w:shd w:fill="FFFFFF" w:val="clear"/>
        </w:rPr>
        <w:t>), which shall be paid as follows: (a) $50,000,000 at Closing (the “</w:t>
      </w:r>
      <w:r>
        <w:rPr>
          <w:rFonts w:ascii="Times New Roman;sans-serif" w:hAnsi="Times New Roman;sans-serif"/>
          <w:b w:val="false"/>
          <w:color w:val="000000"/>
          <w:sz w:val="22"/>
          <w:u w:val="single"/>
          <w:shd w:fill="FFFFFF" w:val="clear"/>
        </w:rPr>
        <w:t>First Payment</w:t>
      </w:r>
      <w:r>
        <w:rPr>
          <w:color w:val="000000"/>
          <w:shd w:fill="FFFFFF" w:val="clear"/>
        </w:rPr>
        <w:t>”</w:t>
      </w:r>
      <w:r>
        <w:rPr>
          <w:rFonts w:ascii="Times New Roman;sans-serif" w:hAnsi="Times New Roman;sans-serif"/>
          <w:b w:val="false"/>
          <w:color w:val="000000"/>
          <w:sz w:val="22"/>
          <w:shd w:fill="FFFFFF" w:val="clear"/>
        </w:rPr>
        <w:t>) and (b) $2,600,000 of the Aggregate Consideration (the “</w:t>
      </w:r>
      <w:r>
        <w:rPr>
          <w:rFonts w:ascii="Times New Roman;sans-serif" w:hAnsi="Times New Roman;sans-serif"/>
          <w:b w:val="false"/>
          <w:color w:val="000000"/>
          <w:sz w:val="22"/>
          <w:u w:val="single"/>
          <w:shd w:fill="FFFFFF" w:val="clear"/>
        </w:rPr>
        <w:t>Second Payment</w:t>
      </w:r>
      <w:r>
        <w:rPr>
          <w:color w:val="000000"/>
          <w:shd w:fill="FFFFFF" w:val="clear"/>
        </w:rPr>
        <w:t>”</w:t>
      </w:r>
      <w:r>
        <w:rPr>
          <w:rFonts w:ascii="Times New Roman;sans-serif" w:hAnsi="Times New Roman;sans-serif"/>
          <w:b w:val="false"/>
          <w:color w:val="000000"/>
          <w:sz w:val="22"/>
          <w:shd w:fill="FFFFFF" w:val="clear"/>
        </w:rPr>
        <w:t xml:space="preserve">) no later than the earlier of (i) one-hundred eighty (180) calendar days following the Closing or (ii) five (5) calendar days of receipt by the Company of any amounts in respect of its outstanding federal income tax refund with respect to the period from fiscal year 2013 through fiscal year 2020. </w:t>
      </w:r>
    </w:p>
    <w:p>
      <w:pPr>
        <w:pStyle w:val="TextBody"/>
        <w:bidi w:val="0"/>
        <w:spacing w:before="0" w:after="0"/>
        <w:jc w:val="both"/>
        <w:rPr/>
      </w:pPr>
      <w:r>
        <w:rPr/>
      </w:r>
    </w:p>
    <w:p>
      <w:pPr>
        <w:pStyle w:val="TextBody"/>
        <w:bidi w:val="0"/>
        <w:spacing w:lineRule="auto" w:line="288" w:before="0" w:after="0"/>
        <w:ind w:left="0" w:right="0" w:firstLine="360"/>
        <w:jc w:val="both"/>
        <w:rPr>
          <w:shd w:fill="FFFFFF" w:val="clear"/>
        </w:rPr>
      </w:pPr>
      <w:r>
        <w:rPr>
          <w:rFonts w:ascii="Times New Roman;sans-serif" w:hAnsi="Times New Roman;sans-serif"/>
          <w:b w:val="false"/>
          <w:color w:val="000000"/>
          <w:sz w:val="22"/>
          <w:shd w:fill="FFFFFF" w:val="clear"/>
        </w:rPr>
        <w:t>2.</w:t>
      </w:r>
      <w:r>
        <w:rPr>
          <w:rFonts w:ascii="Times New Roman;sans-serif" w:hAnsi="Times New Roman;sans-serif"/>
          <w:b w:val="false"/>
          <w:color w:val="000000"/>
          <w:sz w:val="22"/>
          <w:u w:val="single"/>
          <w:shd w:fill="FFFFFF" w:val="clear"/>
        </w:rPr>
        <w:t>Repurchase</w:t>
      </w:r>
      <w:r>
        <w:rPr>
          <w:rFonts w:ascii="Times New Roman;sans-serif" w:hAnsi="Times New Roman;sans-serif"/>
          <w:b w:val="false"/>
          <w:color w:val="000000"/>
          <w:sz w:val="22"/>
          <w:shd w:fill="FFFFFF" w:val="clear"/>
        </w:rPr>
        <w:t>. Subject to the terms and conditions of this Repurchase Agreement, the Holder hereby sells, assigns and transfers to, or upon the order of, the Company, all right, title and interest in the Securities (the “</w:t>
      </w:r>
      <w:r>
        <w:rPr>
          <w:rFonts w:ascii="Times New Roman;sans-serif" w:hAnsi="Times New Roman;sans-serif"/>
          <w:b w:val="false"/>
          <w:color w:val="000000"/>
          <w:sz w:val="22"/>
          <w:u w:val="single"/>
          <w:shd w:fill="FFFFFF" w:val="clear"/>
        </w:rPr>
        <w:t>Repurchase</w:t>
      </w:r>
      <w:r>
        <w:rPr>
          <w:color w:val="000000"/>
          <w:shd w:fill="FFFFFF" w:val="clear"/>
        </w:rPr>
        <w:t>”</w:t>
      </w:r>
      <w:r>
        <w:rPr>
          <w:rFonts w:ascii="Times New Roman;sans-serif" w:hAnsi="Times New Roman;sans-serif"/>
          <w:b w:val="false"/>
          <w:color w:val="000000"/>
          <w:sz w:val="22"/>
          <w:shd w:fill="FFFFFF" w:val="clear"/>
        </w:rPr>
        <w:t xml:space="preserve">), waives any and all other rights with respect to the Securities, and releases and discharges the Company from any and all claims the Holder may now have, or may have in the future, arising out of, or related to, the Securities, including, without limitation, any claims arising from any existing or past defaults, or any claims that the Holder is entitled to receive any accrued and unpaid dividends or additional dividends or other amounts with respect to the Securities. All questions as to the form of all documents and the validity and acceptance of the Securities will be determined by the Company, in its sole discretion, which determination shall be final and binding. </w:t>
      </w:r>
    </w:p>
    <w:p>
      <w:pPr>
        <w:pStyle w:val="TextBody"/>
        <w:bidi w:val="0"/>
        <w:spacing w:before="0" w:after="0"/>
        <w:jc w:val="left"/>
        <w:rPr/>
      </w:pPr>
      <w:r>
        <w:rPr/>
      </w:r>
    </w:p>
    <w:p>
      <w:pPr>
        <w:pStyle w:val="TextBody"/>
        <w:bidi w:val="0"/>
        <w:spacing w:lineRule="auto" w:line="288" w:before="0" w:after="0"/>
        <w:ind w:left="0" w:right="0" w:firstLine="360"/>
        <w:jc w:val="both"/>
        <w:rPr>
          <w:shd w:fill="FFFFFF" w:val="clear"/>
        </w:rPr>
      </w:pPr>
      <w:r>
        <w:rPr>
          <w:rFonts w:ascii="Times New Roman;sans-serif" w:hAnsi="Times New Roman;sans-serif"/>
          <w:b w:val="false"/>
          <w:color w:val="000000"/>
          <w:sz w:val="22"/>
          <w:shd w:fill="FFFFFF" w:val="clear"/>
        </w:rPr>
        <w:t>3.</w:t>
      </w:r>
      <w:r>
        <w:rPr>
          <w:rFonts w:ascii="Times New Roman;sans-serif" w:hAnsi="Times New Roman;sans-serif"/>
          <w:b w:val="false"/>
          <w:color w:val="000000"/>
          <w:sz w:val="22"/>
          <w:u w:val="single"/>
          <w:shd w:fill="FFFFFF" w:val="clear"/>
        </w:rPr>
        <w:t>The Closing</w:t>
      </w:r>
      <w:r>
        <w:rPr>
          <w:rFonts w:ascii="Times New Roman;sans-serif" w:hAnsi="Times New Roman;sans-serif"/>
          <w:b w:val="false"/>
          <w:color w:val="000000"/>
          <w:sz w:val="22"/>
          <w:shd w:fill="FFFFFF" w:val="clear"/>
        </w:rPr>
        <w:t>. The closing of the Repurchase (the “</w:t>
      </w:r>
      <w:r>
        <w:rPr>
          <w:rFonts w:ascii="Times New Roman;sans-serif" w:hAnsi="Times New Roman;sans-serif"/>
          <w:b w:val="false"/>
          <w:color w:val="000000"/>
          <w:sz w:val="22"/>
          <w:u w:val="single"/>
          <w:shd w:fill="FFFFFF" w:val="clear"/>
        </w:rPr>
        <w:t>Closing</w:t>
      </w:r>
      <w:r>
        <w:rPr>
          <w:color w:val="000000"/>
          <w:shd w:fill="FFFFFF" w:val="clear"/>
        </w:rPr>
        <w:t>”</w:t>
      </w:r>
      <w:r>
        <w:rPr>
          <w:rFonts w:ascii="Times New Roman;sans-serif" w:hAnsi="Times New Roman;sans-serif"/>
          <w:b w:val="false"/>
          <w:color w:val="000000"/>
          <w:sz w:val="22"/>
          <w:shd w:fill="FFFFFF" w:val="clear"/>
        </w:rPr>
        <w:t>) shall take place on the date hereof or at such time and place as the Company and Holder mutually agree (the “</w:t>
      </w:r>
      <w:r>
        <w:rPr>
          <w:rFonts w:ascii="Times New Roman;sans-serif" w:hAnsi="Times New Roman;sans-serif"/>
          <w:b w:val="false"/>
          <w:color w:val="000000"/>
          <w:sz w:val="22"/>
          <w:u w:val="single"/>
          <w:shd w:fill="FFFFFF" w:val="clear"/>
        </w:rPr>
        <w:t>Closing Date</w:t>
      </w:r>
      <w:r>
        <w:rPr>
          <w:color w:val="000000"/>
          <w:shd w:fill="FFFFFF" w:val="clear"/>
        </w:rPr>
        <w:t>”</w:t>
      </w:r>
      <w:r>
        <w:rPr>
          <w:rFonts w:ascii="Times New Roman;sans-serif" w:hAnsi="Times New Roman;sans-serif"/>
          <w:b w:val="false"/>
          <w:color w:val="000000"/>
          <w:sz w:val="22"/>
          <w:shd w:fill="FFFFFF" w:val="clear"/>
        </w:rPr>
        <w:t>). At the Closing:</w:t>
      </w:r>
    </w:p>
    <w:p>
      <w:pPr>
        <w:pStyle w:val="TextBody"/>
        <w:bidi w:val="0"/>
        <w:spacing w:before="0" w:after="0"/>
        <w:jc w:val="left"/>
        <w:rPr/>
      </w:pPr>
      <w:r>
        <w:rPr/>
      </w:r>
    </w:p>
    <w:p>
      <w:pPr>
        <w:pStyle w:val="TextBody"/>
        <w:bidi w:val="0"/>
        <w:spacing w:lineRule="auto" w:line="288" w:before="0" w:after="0"/>
        <w:ind w:left="0" w:right="0" w:firstLine="720"/>
        <w:jc w:val="both"/>
        <w:rPr>
          <w:shd w:fill="FFFFFF" w:val="clear"/>
        </w:rPr>
      </w:pPr>
      <w:r>
        <w:rPr>
          <w:rFonts w:ascii="Times New Roman;sans-serif" w:hAnsi="Times New Roman;sans-serif"/>
          <w:b w:val="false"/>
          <w:color w:val="000000"/>
          <w:sz w:val="22"/>
          <w:shd w:fill="FFFFFF" w:val="clear"/>
        </w:rPr>
        <w:t>a.</w:t>
      </w:r>
      <w:r>
        <w:rPr>
          <w:rFonts w:ascii="Times New Roman;sans-serif" w:hAnsi="Times New Roman;sans-serif"/>
          <w:b w:val="false"/>
          <w:color w:val="000000"/>
          <w:sz w:val="22"/>
          <w:shd w:fill="FFFFFF" w:val="clear"/>
        </w:rPr>
        <w:t>the Company shall pay or cause to be paid to the Holder, by wire transfer of immediately available funds to the account or accounts designated by the Holder in writing prior to the Closing, the First Payment; and</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75260"/>
                <wp:effectExtent l="0" t="0" r="0" b="0"/>
                <wp:wrapNone/>
                <wp:docPr id="200" name="Frame2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shd w:fill="FFFFFF" w:val="clear"/>
        </w:rPr>
      </w:pPr>
      <w:r>
        <w:rPr>
          <w:rFonts w:ascii="Times New Roman;sans-serif" w:hAnsi="Times New Roman;sans-serif"/>
          <w:b w:val="false"/>
          <w:color w:val="000000"/>
          <w:sz w:val="22"/>
          <w:shd w:fill="FFFFFF" w:val="clear"/>
        </w:rPr>
        <w:t>b.</w:t>
      </w:r>
      <w:r>
        <w:rPr>
          <w:rFonts w:ascii="Times New Roman;sans-serif" w:hAnsi="Times New Roman;sans-serif"/>
          <w:b w:val="false"/>
          <w:color w:val="000000"/>
          <w:sz w:val="22"/>
          <w:shd w:fill="FFFFFF" w:val="clear"/>
        </w:rPr>
        <w:t>the Holder shall deliver to the Company or its transfer agent for the Series B Preferred Stock the Securities, free and clear of all liens, encumbrances, security interests, options, preferences, priorities claims, charges and restrictions of any kind (“</w:t>
      </w:r>
      <w:r>
        <w:rPr>
          <w:rFonts w:ascii="Times New Roman;sans-serif" w:hAnsi="Times New Roman;sans-serif"/>
          <w:b w:val="false"/>
          <w:color w:val="000000"/>
          <w:sz w:val="22"/>
          <w:u w:val="single"/>
          <w:shd w:fill="FFFFFF" w:val="clear"/>
        </w:rPr>
        <w:t>Encumbrances</w:t>
      </w:r>
      <w:r>
        <w:rPr>
          <w:color w:val="000000"/>
          <w:shd w:fill="FFFFFF" w:val="clear"/>
        </w:rPr>
        <w:t>”</w:t>
      </w:r>
      <w:r>
        <w:rPr>
          <w:rFonts w:ascii="Times New Roman;sans-serif" w:hAnsi="Times New Roman;sans-serif"/>
          <w:b w:val="false"/>
          <w:color w:val="000000"/>
          <w:sz w:val="22"/>
          <w:shd w:fill="FFFFFF" w:val="clear"/>
        </w:rPr>
        <w:t>) (other than Encumbrances created by or resulting from actions of the Company or any of its subsidiaries and those arising solely under the Securities Act of 1933, as amended, and the rules and regulations of the Securities and Exchange Commission ( the “</w:t>
      </w:r>
      <w:r>
        <w:rPr>
          <w:rFonts w:ascii="Times New Roman;sans-serif" w:hAnsi="Times New Roman;sans-serif"/>
          <w:b w:val="false"/>
          <w:color w:val="000000"/>
          <w:sz w:val="22"/>
          <w:u w:val="single"/>
          <w:shd w:fill="FFFFFF" w:val="clear"/>
        </w:rPr>
        <w:t>SEC</w:t>
      </w:r>
      <w:r>
        <w:rPr>
          <w:color w:val="000000"/>
          <w:shd w:fill="FFFFFF" w:val="clear"/>
        </w:rPr>
        <w:t>”</w:t>
      </w:r>
      <w:r>
        <w:rPr>
          <w:rFonts w:ascii="Times New Roman;sans-serif" w:hAnsi="Times New Roman;sans-serif"/>
          <w:b w:val="false"/>
          <w:color w:val="000000"/>
          <w:sz w:val="22"/>
          <w:shd w:fill="FFFFFF" w:val="clear"/>
        </w:rPr>
        <w:t>) promulgated thereunder, or under similar state securities laws (“</w:t>
      </w:r>
      <w:r>
        <w:rPr>
          <w:rFonts w:ascii="Times New Roman;sans-serif" w:hAnsi="Times New Roman;sans-serif"/>
          <w:b w:val="false"/>
          <w:color w:val="000000"/>
          <w:sz w:val="22"/>
          <w:u w:val="single"/>
          <w:shd w:fill="FFFFFF" w:val="clear"/>
        </w:rPr>
        <w:t>Permitted Encumbrances</w:t>
      </w:r>
      <w:r>
        <w:rPr>
          <w:color w:val="000000"/>
          <w:shd w:fill="FFFFFF" w:val="clear"/>
        </w:rPr>
        <w:t>”</w:t>
      </w:r>
      <w:r>
        <w:rPr>
          <w:rFonts w:ascii="Times New Roman;sans-serif" w:hAnsi="Times New Roman;sans-serif"/>
          <w:b w:val="false"/>
          <w:color w:val="000000"/>
          <w:sz w:val="22"/>
          <w:shd w:fill="FFFFFF" w:val="clear"/>
        </w:rPr>
        <w:t>)), duly endorsed or accompanied by an assignment duly endorsed in a form acceptable to the Company and, if applicable, its transfer agent, or by means of the book-entry transfer procedures of the Company, or by means of transfer acceptable to the Company, against payment by the Company of the First Payment.</w:t>
      </w:r>
    </w:p>
    <w:p>
      <w:pPr>
        <w:pStyle w:val="TextBody"/>
        <w:bidi w:val="0"/>
        <w:spacing w:before="0" w:after="0"/>
        <w:jc w:val="left"/>
        <w:rPr/>
      </w:pPr>
      <w:r>
        <w:rPr/>
      </w:r>
    </w:p>
    <w:p>
      <w:pPr>
        <w:pStyle w:val="TextBody"/>
        <w:bidi w:val="0"/>
        <w:spacing w:lineRule="auto" w:line="288" w:before="0" w:after="0"/>
        <w:ind w:left="0" w:right="0" w:firstLine="720"/>
        <w:jc w:val="both"/>
        <w:rPr>
          <w:shd w:fill="FFFFFF" w:val="clear"/>
        </w:rPr>
      </w:pPr>
      <w:r>
        <w:rPr>
          <w:rFonts w:ascii="Times New Roman;sans-serif" w:hAnsi="Times New Roman;sans-serif"/>
          <w:b w:val="false"/>
          <w:color w:val="000000"/>
          <w:sz w:val="22"/>
          <w:shd w:fill="FFFFFF" w:val="clear"/>
        </w:rPr>
        <w:t>c.</w:t>
      </w:r>
      <w:r>
        <w:rPr>
          <w:rFonts w:ascii="Times New Roman;sans-serif" w:hAnsi="Times New Roman;sans-serif"/>
          <w:b w:val="false"/>
          <w:color w:val="000000"/>
          <w:sz w:val="22"/>
          <w:shd w:fill="FFFFFF" w:val="clear"/>
        </w:rPr>
        <w:t>Upon consummation of the Repurchase, the Company will, or will instruct its transfer agent, to cancel the Securities, and thereafter the Securities shall be null and void, and any and all rights arising thereunder shall be extinguished.</w:t>
      </w:r>
    </w:p>
    <w:p>
      <w:pPr>
        <w:pStyle w:val="TextBody"/>
        <w:bidi w:val="0"/>
        <w:spacing w:before="0" w:after="0"/>
        <w:jc w:val="left"/>
        <w:rPr/>
      </w:pPr>
      <w:r>
        <w:rPr/>
      </w:r>
    </w:p>
    <w:p>
      <w:pPr>
        <w:pStyle w:val="TextBody"/>
        <w:bidi w:val="0"/>
        <w:spacing w:lineRule="auto" w:line="288" w:before="0" w:after="240"/>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 xml:space="preserve">All authority herein conferred or agreed to be conferred in this Repurchase Agreement shall survive the dissolution of the Holder and any representation, warranty, undertaking and obligation of the Holder hereunder shall be binding upon the trustees in bankruptcy, legal representatives, successors and assigns of the Holder. </w:t>
      </w:r>
    </w:p>
    <w:p>
      <w:pPr>
        <w:pStyle w:val="TextBody"/>
        <w:bidi w:val="0"/>
        <w:spacing w:lineRule="auto" w:line="288" w:before="0" w:after="0"/>
        <w:ind w:left="0" w:right="0" w:firstLine="360"/>
        <w:jc w:val="both"/>
        <w:rPr>
          <w:shd w:fill="FFFFFF" w:val="clear"/>
        </w:rPr>
      </w:pPr>
      <w:r>
        <w:rPr>
          <w:rFonts w:ascii="Times New Roman;sans-serif" w:hAnsi="Times New Roman;sans-serif"/>
          <w:b w:val="false"/>
          <w:color w:val="000000"/>
          <w:sz w:val="22"/>
          <w:shd w:fill="FFFFFF" w:val="clear"/>
        </w:rPr>
        <w:t>4.</w:t>
      </w:r>
      <w:r>
        <w:rPr>
          <w:rFonts w:ascii="Times New Roman;sans-serif" w:hAnsi="Times New Roman;sans-serif"/>
          <w:b w:val="false"/>
          <w:color w:val="000000"/>
          <w:sz w:val="22"/>
          <w:u w:val="single"/>
          <w:shd w:fill="FFFFFF" w:val="clear"/>
        </w:rPr>
        <w:t>Representations and Warranties and Undertakings of the Company</w:t>
      </w:r>
      <w:r>
        <w:rPr>
          <w:rFonts w:ascii="Times New Roman;sans-serif" w:hAnsi="Times New Roman;sans-serif"/>
          <w:b w:val="false"/>
          <w:color w:val="000000"/>
          <w:sz w:val="22"/>
          <w:shd w:fill="FFFFFF" w:val="clear"/>
        </w:rPr>
        <w:t xml:space="preserve">. The Company represents and warrants to the Holder that: </w:t>
      </w:r>
    </w:p>
    <w:p>
      <w:pPr>
        <w:pStyle w:val="TextBody"/>
        <w:bidi w:val="0"/>
        <w:spacing w:before="0" w:after="0"/>
        <w:jc w:val="both"/>
        <w:rPr/>
      </w:pPr>
      <w:r>
        <w:rPr/>
      </w:r>
    </w:p>
    <w:p>
      <w:pPr>
        <w:pStyle w:val="TextBody"/>
        <w:bidi w:val="0"/>
        <w:spacing w:lineRule="auto" w:line="288" w:before="0" w:after="0"/>
        <w:ind w:left="0" w:right="0" w:firstLine="720"/>
        <w:jc w:val="both"/>
        <w:rPr>
          <w:shd w:fill="FFFFFF" w:val="clear"/>
        </w:rPr>
      </w:pPr>
      <w:r>
        <w:rPr>
          <w:rFonts w:ascii="Times New Roman;sans-serif" w:hAnsi="Times New Roman;sans-serif"/>
          <w:b w:val="false"/>
          <w:color w:val="000000"/>
          <w:sz w:val="22"/>
          <w:shd w:fill="FFFFFF" w:val="clear"/>
        </w:rPr>
        <w:t>a.</w:t>
      </w:r>
      <w:r>
        <w:rPr>
          <w:rFonts w:ascii="Times New Roman;sans-serif" w:hAnsi="Times New Roman;sans-serif"/>
          <w:b w:val="false"/>
          <w:color w:val="000000"/>
          <w:sz w:val="22"/>
          <w:shd w:fill="FFFFFF" w:val="clear"/>
        </w:rPr>
        <w:t xml:space="preserve">The Company is duly formed and validly existing under the laws of the State of Delaware, and the consummation of the transactions contemplated hereby are within the powers of the Company and have been duly authorized by all necessary action on the part of the Company, and this Repurchase Agreement constitutes a valid and binding agreement of the Company, enforceable in accordance with its terms, except (i) as limited by applicable bankruptcy, insolvency, reorganization, moratorium, and other laws of general application affecting enforcement or creditors’ rights generally or (ii) as limited by laws relating to the availability of specific performance, injunctive relief, or other equitable remedies. </w:t>
      </w:r>
    </w:p>
    <w:p>
      <w:pPr>
        <w:pStyle w:val="TextBody"/>
        <w:bidi w:val="0"/>
        <w:spacing w:before="0" w:after="0"/>
        <w:jc w:val="both"/>
        <w:rPr/>
      </w:pPr>
      <w:r>
        <w:rPr/>
      </w:r>
    </w:p>
    <w:p>
      <w:pPr>
        <w:pStyle w:val="TextBody"/>
        <w:bidi w:val="0"/>
        <w:spacing w:lineRule="auto" w:line="288"/>
        <w:ind w:left="0" w:right="0" w:firstLine="720"/>
        <w:jc w:val="both"/>
        <w:rPr>
          <w:shd w:fill="FFFFFF" w:val="clear"/>
        </w:rPr>
      </w:pPr>
      <w:r>
        <w:rPr>
          <w:rFonts w:ascii="Times New Roman;sans-serif" w:hAnsi="Times New Roman;sans-serif"/>
          <w:b w:val="false"/>
          <w:color w:val="000000"/>
          <w:sz w:val="22"/>
          <w:shd w:fill="FFFFFF" w:val="clear"/>
        </w:rPr>
        <w:t>b.</w:t>
      </w:r>
      <w:r>
        <w:rPr>
          <w:rFonts w:ascii="Times New Roman;sans-serif" w:hAnsi="Times New Roman;sans-serif"/>
          <w:b w:val="false"/>
          <w:color w:val="000000"/>
          <w:sz w:val="22"/>
          <w:shd w:fill="FFFFFF" w:val="clear"/>
        </w:rPr>
        <w:t xml:space="preserve">The execution of this Repurchase Agreement by the Company and the consummation by the Company of the transactions contemplated hereby (i) do not require the consent, approval, authorization, order, registration or qualification of, or filing (assuming the truth and accuracy of the representations and warranties in </w:t>
      </w:r>
      <w:r>
        <w:rPr>
          <w:rFonts w:ascii="Times New Roman;sans-serif" w:hAnsi="Times New Roman;sans-serif"/>
          <w:b w:val="false"/>
          <w:color w:val="000000"/>
          <w:sz w:val="22"/>
          <w:u w:val="single"/>
          <w:shd w:fill="FFFFFF" w:val="clear"/>
        </w:rPr>
        <w:t>Section 5</w:t>
      </w:r>
      <w:r>
        <w:rPr>
          <w:color w:val="000000"/>
          <w:shd w:fill="FFFFFF" w:val="clear"/>
        </w:rPr>
        <w:t xml:space="preserve"> </w:t>
      </w:r>
      <w:r>
        <w:rPr>
          <w:rFonts w:ascii="Times New Roman;sans-serif" w:hAnsi="Times New Roman;sans-serif"/>
          <w:b w:val="false"/>
          <w:color w:val="000000"/>
          <w:sz w:val="22"/>
          <w:shd w:fill="FFFFFF" w:val="clear"/>
        </w:rPr>
        <w:t>and excluding any filing required under the requirements of the Securities Exchange Act of 1934, as amended (the “</w:t>
      </w:r>
      <w:r>
        <w:rPr>
          <w:rFonts w:ascii="Times New Roman;sans-serif" w:hAnsi="Times New Roman;sans-serif"/>
          <w:b w:val="false"/>
          <w:color w:val="000000"/>
          <w:sz w:val="22"/>
          <w:u w:val="single"/>
          <w:shd w:fill="FFFFFF" w:val="clear"/>
        </w:rPr>
        <w:t>Exchange Act</w:t>
      </w:r>
      <w:r>
        <w:rPr>
          <w:color w:val="000000"/>
          <w:shd w:fill="FFFFFF" w:val="clear"/>
        </w:rPr>
        <w:t>”</w:t>
      </w:r>
      <w:r>
        <w:rPr>
          <w:rFonts w:ascii="Times New Roman;sans-serif" w:hAnsi="Times New Roman;sans-serif"/>
          <w:b w:val="false"/>
          <w:color w:val="000000"/>
          <w:sz w:val="22"/>
          <w:shd w:fill="FFFFFF" w:val="clear"/>
        </w:rPr>
        <w:t xml:space="preserve">)) with, any governmental authority, non- governmental regulatory authorities, or court, or body or arbitrator having jurisdiction over the Company (except as may be required under the securities or Blue Sky laws of the various states); and (ii) do not and will not constitute or result in a breach, violation or default under any note, bond, mortgage, deed, indenture, lien, instrument, contract, agreement, lease or license, whether written or oral, express or implied, or with the Company’s organizational documents or bylaws, including, without limitation, the COD (as defined below), or any statute, law, ordinance, decree, order, injunction, rule, directive, judgment or regulation of any court, administrative or regulatory body, governmental authority, arbitrator, mediator or similar body on the part of the Company or on the part of any other party thereto or cause the acceleration or termination of any obligation or right of the Company or any other party thereto, except, in case of this clause (ii) (except with respect to the COD), for any such breach, violation or default as would not, individually or in the aggregate, (x) have a material adverse effect on the business, properties, financial position, stockholders’ equity, or results of operations of the Company and its </w:t>
      </w:r>
    </w:p>
    <w:p>
      <w:pPr>
        <w:pStyle w:val="TextBody"/>
        <w:bidi w:val="0"/>
        <w:spacing w:before="0" w:after="0"/>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75260"/>
                <wp:effectExtent l="0" t="0" r="0" b="0"/>
                <wp:wrapNone/>
                <wp:docPr id="201" name="Frame2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 xml:space="preserve">subsidiaries taken as a whole or (y) materially delay or materially impair the ability of the Company to comply, or prevent the Company from complying, with its obligations under this Agreement. </w:t>
      </w:r>
    </w:p>
    <w:p>
      <w:pPr>
        <w:pStyle w:val="TextBody"/>
        <w:bidi w:val="0"/>
        <w:spacing w:before="0" w:after="0"/>
        <w:jc w:val="both"/>
        <w:rPr/>
      </w:pPr>
      <w:r>
        <w:rPr/>
      </w:r>
    </w:p>
    <w:p>
      <w:pPr>
        <w:pStyle w:val="TextBody"/>
        <w:bidi w:val="0"/>
        <w:spacing w:lineRule="auto" w:line="288" w:before="0" w:after="0"/>
        <w:ind w:left="0" w:right="0" w:firstLine="720"/>
        <w:jc w:val="both"/>
        <w:rPr>
          <w:shd w:fill="FFFFFF" w:val="clear"/>
        </w:rPr>
      </w:pPr>
      <w:r>
        <w:rPr>
          <w:rFonts w:ascii="Times New Roman;sans-serif" w:hAnsi="Times New Roman;sans-serif"/>
          <w:b w:val="false"/>
          <w:color w:val="000000"/>
          <w:sz w:val="22"/>
          <w:shd w:fill="FFFFFF" w:val="clear"/>
        </w:rPr>
        <w:t>c.</w:t>
      </w:r>
      <w:r>
        <w:rPr>
          <w:rFonts w:ascii="Times New Roman;sans-serif" w:hAnsi="Times New Roman;sans-serif"/>
          <w:b w:val="false"/>
          <w:color w:val="000000"/>
          <w:sz w:val="22"/>
          <w:shd w:fill="FFFFFF" w:val="clear"/>
        </w:rPr>
        <w:t xml:space="preserve">Neither the Company nor any of its subsidiaries is (i) in violation of its organizational documents or bylaws or similar organizational documents; (ii) in default, and, to the knowledge of the Company (having made due and reasonable enquiry), no event has occurred that, with notice or lapse of time or both, would constitute such a default, in the performance or observance of any term, covenant or condition contained in any indenture, mortgage, deed of trust, loan agreement or other agreement or instrument, including, without limitation, the COD, to which the Company or any of its subsidiaries is a party or by which the Company or any of its subsidiaries is bound or to which any of the property or assets of the Company or any of its subsidiaries is subject; or (iii) in violation of any law or statute or any judgment, order, rule or regulation of any court or arbitrator or governmental or regulatory authority (including, without limitation, the rules and regulations of The Nasdaq Stock Market, LLC), in each case, applicable to the Company, except, in the case of clauses (ii) and (iii) above (except with respect to the COD), for any such conflict, breach or violation that would not, individually or in the aggregate, have a material adverse effect on the business, properties, financial position, stockholders’ equity, or results of operations of the Company and its subsidiaries taken as a whole. </w:t>
      </w:r>
    </w:p>
    <w:p>
      <w:pPr>
        <w:pStyle w:val="TextBody"/>
        <w:bidi w:val="0"/>
        <w:spacing w:before="0" w:after="0"/>
        <w:jc w:val="both"/>
        <w:rPr/>
      </w:pPr>
      <w:r>
        <w:rPr/>
      </w:r>
    </w:p>
    <w:p>
      <w:pPr>
        <w:pStyle w:val="TextBody"/>
        <w:bidi w:val="0"/>
        <w:spacing w:lineRule="auto" w:line="288" w:before="0" w:after="0"/>
        <w:ind w:left="0" w:right="0" w:firstLine="720"/>
        <w:jc w:val="both"/>
        <w:rPr>
          <w:shd w:fill="FFFFFF" w:val="clear"/>
        </w:rPr>
      </w:pPr>
      <w:r>
        <w:rPr>
          <w:rFonts w:ascii="Times New Roman;sans-serif" w:hAnsi="Times New Roman;sans-serif"/>
          <w:b w:val="false"/>
          <w:color w:val="000000"/>
          <w:sz w:val="22"/>
          <w:shd w:fill="FFFFFF" w:val="clear"/>
        </w:rPr>
        <w:t>d.</w:t>
      </w:r>
      <w:r>
        <w:rPr>
          <w:rFonts w:ascii="Times New Roman;sans-serif" w:hAnsi="Times New Roman;sans-serif"/>
          <w:b w:val="false"/>
          <w:color w:val="000000"/>
          <w:sz w:val="22"/>
          <w:shd w:fill="FFFFFF" w:val="clear"/>
        </w:rPr>
        <w:t xml:space="preserve">The Company is not and, after giving effect to the transactions contemplated by this Repurchase Agreement, will not be required to register as an “investment company” or an entity “controlled” by an “investment company” within the meaning of the Investment Company Act of 1940, as amended, and the rules and regulations of the SEC thereunder. </w:t>
      </w:r>
    </w:p>
    <w:p>
      <w:pPr>
        <w:pStyle w:val="TextBody"/>
        <w:bidi w:val="0"/>
        <w:spacing w:before="0" w:after="0"/>
        <w:jc w:val="left"/>
        <w:rPr/>
      </w:pPr>
      <w:r>
        <w:rPr/>
      </w:r>
    </w:p>
    <w:p>
      <w:pPr>
        <w:pStyle w:val="TextBody"/>
        <w:bidi w:val="0"/>
        <w:spacing w:lineRule="auto" w:line="288" w:before="0" w:after="0"/>
        <w:ind w:left="0" w:right="0" w:firstLine="720"/>
        <w:jc w:val="both"/>
        <w:rPr>
          <w:shd w:fill="FFFFFF" w:val="clear"/>
        </w:rPr>
      </w:pPr>
      <w:r>
        <w:rPr>
          <w:rFonts w:ascii="Times New Roman;sans-serif" w:hAnsi="Times New Roman;sans-serif"/>
          <w:b w:val="false"/>
          <w:color w:val="000000"/>
          <w:sz w:val="22"/>
          <w:shd w:fill="FFFFFF" w:val="clear"/>
        </w:rPr>
        <w:t>e.</w:t>
      </w:r>
      <w:r>
        <w:rPr>
          <w:rFonts w:ascii="Times New Roman;sans-serif" w:hAnsi="Times New Roman;sans-serif"/>
          <w:b w:val="false"/>
          <w:color w:val="000000"/>
          <w:sz w:val="22"/>
          <w:shd w:fill="FFFFFF" w:val="clear"/>
        </w:rPr>
        <w:t>There are no bankruptcy, insolvency, reorganization or receivership proceedings pending against, being contemplated by or threatened against the Company. The Company is not (and will not be upon consummation of the transactions contemplated hereby and the Note Repurchase Agreement of even date herewith between the Company and the Holder (as defined therein)) insolvent.</w:t>
      </w:r>
    </w:p>
    <w:p>
      <w:pPr>
        <w:pStyle w:val="TextBody"/>
        <w:bidi w:val="0"/>
        <w:spacing w:before="0" w:after="0"/>
        <w:jc w:val="left"/>
        <w:rPr/>
      </w:pPr>
      <w:r>
        <w:rPr/>
      </w:r>
    </w:p>
    <w:p>
      <w:pPr>
        <w:pStyle w:val="TextBody"/>
        <w:bidi w:val="0"/>
        <w:spacing w:lineRule="auto" w:line="288" w:before="0" w:after="0"/>
        <w:ind w:left="0" w:right="0" w:firstLine="360"/>
        <w:jc w:val="both"/>
        <w:rPr>
          <w:shd w:fill="FFFFFF" w:val="clear"/>
        </w:rPr>
      </w:pPr>
      <w:r>
        <w:rPr>
          <w:rFonts w:ascii="Times New Roman;sans-serif" w:hAnsi="Times New Roman;sans-serif"/>
          <w:b w:val="false"/>
          <w:color w:val="000000"/>
          <w:sz w:val="22"/>
          <w:shd w:fill="FFFFFF" w:val="clear"/>
        </w:rPr>
        <w:t>5.</w:t>
      </w:r>
      <w:r>
        <w:rPr>
          <w:rFonts w:ascii="Times New Roman;sans-serif" w:hAnsi="Times New Roman;sans-serif"/>
          <w:b w:val="false"/>
          <w:color w:val="000000"/>
          <w:sz w:val="22"/>
          <w:u w:val="single"/>
          <w:shd w:fill="FFFFFF" w:val="clear"/>
        </w:rPr>
        <w:t>Representations and Warranties of Holder</w:t>
      </w:r>
      <w:r>
        <w:rPr>
          <w:rFonts w:ascii="Times New Roman;sans-serif" w:hAnsi="Times New Roman;sans-serif"/>
          <w:b w:val="false"/>
          <w:color w:val="000000"/>
          <w:sz w:val="22"/>
          <w:shd w:fill="FFFFFF" w:val="clear"/>
        </w:rPr>
        <w:t xml:space="preserve">. The Holder hereby represents and warrants to the Company that: </w:t>
      </w:r>
    </w:p>
    <w:p>
      <w:pPr>
        <w:pStyle w:val="TextBody"/>
        <w:bidi w:val="0"/>
        <w:spacing w:before="0" w:after="0"/>
        <w:jc w:val="left"/>
        <w:rPr/>
      </w:pPr>
      <w:r>
        <w:rPr/>
      </w:r>
    </w:p>
    <w:p>
      <w:pPr>
        <w:pStyle w:val="TextBody"/>
        <w:bidi w:val="0"/>
        <w:spacing w:lineRule="auto" w:line="288" w:before="0" w:after="0"/>
        <w:ind w:left="0" w:right="0" w:firstLine="720"/>
        <w:jc w:val="both"/>
        <w:rPr>
          <w:shd w:fill="FFFFFF" w:val="clear"/>
        </w:rPr>
      </w:pPr>
      <w:r>
        <w:rPr>
          <w:rFonts w:ascii="Times New Roman;sans-serif" w:hAnsi="Times New Roman;sans-serif"/>
          <w:b w:val="false"/>
          <w:color w:val="000000"/>
          <w:sz w:val="22"/>
          <w:shd w:fill="FFFFFF" w:val="clear"/>
        </w:rPr>
        <w:t>a.</w:t>
      </w:r>
      <w:r>
        <w:rPr>
          <w:rFonts w:ascii="Times New Roman;sans-serif" w:hAnsi="Times New Roman;sans-serif"/>
          <w:b w:val="false"/>
          <w:color w:val="000000"/>
          <w:sz w:val="22"/>
          <w:shd w:fill="FFFFFF" w:val="clear"/>
        </w:rPr>
        <w:t xml:space="preserve">The Holder has full power and authority to exchange, sell, assign and transfer the Securities sold hereby and to enter into this Repurchase Agreement and perform all obligations required to be performed by the Holder hereunder. </w:t>
      </w:r>
    </w:p>
    <w:p>
      <w:pPr>
        <w:pStyle w:val="TextBody"/>
        <w:bidi w:val="0"/>
        <w:spacing w:before="0" w:after="0"/>
        <w:jc w:val="both"/>
        <w:rPr/>
      </w:pPr>
      <w:r>
        <w:rPr/>
      </w:r>
    </w:p>
    <w:p>
      <w:pPr>
        <w:pStyle w:val="TextBody"/>
        <w:bidi w:val="0"/>
        <w:spacing w:lineRule="auto" w:line="288" w:before="0" w:after="0"/>
        <w:ind w:left="0" w:right="0" w:firstLine="720"/>
        <w:jc w:val="both"/>
        <w:rPr>
          <w:shd w:fill="FFFFFF" w:val="clear"/>
        </w:rPr>
      </w:pPr>
      <w:r>
        <w:rPr>
          <w:rFonts w:ascii="Times New Roman;sans-serif" w:hAnsi="Times New Roman;sans-serif"/>
          <w:b w:val="false"/>
          <w:color w:val="000000"/>
          <w:sz w:val="22"/>
          <w:shd w:fill="FFFFFF" w:val="clear"/>
        </w:rPr>
        <w:t>b.</w:t>
      </w:r>
      <w:r>
        <w:rPr>
          <w:rFonts w:ascii="Times New Roman;sans-serif" w:hAnsi="Times New Roman;sans-serif"/>
          <w:b w:val="false"/>
          <w:color w:val="000000"/>
          <w:sz w:val="22"/>
          <w:shd w:fill="FFFFFF" w:val="clear"/>
        </w:rPr>
        <w:t>The Holder is the current beneficial owner of the Securities. When the Securities are sold, the Company will acquire good, marketable and unencumbered title thereto, free and clear of all liens, restrictions, charges and encumbrances. The Securities sold hereby are not subject to any adverse claims, rights or proxies. The Holder shall be responsible for its own tax liability that may arise as a result of the transactions contemplated by this Repurchase Agreement.</w:t>
      </w:r>
    </w:p>
    <w:p>
      <w:pPr>
        <w:pStyle w:val="TextBody"/>
        <w:bidi w:val="0"/>
        <w:spacing w:before="0" w:after="0"/>
        <w:jc w:val="both"/>
        <w:rPr/>
      </w:pPr>
      <w:r>
        <w:rPr/>
      </w:r>
    </w:p>
    <w:p>
      <w:pPr>
        <w:pStyle w:val="TextBody"/>
        <w:bidi w:val="0"/>
        <w:spacing w:lineRule="auto" w:line="288" w:before="0" w:after="0"/>
        <w:ind w:left="0" w:right="0" w:firstLine="720"/>
        <w:jc w:val="both"/>
        <w:rPr>
          <w:shd w:fill="FFFFFF" w:val="clear"/>
        </w:rPr>
      </w:pPr>
      <w:r>
        <w:rPr>
          <w:rFonts w:ascii="Times New Roman;sans-serif" w:hAnsi="Times New Roman;sans-serif"/>
          <w:b w:val="false"/>
          <w:color w:val="000000"/>
          <w:sz w:val="22"/>
          <w:shd w:fill="FFFFFF" w:val="clear"/>
        </w:rPr>
        <w:t>c.</w:t>
      </w:r>
      <w:r>
        <w:rPr>
          <w:rFonts w:ascii="Times New Roman;sans-serif" w:hAnsi="Times New Roman;sans-serif"/>
          <w:b w:val="false"/>
          <w:color w:val="000000"/>
          <w:sz w:val="22"/>
          <w:shd w:fill="FFFFFF" w:val="clear"/>
        </w:rPr>
        <w:t xml:space="preserve">The Repurchase will not contravene any law, rule or regulation binding on the Holder or any investment guideline or restriction applicable to the Holder. </w:t>
      </w:r>
    </w:p>
    <w:p>
      <w:pPr>
        <w:pStyle w:val="TextBody"/>
        <w:bidi w:val="0"/>
        <w:spacing w:before="0" w:after="0"/>
        <w:jc w:val="left"/>
        <w:rPr/>
      </w:pPr>
      <w:r>
        <w:rPr/>
      </w:r>
    </w:p>
    <w:p>
      <w:pPr>
        <w:pStyle w:val="TextBody"/>
        <w:bidi w:val="0"/>
        <w:spacing w:lineRule="auto" w:line="288"/>
        <w:ind w:left="0" w:right="0" w:firstLine="720"/>
        <w:jc w:val="both"/>
        <w:rPr>
          <w:shd w:fill="FFFFFF" w:val="clear"/>
        </w:rPr>
      </w:pPr>
      <w:r>
        <w:rPr>
          <w:rFonts w:ascii="Times New Roman;sans-serif" w:hAnsi="Times New Roman;sans-serif"/>
          <w:b w:val="false"/>
          <w:color w:val="000000"/>
          <w:sz w:val="22"/>
          <w:shd w:fill="FFFFFF" w:val="clear"/>
        </w:rPr>
        <w:t>d.</w:t>
      </w:r>
      <w:r>
        <w:rPr>
          <w:rFonts w:ascii="Times New Roman;sans-serif" w:hAnsi="Times New Roman;sans-serif"/>
          <w:b w:val="false"/>
          <w:color w:val="000000"/>
          <w:sz w:val="22"/>
          <w:shd w:fill="FFFFFF" w:val="clear"/>
        </w:rPr>
        <w:t xml:space="preserve">The Holder acknowledges that no person has been authorized to give any information or to make any representation or warranty concerning the Company or the Repurchase other than the information set forth herein in connection with the Holder’s examination of the Company and the terms of the Repurchase, and the Company does not take any responsibility for, and the Company cannot provide any assurance as to the reliability of, any other information that others may provide to the Holder. </w:t>
      </w:r>
    </w:p>
    <w:p>
      <w:pPr>
        <w:pStyle w:val="TextBody"/>
        <w:bidi w:val="0"/>
        <w:spacing w:before="0" w:after="0"/>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75260"/>
                <wp:effectExtent l="0" t="0" r="0" b="0"/>
                <wp:wrapNone/>
                <wp:docPr id="202" name="Frame2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shd w:fill="FFFFFF" w:val="clear"/>
        </w:rPr>
      </w:pPr>
      <w:r>
        <w:rPr>
          <w:rFonts w:ascii="Times New Roman;sans-serif" w:hAnsi="Times New Roman;sans-serif"/>
          <w:b w:val="false"/>
          <w:color w:val="000000"/>
          <w:sz w:val="22"/>
          <w:shd w:fill="FFFFFF" w:val="clear"/>
        </w:rPr>
        <w:t>e.</w:t>
      </w:r>
      <w:r>
        <w:rPr>
          <w:rFonts w:ascii="Times New Roman;sans-serif" w:hAnsi="Times New Roman;sans-serif"/>
          <w:b w:val="false"/>
          <w:color w:val="000000"/>
          <w:sz w:val="22"/>
          <w:shd w:fill="FFFFFF" w:val="clear"/>
        </w:rPr>
        <w:t>The Holder acknowledges that (i) it has reviewed the Company’s filings with the SEC and (ii) it is relying only upon the information contained in the Company’s filings with the SEC and the representations and warranties of the Company in this Repurchase Agreement and not upon any other information. The Holder acknowledges and understands that: (x) the Company currently may have, and later may come into possession of, information with respect to the Company that is not known to Holder and that may be material to a decision to sell the Securities (such information, “</w:t>
      </w:r>
      <w:r>
        <w:rPr>
          <w:rFonts w:ascii="Times New Roman;sans-serif" w:hAnsi="Times New Roman;sans-serif"/>
          <w:b w:val="false"/>
          <w:color w:val="000000"/>
          <w:sz w:val="22"/>
          <w:u w:val="single"/>
          <w:shd w:fill="FFFFFF" w:val="clear"/>
        </w:rPr>
        <w:t>Holder Excluded Information</w:t>
      </w:r>
      <w:r>
        <w:rPr>
          <w:color w:val="000000"/>
          <w:shd w:fill="FFFFFF" w:val="clear"/>
        </w:rPr>
        <w:t>”</w:t>
      </w:r>
      <w:r>
        <w:rPr>
          <w:rFonts w:ascii="Times New Roman;sans-serif" w:hAnsi="Times New Roman;sans-serif"/>
          <w:b w:val="false"/>
          <w:color w:val="000000"/>
          <w:sz w:val="22"/>
          <w:shd w:fill="FFFFFF" w:val="clear"/>
        </w:rPr>
        <w:t>); (y) Holder has determined to sell the Securities notwithstanding its lack of knowledge of Holder Excluded Information; and (z) the Company shall not have any liability to Holder, and Holder waives and releases any claims that he might have against the Company, whether under applicable securities laws or otherwise, with respect to the nondisclosure of Holder Excluded Information in connection with the Repurchase and the transactions contemplated by this Agreement</w:t>
      </w:r>
    </w:p>
    <w:p>
      <w:pPr>
        <w:pStyle w:val="TextBody"/>
        <w:bidi w:val="0"/>
        <w:spacing w:before="0" w:after="0"/>
        <w:jc w:val="left"/>
        <w:rPr/>
      </w:pPr>
      <w:r>
        <w:rPr/>
      </w:r>
    </w:p>
    <w:p>
      <w:pPr>
        <w:pStyle w:val="TextBody"/>
        <w:bidi w:val="0"/>
        <w:spacing w:lineRule="auto" w:line="288" w:before="0" w:after="0"/>
        <w:ind w:left="0" w:right="0" w:firstLine="720"/>
        <w:jc w:val="both"/>
        <w:rPr>
          <w:shd w:fill="FFFFFF" w:val="clear"/>
        </w:rPr>
      </w:pPr>
      <w:r>
        <w:rPr>
          <w:rFonts w:ascii="Times New Roman;sans-serif" w:hAnsi="Times New Roman;sans-serif"/>
          <w:b w:val="false"/>
          <w:color w:val="000000"/>
          <w:sz w:val="22"/>
          <w:shd w:fill="FFFFFF" w:val="clear"/>
        </w:rPr>
        <w:t>f.</w:t>
      </w:r>
      <w:r>
        <w:rPr>
          <w:rFonts w:ascii="Times New Roman;sans-serif" w:hAnsi="Times New Roman;sans-serif"/>
          <w:b w:val="false"/>
          <w:color w:val="000000"/>
          <w:sz w:val="22"/>
          <w:shd w:fill="FFFFFF" w:val="clear"/>
        </w:rPr>
        <w:t>The Holder acknowledges and understands that the Company’s plans for the future, if successful, may result in the Securities being sold by the Holder becoming more valuable and that the future value of the Securities could exceed the amounts the Holder will receive under this Repurchase Agreement. In addition, the Holder acknowledges and understands that the Consideration may be less than the Holder would receive if the Securities were redeemed pursuant to the terms of the Certificate of Designations of the Series B Preferred Stock (the “</w:t>
      </w:r>
      <w:r>
        <w:rPr>
          <w:rFonts w:ascii="Times New Roman;sans-serif" w:hAnsi="Times New Roman;sans-serif"/>
          <w:b w:val="false"/>
          <w:color w:val="000000"/>
          <w:sz w:val="22"/>
          <w:u w:val="single"/>
          <w:shd w:fill="FFFFFF" w:val="clear"/>
        </w:rPr>
        <w:t>COD</w:t>
      </w:r>
      <w:r>
        <w:rPr>
          <w:color w:val="000000"/>
          <w:shd w:fill="FFFFFF" w:val="clear"/>
        </w:rPr>
        <w:t>”</w:t>
      </w:r>
      <w:r>
        <w:rPr>
          <w:rFonts w:ascii="Times New Roman;sans-serif" w:hAnsi="Times New Roman;sans-serif"/>
          <w:b w:val="false"/>
          <w:color w:val="000000"/>
          <w:sz w:val="22"/>
          <w:shd w:fill="FFFFFF" w:val="clear"/>
        </w:rPr>
        <w:t xml:space="preserve">), in connection with a Fundamental Change (as defined in the COD) or otherwise under the COD. The Holder has determined to forego the possibility of such future value in order to obtain consideration in accordance with this Repurchase Agreement. Neither the Company, nor any of their respective officers, directors, employees or agents have made any representations to the Holder regarding the present or future value of the Securities being sold by the Holder, or the advisability of the decision to sell the Securities pursuant to this Repurchase Agreement. The Holder confirms that it is not relying on any communication (written or oral) of the Company or any of its affiliates or representatives as investment advice or as a recommendation to participate in the Repurchase and receive the Consideration for the Securities. It is understood that information provided by the Company, or any of its affiliates or representatives shall not be considered investment advice or a recommendation to conduct the Repurchase. </w:t>
      </w:r>
    </w:p>
    <w:p>
      <w:pPr>
        <w:pStyle w:val="TextBody"/>
        <w:bidi w:val="0"/>
        <w:spacing w:before="0" w:after="0"/>
        <w:jc w:val="left"/>
        <w:rPr/>
      </w:pPr>
      <w:r>
        <w:rPr/>
      </w:r>
    </w:p>
    <w:p>
      <w:pPr>
        <w:pStyle w:val="TextBody"/>
        <w:bidi w:val="0"/>
        <w:spacing w:lineRule="auto" w:line="288" w:before="0" w:after="0"/>
        <w:ind w:left="0" w:right="0" w:firstLine="720"/>
        <w:jc w:val="both"/>
        <w:rPr>
          <w:shd w:fill="FFFFFF" w:val="clear"/>
        </w:rPr>
      </w:pPr>
      <w:r>
        <w:rPr>
          <w:rFonts w:ascii="Times New Roman;sans-serif" w:hAnsi="Times New Roman;sans-serif"/>
          <w:b w:val="false"/>
          <w:color w:val="000000"/>
          <w:sz w:val="22"/>
          <w:shd w:fill="FFFFFF" w:val="clear"/>
        </w:rPr>
        <w:t>g.</w:t>
      </w:r>
      <w:r>
        <w:rPr>
          <w:rFonts w:ascii="Times New Roman;sans-serif" w:hAnsi="Times New Roman;sans-serif"/>
          <w:b w:val="false"/>
          <w:color w:val="000000"/>
          <w:sz w:val="22"/>
          <w:shd w:fill="FFFFFF" w:val="clear"/>
        </w:rPr>
        <w:t xml:space="preserve">The Holder is a corporation, limited partnership, limited liability company or other entity, as the case may be, duly formed, validly existing and in good standing under the laws of the jurisdiction of its formation. </w:t>
      </w:r>
    </w:p>
    <w:p>
      <w:pPr>
        <w:pStyle w:val="TextBody"/>
        <w:bidi w:val="0"/>
        <w:spacing w:before="0" w:after="0"/>
        <w:jc w:val="left"/>
        <w:rPr/>
      </w:pPr>
      <w:r>
        <w:rPr/>
      </w:r>
    </w:p>
    <w:p>
      <w:pPr>
        <w:pStyle w:val="TextBody"/>
        <w:bidi w:val="0"/>
        <w:spacing w:lineRule="auto" w:line="288" w:before="0" w:after="0"/>
        <w:ind w:left="0" w:right="0" w:firstLine="720"/>
        <w:jc w:val="both"/>
        <w:rPr>
          <w:shd w:fill="FFFFFF" w:val="clear"/>
        </w:rPr>
      </w:pPr>
      <w:r>
        <w:rPr>
          <w:rFonts w:ascii="Times New Roman;sans-serif" w:hAnsi="Times New Roman;sans-serif"/>
          <w:b w:val="false"/>
          <w:color w:val="000000"/>
          <w:sz w:val="22"/>
          <w:shd w:fill="FFFFFF" w:val="clear"/>
        </w:rPr>
        <w:t>h.</w:t>
      </w:r>
      <w:r>
        <w:rPr>
          <w:rFonts w:ascii="Times New Roman;sans-serif" w:hAnsi="Times New Roman;sans-serif"/>
          <w:b w:val="false"/>
          <w:color w:val="000000"/>
          <w:sz w:val="22"/>
          <w:shd w:fill="FFFFFF" w:val="clear"/>
        </w:rPr>
        <w:t xml:space="preserve">The Holder acknowledges that (i) it is a sophisticated investor, (ii) the terms of the Repurchase have been mutually negotiated between the Holder and the Company and (iii) that the Holder was given a meaningful opportunity to negotiate the terms of the Repurchase. </w:t>
      </w:r>
    </w:p>
    <w:p>
      <w:pPr>
        <w:pStyle w:val="TextBody"/>
        <w:bidi w:val="0"/>
        <w:spacing w:before="0" w:after="0"/>
        <w:jc w:val="left"/>
        <w:rPr/>
      </w:pPr>
      <w:r>
        <w:rPr/>
      </w:r>
    </w:p>
    <w:p>
      <w:pPr>
        <w:pStyle w:val="TextBody"/>
        <w:bidi w:val="0"/>
        <w:spacing w:lineRule="auto" w:line="288" w:before="0" w:after="0"/>
        <w:ind w:left="0" w:right="0" w:firstLine="720"/>
        <w:jc w:val="both"/>
        <w:rPr>
          <w:shd w:fill="FFFFFF" w:val="clear"/>
        </w:rPr>
      </w:pPr>
      <w:r>
        <w:rPr>
          <w:rFonts w:ascii="Times New Roman;sans-serif" w:hAnsi="Times New Roman;sans-serif"/>
          <w:b w:val="false"/>
          <w:color w:val="000000"/>
          <w:sz w:val="22"/>
          <w:shd w:fill="FFFFFF" w:val="clear"/>
        </w:rPr>
        <w:t>i.</w:t>
      </w:r>
      <w:r>
        <w:rPr>
          <w:rFonts w:ascii="Times New Roman;sans-serif" w:hAnsi="Times New Roman;sans-serif"/>
          <w:b w:val="false"/>
          <w:color w:val="000000"/>
          <w:sz w:val="22"/>
          <w:shd w:fill="FFFFFF" w:val="clear"/>
        </w:rPr>
        <w:t xml:space="preserve">The Holder will, upon request, execute and deliver any additional documents deemed by the Company to be necessary or desirable to complete the sale, assignment and transfer of the Securities sold hereby. </w:t>
      </w:r>
    </w:p>
    <w:p>
      <w:pPr>
        <w:pStyle w:val="TextBody"/>
        <w:bidi w:val="0"/>
        <w:spacing w:before="0" w:after="0"/>
        <w:jc w:val="left"/>
        <w:rPr/>
      </w:pPr>
      <w:r>
        <w:rPr/>
      </w:r>
    </w:p>
    <w:p>
      <w:pPr>
        <w:pStyle w:val="TextBody"/>
        <w:bidi w:val="0"/>
        <w:spacing w:lineRule="auto" w:line="288" w:before="0" w:after="0"/>
        <w:ind w:left="0" w:right="0" w:firstLine="720"/>
        <w:jc w:val="both"/>
        <w:rPr>
          <w:shd w:fill="FFFFFF" w:val="clear"/>
        </w:rPr>
      </w:pPr>
      <w:r>
        <w:rPr>
          <w:rFonts w:ascii="Times New Roman;sans-serif" w:hAnsi="Times New Roman;sans-serif"/>
          <w:b w:val="false"/>
          <w:color w:val="000000"/>
          <w:sz w:val="22"/>
          <w:shd w:fill="FFFFFF" w:val="clear"/>
        </w:rPr>
        <w:t>j.</w:t>
      </w:r>
      <w:r>
        <w:rPr>
          <w:rFonts w:ascii="Times New Roman;sans-serif" w:hAnsi="Times New Roman;sans-serif"/>
          <w:b w:val="false"/>
          <w:color w:val="000000"/>
          <w:sz w:val="22"/>
          <w:shd w:fill="FFFFFF" w:val="clear"/>
        </w:rPr>
        <w:t xml:space="preserve">There is no investment banker, broker, finder or other intermediary which has been retained by, will be retained by or is authorized to act on behalf of the Holder who might be entitled to any fee or commission from the Company or the Holder upon consummation of the transactions contemplated by this Repurchase Agreement. </w:t>
      </w:r>
    </w:p>
    <w:p>
      <w:pPr>
        <w:pStyle w:val="TextBody"/>
        <w:bidi w:val="0"/>
        <w:spacing w:before="0" w:after="0"/>
        <w:jc w:val="left"/>
        <w:rPr/>
      </w:pPr>
      <w:r>
        <w:rPr/>
      </w:r>
    </w:p>
    <w:p>
      <w:pPr>
        <w:pStyle w:val="TextBody"/>
        <w:bidi w:val="0"/>
        <w:spacing w:lineRule="auto" w:line="288"/>
        <w:ind w:left="0" w:right="0" w:firstLine="720"/>
        <w:jc w:val="both"/>
        <w:rPr>
          <w:shd w:fill="FFFFFF" w:val="clear"/>
        </w:rPr>
      </w:pPr>
      <w:r>
        <w:rPr>
          <w:rFonts w:ascii="Times New Roman;sans-serif" w:hAnsi="Times New Roman;sans-serif"/>
          <w:b w:val="false"/>
          <w:color w:val="000000"/>
          <w:sz w:val="22"/>
          <w:shd w:fill="FFFFFF" w:val="clear"/>
        </w:rPr>
        <w:t>k.</w:t>
      </w:r>
      <w:r>
        <w:rPr>
          <w:rFonts w:ascii="Times New Roman;sans-serif" w:hAnsi="Times New Roman;sans-serif"/>
          <w:b w:val="false"/>
          <w:color w:val="000000"/>
          <w:sz w:val="22"/>
          <w:shd w:fill="FFFFFF" w:val="clear"/>
        </w:rPr>
        <w:t xml:space="preserve">The Holder understands that the Company and others will rely upon the truth and accuracy of the foregoing representations, warranties and covenants and agrees that if any of the </w:t>
      </w:r>
    </w:p>
    <w:p>
      <w:pPr>
        <w:pStyle w:val="TextBody"/>
        <w:bidi w:val="0"/>
        <w:spacing w:before="0" w:after="0"/>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75260"/>
                <wp:effectExtent l="0" t="0" r="0" b="0"/>
                <wp:wrapNone/>
                <wp:docPr id="203" name="Frame2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representations and warranties deemed to have been made by it by its participation in the transactions contemplated by this Repurchase Agreement are no longer accurate, the Holder shall promptly notify the Company. The Holder understands that, unless the Holder notifies the Company in writing to the contrary before the Closing, each of the Holder’s representations and warranties contained in this Repurchase Agreement will be deemed to have been reaffirmed and confirmed as of the Closing.</w:t>
      </w:r>
    </w:p>
    <w:p>
      <w:pPr>
        <w:pStyle w:val="TextBody"/>
        <w:bidi w:val="0"/>
        <w:spacing w:before="0" w:after="0"/>
        <w:jc w:val="left"/>
        <w:rPr/>
      </w:pPr>
      <w:r>
        <w:rPr/>
      </w:r>
    </w:p>
    <w:p>
      <w:pPr>
        <w:pStyle w:val="TextBody"/>
        <w:bidi w:val="0"/>
        <w:spacing w:lineRule="auto" w:line="288" w:before="0" w:after="0"/>
        <w:ind w:left="0" w:right="0" w:firstLine="720"/>
        <w:jc w:val="both"/>
        <w:rPr>
          <w:shd w:fill="FFFFFF" w:val="clear"/>
        </w:rPr>
      </w:pPr>
      <w:r>
        <w:rPr>
          <w:rFonts w:ascii="Times New Roman;sans-serif" w:hAnsi="Times New Roman;sans-serif"/>
          <w:b w:val="false"/>
          <w:color w:val="000000"/>
          <w:sz w:val="22"/>
          <w:shd w:fill="FFFFFF" w:val="clear"/>
        </w:rPr>
        <w:t>l.</w:t>
      </w:r>
      <w:r>
        <w:rPr>
          <w:rFonts w:ascii="Times New Roman;sans-serif" w:hAnsi="Times New Roman;sans-serif"/>
          <w:b w:val="false"/>
          <w:color w:val="000000"/>
          <w:sz w:val="22"/>
          <w:shd w:fill="FFFFFF" w:val="clear"/>
        </w:rPr>
        <w:t xml:space="preserve">The Holder acknowledges and agrees that the Company has not made any representation, warranty, covenant or agreement, whether express or implied, of any kind or character to the Holder with respect to the subject matter of this Repurchase Agreement, except as expressly set forth in this Repurchase Agreement. </w:t>
      </w:r>
    </w:p>
    <w:p>
      <w:pPr>
        <w:pStyle w:val="TextBody"/>
        <w:bidi w:val="0"/>
        <w:spacing w:before="0" w:after="0"/>
        <w:jc w:val="left"/>
        <w:rPr/>
      </w:pPr>
      <w:r>
        <w:rPr/>
      </w:r>
    </w:p>
    <w:p>
      <w:pPr>
        <w:pStyle w:val="TextBody"/>
        <w:bidi w:val="0"/>
        <w:spacing w:lineRule="auto" w:line="288" w:before="0" w:after="0"/>
        <w:ind w:left="0" w:right="0" w:firstLine="360"/>
        <w:jc w:val="both"/>
        <w:rPr>
          <w:shd w:fill="FFFFFF" w:val="clear"/>
        </w:rPr>
      </w:pPr>
      <w:r>
        <w:rPr>
          <w:rFonts w:ascii="Times New Roman;sans-serif" w:hAnsi="Times New Roman;sans-serif"/>
          <w:b w:val="false"/>
          <w:color w:val="000000"/>
          <w:sz w:val="22"/>
          <w:shd w:fill="FFFFFF" w:val="clear"/>
        </w:rPr>
        <w:t>6.</w:t>
      </w:r>
      <w:r>
        <w:rPr>
          <w:rFonts w:ascii="Times New Roman;sans-serif" w:hAnsi="Times New Roman;sans-serif"/>
          <w:b w:val="false"/>
          <w:color w:val="000000"/>
          <w:sz w:val="22"/>
          <w:u w:val="single"/>
          <w:shd w:fill="FFFFFF" w:val="clear"/>
        </w:rPr>
        <w:t>Conditions to the Holder’s Obligation to Close</w:t>
      </w:r>
      <w:r>
        <w:rPr>
          <w:rFonts w:ascii="Times New Roman;sans-serif" w:hAnsi="Times New Roman;sans-serif"/>
          <w:b w:val="false"/>
          <w:color w:val="000000"/>
          <w:sz w:val="22"/>
          <w:shd w:fill="FFFFFF" w:val="clear"/>
        </w:rPr>
        <w:t xml:space="preserve">. The obligation of the Holder hereunder to consummate the Repurchase are subject to the satisfaction (or, to the extent permissible under applicable law, waiver by the Holder) of each of the following conditions: </w:t>
      </w:r>
    </w:p>
    <w:p>
      <w:pPr>
        <w:pStyle w:val="TextBody"/>
        <w:bidi w:val="0"/>
        <w:spacing w:before="0" w:after="0"/>
        <w:jc w:val="left"/>
        <w:rPr/>
      </w:pPr>
      <w:r>
        <w:rPr/>
      </w:r>
    </w:p>
    <w:p>
      <w:pPr>
        <w:pStyle w:val="TextBody"/>
        <w:bidi w:val="0"/>
        <w:spacing w:lineRule="auto" w:line="288" w:before="0" w:after="0"/>
        <w:ind w:left="0" w:right="0" w:firstLine="720"/>
        <w:jc w:val="both"/>
        <w:rPr>
          <w:shd w:fill="FFFFFF" w:val="clear"/>
        </w:rPr>
      </w:pPr>
      <w:r>
        <w:rPr>
          <w:rFonts w:ascii="Times New Roman;sans-serif" w:hAnsi="Times New Roman;sans-serif"/>
          <w:b w:val="false"/>
          <w:color w:val="000000"/>
          <w:sz w:val="22"/>
          <w:shd w:fill="FFFFFF" w:val="clear"/>
        </w:rPr>
        <w:t>a.</w:t>
      </w:r>
      <w:r>
        <w:rPr>
          <w:rFonts w:ascii="Times New Roman;sans-serif" w:hAnsi="Times New Roman;sans-serif"/>
          <w:b w:val="false"/>
          <w:color w:val="000000"/>
          <w:sz w:val="22"/>
          <w:shd w:fill="FFFFFF" w:val="clear"/>
        </w:rPr>
        <w:t xml:space="preserve">each of the representations and warranties of the Company contained in </w:t>
      </w:r>
      <w:r>
        <w:rPr>
          <w:rFonts w:ascii="Times New Roman;sans-serif" w:hAnsi="Times New Roman;sans-serif"/>
          <w:b w:val="false"/>
          <w:color w:val="000000"/>
          <w:sz w:val="22"/>
          <w:u w:val="single"/>
          <w:shd w:fill="FFFFFF" w:val="clear"/>
        </w:rPr>
        <w:t xml:space="preserve">Section 4 </w:t>
      </w:r>
      <w:r>
        <w:rPr>
          <w:rFonts w:ascii="Times New Roman;sans-serif" w:hAnsi="Times New Roman;sans-serif"/>
          <w:b w:val="false"/>
          <w:color w:val="000000"/>
          <w:sz w:val="22"/>
          <w:shd w:fill="FFFFFF" w:val="clear"/>
        </w:rPr>
        <w:t>shall be true and correct in all material respects on and as of the Closing Date with the same effect as though such representations and warranties had been made on and as of the Closing Date;</w:t>
      </w:r>
    </w:p>
    <w:p>
      <w:pPr>
        <w:pStyle w:val="TextBody"/>
        <w:bidi w:val="0"/>
        <w:spacing w:before="0" w:after="0"/>
        <w:jc w:val="both"/>
        <w:rPr/>
      </w:pPr>
      <w:r>
        <w:rPr/>
      </w:r>
    </w:p>
    <w:p>
      <w:pPr>
        <w:pStyle w:val="TextBody"/>
        <w:bidi w:val="0"/>
        <w:spacing w:lineRule="auto" w:line="288" w:before="0" w:after="0"/>
        <w:ind w:left="0" w:right="0" w:firstLine="720"/>
        <w:jc w:val="both"/>
        <w:rPr>
          <w:shd w:fill="FFFFFF" w:val="clear"/>
        </w:rPr>
      </w:pPr>
      <w:r>
        <w:rPr>
          <w:rFonts w:ascii="Times New Roman;sans-serif" w:hAnsi="Times New Roman;sans-serif"/>
          <w:b w:val="false"/>
          <w:color w:val="000000"/>
          <w:sz w:val="22"/>
          <w:shd w:fill="FFFFFF" w:val="clear"/>
        </w:rPr>
        <w:t>b.</w:t>
      </w:r>
      <w:r>
        <w:rPr>
          <w:rFonts w:ascii="Times New Roman;sans-serif" w:hAnsi="Times New Roman;sans-serif"/>
          <w:b w:val="false"/>
          <w:color w:val="000000"/>
          <w:sz w:val="22"/>
          <w:shd w:fill="FFFFFF" w:val="clear"/>
        </w:rPr>
        <w:t>the Company shall have performed all of its covenants required to be performed hereunder prior to such time in all material respects; and</w:t>
      </w:r>
    </w:p>
    <w:p>
      <w:pPr>
        <w:pStyle w:val="TextBody"/>
        <w:bidi w:val="0"/>
        <w:spacing w:before="0" w:after="0"/>
        <w:jc w:val="left"/>
        <w:rPr/>
      </w:pPr>
      <w:r>
        <w:rPr/>
      </w:r>
    </w:p>
    <w:p>
      <w:pPr>
        <w:pStyle w:val="TextBody"/>
        <w:bidi w:val="0"/>
        <w:spacing w:lineRule="auto" w:line="288" w:before="0" w:after="0"/>
        <w:ind w:left="0" w:right="0" w:firstLine="720"/>
        <w:jc w:val="both"/>
        <w:rPr>
          <w:shd w:fill="FFFFFF" w:val="clear"/>
        </w:rPr>
      </w:pPr>
      <w:r>
        <w:rPr>
          <w:rFonts w:ascii="Times New Roman;sans-serif" w:hAnsi="Times New Roman;sans-serif"/>
          <w:b w:val="false"/>
          <w:color w:val="000000"/>
          <w:sz w:val="22"/>
          <w:shd w:fill="FFFFFF" w:val="clear"/>
        </w:rPr>
        <w:t>c.</w:t>
      </w:r>
      <w:r>
        <w:rPr>
          <w:rFonts w:ascii="Times New Roman;sans-serif" w:hAnsi="Times New Roman;sans-serif"/>
          <w:b w:val="false"/>
          <w:color w:val="000000"/>
          <w:sz w:val="22"/>
          <w:shd w:fill="FFFFFF" w:val="clear"/>
        </w:rPr>
        <w:t>since the date of this Repurchase Agreement, no statute, regulation, executive order, decree, ruling or injunction shall have been enacted, entered, promulgated or endorsed by any court or governmental authority of competent jurisdiction and shall be continuing that prohibits the consummation of the Repurchase.</w:t>
      </w:r>
    </w:p>
    <w:p>
      <w:pPr>
        <w:pStyle w:val="TextBody"/>
        <w:bidi w:val="0"/>
        <w:spacing w:before="0" w:after="0"/>
        <w:jc w:val="left"/>
        <w:rPr/>
      </w:pPr>
      <w:r>
        <w:rPr/>
      </w:r>
    </w:p>
    <w:p>
      <w:pPr>
        <w:pStyle w:val="TextBody"/>
        <w:bidi w:val="0"/>
        <w:spacing w:lineRule="auto" w:line="288" w:before="0" w:after="0"/>
        <w:ind w:left="0" w:right="0" w:firstLine="360"/>
        <w:jc w:val="both"/>
        <w:rPr>
          <w:shd w:fill="FFFFFF" w:val="clear"/>
        </w:rPr>
      </w:pPr>
      <w:r>
        <w:rPr>
          <w:rFonts w:ascii="Times New Roman;sans-serif" w:hAnsi="Times New Roman;sans-serif"/>
          <w:b w:val="false"/>
          <w:color w:val="000000"/>
          <w:sz w:val="22"/>
          <w:shd w:fill="FFFFFF" w:val="clear"/>
        </w:rPr>
        <w:t>7.</w:t>
      </w:r>
      <w:r>
        <w:rPr>
          <w:rFonts w:ascii="Times New Roman;sans-serif" w:hAnsi="Times New Roman;sans-serif"/>
          <w:b w:val="false"/>
          <w:color w:val="000000"/>
          <w:sz w:val="22"/>
          <w:u w:val="single"/>
          <w:shd w:fill="FFFFFF" w:val="clear"/>
        </w:rPr>
        <w:t>Conditions to the Company’s Obligation to Close</w:t>
      </w:r>
      <w:r>
        <w:rPr>
          <w:rFonts w:ascii="Times New Roman;sans-serif" w:hAnsi="Times New Roman;sans-serif"/>
          <w:b w:val="false"/>
          <w:color w:val="000000"/>
          <w:sz w:val="22"/>
          <w:shd w:fill="FFFFFF" w:val="clear"/>
        </w:rPr>
        <w:t xml:space="preserve">. The obligation of the Company hereunder to consummate the Repurchase are subject to the satisfaction (or, to the extent permissible under applicable law, waiver by the Company) of each of the following conditions: </w:t>
      </w:r>
    </w:p>
    <w:p>
      <w:pPr>
        <w:pStyle w:val="TextBody"/>
        <w:bidi w:val="0"/>
        <w:spacing w:before="0" w:after="0"/>
        <w:jc w:val="left"/>
        <w:rPr/>
      </w:pPr>
      <w:r>
        <w:rPr/>
      </w:r>
    </w:p>
    <w:p>
      <w:pPr>
        <w:pStyle w:val="TextBody"/>
        <w:bidi w:val="0"/>
        <w:spacing w:lineRule="auto" w:line="288" w:before="0" w:after="0"/>
        <w:ind w:left="0" w:right="0" w:firstLine="720"/>
        <w:jc w:val="both"/>
        <w:rPr>
          <w:shd w:fill="FFFFFF" w:val="clear"/>
        </w:rPr>
      </w:pPr>
      <w:r>
        <w:rPr>
          <w:rFonts w:ascii="Times New Roman;sans-serif" w:hAnsi="Times New Roman;sans-serif"/>
          <w:b w:val="false"/>
          <w:color w:val="000000"/>
          <w:sz w:val="22"/>
          <w:shd w:fill="FFFFFF" w:val="clear"/>
        </w:rPr>
        <w:t>a.</w:t>
      </w:r>
      <w:r>
        <w:rPr>
          <w:rFonts w:ascii="Times New Roman;sans-serif" w:hAnsi="Times New Roman;sans-serif"/>
          <w:b w:val="false"/>
          <w:color w:val="000000"/>
          <w:sz w:val="22"/>
          <w:shd w:fill="FFFFFF" w:val="clear"/>
        </w:rPr>
        <w:t xml:space="preserve">each of the representations and warranties of the Holder contained in </w:t>
      </w:r>
      <w:r>
        <w:rPr>
          <w:rFonts w:ascii="Times New Roman;sans-serif" w:hAnsi="Times New Roman;sans-serif"/>
          <w:b w:val="false"/>
          <w:color w:val="000000"/>
          <w:sz w:val="22"/>
          <w:u w:val="single"/>
          <w:shd w:fill="FFFFFF" w:val="clear"/>
        </w:rPr>
        <w:t xml:space="preserve">Section 5 </w:t>
      </w:r>
      <w:r>
        <w:rPr>
          <w:rFonts w:ascii="Times New Roman;sans-serif" w:hAnsi="Times New Roman;sans-serif"/>
          <w:b w:val="false"/>
          <w:color w:val="000000"/>
          <w:sz w:val="22"/>
          <w:shd w:fill="FFFFFF" w:val="clear"/>
        </w:rPr>
        <w:t>shall be true and correct in all material respects on and as of the Closing Date with the same effect as though such representations and warranties had been made on and as of the Closing Date;</w:t>
      </w:r>
    </w:p>
    <w:p>
      <w:pPr>
        <w:pStyle w:val="TextBody"/>
        <w:bidi w:val="0"/>
        <w:spacing w:before="0" w:after="0"/>
        <w:jc w:val="left"/>
        <w:rPr/>
      </w:pPr>
      <w:r>
        <w:rPr/>
      </w:r>
    </w:p>
    <w:p>
      <w:pPr>
        <w:pStyle w:val="TextBody"/>
        <w:bidi w:val="0"/>
        <w:spacing w:lineRule="auto" w:line="288" w:before="0" w:after="0"/>
        <w:ind w:left="0" w:right="0" w:firstLine="720"/>
        <w:jc w:val="both"/>
        <w:rPr>
          <w:shd w:fill="FFFFFF" w:val="clear"/>
        </w:rPr>
      </w:pPr>
      <w:r>
        <w:rPr>
          <w:rFonts w:ascii="Times New Roman;sans-serif" w:hAnsi="Times New Roman;sans-serif"/>
          <w:b w:val="false"/>
          <w:color w:val="000000"/>
          <w:sz w:val="22"/>
          <w:shd w:fill="FFFFFF" w:val="clear"/>
        </w:rPr>
        <w:t>b.</w:t>
      </w:r>
      <w:r>
        <w:rPr>
          <w:rFonts w:ascii="Times New Roman;sans-serif" w:hAnsi="Times New Roman;sans-serif"/>
          <w:b w:val="false"/>
          <w:color w:val="000000"/>
          <w:sz w:val="22"/>
          <w:shd w:fill="FFFFFF" w:val="clear"/>
        </w:rPr>
        <w:t xml:space="preserve">the Holder shall have performed all of its covenants required to be performed hereunder prior to such time in all material respects; </w:t>
      </w:r>
    </w:p>
    <w:p>
      <w:pPr>
        <w:pStyle w:val="TextBody"/>
        <w:bidi w:val="0"/>
        <w:spacing w:before="0" w:after="0"/>
        <w:jc w:val="left"/>
        <w:rPr/>
      </w:pPr>
      <w:r>
        <w:rPr/>
      </w:r>
    </w:p>
    <w:p>
      <w:pPr>
        <w:pStyle w:val="TextBody"/>
        <w:bidi w:val="0"/>
        <w:spacing w:lineRule="auto" w:line="288" w:before="0" w:after="0"/>
        <w:ind w:left="0" w:right="0" w:firstLine="720"/>
        <w:jc w:val="both"/>
        <w:rPr>
          <w:shd w:fill="FFFFFF" w:val="clear"/>
        </w:rPr>
      </w:pPr>
      <w:r>
        <w:rPr>
          <w:rFonts w:ascii="Times New Roman;sans-serif" w:hAnsi="Times New Roman;sans-serif"/>
          <w:b w:val="false"/>
          <w:color w:val="000000"/>
          <w:sz w:val="22"/>
          <w:shd w:fill="FFFFFF" w:val="clear"/>
        </w:rPr>
        <w:t>c.</w:t>
      </w:r>
      <w:r>
        <w:rPr>
          <w:rFonts w:ascii="Times New Roman;sans-serif" w:hAnsi="Times New Roman;sans-serif"/>
          <w:b w:val="false"/>
          <w:color w:val="000000"/>
          <w:sz w:val="22"/>
          <w:shd w:fill="FFFFFF" w:val="clear"/>
        </w:rPr>
        <w:t>the Holder shall have delivered a completed Internal Revenue Service (“</w:t>
      </w:r>
      <w:r>
        <w:rPr>
          <w:rFonts w:ascii="Times New Roman;sans-serif" w:hAnsi="Times New Roman;sans-serif"/>
          <w:b w:val="false"/>
          <w:color w:val="000000"/>
          <w:sz w:val="22"/>
          <w:u w:val="single"/>
          <w:shd w:fill="FFFFFF" w:val="clear"/>
        </w:rPr>
        <w:t>IRS</w:t>
      </w:r>
      <w:r>
        <w:rPr>
          <w:color w:val="000000"/>
          <w:shd w:fill="FFFFFF" w:val="clear"/>
        </w:rPr>
        <w:t>”</w:t>
      </w:r>
      <w:r>
        <w:rPr>
          <w:rFonts w:ascii="Times New Roman;sans-serif" w:hAnsi="Times New Roman;sans-serif"/>
          <w:b w:val="false"/>
          <w:color w:val="000000"/>
          <w:sz w:val="22"/>
          <w:shd w:fill="FFFFFF" w:val="clear"/>
        </w:rPr>
        <w:t>) Form W-9 to the Company; and</w:t>
      </w:r>
    </w:p>
    <w:p>
      <w:pPr>
        <w:pStyle w:val="TextBody"/>
        <w:bidi w:val="0"/>
        <w:spacing w:before="0" w:after="0"/>
        <w:jc w:val="left"/>
        <w:rPr/>
      </w:pPr>
      <w:r>
        <w:rPr/>
      </w:r>
    </w:p>
    <w:p>
      <w:pPr>
        <w:pStyle w:val="TextBody"/>
        <w:bidi w:val="0"/>
        <w:spacing w:lineRule="auto" w:line="288" w:before="0" w:after="0"/>
        <w:ind w:left="0" w:right="0" w:firstLine="720"/>
        <w:jc w:val="both"/>
        <w:rPr>
          <w:shd w:fill="FFFFFF" w:val="clear"/>
        </w:rPr>
      </w:pPr>
      <w:r>
        <w:rPr>
          <w:rFonts w:ascii="Times New Roman;sans-serif" w:hAnsi="Times New Roman;sans-serif"/>
          <w:b w:val="false"/>
          <w:color w:val="000000"/>
          <w:sz w:val="22"/>
          <w:shd w:fill="FFFFFF" w:val="clear"/>
        </w:rPr>
        <w:t>d.</w:t>
      </w:r>
      <w:r>
        <w:rPr>
          <w:rFonts w:ascii="Times New Roman;sans-serif" w:hAnsi="Times New Roman;sans-serif"/>
          <w:b w:val="false"/>
          <w:color w:val="000000"/>
          <w:sz w:val="22"/>
          <w:shd w:fill="FFFFFF" w:val="clear"/>
        </w:rPr>
        <w:t>since the date of this Repurchase Agreement, no statute, regulation, executive order, decree, ruling or injunction shall have been enacted, entered, promulgated or endorsed by any court or governmental authority of competent jurisdiction and shall be continuing that prohibits the consummation of the Repurchase.</w:t>
      </w:r>
    </w:p>
    <w:p>
      <w:pPr>
        <w:pStyle w:val="TextBody"/>
        <w:bidi w:val="0"/>
        <w:spacing w:before="0" w:after="0"/>
        <w:jc w:val="left"/>
        <w:rPr/>
      </w:pPr>
      <w:r>
        <w:rPr/>
      </w:r>
    </w:p>
    <w:p>
      <w:pPr>
        <w:pStyle w:val="TextBody"/>
        <w:bidi w:val="0"/>
        <w:spacing w:lineRule="auto" w:line="288"/>
        <w:ind w:left="0" w:right="0" w:firstLine="360"/>
        <w:jc w:val="both"/>
        <w:rPr>
          <w:shd w:fill="FFFFFF" w:val="clear"/>
        </w:rPr>
      </w:pPr>
      <w:r>
        <w:rPr>
          <w:rFonts w:ascii="Times New Roman;sans-serif" w:hAnsi="Times New Roman;sans-serif"/>
          <w:b w:val="false"/>
          <w:color w:val="000000"/>
          <w:sz w:val="22"/>
          <w:shd w:fill="FFFFFF" w:val="clear"/>
        </w:rPr>
        <w:t>8.</w:t>
      </w:r>
      <w:r>
        <w:rPr>
          <w:rFonts w:ascii="Times New Roman;sans-serif" w:hAnsi="Times New Roman;sans-serif"/>
          <w:b w:val="false"/>
          <w:color w:val="000000"/>
          <w:sz w:val="22"/>
          <w:u w:val="single"/>
          <w:shd w:fill="FFFFFF" w:val="clear"/>
        </w:rPr>
        <w:t>Complete Agreement</w:t>
      </w:r>
      <w:r>
        <w:rPr>
          <w:rFonts w:ascii="Times New Roman;sans-serif" w:hAnsi="Times New Roman;sans-serif"/>
          <w:b w:val="false"/>
          <w:color w:val="000000"/>
          <w:sz w:val="22"/>
          <w:shd w:fill="FFFFFF" w:val="clear"/>
        </w:rPr>
        <w:t xml:space="preserve">. This Repurchase Agreement constitutes the entire agreement between the parties hereto regarding the subject matter of this Repurchase Agreement and supersede and preempt any </w:t>
      </w:r>
    </w:p>
    <w:p>
      <w:pPr>
        <w:pStyle w:val="TextBody"/>
        <w:bidi w:val="0"/>
        <w:spacing w:before="0" w:after="0"/>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75260"/>
                <wp:effectExtent l="0" t="0" r="0" b="0"/>
                <wp:wrapNone/>
                <wp:docPr id="204" name="Frame2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 xml:space="preserve">prior understandings, agreements or representations, written or oral, which may have related to the subject matter hereof. The recitals hereto are hereby incorporated herein in their entirety. </w:t>
      </w:r>
    </w:p>
    <w:p>
      <w:pPr>
        <w:pStyle w:val="TextBody"/>
        <w:bidi w:val="0"/>
        <w:spacing w:before="0" w:after="0"/>
        <w:jc w:val="both"/>
        <w:rPr/>
      </w:pPr>
      <w:r>
        <w:rPr/>
      </w:r>
    </w:p>
    <w:p>
      <w:pPr>
        <w:pStyle w:val="TextBody"/>
        <w:bidi w:val="0"/>
        <w:spacing w:lineRule="auto" w:line="288" w:before="0" w:after="0"/>
        <w:ind w:left="0" w:right="0" w:firstLine="360"/>
        <w:jc w:val="both"/>
        <w:rPr>
          <w:shd w:fill="FFFFFF" w:val="clear"/>
        </w:rPr>
      </w:pPr>
      <w:r>
        <w:rPr>
          <w:rFonts w:ascii="Times New Roman;sans-serif" w:hAnsi="Times New Roman;sans-serif"/>
          <w:b w:val="false"/>
          <w:color w:val="000000"/>
          <w:sz w:val="22"/>
          <w:shd w:fill="FFFFFF" w:val="clear"/>
        </w:rPr>
        <w:t>9.</w:t>
      </w:r>
      <w:r>
        <w:rPr>
          <w:rFonts w:ascii="Times New Roman;sans-serif" w:hAnsi="Times New Roman;sans-serif"/>
          <w:b w:val="false"/>
          <w:color w:val="000000"/>
          <w:sz w:val="22"/>
          <w:u w:val="single"/>
          <w:shd w:fill="FFFFFF" w:val="clear"/>
        </w:rPr>
        <w:t>Survival</w:t>
      </w:r>
      <w:r>
        <w:rPr>
          <w:rFonts w:ascii="Times New Roman;sans-serif" w:hAnsi="Times New Roman;sans-serif"/>
          <w:b w:val="false"/>
          <w:color w:val="000000"/>
          <w:sz w:val="22"/>
          <w:shd w:fill="FFFFFF" w:val="clear"/>
        </w:rPr>
        <w:t>. Each of the representations, warranties, covenants, and agreements in this Repurchase Agreement or pursuant hereto shall survive the Closing. Notwithstanding any knowledge of facts determined or determinable by any party by investigation, each party shall have the right to fully rely on the representations, warranties, covenants and agreements of the other parties contained in this Repurchase Agreement or in any other documents or papers delivered in connection herewith. Each representation, warranty, covenant and agreement of the parties contained in this Repurchase Agreement is independent of each other representation, warranty, covenant and agreement. Except as expressly set forth in this Repurchase Agreement, no party has made any representation warranty, covenant or agreement.</w:t>
      </w:r>
      <w:r>
        <w:rPr>
          <w:color w:val="000000"/>
          <w:u w:val="single"/>
          <w:shd w:fill="FFFFFF" w:val="clear"/>
        </w:rPr>
        <w:t xml:space="preserve"> </w:t>
      </w:r>
    </w:p>
    <w:p>
      <w:pPr>
        <w:pStyle w:val="TextBody"/>
        <w:bidi w:val="0"/>
        <w:spacing w:before="0" w:after="0"/>
        <w:jc w:val="left"/>
        <w:rPr/>
      </w:pPr>
      <w:r>
        <w:rPr/>
      </w:r>
    </w:p>
    <w:p>
      <w:pPr>
        <w:pStyle w:val="TextBody"/>
        <w:bidi w:val="0"/>
        <w:spacing w:lineRule="auto" w:line="288" w:before="0" w:after="0"/>
        <w:ind w:left="0" w:right="0" w:firstLine="360"/>
        <w:jc w:val="both"/>
        <w:rPr>
          <w:shd w:fill="FFFFFF" w:val="clear"/>
        </w:rPr>
      </w:pPr>
      <w:r>
        <w:rPr>
          <w:rFonts w:ascii="Times New Roman;sans-serif" w:hAnsi="Times New Roman;sans-serif"/>
          <w:b w:val="false"/>
          <w:color w:val="000000"/>
          <w:sz w:val="22"/>
          <w:shd w:fill="FFFFFF" w:val="clear"/>
        </w:rPr>
        <w:t>10.</w:t>
      </w:r>
      <w:r>
        <w:rPr>
          <w:rFonts w:ascii="Times New Roman;sans-serif" w:hAnsi="Times New Roman;sans-serif"/>
          <w:b w:val="false"/>
          <w:color w:val="000000"/>
          <w:sz w:val="22"/>
          <w:u w:val="single"/>
          <w:shd w:fill="FFFFFF" w:val="clear"/>
        </w:rPr>
        <w:t>Waiver, Amendment</w:t>
      </w:r>
      <w:r>
        <w:rPr>
          <w:rFonts w:ascii="Times New Roman;sans-serif" w:hAnsi="Times New Roman;sans-serif"/>
          <w:b w:val="false"/>
          <w:color w:val="000000"/>
          <w:sz w:val="22"/>
          <w:shd w:fill="FFFFFF" w:val="clear"/>
        </w:rPr>
        <w:t xml:space="preserve">. Neither this Repurchase Agreement nor any provisions hereof shall be modified, changed, discharged or terminated except by an instrument in writing, signed by the party against whom any waiver, change, discharge or termination is sought. </w:t>
      </w:r>
    </w:p>
    <w:p>
      <w:pPr>
        <w:pStyle w:val="TextBody"/>
        <w:bidi w:val="0"/>
        <w:spacing w:before="0" w:after="0"/>
        <w:jc w:val="left"/>
        <w:rPr/>
      </w:pPr>
      <w:r>
        <w:rPr/>
      </w:r>
    </w:p>
    <w:p>
      <w:pPr>
        <w:pStyle w:val="TextBody"/>
        <w:bidi w:val="0"/>
        <w:spacing w:lineRule="auto" w:line="288" w:before="0" w:after="0"/>
        <w:ind w:left="0" w:right="0" w:firstLine="360"/>
        <w:jc w:val="both"/>
        <w:rPr>
          <w:shd w:fill="FFFFFF" w:val="clear"/>
        </w:rPr>
      </w:pPr>
      <w:r>
        <w:rPr>
          <w:rFonts w:ascii="Times New Roman;sans-serif" w:hAnsi="Times New Roman;sans-serif"/>
          <w:b w:val="false"/>
          <w:color w:val="000000"/>
          <w:sz w:val="22"/>
          <w:shd w:fill="FFFFFF" w:val="clear"/>
        </w:rPr>
        <w:t>11.</w:t>
      </w:r>
      <w:r>
        <w:rPr>
          <w:color w:val="000000"/>
          <w:shd w:fill="FFFFFF" w:val="clear"/>
        </w:rPr>
        <w:t xml:space="preserve"> </w:t>
      </w:r>
      <w:r>
        <w:rPr>
          <w:rFonts w:ascii="Times New Roman;sans-serif" w:hAnsi="Times New Roman;sans-serif"/>
          <w:b w:val="false"/>
          <w:color w:val="000000"/>
          <w:sz w:val="22"/>
          <w:u w:val="single"/>
          <w:shd w:fill="FFFFFF" w:val="clear"/>
        </w:rPr>
        <w:t>Assignability</w:t>
      </w:r>
      <w:r>
        <w:rPr>
          <w:rFonts w:ascii="Times New Roman;sans-serif" w:hAnsi="Times New Roman;sans-serif"/>
          <w:b w:val="false"/>
          <w:color w:val="000000"/>
          <w:sz w:val="22"/>
          <w:shd w:fill="FFFFFF" w:val="clear"/>
        </w:rPr>
        <w:t xml:space="preserve">. Neither this Repurchase Agreement nor any right, remedy, obligation or liability arising hereunder or by reason hereof shall be assignable by either the Company or the Holder without the prior written consent of the other party. </w:t>
      </w:r>
    </w:p>
    <w:p>
      <w:pPr>
        <w:pStyle w:val="TextBody"/>
        <w:bidi w:val="0"/>
        <w:spacing w:lineRule="auto" w:line="288" w:before="0" w:after="0"/>
        <w:ind w:left="0" w:right="0" w:firstLine="360"/>
        <w:jc w:val="both"/>
        <w:rPr>
          <w:shd w:fill="FFFFFF" w:val="clear"/>
        </w:rPr>
      </w:pPr>
      <w:r>
        <w:rPr>
          <w:rFonts w:ascii="Times New Roman;sans-serif" w:hAnsi="Times New Roman;sans-serif"/>
          <w:b w:val="false"/>
          <w:color w:val="000000"/>
          <w:sz w:val="22"/>
          <w:shd w:fill="FFFFFF" w:val="clear"/>
        </w:rPr>
        <w:t>12.</w:t>
      </w:r>
      <w:r>
        <w:rPr>
          <w:rFonts w:ascii="Times New Roman;sans-serif" w:hAnsi="Times New Roman;sans-serif"/>
          <w:b w:val="false"/>
          <w:color w:val="000000"/>
          <w:sz w:val="22"/>
          <w:u w:val="single"/>
          <w:shd w:fill="FFFFFF" w:val="clear"/>
        </w:rPr>
        <w:t>Waiver of Jury Trial</w:t>
      </w:r>
      <w:r>
        <w:rPr>
          <w:rFonts w:ascii="Times New Roman;sans-serif" w:hAnsi="Times New Roman;sans-serif"/>
          <w:b w:val="false"/>
          <w:color w:val="000000"/>
          <w:sz w:val="22"/>
          <w:shd w:fill="FFFFFF" w:val="clear"/>
        </w:rPr>
        <w:t xml:space="preserve">. THE HOLDER IRREVOCABLY WAIVES ANY AND ALL RIGHT TO TRIAL BY JURY WITH RESPECT TO ANY LEGAL PROCEEDING ARISING OUT OF THE REPURCHASE CONTEMPLATED BY THIS REPURCHASE AGREEMENT. </w:t>
      </w:r>
    </w:p>
    <w:p>
      <w:pPr>
        <w:pStyle w:val="TextBody"/>
        <w:bidi w:val="0"/>
        <w:spacing w:before="0" w:after="0"/>
        <w:jc w:val="left"/>
        <w:rPr/>
      </w:pPr>
      <w:r>
        <w:rPr/>
      </w:r>
    </w:p>
    <w:p>
      <w:pPr>
        <w:pStyle w:val="TextBody"/>
        <w:bidi w:val="0"/>
        <w:spacing w:lineRule="auto" w:line="288" w:before="0" w:after="0"/>
        <w:ind w:left="0" w:right="0" w:firstLine="360"/>
        <w:jc w:val="both"/>
        <w:rPr>
          <w:shd w:fill="FFFFFF" w:val="clear"/>
        </w:rPr>
      </w:pPr>
      <w:r>
        <w:rPr>
          <w:rFonts w:ascii="Times New Roman;sans-serif" w:hAnsi="Times New Roman;sans-serif"/>
          <w:b w:val="false"/>
          <w:color w:val="000000"/>
          <w:sz w:val="22"/>
          <w:shd w:fill="FFFFFF" w:val="clear"/>
        </w:rPr>
        <w:t>13.</w:t>
      </w:r>
      <w:r>
        <w:rPr>
          <w:rFonts w:ascii="Times New Roman;sans-serif" w:hAnsi="Times New Roman;sans-serif"/>
          <w:b w:val="false"/>
          <w:color w:val="000000"/>
          <w:sz w:val="22"/>
          <w:u w:val="single"/>
          <w:shd w:fill="FFFFFF" w:val="clear"/>
        </w:rPr>
        <w:t>Governing Law</w:t>
      </w:r>
      <w:r>
        <w:rPr>
          <w:rFonts w:ascii="Times New Roman;sans-serif" w:hAnsi="Times New Roman;sans-serif"/>
          <w:b w:val="false"/>
          <w:color w:val="000000"/>
          <w:sz w:val="22"/>
          <w:shd w:fill="FFFFFF" w:val="clear"/>
        </w:rPr>
        <w:t xml:space="preserve">. This Repurchase Agreement shall be governed by the laws of the State of New York without regard to any state’s rules regarding conflicts of laws. The parties agree that all disputes arising under this Repurchase Agreement shall be submitted exclusively to the state and/or federal courts located in The City of New York, Borough of Manhattan and any state appellate court therefrom within the State of New York, and the parties hereby irrevocably waive any objection it may now or hereafter have as to the convenience of such forum. </w:t>
      </w:r>
    </w:p>
    <w:p>
      <w:pPr>
        <w:pStyle w:val="TextBody"/>
        <w:bidi w:val="0"/>
        <w:spacing w:before="0" w:after="0"/>
        <w:jc w:val="left"/>
        <w:rPr/>
      </w:pPr>
      <w:r>
        <w:rPr/>
      </w:r>
    </w:p>
    <w:p>
      <w:pPr>
        <w:pStyle w:val="TextBody"/>
        <w:bidi w:val="0"/>
        <w:spacing w:lineRule="auto" w:line="288" w:before="0" w:after="0"/>
        <w:ind w:left="0" w:right="0" w:firstLine="360"/>
        <w:jc w:val="both"/>
        <w:rPr>
          <w:shd w:fill="FFFFFF" w:val="clear"/>
        </w:rPr>
      </w:pPr>
      <w:r>
        <w:rPr>
          <w:rFonts w:ascii="Times New Roman;sans-serif" w:hAnsi="Times New Roman;sans-serif"/>
          <w:b w:val="false"/>
          <w:color w:val="000000"/>
          <w:sz w:val="22"/>
          <w:shd w:fill="FFFFFF" w:val="clear"/>
        </w:rPr>
        <w:t>14.</w:t>
      </w:r>
      <w:r>
        <w:rPr>
          <w:rFonts w:ascii="Times New Roman;sans-serif" w:hAnsi="Times New Roman;sans-serif"/>
          <w:b w:val="false"/>
          <w:color w:val="000000"/>
          <w:sz w:val="22"/>
          <w:u w:val="single"/>
          <w:shd w:fill="FFFFFF" w:val="clear"/>
        </w:rPr>
        <w:t>Interpretation; Section and Other Headings</w:t>
      </w:r>
      <w:r>
        <w:rPr>
          <w:rFonts w:ascii="Times New Roman;sans-serif" w:hAnsi="Times New Roman;sans-serif"/>
          <w:b w:val="false"/>
          <w:color w:val="000000"/>
          <w:sz w:val="22"/>
          <w:shd w:fill="FFFFFF" w:val="clear"/>
        </w:rPr>
        <w:t xml:space="preserve">. The parties acknowledge and agree that this Repurchase Agreement has been negotiated at arm's length and among parties equally sophisticated and knowledgeable in the matters covered hereby. Accordingly, any rule of law or legal decision that would require interpretation of any ambiguities in this Repurchase Agreement against the party that has drafted it is not applicable and is hereby waived. The section and other headings contained in this Repurchase Agreement are for reference purposes only and shall not affect the meaning or interpretation of this Repurchase Agreement. </w:t>
      </w:r>
    </w:p>
    <w:p>
      <w:pPr>
        <w:pStyle w:val="TextBody"/>
        <w:bidi w:val="0"/>
        <w:spacing w:before="0" w:after="0"/>
        <w:jc w:val="left"/>
        <w:rPr/>
      </w:pPr>
      <w:r>
        <w:rPr/>
      </w:r>
    </w:p>
    <w:p>
      <w:pPr>
        <w:pStyle w:val="TextBody"/>
        <w:bidi w:val="0"/>
        <w:spacing w:lineRule="auto" w:line="288" w:before="0" w:after="0"/>
        <w:ind w:left="0" w:right="0" w:firstLine="360"/>
        <w:jc w:val="both"/>
        <w:rPr>
          <w:shd w:fill="FFFFFF" w:val="clear"/>
        </w:rPr>
      </w:pPr>
      <w:r>
        <w:rPr>
          <w:rFonts w:ascii="Times New Roman;sans-serif" w:hAnsi="Times New Roman;sans-serif"/>
          <w:b w:val="false"/>
          <w:color w:val="000000"/>
          <w:sz w:val="22"/>
          <w:shd w:fill="FFFFFF" w:val="clear"/>
        </w:rPr>
        <w:t>15.</w:t>
      </w:r>
      <w:r>
        <w:rPr>
          <w:rFonts w:ascii="Times New Roman;sans-serif" w:hAnsi="Times New Roman;sans-serif"/>
          <w:b w:val="false"/>
          <w:color w:val="000000"/>
          <w:sz w:val="22"/>
          <w:u w:val="single"/>
          <w:shd w:fill="FFFFFF" w:val="clear"/>
        </w:rPr>
        <w:t>Counterparts</w:t>
      </w:r>
      <w:r>
        <w:rPr>
          <w:rFonts w:ascii="Times New Roman;sans-serif" w:hAnsi="Times New Roman;sans-serif"/>
          <w:b w:val="false"/>
          <w:color w:val="000000"/>
          <w:sz w:val="22"/>
          <w:shd w:fill="FFFFFF" w:val="clear"/>
        </w:rPr>
        <w:t>. This Repurchase Agreement may be signed in two or more counterparts, each of which shall be an original, with the same effect as if the signatures thereto and hereto were upon the same instrument.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pStyle w:val="TextBody"/>
        <w:bidi w:val="0"/>
        <w:spacing w:before="0" w:after="0"/>
        <w:jc w:val="left"/>
        <w:rPr/>
      </w:pPr>
      <w:r>
        <w:rPr/>
      </w:r>
    </w:p>
    <w:p>
      <w:pPr>
        <w:pStyle w:val="TextBody"/>
        <w:bidi w:val="0"/>
        <w:spacing w:lineRule="auto" w:line="288"/>
        <w:ind w:left="0" w:right="0" w:firstLine="360"/>
        <w:jc w:val="both"/>
        <w:rPr>
          <w:shd w:fill="FFFFFF" w:val="clear"/>
        </w:rPr>
      </w:pPr>
      <w:r>
        <w:rPr>
          <w:rFonts w:ascii="Times New Roman;sans-serif" w:hAnsi="Times New Roman;sans-serif"/>
          <w:b w:val="false"/>
          <w:color w:val="000000"/>
          <w:sz w:val="22"/>
          <w:shd w:fill="FFFFFF" w:val="clear"/>
        </w:rPr>
        <w:t>16.</w:t>
      </w:r>
      <w:r>
        <w:rPr>
          <w:color w:val="000000"/>
          <w:shd w:fill="FFFFFF" w:val="clear"/>
        </w:rPr>
        <w:t xml:space="preserve"> </w:t>
      </w:r>
      <w:r>
        <w:rPr>
          <w:rFonts w:ascii="Times New Roman;sans-serif" w:hAnsi="Times New Roman;sans-serif"/>
          <w:b w:val="false"/>
          <w:color w:val="000000"/>
          <w:sz w:val="22"/>
          <w:u w:val="single"/>
          <w:shd w:fill="FFFFFF" w:val="clear"/>
        </w:rPr>
        <w:t>Notices</w:t>
      </w:r>
      <w:r>
        <w:rPr>
          <w:rFonts w:ascii="Times New Roman;sans-serif" w:hAnsi="Times New Roman;sans-serif"/>
          <w:b w:val="false"/>
          <w:color w:val="000000"/>
          <w:sz w:val="22"/>
          <w:shd w:fill="FFFFFF" w:val="clear"/>
        </w:rPr>
        <w:t xml:space="preserve">. All notices and other communications to the Company provided for herein shall be in writing and shall be deemed to have been duly given if delivered personally or sent by registered or </w:t>
      </w:r>
    </w:p>
    <w:p>
      <w:pPr>
        <w:pStyle w:val="TextBody"/>
        <w:bidi w:val="0"/>
        <w:spacing w:before="0" w:after="0"/>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75260"/>
                <wp:effectExtent l="0" t="0" r="0" b="0"/>
                <wp:wrapNone/>
                <wp:docPr id="205" name="Frame2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 xml:space="preserve">certified mail, return receipt requested, postage prepaid to the following addresses, or in the case of the Holder, the address provided on the signature page below (or such other address as either party shall have specified by notice in writing to the other): </w:t>
      </w:r>
    </w:p>
    <w:tbl>
      <w:tblPr>
        <w:tblW w:w="10205" w:type="dxa"/>
        <w:jc w:val="left"/>
        <w:tblInd w:w="0" w:type="dxa"/>
        <w:tblLayout w:type="fixed"/>
        <w:tblCellMar>
          <w:top w:w="28" w:type="dxa"/>
          <w:left w:w="28" w:type="dxa"/>
          <w:bottom w:w="28" w:type="dxa"/>
          <w:right w:w="28" w:type="dxa"/>
        </w:tblCellMar>
      </w:tblPr>
      <w:tblGrid>
        <w:gridCol w:w="1501"/>
        <w:gridCol w:w="1320"/>
        <w:gridCol w:w="1325"/>
        <w:gridCol w:w="109"/>
        <w:gridCol w:w="109"/>
        <w:gridCol w:w="109"/>
        <w:gridCol w:w="1677"/>
        <w:gridCol w:w="1677"/>
        <w:gridCol w:w="2378"/>
      </w:tblGrid>
      <w:tr>
        <w:trPr/>
        <w:tc>
          <w:tcPr>
            <w:tcW w:w="1501"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2378" w:type="dxa"/>
            <w:tcBorders/>
            <w:vAlign w:val="center"/>
          </w:tcPr>
          <w:p>
            <w:pPr>
              <w:pStyle w:val="TableContents"/>
              <w:bidi w:val="0"/>
              <w:spacing w:before="0" w:after="283"/>
              <w:jc w:val="left"/>
              <w:rPr>
                <w:sz w:val="4"/>
                <w:szCs w:val="4"/>
              </w:rPr>
            </w:pPr>
            <w:r>
              <w:rPr>
                <w:sz w:val="4"/>
                <w:szCs w:val="4"/>
              </w:rPr>
            </w:r>
          </w:p>
        </w:tc>
      </w:tr>
      <w:tr>
        <w:trPr/>
        <w:tc>
          <w:tcPr>
            <w:tcW w:w="4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If to the Company:</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With a copy to (which shall not constitute notice):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Synchronoss Technologies, Inc.</w:t>
            </w:r>
          </w:p>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200 Crossing Boulevard, 8th Floor</w:t>
            </w:r>
          </w:p>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Bridgewater, New Jersey 08807</w:t>
            </w:r>
          </w:p>
          <w:p>
            <w:pPr>
              <w:pStyle w:val="TableContents"/>
              <w:bidi w:val="0"/>
              <w:spacing w:lineRule="auto" w:line="288" w:before="0" w:after="20"/>
              <w:jc w:val="left"/>
              <w:rPr/>
            </w:pPr>
            <w:r>
              <w:rPr>
                <w:rFonts w:ascii="Times New Roman;sans-serif" w:hAnsi="Times New Roman;sans-serif"/>
                <w:b w:val="false"/>
                <w:color w:val="000000"/>
                <w:sz w:val="22"/>
              </w:rPr>
              <w:t xml:space="preserve">E-mail: </w:t>
            </w:r>
            <w:r>
              <w:rPr>
                <w:rFonts w:ascii="Times New Roman;sans-serif" w:hAnsi="Times New Roman;sans-serif"/>
                <w:b w:val="false"/>
                <w:color w:val="0563C1"/>
                <w:sz w:val="22"/>
                <w:u w:val="single"/>
              </w:rPr>
              <w:t>legal@synchronoss.com</w:t>
            </w:r>
          </w:p>
          <w:p>
            <w:pPr>
              <w:pStyle w:val="TableContents"/>
              <w:bidi w:val="0"/>
              <w:spacing w:before="0" w:after="20"/>
              <w:jc w:val="left"/>
              <w:rPr/>
            </w:pPr>
            <w:r>
              <w:rPr/>
            </w:r>
          </w:p>
          <w:p>
            <w:pPr>
              <w:pStyle w:val="TableContents"/>
              <w:bidi w:val="0"/>
              <w:spacing w:before="0" w:after="20"/>
              <w:jc w:val="left"/>
              <w:rPr/>
            </w:pPr>
            <w:r>
              <w:rPr/>
            </w:r>
          </w:p>
          <w:p>
            <w:pPr>
              <w:pStyle w:val="TableContents"/>
              <w:bidi w:val="0"/>
              <w:spacing w:lineRule="auto" w:line="288" w:before="0" w:after="20"/>
              <w:jc w:val="left"/>
              <w:rPr>
                <w:rFonts w:ascii="Times New Roman;sans-serif" w:hAnsi="Times New Roman;sans-serif"/>
                <w:b w:val="false"/>
                <w:color w:val="000000"/>
                <w:sz w:val="22"/>
              </w:rPr>
            </w:pPr>
            <w:r>
              <w:rPr>
                <w:rFonts w:ascii="Times New Roman;sans-serif" w:hAnsi="Times New Roman;sans-serif"/>
                <w:b w:val="false"/>
                <w:color w:val="000000"/>
                <w:sz w:val="22"/>
              </w:rPr>
              <w:t>Gunderson Dettmer Stough Villeneuve Franklin &amp; Hachigian, LLP</w:t>
            </w:r>
          </w:p>
          <w:p>
            <w:pPr>
              <w:pStyle w:val="TableContents"/>
              <w:bidi w:val="0"/>
              <w:spacing w:lineRule="auto" w:line="288" w:before="0" w:after="20"/>
              <w:jc w:val="left"/>
              <w:rPr>
                <w:rFonts w:ascii="Times New Roman;sans-serif" w:hAnsi="Times New Roman;sans-serif"/>
                <w:b w:val="false"/>
                <w:color w:val="000000"/>
                <w:sz w:val="22"/>
              </w:rPr>
            </w:pPr>
            <w:r>
              <w:rPr>
                <w:rFonts w:ascii="Times New Roman;sans-serif" w:hAnsi="Times New Roman;sans-serif"/>
                <w:b w:val="false"/>
                <w:color w:val="000000"/>
                <w:sz w:val="22"/>
              </w:rPr>
              <w:t>One Marina Park Drive, Suite 900</w:t>
            </w:r>
          </w:p>
          <w:p>
            <w:pPr>
              <w:pStyle w:val="TableContents"/>
              <w:bidi w:val="0"/>
              <w:spacing w:lineRule="auto" w:line="288" w:before="0" w:after="20"/>
              <w:jc w:val="left"/>
              <w:rPr>
                <w:rFonts w:ascii="Times New Roman;sans-serif" w:hAnsi="Times New Roman;sans-serif"/>
                <w:b w:val="false"/>
                <w:color w:val="000000"/>
                <w:sz w:val="22"/>
              </w:rPr>
            </w:pPr>
            <w:r>
              <w:rPr>
                <w:rFonts w:ascii="Times New Roman;sans-serif" w:hAnsi="Times New Roman;sans-serif"/>
                <w:b w:val="false"/>
                <w:color w:val="000000"/>
                <w:sz w:val="22"/>
              </w:rPr>
              <w:t>Boston, MA 02210</w:t>
            </w:r>
          </w:p>
          <w:p>
            <w:pPr>
              <w:pStyle w:val="TableContents"/>
              <w:bidi w:val="0"/>
              <w:spacing w:lineRule="auto" w:line="288" w:before="0" w:after="20"/>
              <w:jc w:val="left"/>
              <w:rPr>
                <w:rFonts w:ascii="Times New Roman;sans-serif" w:hAnsi="Times New Roman;sans-serif"/>
                <w:b w:val="false"/>
                <w:color w:val="000000"/>
                <w:sz w:val="22"/>
              </w:rPr>
            </w:pPr>
            <w:r>
              <w:rPr>
                <w:rFonts w:ascii="Times New Roman;sans-serif" w:hAnsi="Times New Roman;sans-serif"/>
                <w:b w:val="false"/>
                <w:color w:val="000000"/>
                <w:sz w:val="22"/>
              </w:rPr>
              <w:t>Attention: Marc Dupre</w:t>
            </w:r>
          </w:p>
          <w:p>
            <w:pPr>
              <w:pStyle w:val="TableContents"/>
              <w:bidi w:val="0"/>
              <w:spacing w:lineRule="auto" w:line="288" w:before="0" w:after="20"/>
              <w:jc w:val="left"/>
              <w:rPr/>
            </w:pPr>
            <w:r>
              <w:rPr>
                <w:rFonts w:ascii="Times New Roman;sans-serif" w:hAnsi="Times New Roman;sans-serif"/>
                <w:b w:val="false"/>
                <w:color w:val="000000"/>
                <w:sz w:val="22"/>
              </w:rPr>
              <w:t xml:space="preserve">Email: </w:t>
            </w:r>
            <w:r>
              <w:rPr>
                <w:rFonts w:ascii="Times New Roman;sans-serif" w:hAnsi="Times New Roman;sans-serif"/>
                <w:b w:val="false"/>
                <w:color w:val="0563C1"/>
                <w:sz w:val="22"/>
                <w:u w:val="single"/>
              </w:rPr>
              <w:t>mdupre@gunder.com</w:t>
            </w:r>
          </w:p>
        </w:tc>
      </w:tr>
    </w:tbl>
    <w:p>
      <w:pPr>
        <w:pStyle w:val="TextBody"/>
        <w:bidi w:val="0"/>
        <w:spacing w:before="0" w:after="0"/>
        <w:jc w:val="both"/>
        <w:rPr/>
      </w:pPr>
      <w:r>
        <w:rPr/>
      </w:r>
    </w:p>
    <w:p>
      <w:pPr>
        <w:pStyle w:val="TextBody"/>
        <w:bidi w:val="0"/>
        <w:spacing w:lineRule="auto" w:line="288" w:before="0" w:after="0"/>
        <w:ind w:left="0" w:right="0" w:firstLine="360"/>
        <w:jc w:val="both"/>
        <w:rPr>
          <w:shd w:fill="FFFFFF" w:val="clear"/>
        </w:rPr>
      </w:pPr>
      <w:r>
        <w:rPr>
          <w:rFonts w:ascii="Times New Roman;sans-serif" w:hAnsi="Times New Roman;sans-serif"/>
          <w:b w:val="false"/>
          <w:color w:val="000000"/>
          <w:sz w:val="22"/>
          <w:shd w:fill="FFFFFF" w:val="clear"/>
        </w:rPr>
        <w:t>17.</w:t>
      </w:r>
      <w:r>
        <w:rPr>
          <w:rFonts w:ascii="Times New Roman;sans-serif" w:hAnsi="Times New Roman;sans-serif"/>
          <w:b w:val="false"/>
          <w:color w:val="000000"/>
          <w:sz w:val="22"/>
          <w:u w:val="single"/>
          <w:shd w:fill="FFFFFF" w:val="clear"/>
        </w:rPr>
        <w:t>Binding Effect</w:t>
      </w:r>
      <w:r>
        <w:rPr>
          <w:rFonts w:ascii="Times New Roman;sans-serif" w:hAnsi="Times New Roman;sans-serif"/>
          <w:b w:val="false"/>
          <w:color w:val="000000"/>
          <w:sz w:val="22"/>
          <w:shd w:fill="FFFFFF" w:val="clear"/>
        </w:rPr>
        <w:t xml:space="preserve">. The provisions of this Repurchase Agreement shall be binding upon and accrue to the benefit of the parties hereto and their respective heirs, legal representatives, successors and permitted assigns. </w:t>
      </w:r>
    </w:p>
    <w:p>
      <w:pPr>
        <w:pStyle w:val="TextBody"/>
        <w:bidi w:val="0"/>
        <w:spacing w:lineRule="auto" w:line="288" w:before="0" w:after="0"/>
        <w:ind w:left="0" w:right="0" w:firstLine="360"/>
        <w:jc w:val="both"/>
        <w:rPr>
          <w:shd w:fill="FFFFFF" w:val="clear"/>
        </w:rPr>
      </w:pPr>
      <w:r>
        <w:rPr>
          <w:rFonts w:ascii="Times New Roman;sans-serif" w:hAnsi="Times New Roman;sans-serif"/>
          <w:b w:val="false"/>
          <w:color w:val="000000"/>
          <w:sz w:val="22"/>
          <w:shd w:fill="FFFFFF" w:val="clear"/>
        </w:rPr>
        <w:t>18.</w:t>
      </w:r>
      <w:r>
        <w:rPr>
          <w:color w:val="000000"/>
          <w:shd w:fill="FFFFFF" w:val="clear"/>
        </w:rPr>
        <w:t xml:space="preserve"> </w:t>
      </w:r>
      <w:r>
        <w:rPr>
          <w:rFonts w:ascii="Times New Roman;sans-serif" w:hAnsi="Times New Roman;sans-serif"/>
          <w:b w:val="false"/>
          <w:color w:val="000000"/>
          <w:sz w:val="22"/>
          <w:u w:val="single"/>
          <w:shd w:fill="FFFFFF" w:val="clear"/>
        </w:rPr>
        <w:t>Notification of Changes</w:t>
      </w:r>
      <w:r>
        <w:rPr>
          <w:rFonts w:ascii="Times New Roman;sans-serif" w:hAnsi="Times New Roman;sans-serif"/>
          <w:b w:val="false"/>
          <w:color w:val="000000"/>
          <w:sz w:val="22"/>
          <w:shd w:fill="FFFFFF" w:val="clear"/>
        </w:rPr>
        <w:t xml:space="preserve">. The Holder hereby covenants and agrees to notify the Company upon the occurrence of any event prior to the Closing which would cause any representation, warranty, or covenant of the Holder contained in this Repurchase Agreement to be false or incorrect. </w:t>
      </w:r>
    </w:p>
    <w:p>
      <w:pPr>
        <w:pStyle w:val="TextBody"/>
        <w:bidi w:val="0"/>
        <w:spacing w:lineRule="auto" w:line="288" w:before="0" w:after="0"/>
        <w:ind w:left="0" w:right="0" w:firstLine="360"/>
        <w:jc w:val="both"/>
        <w:rPr>
          <w:shd w:fill="FFFFFF" w:val="clear"/>
        </w:rPr>
      </w:pPr>
      <w:r>
        <w:rPr>
          <w:rFonts w:ascii="Times New Roman;sans-serif" w:hAnsi="Times New Roman;sans-serif"/>
          <w:b w:val="false"/>
          <w:color w:val="000000"/>
          <w:sz w:val="22"/>
          <w:shd w:fill="FFFFFF" w:val="clear"/>
        </w:rPr>
        <w:t>19.</w:t>
      </w:r>
      <w:r>
        <w:rPr>
          <w:rFonts w:ascii="Times New Roman;sans-serif" w:hAnsi="Times New Roman;sans-serif"/>
          <w:b w:val="false"/>
          <w:color w:val="000000"/>
          <w:sz w:val="22"/>
          <w:u w:val="single"/>
          <w:shd w:fill="FFFFFF" w:val="clear"/>
        </w:rPr>
        <w:t>Expenses</w:t>
      </w:r>
      <w:r>
        <w:rPr>
          <w:rFonts w:ascii="Times New Roman;sans-serif" w:hAnsi="Times New Roman;sans-serif"/>
          <w:b w:val="false"/>
          <w:color w:val="000000"/>
          <w:sz w:val="22"/>
          <w:shd w:fill="FFFFFF" w:val="clear"/>
        </w:rPr>
        <w:t xml:space="preserve">. All costs and expenses incurred in connection with this Repurchase Agreement shall be paid by the party incurring such cost or expense, including without limitation the fees and expenses of any investment banks, attorneys, accountants or other experts or advisors retained by such party. </w:t>
      </w:r>
    </w:p>
    <w:p>
      <w:pPr>
        <w:pStyle w:val="TextBody"/>
        <w:bidi w:val="0"/>
        <w:spacing w:lineRule="auto" w:line="288" w:before="0" w:after="0"/>
        <w:ind w:left="0" w:right="0" w:firstLine="360"/>
        <w:jc w:val="both"/>
        <w:rPr>
          <w:shd w:fill="FFFFFF" w:val="clear"/>
        </w:rPr>
      </w:pPr>
      <w:r>
        <w:rPr>
          <w:rFonts w:ascii="Times New Roman;sans-serif" w:hAnsi="Times New Roman;sans-serif"/>
          <w:b w:val="false"/>
          <w:color w:val="000000"/>
          <w:sz w:val="22"/>
          <w:shd w:fill="FFFFFF" w:val="clear"/>
        </w:rPr>
        <w:t>20.</w:t>
      </w:r>
      <w:r>
        <w:rPr>
          <w:rFonts w:ascii="Times New Roman;sans-serif" w:hAnsi="Times New Roman;sans-serif"/>
          <w:b w:val="false"/>
          <w:color w:val="000000"/>
          <w:sz w:val="22"/>
          <w:u w:val="single"/>
          <w:shd w:fill="FFFFFF" w:val="clear"/>
        </w:rPr>
        <w:t>Severability</w:t>
      </w:r>
      <w:r>
        <w:rPr>
          <w:rFonts w:ascii="Times New Roman;sans-serif" w:hAnsi="Times New Roman;sans-serif"/>
          <w:b w:val="false"/>
          <w:color w:val="000000"/>
          <w:sz w:val="22"/>
          <w:shd w:fill="FFFFFF" w:val="clear"/>
        </w:rPr>
        <w:t xml:space="preserve">. If any term or provision of this Repurchase Agreement is invalid, illegal or unenforceable in any jurisdiction, such invalidity, illegality or unenforceability shall not affect any other term or provision of this Repurchase Agreement or invalidate or render unenforceable such term or provision in any other jurisdiction. </w:t>
      </w:r>
    </w:p>
    <w:p>
      <w:pPr>
        <w:pStyle w:val="TextBody"/>
        <w:bidi w:val="0"/>
        <w:spacing w:lineRule="auto" w:line="288" w:before="0" w:after="0"/>
        <w:ind w:left="0" w:right="0" w:firstLine="360"/>
        <w:jc w:val="both"/>
        <w:rPr>
          <w:shd w:fill="FFFFFF" w:val="clear"/>
        </w:rPr>
      </w:pPr>
      <w:r>
        <w:rPr>
          <w:rFonts w:ascii="Times New Roman;sans-serif" w:hAnsi="Times New Roman;sans-serif"/>
          <w:b w:val="false"/>
          <w:color w:val="000000"/>
          <w:sz w:val="22"/>
          <w:shd w:fill="FFFFFF" w:val="clear"/>
        </w:rPr>
        <w:t>21.</w:t>
      </w:r>
      <w:r>
        <w:rPr>
          <w:rFonts w:ascii="Times New Roman;sans-serif" w:hAnsi="Times New Roman;sans-serif"/>
          <w:b w:val="false"/>
          <w:color w:val="000000"/>
          <w:sz w:val="22"/>
          <w:u w:val="single"/>
          <w:shd w:fill="FFFFFF" w:val="clear"/>
        </w:rPr>
        <w:t>No Further Obligations Under the Securities</w:t>
      </w:r>
      <w:r>
        <w:rPr>
          <w:rFonts w:ascii="Times New Roman;sans-serif" w:hAnsi="Times New Roman;sans-serif"/>
          <w:b w:val="false"/>
          <w:color w:val="000000"/>
          <w:sz w:val="22"/>
          <w:shd w:fill="FFFFFF" w:val="clear"/>
        </w:rPr>
        <w:t>. The Holder acknowledges and agrees that the sale of the Securities by the Holder and the purchase of the Securities by the Company pursuant to this Repurchase Agreement shall constitute the final disposition of the Securities by the Holder, and, following the consummation of the Repurchase and the Holder’s receipt of the First Payment, the Holder shall have no further rights or obligations with respect to the Securities, other than the right to receive the Second Payment pursuant to the terms hereof, and shall not be entitled to any additional consideration in respect of the Securities by virtue of any of the foregoing actions on the part of the Company or its representatives and waives any and all rights thereto, including any rights with respect to the prepayment of the Securities and the consideration therefor.</w:t>
      </w:r>
    </w:p>
    <w:p>
      <w:pPr>
        <w:pStyle w:val="TextBody"/>
        <w:bidi w:val="0"/>
        <w:spacing w:lineRule="auto" w:line="288" w:before="0" w:after="0"/>
        <w:ind w:left="0" w:right="0" w:firstLine="360"/>
        <w:jc w:val="both"/>
        <w:rPr>
          <w:shd w:fill="FFFFFF" w:val="clear"/>
        </w:rPr>
      </w:pPr>
      <w:r>
        <w:rPr>
          <w:rFonts w:ascii="Times New Roman;sans-serif" w:hAnsi="Times New Roman;sans-serif"/>
          <w:b w:val="false"/>
          <w:color w:val="000000"/>
          <w:sz w:val="22"/>
          <w:shd w:fill="FFFFFF" w:val="clear"/>
        </w:rPr>
        <w:t>22.</w:t>
      </w:r>
      <w:r>
        <w:rPr>
          <w:rFonts w:ascii="Times New Roman;sans-serif" w:hAnsi="Times New Roman;sans-serif"/>
          <w:b w:val="false"/>
          <w:color w:val="000000"/>
          <w:sz w:val="22"/>
          <w:u w:val="single"/>
          <w:shd w:fill="FFFFFF" w:val="clear"/>
        </w:rPr>
        <w:t>Further Assurances</w:t>
      </w:r>
      <w:r>
        <w:rPr>
          <w:rFonts w:ascii="Times New Roman;sans-serif" w:hAnsi="Times New Roman;sans-serif"/>
          <w:b w:val="false"/>
          <w:color w:val="000000"/>
          <w:sz w:val="24"/>
          <w:shd w:fill="FFFFFF" w:val="clear"/>
        </w:rPr>
        <w:t xml:space="preserve">. </w:t>
      </w:r>
      <w:r>
        <w:rPr>
          <w:rFonts w:ascii="Times New Roman;sans-serif" w:hAnsi="Times New Roman;sans-serif"/>
          <w:b w:val="false"/>
          <w:color w:val="000000"/>
          <w:sz w:val="22"/>
          <w:shd w:fill="FFFFFF" w:val="clear"/>
        </w:rPr>
        <w:t>Each of the parties hereto agrees to use its reasonable efforts promptly to take or cause to be taken all action, and promptly to do or cause to be done all things necessary, proper or advisable under applicable laws and regulations to consummate and make effective the Repurchase, subject to the terms and conditions hereof and compliance with applicable law. In case at any time before or after the Closing any further action is necessary or desirable to carry out the purposes of the Repurchase, the proper officers, managers and directors of each party to this Repurchase Agreement shall take all such necessary action as may be reasonably requested by the requesting party.</w:t>
      </w:r>
    </w:p>
    <w:p>
      <w:pPr>
        <w:pStyle w:val="TextBody"/>
        <w:bidi w:val="0"/>
        <w:spacing w:lineRule="auto" w:line="288"/>
        <w:ind w:left="0" w:right="0" w:firstLine="360"/>
        <w:jc w:val="both"/>
        <w:rPr>
          <w:shd w:fill="FFFFFF" w:val="clear"/>
        </w:rPr>
      </w:pPr>
      <w:r>
        <w:rPr>
          <w:rFonts w:ascii="Times New Roman;sans-serif" w:hAnsi="Times New Roman;sans-serif"/>
          <w:b w:val="false"/>
          <w:color w:val="000000"/>
          <w:sz w:val="22"/>
          <w:shd w:fill="FFFFFF" w:val="clear"/>
        </w:rPr>
        <w:t>23.</w:t>
      </w:r>
      <w:r>
        <w:rPr>
          <w:rFonts w:ascii="Times New Roman;sans-serif" w:hAnsi="Times New Roman;sans-serif"/>
          <w:b w:val="false"/>
          <w:color w:val="000000"/>
          <w:sz w:val="22"/>
          <w:u w:val="single"/>
          <w:shd w:fill="FFFFFF" w:val="clear"/>
        </w:rPr>
        <w:t>Remedies</w:t>
      </w:r>
      <w:r>
        <w:rPr>
          <w:rFonts w:ascii="Times New Roman;sans-serif" w:hAnsi="Times New Roman;sans-serif"/>
          <w:b w:val="false"/>
          <w:color w:val="000000"/>
          <w:sz w:val="22"/>
          <w:shd w:fill="FFFFFF" w:val="clear"/>
        </w:rPr>
        <w:t xml:space="preserve">. Each party hereto acknowledges that monetary damages may not be an adequate remedy in the event that any covenant or agreement in this Repurchase Agreement is not performed in accordance with its terms, and it is therefore agreed that, in addition to and without limiting any other remedy or right it may have, the non-breaching party will have the right to seek an injunction, temporary </w:t>
      </w:r>
    </w:p>
    <w:p>
      <w:pPr>
        <w:pStyle w:val="TextBody"/>
        <w:bidi w:val="0"/>
        <w:spacing w:before="0" w:after="0"/>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75260"/>
                <wp:effectExtent l="0" t="0" r="0" b="0"/>
                <wp:wrapNone/>
                <wp:docPr id="206" name="Frame2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restraining order or other equitable relief in any court of competent jurisdiction enjoining any such breach and enforcing specifically the terms and provisions hereof. Each party hereto agrees to waive any requirement for the securing or posting of any bond in connection with such remedy. All rights, powers and remedies provided under this Repurchase Agreement or otherwise available in respect hereof at law or in equity shall be cumulative and not alternative, and the exercise or beginning of the exercise of any thereof by any party shall not preclude the simultaneous or later exercise of any other such right, power or remedy by such party.</w:t>
      </w:r>
    </w:p>
    <w:p>
      <w:pPr>
        <w:pStyle w:val="TextBody"/>
        <w:bidi w:val="0"/>
        <w:spacing w:lineRule="auto" w:line="288" w:before="0" w:after="240"/>
        <w:ind w:left="0" w:right="0" w:firstLine="360"/>
        <w:jc w:val="both"/>
        <w:rPr>
          <w:shd w:fill="FFFFFF" w:val="clear"/>
        </w:rPr>
      </w:pPr>
      <w:r>
        <w:rPr>
          <w:rFonts w:ascii="Times New Roman;sans-serif" w:hAnsi="Times New Roman;sans-serif"/>
          <w:b w:val="false"/>
          <w:color w:val="000000"/>
          <w:sz w:val="22"/>
          <w:shd w:fill="FFFFFF" w:val="clear"/>
        </w:rPr>
        <w:t>24.</w:t>
      </w:r>
      <w:r>
        <w:rPr>
          <w:rFonts w:ascii="Times New Roman;sans-serif" w:hAnsi="Times New Roman;sans-serif"/>
          <w:b w:val="false"/>
          <w:color w:val="000000"/>
          <w:sz w:val="22"/>
          <w:u w:val="single"/>
          <w:shd w:fill="FFFFFF" w:val="clear"/>
        </w:rPr>
        <w:t>Dividend Waiver</w:t>
      </w:r>
      <w:r>
        <w:rPr>
          <w:rFonts w:ascii="Times New Roman;sans-serif" w:hAnsi="Times New Roman;sans-serif"/>
          <w:b w:val="false"/>
          <w:color w:val="000000"/>
          <w:sz w:val="22"/>
          <w:shd w:fill="FFFFFF" w:val="clear"/>
        </w:rPr>
        <w:t>. Effective concurrently with the Closing, the Holder hereby irrevocably and unconditionally waives the right to receive the Preferred Dividend (as defined in the COD) and any interest and any other rights accruing to them by reason of the failure of the Company to pay such dividends pursuant to the terms of the COD or any other agreement between the Company and the Holder with respect to the payment of the Preferred Dividend. This waiver applies to all such dividends, interest and other rights linked to the payment of dividends that would accrue or be paid on or after July 1, 2024, together with any such dividends, interest, or rights linked to the payment of dividends that have accrued but have not been paid as of that date. The parties understand and acknowledge that the waiver in this Section 24 does not apply to any dividend or interest payments that were actually paid to any Holder prior to the date of this Repurchase Agreement.</w:t>
      </w:r>
    </w:p>
    <w:p>
      <w:pPr>
        <w:pStyle w:val="TextBody"/>
        <w:bidi w:val="0"/>
        <w:spacing w:lineRule="auto" w:line="288" w:before="240" w:after="283"/>
        <w:jc w:val="center"/>
        <w:rPr>
          <w:shd w:fill="FFFFFF" w:val="clear"/>
        </w:rPr>
      </w:pPr>
      <w:r>
        <w:rPr>
          <w:rFonts w:ascii="Times New Roman;sans-serif" w:hAnsi="Times New Roman;sans-serif"/>
          <w:b w:val="false"/>
          <w:color w:val="000000"/>
          <w:sz w:val="22"/>
          <w:shd w:fill="FFFFFF" w:val="clear"/>
        </w:rPr>
        <w:t>[</w:t>
      </w:r>
      <w:r>
        <w:rPr>
          <w:rFonts w:ascii="Times New Roman;sans-serif" w:hAnsi="Times New Roman;sans-serif"/>
          <w:b w:val="false"/>
          <w:i/>
          <w:color w:val="000000"/>
          <w:sz w:val="22"/>
          <w:shd w:fill="FFFFFF" w:val="clear"/>
        </w:rPr>
        <w:t>SIGNATURE PAGES FOLLOW</w:t>
      </w:r>
      <w:r>
        <w:rPr>
          <w:rFonts w:ascii="Times New Roman;sans-serif" w:hAnsi="Times New Roman;sans-serif"/>
          <w:b w:val="false"/>
          <w:color w:val="000000"/>
          <w:sz w:val="22"/>
          <w:shd w:fill="FFFFFF" w:val="clear"/>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75260"/>
                <wp:effectExtent l="0" t="0" r="0" b="0"/>
                <wp:wrapNone/>
                <wp:docPr id="207" name="Frame2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 xml:space="preserve">IN WITNESS WHEREOF, the Holder has executed this Repurchase Agreement as of the date first written above. </w:t>
      </w:r>
    </w:p>
    <w:tbl>
      <w:tblPr>
        <w:tblW w:w="2427" w:type="dxa"/>
        <w:jc w:val="left"/>
        <w:tblInd w:w="0" w:type="dxa"/>
        <w:tblLayout w:type="fixed"/>
        <w:tblCellMar>
          <w:top w:w="28" w:type="dxa"/>
          <w:left w:w="28" w:type="dxa"/>
          <w:bottom w:w="28" w:type="dxa"/>
          <w:right w:w="28" w:type="dxa"/>
        </w:tblCellMar>
      </w:tblPr>
      <w:tblGrid>
        <w:gridCol w:w="492"/>
        <w:gridCol w:w="431"/>
        <w:gridCol w:w="433"/>
        <w:gridCol w:w="167"/>
        <w:gridCol w:w="167"/>
        <w:gridCol w:w="167"/>
        <w:gridCol w:w="167"/>
        <w:gridCol w:w="167"/>
        <w:gridCol w:w="236"/>
      </w:tblGrid>
      <w:tr>
        <w:trPr/>
        <w:tc>
          <w:tcPr>
            <w:tcW w:w="492"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Holder:</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7" w:type="dxa"/>
            <w:gridSpan w:val="9"/>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BRF Investments, LLC</w:t>
            </w:r>
          </w:p>
        </w:tc>
      </w:tr>
    </w:tbl>
    <w:p>
      <w:pPr>
        <w:pStyle w:val="TextBody"/>
        <w:bidi w:val="0"/>
        <w:spacing w:before="0" w:after="0"/>
        <w:jc w:val="left"/>
        <w:rPr/>
      </w:pPr>
      <w:r>
        <w:rPr/>
      </w:r>
    </w:p>
    <w:tbl>
      <w:tblPr>
        <w:tblW w:w="1149" w:type="dxa"/>
        <w:jc w:val="left"/>
        <w:tblInd w:w="0" w:type="dxa"/>
        <w:tblLayout w:type="fixed"/>
        <w:tblCellMar>
          <w:top w:w="28" w:type="dxa"/>
          <w:left w:w="28" w:type="dxa"/>
          <w:bottom w:w="28" w:type="dxa"/>
          <w:right w:w="28" w:type="dxa"/>
        </w:tblCellMar>
      </w:tblPr>
      <w:tblGrid>
        <w:gridCol w:w="162"/>
        <w:gridCol w:w="143"/>
        <w:gridCol w:w="145"/>
        <w:gridCol w:w="109"/>
        <w:gridCol w:w="109"/>
        <w:gridCol w:w="109"/>
        <w:gridCol w:w="109"/>
        <w:gridCol w:w="109"/>
        <w:gridCol w:w="154"/>
      </w:tblGrid>
      <w:tr>
        <w:trPr/>
        <w:tc>
          <w:tcPr>
            <w:tcW w:w="16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434" w:type="dxa"/>
        <w:jc w:val="left"/>
        <w:tblInd w:w="0" w:type="dxa"/>
        <w:tblLayout w:type="fixed"/>
        <w:tblCellMar>
          <w:top w:w="28" w:type="dxa"/>
          <w:left w:w="28" w:type="dxa"/>
          <w:bottom w:w="28" w:type="dxa"/>
          <w:right w:w="28" w:type="dxa"/>
        </w:tblCellMar>
      </w:tblPr>
      <w:tblGrid>
        <w:gridCol w:w="266"/>
        <w:gridCol w:w="234"/>
        <w:gridCol w:w="235"/>
        <w:gridCol w:w="109"/>
        <w:gridCol w:w="109"/>
        <w:gridCol w:w="109"/>
        <w:gridCol w:w="109"/>
        <w:gridCol w:w="109"/>
        <w:gridCol w:w="154"/>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299" w:type="dxa"/>
        <w:jc w:val="left"/>
        <w:tblInd w:w="0" w:type="dxa"/>
        <w:tblLayout w:type="fixed"/>
        <w:tblCellMar>
          <w:top w:w="28" w:type="dxa"/>
          <w:left w:w="28" w:type="dxa"/>
          <w:bottom w:w="28" w:type="dxa"/>
          <w:right w:w="28" w:type="dxa"/>
        </w:tblCellMar>
      </w:tblPr>
      <w:tblGrid>
        <w:gridCol w:w="217"/>
        <w:gridCol w:w="191"/>
        <w:gridCol w:w="192"/>
        <w:gridCol w:w="109"/>
        <w:gridCol w:w="109"/>
        <w:gridCol w:w="109"/>
        <w:gridCol w:w="109"/>
        <w:gridCol w:w="109"/>
        <w:gridCol w:w="154"/>
      </w:tblGrid>
      <w:tr>
        <w:trPr/>
        <w:tc>
          <w:tcPr>
            <w:tcW w:w="21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644" w:type="dxa"/>
        <w:jc w:val="left"/>
        <w:tblInd w:w="0" w:type="dxa"/>
        <w:tblLayout w:type="fixed"/>
        <w:tblCellMar>
          <w:top w:w="28" w:type="dxa"/>
          <w:left w:w="28" w:type="dxa"/>
          <w:bottom w:w="28" w:type="dxa"/>
          <w:right w:w="28" w:type="dxa"/>
        </w:tblCellMar>
      </w:tblPr>
      <w:tblGrid>
        <w:gridCol w:w="342"/>
        <w:gridCol w:w="301"/>
        <w:gridCol w:w="302"/>
        <w:gridCol w:w="109"/>
        <w:gridCol w:w="109"/>
        <w:gridCol w:w="109"/>
        <w:gridCol w:w="109"/>
        <w:gridCol w:w="109"/>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Address: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3944" w:type="dxa"/>
        <w:jc w:val="left"/>
        <w:tblInd w:w="0" w:type="dxa"/>
        <w:tblLayout w:type="fixed"/>
        <w:tblCellMar>
          <w:top w:w="28" w:type="dxa"/>
          <w:left w:w="28" w:type="dxa"/>
          <w:bottom w:w="28" w:type="dxa"/>
          <w:right w:w="28" w:type="dxa"/>
        </w:tblCellMar>
      </w:tblPr>
      <w:tblGrid>
        <w:gridCol w:w="893"/>
        <w:gridCol w:w="787"/>
        <w:gridCol w:w="789"/>
        <w:gridCol w:w="230"/>
        <w:gridCol w:w="230"/>
        <w:gridCol w:w="230"/>
        <w:gridCol w:w="230"/>
        <w:gridCol w:w="230"/>
        <w:gridCol w:w="325"/>
      </w:tblGrid>
      <w:tr>
        <w:trPr/>
        <w:tc>
          <w:tcPr>
            <w:tcW w:w="893"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2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Telephone:</w:t>
            </w:r>
          </w:p>
        </w:tc>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9"/>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9"/>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State/Country of Domicile or Formation:</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313055"/>
                <wp:effectExtent l="0" t="0" r="0" b="0"/>
                <wp:wrapNone/>
                <wp:docPr id="208" name="Frame208"/>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 xml:space="preserve">[SIGNATURE PAGE TO REPURCHASE AGREEMENT]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 xml:space="preserve">[SIGNATURE PAGE TO REPURCHASE AGREEMENT] </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 xml:space="preserve">IN WITNESS WHEREOF, the Company has executed this Repurchase Agreement as of the date first written above. </w:t>
      </w:r>
    </w:p>
    <w:p>
      <w:pPr>
        <w:pStyle w:val="TextBody"/>
        <w:bidi w:val="0"/>
        <w:spacing w:before="0" w:after="0"/>
        <w:jc w:val="left"/>
        <w:rPr/>
      </w:pPr>
      <w:r>
        <w:rPr/>
      </w:r>
    </w:p>
    <w:tbl>
      <w:tblPr>
        <w:tblW w:w="5028" w:type="dxa"/>
        <w:jc w:val="left"/>
        <w:tblInd w:w="0" w:type="dxa"/>
        <w:tblLayout w:type="fixed"/>
        <w:tblCellMar>
          <w:top w:w="28" w:type="dxa"/>
          <w:left w:w="28" w:type="dxa"/>
          <w:bottom w:w="28" w:type="dxa"/>
          <w:right w:w="28" w:type="dxa"/>
        </w:tblCellMar>
      </w:tblPr>
      <w:tblGrid>
        <w:gridCol w:w="493"/>
        <w:gridCol w:w="433"/>
        <w:gridCol w:w="433"/>
        <w:gridCol w:w="433"/>
        <w:gridCol w:w="433"/>
        <w:gridCol w:w="433"/>
        <w:gridCol w:w="688"/>
        <w:gridCol w:w="688"/>
        <w:gridCol w:w="994"/>
      </w:tblGrid>
      <w:tr>
        <w:trPr/>
        <w:tc>
          <w:tcPr>
            <w:tcW w:w="49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r>
      <w:tr>
        <w:trPr/>
        <w:tc>
          <w:tcPr>
            <w:tcW w:w="1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SYNCHRONOSS TECHNOLOGIES, INC.</w:t>
            </w:r>
          </w:p>
        </w:tc>
      </w:tr>
      <w:tr>
        <w:trPr/>
        <w:tc>
          <w:tcPr>
            <w:tcW w:w="1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Jeffrey Miller</w:t>
            </w:r>
          </w:p>
        </w:tc>
      </w:tr>
      <w:tr>
        <w:trPr/>
        <w:tc>
          <w:tcPr>
            <w:tcW w:w="1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Chief Executive Officer</w:t>
            </w:r>
          </w:p>
        </w:tc>
      </w:tr>
    </w:tbl>
    <w:p>
      <w:pPr>
        <w:pStyle w:val="TextBody"/>
        <w:bidi w:val="0"/>
        <w:spacing w:before="0" w:after="0"/>
        <w:jc w:val="left"/>
        <w:rPr/>
      </w:pPr>
      <w:r>
        <w:rPr/>
      </w:r>
    </w:p>
    <w:p>
      <w:pPr>
        <w:pStyle w:val="TextBody"/>
        <w:bidi w:val="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313055"/>
                <wp:effectExtent l="0" t="0" r="0" b="0"/>
                <wp:wrapNone/>
                <wp:docPr id="209" name="Frame209"/>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 xml:space="preserve">[SIGNATURE PAGE TO REPURCHASE AGREEMENT]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 xml:space="preserve">[SIGNATURE PAGE TO REPURCHASE AGREEMENT] </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10.4</w:t>
      </w:r>
    </w:p>
    <w:p>
      <w:pPr>
        <w:pStyle w:val="TextBody"/>
        <w:bidi w:val="0"/>
        <w:spacing w:before="0" w:after="0"/>
        <w:jc w:val="center"/>
        <w:rPr/>
      </w:pPr>
      <w:r>
        <w:rPr/>
      </w:r>
    </w:p>
    <w:p>
      <w:pPr>
        <w:pStyle w:val="TextBody"/>
        <w:bidi w:val="0"/>
        <w:spacing w:lineRule="auto" w:line="240" w:before="0" w:after="0"/>
        <w:jc w:val="center"/>
        <w:rPr>
          <w:rFonts w:ascii="Calibri;sans-serif" w:hAnsi="Calibri;sans-serif"/>
          <w:b/>
          <w:color w:val="000000"/>
          <w:sz w:val="22"/>
        </w:rPr>
      </w:pPr>
      <w:r>
        <w:rPr>
          <w:rFonts w:ascii="Calibri;sans-serif" w:hAnsi="Calibri;sans-serif"/>
          <w:b/>
          <w:color w:val="000000"/>
          <w:sz w:val="22"/>
        </w:rPr>
        <w:t>SYNCHRONOSS TECHNOLOGIES, INC.</w:t>
      </w:r>
    </w:p>
    <w:p>
      <w:pPr>
        <w:pStyle w:val="TextBody"/>
        <w:bidi w:val="0"/>
        <w:spacing w:lineRule="auto" w:line="288" w:before="0" w:after="0"/>
        <w:jc w:val="center"/>
        <w:rPr>
          <w:rFonts w:ascii="Calibri;sans-serif" w:hAnsi="Calibri;sans-serif"/>
          <w:b/>
          <w:color w:val="000000"/>
          <w:sz w:val="22"/>
        </w:rPr>
      </w:pPr>
      <w:r>
        <w:rPr>
          <w:rFonts w:ascii="Calibri;sans-serif" w:hAnsi="Calibri;sans-serif"/>
          <w:b/>
          <w:color w:val="000000"/>
          <w:sz w:val="22"/>
        </w:rPr>
        <w:t>AMENDED AND RESTATED</w:t>
      </w:r>
    </w:p>
    <w:p>
      <w:pPr>
        <w:pStyle w:val="TextBody"/>
        <w:bidi w:val="0"/>
        <w:spacing w:lineRule="auto" w:line="288" w:before="0" w:after="0"/>
        <w:jc w:val="center"/>
        <w:rPr>
          <w:rFonts w:ascii="Calibri;sans-serif" w:hAnsi="Calibri;sans-serif"/>
          <w:b/>
          <w:color w:val="000000"/>
          <w:sz w:val="22"/>
        </w:rPr>
      </w:pPr>
      <w:r>
        <w:rPr>
          <w:rFonts w:ascii="Calibri;sans-serif" w:hAnsi="Calibri;sans-serif"/>
          <w:b/>
          <w:color w:val="000000"/>
          <w:sz w:val="22"/>
        </w:rPr>
        <w:t xml:space="preserve">2015 EQUITY INCENTIVE PLAN </w:t>
      </w:r>
    </w:p>
    <w:p>
      <w:pPr>
        <w:pStyle w:val="TextBody"/>
        <w:bidi w:val="0"/>
        <w:spacing w:before="0" w:after="0"/>
        <w:jc w:val="center"/>
        <w:rPr/>
      </w:pPr>
      <w:r>
        <w:rPr/>
      </w:r>
    </w:p>
    <w:p>
      <w:pPr>
        <w:pStyle w:val="TextBody"/>
        <w:bidi w:val="0"/>
        <w:spacing w:lineRule="auto" w:line="288" w:before="0" w:after="0"/>
        <w:jc w:val="left"/>
        <w:rPr/>
      </w:pPr>
      <w:r>
        <w:rPr>
          <w:rFonts w:ascii="Calibri;sans-serif" w:hAnsi="Calibri;sans-serif"/>
          <w:b/>
          <w:color w:val="000000"/>
          <w:sz w:val="22"/>
        </w:rPr>
        <w:t>ARTICLE 1. INTRODUCTION</w:t>
      </w:r>
      <w:r>
        <w:rPr>
          <w:rFonts w:ascii="Calibri;sans-serif" w:hAnsi="Calibri;sans-serif"/>
          <w:b w:val="false"/>
          <w:color w:val="000000"/>
          <w:sz w:val="22"/>
        </w:rPr>
        <w:t xml:space="preserve">. </w:t>
      </w:r>
    </w:p>
    <w:p>
      <w:pPr>
        <w:pStyle w:val="TextBody"/>
        <w:bidi w:val="0"/>
        <w:spacing w:lineRule="auto" w:line="288" w:before="0" w:after="0"/>
        <w:ind w:left="0" w:right="0" w:firstLine="400"/>
        <w:jc w:val="left"/>
        <w:rPr/>
      </w:pPr>
      <w:r>
        <w:rPr>
          <w:rFonts w:ascii="Calibri;sans-serif" w:hAnsi="Calibri;sans-serif"/>
          <w:b w:val="false"/>
          <w:color w:val="000000"/>
          <w:sz w:val="22"/>
        </w:rPr>
        <w:t xml:space="preserve">The Amended and Restated Plan was adopted by the Board on April </w:t>
      </w:r>
      <w:r>
        <w:rPr>
          <w:rFonts w:ascii="Calibri;sans-serif" w:hAnsi="Calibri;sans-serif"/>
          <w:b w:val="false"/>
          <w:color w:val="000000"/>
          <w:sz w:val="22"/>
          <w:u w:val="single"/>
        </w:rPr>
        <w:t>22</w:t>
      </w:r>
      <w:r>
        <w:rPr>
          <w:rFonts w:ascii="Calibri;sans-serif" w:hAnsi="Calibri;sans-serif"/>
          <w:b w:val="false"/>
          <w:color w:val="000000"/>
          <w:sz w:val="22"/>
        </w:rPr>
        <w:t xml:space="preserve">, 2024, and will become effective immediately upon its approval by the Company’s stockholders. The purpose of the Plan is to promote the long-term success of the Company and the creation of stockholder value by (a) encouraging Service Providers to focus on critical long-range objectives, (b) encouraging the attraction and retention of Service Providers with exceptional qualifications and (c) linking Service Providers directly to stockholder interests through increased stock ownership. The Plan seeks to achieve this purpose by providing for Awards in the form of Options (which may be ISOs or NSOs), SARs, Restricted Shares, Stock Units and Performance Cash Awards. Capitalized terms used in this Plan are defined in Article 14. </w:t>
      </w:r>
    </w:p>
    <w:p>
      <w:pPr>
        <w:pStyle w:val="TextBody"/>
        <w:bidi w:val="0"/>
        <w:spacing w:before="0" w:after="0"/>
        <w:ind w:left="0" w:right="0" w:firstLine="400"/>
        <w:jc w:val="left"/>
        <w:rPr/>
      </w:pPr>
      <w:r>
        <w:rPr/>
      </w:r>
    </w:p>
    <w:p>
      <w:pPr>
        <w:pStyle w:val="TextBody"/>
        <w:bidi w:val="0"/>
        <w:spacing w:lineRule="auto" w:line="288" w:before="0" w:after="0"/>
        <w:jc w:val="left"/>
        <w:rPr/>
      </w:pPr>
      <w:r>
        <w:rPr>
          <w:rFonts w:ascii="Calibri;sans-serif" w:hAnsi="Calibri;sans-serif"/>
          <w:b/>
          <w:color w:val="000000"/>
          <w:sz w:val="22"/>
        </w:rPr>
        <w:t>ARTICLE 2. ADMINISTRATION</w:t>
      </w:r>
      <w:r>
        <w:rPr>
          <w:rFonts w:ascii="Calibri;sans-serif" w:hAnsi="Calibri;sans-serif"/>
          <w:b w:val="false"/>
          <w:color w:val="000000"/>
          <w:sz w:val="22"/>
        </w:rPr>
        <w:t xml:space="preserve">. </w:t>
      </w:r>
    </w:p>
    <w:p>
      <w:pPr>
        <w:pStyle w:val="TextBody"/>
        <w:bidi w:val="0"/>
        <w:spacing w:lineRule="auto" w:line="288" w:before="0" w:after="0"/>
        <w:ind w:left="0" w:right="0" w:firstLine="400"/>
        <w:jc w:val="left"/>
        <w:rPr/>
      </w:pPr>
      <w:r>
        <w:rPr>
          <w:rFonts w:ascii="Calibri;sans-serif" w:hAnsi="Calibri;sans-serif"/>
          <w:b/>
          <w:color w:val="000000"/>
          <w:sz w:val="22"/>
        </w:rPr>
        <w:t>2.1 General</w:t>
      </w:r>
      <w:r>
        <w:rPr>
          <w:rFonts w:ascii="Calibri;sans-serif" w:hAnsi="Calibri;sans-serif"/>
          <w:b w:val="false"/>
          <w:color w:val="000000"/>
          <w:sz w:val="22"/>
        </w:rPr>
        <w:t xml:space="preserve">. The Plan may be administered by the Board or one or more Committees. Each Committee shall comply with rules and regulations applicable to it, including under the rules of any exchange on which shares of the Company’s common stock are traded, and shall have the authority and be responsible for such functions as have been assigned to it. </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pPr>
      <w:r>
        <w:rPr>
          <w:rFonts w:ascii="Calibri;sans-serif" w:hAnsi="Calibri;sans-serif"/>
          <w:b/>
          <w:color w:val="000000"/>
          <w:sz w:val="22"/>
        </w:rPr>
        <w:t>2.2 Section 162(m)</w:t>
      </w:r>
      <w:r>
        <w:rPr>
          <w:rFonts w:ascii="Calibri;sans-serif" w:hAnsi="Calibri;sans-serif"/>
          <w:b w:val="false"/>
          <w:color w:val="000000"/>
          <w:sz w:val="22"/>
        </w:rPr>
        <w:t xml:space="preserve">. To the extent an Award is intended to qualify as “performance-based compensation” within the meaning of Code Section 162(m), the Plan will be administered by a Committee of two or more “outside directors” within the meaning of Code Section 162(m). </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pPr>
      <w:r>
        <w:rPr>
          <w:rFonts w:ascii="Calibri;sans-serif" w:hAnsi="Calibri;sans-serif"/>
          <w:b/>
          <w:color w:val="000000"/>
          <w:sz w:val="22"/>
        </w:rPr>
        <w:t>2.3 Section 16</w:t>
      </w:r>
      <w:r>
        <w:rPr>
          <w:rFonts w:ascii="Calibri;sans-serif" w:hAnsi="Calibri;sans-serif"/>
          <w:b w:val="false"/>
          <w:color w:val="000000"/>
          <w:sz w:val="22"/>
        </w:rPr>
        <w:t xml:space="preserve">. To the extent desirable to qualify transactions hereunder as exempt under Exchange Act Rule 16b-3, the transactions contemplated hereunder will be approved by the entire Board or a Committee of two or more “non-employee directors” within the meaning of Exchange Act Rule 16b-3. </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pPr>
      <w:r>
        <w:rPr>
          <w:rFonts w:ascii="Calibri;sans-serif" w:hAnsi="Calibri;sans-serif"/>
          <w:b/>
          <w:color w:val="000000"/>
          <w:sz w:val="22"/>
        </w:rPr>
        <w:t>2.4 Powers of Administrator</w:t>
      </w:r>
      <w:r>
        <w:rPr>
          <w:rFonts w:ascii="Calibri;sans-serif" w:hAnsi="Calibri;sans-serif"/>
          <w:b w:val="false"/>
          <w:color w:val="000000"/>
          <w:sz w:val="22"/>
        </w:rPr>
        <w:t xml:space="preserve">. Subject to the terms of the Plan, and in the case of a Committee, subject to the specific duties delegated to the Committee, the Administrator shall have the authority to (a) select the Service Providers who are to receive Awards under the Plan, (b) determine the type, number, vesting requirements and other features and conditions of such Awards, (c) determine whether and to what extent any Performance Goals have been attained, (d) interpret the Plan and Awards granted under the Plan, (e) make, amend and rescind rules relating to the Plan and Awards granted under the Plan, including rules relating to sub-plans established for the purposes of satisfying applicable foreign laws or for qualifying for favorable tax treatment under applicable foreign laws, (f) impose such restrictions, conditions or limitations as it determines appropriate as to the timing and manner of any resales by a Participant of any Common Shares issued pursuant to an Award, including restrictions under an insider trading policy and restrictions as to the use of a specified brokerage firm for such resales, and (g) make all other decisions relating to the operation of the Plan and Awards granted under the Plan. </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pPr>
      <w:r>
        <w:rPr>
          <w:rFonts w:ascii="Calibri;sans-serif" w:hAnsi="Calibri;sans-serif"/>
          <w:b/>
          <w:color w:val="000000"/>
          <w:sz w:val="22"/>
        </w:rPr>
        <w:t>2.5 Effect of Administrator’s Decisions</w:t>
      </w:r>
      <w:r>
        <w:rPr>
          <w:rFonts w:ascii="Calibri;sans-serif" w:hAnsi="Calibri;sans-serif"/>
          <w:b w:val="false"/>
          <w:color w:val="000000"/>
          <w:sz w:val="22"/>
        </w:rPr>
        <w:t xml:space="preserve">. The Administrator’s decisions, determinations and interpretations shall be final and binding on all Participants and any other holders of Awards. </w:t>
      </w:r>
    </w:p>
    <w:p>
      <w:pPr>
        <w:pStyle w:val="TextBody"/>
        <w:bidi w:val="0"/>
        <w:spacing w:before="0" w:after="0"/>
        <w:ind w:left="0" w:right="0" w:firstLine="400"/>
        <w:jc w:val="left"/>
        <w:rPr/>
      </w:pPr>
      <w:r>
        <w:rPr/>
      </w:r>
    </w:p>
    <w:p>
      <w:pPr>
        <w:pStyle w:val="TextBody"/>
        <w:bidi w:val="0"/>
        <w:spacing w:lineRule="auto" w:line="288"/>
        <w:ind w:left="0" w:right="0" w:firstLine="400"/>
        <w:jc w:val="left"/>
        <w:rPr/>
      </w:pPr>
      <w:r>
        <w:rPr>
          <w:rFonts w:ascii="Calibri;sans-serif" w:hAnsi="Calibri;sans-serif"/>
          <w:b/>
          <w:color w:val="000000"/>
          <w:sz w:val="22"/>
        </w:rPr>
        <w:t>2.6 Governing Law</w:t>
      </w:r>
      <w:r>
        <w:rPr>
          <w:rFonts w:ascii="Calibri;sans-serif" w:hAnsi="Calibri;sans-serif"/>
          <w:b w:val="false"/>
          <w:color w:val="000000"/>
          <w:sz w:val="22"/>
        </w:rPr>
        <w:t xml:space="preserve">. The Plan shall be governed by, and construed in accordance with, the laws of the State of Delaware (except its choice-of-law provisions). </w:t>
      </w:r>
    </w:p>
    <w:p>
      <w:pPr>
        <w:pStyle w:val="TextBody"/>
        <w:bidi w:val="0"/>
        <w:spacing w:before="0" w:after="0"/>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175260"/>
                <wp:effectExtent l="0" t="0" r="0" b="0"/>
                <wp:wrapNone/>
                <wp:docPr id="210" name="Frame2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400"/>
        <w:jc w:val="left"/>
        <w:rPr/>
      </w:pPr>
      <w:r>
        <w:rPr/>
      </w:r>
    </w:p>
    <w:p>
      <w:pPr>
        <w:pStyle w:val="TextBody"/>
        <w:bidi w:val="0"/>
        <w:spacing w:lineRule="auto" w:line="288" w:before="0" w:after="0"/>
        <w:jc w:val="left"/>
        <w:rPr/>
      </w:pPr>
      <w:r>
        <w:rPr>
          <w:rFonts w:ascii="Calibri;sans-serif" w:hAnsi="Calibri;sans-serif"/>
          <w:b/>
          <w:color w:val="000000"/>
          <w:sz w:val="22"/>
        </w:rPr>
        <w:t>ARTICLE 3. SHARES AVAILABLE FOR GRANTS</w:t>
      </w:r>
      <w:r>
        <w:rPr>
          <w:rFonts w:ascii="Calibri;sans-serif" w:hAnsi="Calibri;sans-serif"/>
          <w:b w:val="false"/>
          <w:color w:val="000000"/>
          <w:sz w:val="22"/>
        </w:rPr>
        <w:t xml:space="preserve">. </w:t>
      </w:r>
    </w:p>
    <w:p>
      <w:pPr>
        <w:pStyle w:val="TextBody"/>
        <w:bidi w:val="0"/>
        <w:spacing w:lineRule="auto" w:line="288" w:before="0" w:after="0"/>
        <w:ind w:left="0" w:right="0" w:firstLine="400"/>
        <w:jc w:val="left"/>
        <w:rPr/>
      </w:pPr>
      <w:r>
        <w:rPr>
          <w:rFonts w:ascii="Calibri;sans-serif" w:hAnsi="Calibri;sans-serif"/>
          <w:b/>
          <w:color w:val="000000"/>
          <w:sz w:val="22"/>
        </w:rPr>
        <w:t>3.1 Basic Limitation</w:t>
      </w:r>
      <w:r>
        <w:rPr>
          <w:rFonts w:ascii="Calibri;sans-serif" w:hAnsi="Calibri;sans-serif"/>
          <w:b w:val="false"/>
          <w:color w:val="000000"/>
          <w:sz w:val="22"/>
        </w:rPr>
        <w:t xml:space="preserve">. Common Shares issued pursuant to the Plan may be authorized but unissued shares or treasury shares. The aggregate number of Common Shares issued under the Plan shall not exceed the sum of (a) 3,730,777 Common Shares, (b) the number of Common Shares reserved under the Predecessor Plan that are not issued or subject to outstanding awards under the Predecessor Plan on the Effective Date and (c) any Common Shares subject to outstanding options under the Predecessor Plan on the Effective Date that subsequently expire or lapse unexercised and Common Shares issued pursuant to awards granted under the Predecessor Plan that are outstanding on the Effective Date and that are subsequently forfeited to or repurchased by the Company at no greater than the original exercise or purchase price (if any) (provided that with respect to awards granted on or after May 10, 2010, under the Predecessor Plan, any Common Shares that again become available for issuance under the Plan under this Clause (c) shall be added back as (i) one share if such shares were subject to Options or SARs granted under the Predecessor Plan and (ii) 1.5 shares if such shares were subject to Awards other than an Option or SAR granted under the Predecessor Plan) and (d) the additional Common Shares described in Article 3.3; provided, however, that no more than 683,456 Common Shares, in the aggregate, shall be added to the Plan pursuant to clauses (b) and (c). The number of Common Shares that are subject to Stock Awards outstanding at any time under the Plan may not exceed the number of Common Shares that then remain available for issuance under the Plan. Subject to Section 3.3, the number of Common Shares that may be awarded under the Plan shall be reduced by: (a) one share for every Option and SAR granted under the Plan; and (b) 1.5 shares for every Award other than an Option or SAR granted under the Plan. The numerical limitations in this Article 3.1 shall be subject to adjustment pursuant to Article 9. </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pPr>
      <w:r>
        <w:rPr>
          <w:rFonts w:ascii="Calibri;sans-serif" w:hAnsi="Calibri;sans-serif"/>
          <w:b/>
          <w:color w:val="000000"/>
          <w:sz w:val="22"/>
        </w:rPr>
        <w:t>3.2 Intentionally Omitted</w:t>
      </w:r>
      <w:r>
        <w:rPr>
          <w:rFonts w:ascii="Calibri;sans-serif" w:hAnsi="Calibri;sans-serif"/>
          <w:b w:val="false"/>
          <w:color w:val="000000"/>
          <w:sz w:val="22"/>
        </w:rPr>
        <w:t xml:space="preserve">. </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pPr>
      <w:r>
        <w:rPr>
          <w:rFonts w:ascii="Calibri;sans-serif" w:hAnsi="Calibri;sans-serif"/>
          <w:b/>
          <w:color w:val="000000"/>
          <w:sz w:val="22"/>
        </w:rPr>
        <w:t>3.3 Shares Returned to Reserve</w:t>
      </w:r>
      <w:r>
        <w:rPr>
          <w:rFonts w:ascii="Calibri;sans-serif" w:hAnsi="Calibri;sans-serif"/>
          <w:b w:val="false"/>
          <w:color w:val="000000"/>
          <w:sz w:val="22"/>
        </w:rPr>
        <w:t xml:space="preserve">. To the extent that Options, SARs or Stock Units are forfeited or expire for any other reason before being exercised or settled in full, the Common Shares subject to such Options, SARs or Stock Units shall again become available for issuance under the Plan. If Restricted Shares or Common Shares issued upon the exercise of Options are reacquired by the Company pursuant to a forfeiture provision or repurchase right at no greater than their original exercise or purchase price (if any), then such Common Shares shall again become available for issuance under the Plan. Further, to the extent that an Award is settled in cash rather than Common Shares, the cash settlement shall not reduce the number of Shares available for issuance under the Plan. Any Common Shares that again become available for Awards under this Section 3.3 shall be added back as (i) one share if such shares were subject to Options or SARs granted under the Plan and (ii) 1.5 shares if such shares were subject to Awards other than an Option or SAR granted under the Plan </w:t>
      </w:r>
    </w:p>
    <w:p>
      <w:pPr>
        <w:pStyle w:val="TextBody"/>
        <w:bidi w:val="0"/>
        <w:spacing w:lineRule="auto" w:line="288" w:before="0" w:after="0"/>
        <w:ind w:left="0" w:right="0" w:firstLine="400"/>
        <w:jc w:val="left"/>
        <w:rPr>
          <w:rFonts w:ascii="Calibri;sans-serif" w:hAnsi="Calibri;sans-serif"/>
          <w:b w:val="false"/>
          <w:color w:val="000000"/>
          <w:sz w:val="22"/>
        </w:rPr>
      </w:pPr>
      <w:r>
        <w:rPr>
          <w:rFonts w:ascii="Calibri;sans-serif" w:hAnsi="Calibri;sans-serif"/>
          <w:b w:val="false"/>
          <w:color w:val="000000"/>
          <w:sz w:val="22"/>
        </w:rPr>
        <w:t xml:space="preserve">Notwithstanding the foregoing, the following Common Shares shall not again become available for issuance under this Article 3.3: (i) Common Shares subject to an Award not delivered to a Participant because the Award is exercised through a reduction of shares subject to the Award (i.e., “net exercised”), (ii) if a SAR is settled in Common Shares, the number of shares subject to the SAR that are not delivered to the Participant upon such settlement, (iii) Common Shares subject to an Award not delivered to a Participant because such Common Shares are withheld to satisfy tax withholding obligations related to the Award or are applied to pay the Exercise Price of an Option or SAR; (iv) Common Shares tendered by a Participant (either through actual delivery or attestation) to pay the Exercise Price of an Option or SAR; or (v) Common Shares reacquired by the Company on the open market or otherwise using cash proceeds from the exercise of an Option. </w:t>
      </w:r>
    </w:p>
    <w:p>
      <w:pPr>
        <w:pStyle w:val="TextBody"/>
        <w:bidi w:val="0"/>
        <w:ind w:left="0" w:right="0" w:firstLine="40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175260"/>
                <wp:effectExtent l="0" t="0" r="0" b="0"/>
                <wp:wrapNone/>
                <wp:docPr id="211" name="Frame2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400"/>
        <w:jc w:val="left"/>
        <w:rPr/>
      </w:pPr>
      <w:r>
        <w:rPr>
          <w:rFonts w:ascii="Calibri;sans-serif" w:hAnsi="Calibri;sans-serif"/>
          <w:b/>
          <w:color w:val="000000"/>
          <w:sz w:val="22"/>
        </w:rPr>
        <w:t>3.4 Awards Not Reducing Share Reserve in Article 3.1</w:t>
      </w:r>
      <w:r>
        <w:rPr>
          <w:rFonts w:ascii="Calibri;sans-serif" w:hAnsi="Calibri;sans-serif"/>
          <w:b w:val="false"/>
          <w:color w:val="000000"/>
          <w:sz w:val="22"/>
        </w:rPr>
        <w:t xml:space="preserve">. To the extent permitted under applicable stock exchange listing standards, any dividend equivalents paid or credited under the Plan with respect to Stock Units shall not be applied against the number of Common Shares that may be issued under the Plan, whether or not such dividend equivalents are converted into Stock Units. In addition, Common Shares subject to Substitute Awards granted by the Company shall not reduce the number of Common Shares that may be issued under Article 3.1, nor shall shares subject to Substitute Awards again be available for Awards under the Plan in the event of any forfeiture, expiration or cash settlement of such Substitute Awards. </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pPr>
      <w:r>
        <w:rPr>
          <w:rFonts w:ascii="Calibri;sans-serif" w:hAnsi="Calibri;sans-serif"/>
          <w:b/>
          <w:color w:val="000000"/>
          <w:sz w:val="22"/>
        </w:rPr>
        <w:t>3.5 Code Section 162(m) and 422 Limits</w:t>
      </w:r>
      <w:r>
        <w:rPr>
          <w:rFonts w:ascii="Calibri;sans-serif" w:hAnsi="Calibri;sans-serif"/>
          <w:b w:val="false"/>
          <w:color w:val="000000"/>
          <w:sz w:val="22"/>
        </w:rPr>
        <w:t xml:space="preserve">. Subject to adjustment in accordance with Article 9: </w:t>
      </w:r>
    </w:p>
    <w:p>
      <w:pPr>
        <w:pStyle w:val="TextBody"/>
        <w:bidi w:val="0"/>
        <w:spacing w:lineRule="auto" w:line="288" w:before="0" w:after="0"/>
        <w:ind w:left="0" w:right="0" w:firstLine="400"/>
        <w:jc w:val="left"/>
        <w:rPr>
          <w:rFonts w:ascii="Calibri;sans-serif" w:hAnsi="Calibri;sans-serif"/>
          <w:b w:val="false"/>
          <w:color w:val="000000"/>
          <w:sz w:val="22"/>
        </w:rPr>
      </w:pPr>
      <w:r>
        <w:rPr>
          <w:rFonts w:ascii="Calibri;sans-serif" w:hAnsi="Calibri;sans-serif"/>
          <w:b w:val="false"/>
          <w:color w:val="000000"/>
          <w:sz w:val="22"/>
        </w:rPr>
        <w:t xml:space="preserve">(a) The maximum aggregate number of Common Shares subject to Options and SARs that may be granted under this Plan during any fiscal year to any one Participant shall not exceed 500,000, except that the Company may grant to a new Employee in the fiscal year in which his or her Service as an Employee first commences Options and/or SARs that cover (in the aggregate) up to an additional 150,000 Common Shares; </w:t>
      </w:r>
    </w:p>
    <w:p>
      <w:pPr>
        <w:pStyle w:val="TextBody"/>
        <w:bidi w:val="0"/>
        <w:spacing w:lineRule="auto" w:line="288" w:before="0" w:after="0"/>
        <w:ind w:left="0" w:right="0" w:firstLine="400"/>
        <w:jc w:val="left"/>
        <w:rPr>
          <w:rFonts w:ascii="Calibri;sans-serif" w:hAnsi="Calibri;sans-serif"/>
          <w:b w:val="false"/>
          <w:color w:val="000000"/>
          <w:sz w:val="22"/>
        </w:rPr>
      </w:pPr>
      <w:r>
        <w:rPr>
          <w:rFonts w:ascii="Calibri;sans-serif" w:hAnsi="Calibri;sans-serif"/>
          <w:b w:val="false"/>
          <w:color w:val="000000"/>
          <w:sz w:val="22"/>
        </w:rPr>
        <w:t xml:space="preserve">(b) The maximum aggregate number of Common Shares subject to Restricted Share awards and Stock Units that may be granted under this Plan during any fiscal year to any one Participant shall not exceed 500,000, except that the Company may grant to a new Employee in the fiscal year in which his or her Service as an Employee first commences Restricted Shares and/or Stock Units that cover (in the aggregate) up to an additional 150,000 Common Shares; </w:t>
      </w:r>
    </w:p>
    <w:p>
      <w:pPr>
        <w:pStyle w:val="TextBody"/>
        <w:bidi w:val="0"/>
        <w:spacing w:lineRule="auto" w:line="288" w:before="0" w:after="0"/>
        <w:ind w:left="0" w:right="0" w:firstLine="400"/>
        <w:jc w:val="left"/>
        <w:rPr>
          <w:rFonts w:ascii="Calibri;sans-serif" w:hAnsi="Calibri;sans-serif"/>
          <w:b w:val="false"/>
          <w:color w:val="000000"/>
          <w:sz w:val="22"/>
        </w:rPr>
      </w:pPr>
      <w:r>
        <w:rPr>
          <w:rFonts w:ascii="Calibri;sans-serif" w:hAnsi="Calibri;sans-serif"/>
          <w:b w:val="false"/>
          <w:color w:val="000000"/>
          <w:sz w:val="22"/>
        </w:rPr>
        <w:t xml:space="preserve">(c) The maximum aggregate number of Common Shares subject to Awards granted to an Outside Director during any fiscal year of the Company shall not exceed 20,000 shares; </w:t>
      </w:r>
    </w:p>
    <w:p>
      <w:pPr>
        <w:pStyle w:val="TextBody"/>
        <w:bidi w:val="0"/>
        <w:spacing w:lineRule="auto" w:line="288" w:before="0" w:after="0"/>
        <w:ind w:left="0" w:right="0" w:firstLine="400"/>
        <w:jc w:val="left"/>
        <w:rPr>
          <w:rFonts w:ascii="Calibri;sans-serif" w:hAnsi="Calibri;sans-serif"/>
          <w:b w:val="false"/>
          <w:color w:val="000000"/>
          <w:sz w:val="22"/>
        </w:rPr>
      </w:pPr>
      <w:r>
        <w:rPr>
          <w:rFonts w:ascii="Calibri;sans-serif" w:hAnsi="Calibri;sans-serif"/>
          <w:b w:val="false"/>
          <w:color w:val="000000"/>
          <w:sz w:val="22"/>
        </w:rPr>
        <w:t xml:space="preserve">(d) No Participant shall be paid more than $5,000,000 in cash in any fiscal year pursuant to Performance Cash Awards granted under the Plan; and </w:t>
      </w:r>
    </w:p>
    <w:p>
      <w:pPr>
        <w:pStyle w:val="TextBody"/>
        <w:bidi w:val="0"/>
        <w:spacing w:lineRule="auto" w:line="288" w:before="0" w:after="0"/>
        <w:ind w:left="0" w:right="0" w:firstLine="400"/>
        <w:jc w:val="left"/>
        <w:rPr>
          <w:rFonts w:ascii="Calibri;sans-serif" w:hAnsi="Calibri;sans-serif"/>
          <w:b w:val="false"/>
          <w:color w:val="000000"/>
          <w:sz w:val="22"/>
        </w:rPr>
      </w:pPr>
      <w:r>
        <w:rPr>
          <w:rFonts w:ascii="Calibri;sans-serif" w:hAnsi="Calibri;sans-serif"/>
          <w:b w:val="false"/>
          <w:color w:val="000000"/>
          <w:sz w:val="22"/>
        </w:rPr>
        <w:t xml:space="preserve">(e) No more than 1,000,000 Common Shares may be issued under the Plan upon the exercise of ISOs. </w:t>
      </w:r>
    </w:p>
    <w:p>
      <w:pPr>
        <w:pStyle w:val="TextBody"/>
        <w:bidi w:val="0"/>
        <w:spacing w:before="0" w:after="0"/>
        <w:ind w:left="0" w:right="0" w:firstLine="400"/>
        <w:jc w:val="left"/>
        <w:rPr/>
      </w:pPr>
      <w:r>
        <w:rPr/>
      </w:r>
    </w:p>
    <w:p>
      <w:pPr>
        <w:pStyle w:val="TextBody"/>
        <w:bidi w:val="0"/>
        <w:spacing w:lineRule="auto" w:line="288" w:before="0" w:after="0"/>
        <w:jc w:val="left"/>
        <w:rPr/>
      </w:pPr>
      <w:r>
        <w:rPr>
          <w:rFonts w:ascii="Calibri;sans-serif" w:hAnsi="Calibri;sans-serif"/>
          <w:b/>
          <w:color w:val="000000"/>
          <w:sz w:val="22"/>
        </w:rPr>
        <w:t>ARTICLE 4. ELIGIBILITY</w:t>
      </w:r>
      <w:r>
        <w:rPr>
          <w:rFonts w:ascii="Calibri;sans-serif" w:hAnsi="Calibri;sans-serif"/>
          <w:b w:val="false"/>
          <w:color w:val="000000"/>
          <w:sz w:val="22"/>
        </w:rPr>
        <w:t xml:space="preserve">. </w:t>
      </w:r>
    </w:p>
    <w:p>
      <w:pPr>
        <w:pStyle w:val="TextBody"/>
        <w:bidi w:val="0"/>
        <w:spacing w:lineRule="auto" w:line="288" w:before="0" w:after="0"/>
        <w:ind w:left="0" w:right="0" w:firstLine="400"/>
        <w:jc w:val="left"/>
        <w:rPr/>
      </w:pPr>
      <w:r>
        <w:rPr>
          <w:rFonts w:ascii="Calibri;sans-serif" w:hAnsi="Calibri;sans-serif"/>
          <w:b/>
          <w:color w:val="000000"/>
          <w:sz w:val="22"/>
        </w:rPr>
        <w:t>4.1 Incentive Stock Options</w:t>
      </w:r>
      <w:r>
        <w:rPr>
          <w:rFonts w:ascii="Calibri;sans-serif" w:hAnsi="Calibri;sans-serif"/>
          <w:b w:val="false"/>
          <w:color w:val="000000"/>
          <w:sz w:val="22"/>
        </w:rPr>
        <w:t>. Only Employees who are common-law employees of the Company, a Parent or a Subsidiary shall be eligible for the grant of ISOs. In addition, an Employee who owns more than 10% of the total combined voting power of all classes of outstanding stock of the Company or any of its Parents or Subsidiaries shall not be eligible for the grant of an ISO unless the additional requirements set forth in Code Section 422(c)(5) are satisfied.</w:t>
      </w:r>
    </w:p>
    <w:p>
      <w:pPr>
        <w:pStyle w:val="TextBody"/>
        <w:bidi w:val="0"/>
        <w:spacing w:lineRule="auto" w:line="288" w:before="0" w:after="0"/>
        <w:ind w:left="0" w:right="0" w:firstLine="400"/>
        <w:jc w:val="left"/>
        <w:rPr/>
      </w:pPr>
      <w:r>
        <w:rPr>
          <w:rFonts w:ascii="Calibri;sans-serif" w:hAnsi="Calibri;sans-serif"/>
          <w:b/>
          <w:color w:val="000000"/>
          <w:sz w:val="22"/>
        </w:rPr>
        <w:t>4.2 Other Awards</w:t>
      </w:r>
      <w:r>
        <w:rPr>
          <w:rFonts w:ascii="Calibri;sans-serif" w:hAnsi="Calibri;sans-serif"/>
          <w:b w:val="false"/>
          <w:color w:val="000000"/>
          <w:sz w:val="22"/>
        </w:rPr>
        <w:t xml:space="preserve">. Awards other than ISOs may only be granted to Service Providers. </w:t>
      </w:r>
    </w:p>
    <w:p>
      <w:pPr>
        <w:pStyle w:val="TextBody"/>
        <w:bidi w:val="0"/>
        <w:spacing w:before="0" w:after="0"/>
        <w:ind w:left="0" w:right="0" w:firstLine="400"/>
        <w:jc w:val="left"/>
        <w:rPr/>
      </w:pPr>
      <w:r>
        <w:rPr/>
      </w:r>
    </w:p>
    <w:p>
      <w:pPr>
        <w:pStyle w:val="TextBody"/>
        <w:bidi w:val="0"/>
        <w:spacing w:lineRule="auto" w:line="288" w:before="0" w:after="0"/>
        <w:jc w:val="left"/>
        <w:rPr/>
      </w:pPr>
      <w:r>
        <w:rPr>
          <w:rFonts w:ascii="Calibri;sans-serif" w:hAnsi="Calibri;sans-serif"/>
          <w:b/>
          <w:color w:val="000000"/>
          <w:sz w:val="22"/>
        </w:rPr>
        <w:t>ARTICLE 5. OPTIONS</w:t>
      </w:r>
      <w:r>
        <w:rPr>
          <w:rFonts w:ascii="Calibri;sans-serif" w:hAnsi="Calibri;sans-serif"/>
          <w:b w:val="false"/>
          <w:color w:val="000000"/>
          <w:sz w:val="22"/>
        </w:rPr>
        <w:t xml:space="preserve">. </w:t>
      </w:r>
    </w:p>
    <w:p>
      <w:pPr>
        <w:pStyle w:val="TextBody"/>
        <w:bidi w:val="0"/>
        <w:spacing w:lineRule="auto" w:line="288" w:before="0" w:after="0"/>
        <w:ind w:left="0" w:right="0" w:firstLine="400"/>
        <w:jc w:val="left"/>
        <w:rPr/>
      </w:pPr>
      <w:r>
        <w:rPr>
          <w:rFonts w:ascii="Calibri;sans-serif" w:hAnsi="Calibri;sans-serif"/>
          <w:b/>
          <w:color w:val="000000"/>
          <w:sz w:val="22"/>
        </w:rPr>
        <w:t>5.1 Stock Option Agreement</w:t>
      </w:r>
      <w:r>
        <w:rPr>
          <w:rFonts w:ascii="Calibri;sans-serif" w:hAnsi="Calibri;sans-serif"/>
          <w:b w:val="false"/>
          <w:color w:val="000000"/>
          <w:sz w:val="22"/>
        </w:rPr>
        <w:t xml:space="preserve">. Each grant of an Option under the Plan shall be evidenced by a Stock Option Agreement between the Optionee and the Company. Such Option shall be subject to all applicable terms of the Plan and may be subject to any other terms that are not inconsistent with the Plan. The Stock Option Agreement shall specify whether the Option is intended to be an ISO or an NSO. The provisions of the various Stock Option Agreements entered into under the Plan need not be identical. </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pPr>
      <w:r>
        <w:rPr>
          <w:rFonts w:ascii="Calibri;sans-serif" w:hAnsi="Calibri;sans-serif"/>
          <w:b/>
          <w:color w:val="000000"/>
          <w:sz w:val="22"/>
        </w:rPr>
        <w:t>5.2 Number of Shares</w:t>
      </w:r>
      <w:r>
        <w:rPr>
          <w:rFonts w:ascii="Calibri;sans-serif" w:hAnsi="Calibri;sans-serif"/>
          <w:b w:val="false"/>
          <w:color w:val="000000"/>
          <w:sz w:val="22"/>
        </w:rPr>
        <w:t xml:space="preserve">. Each Stock Option Agreement shall specify the number of Common Shares subject to the Option, which number shall adjust in accordance with Article 9. </w:t>
      </w:r>
    </w:p>
    <w:p>
      <w:pPr>
        <w:pStyle w:val="TextBody"/>
        <w:bidi w:val="0"/>
        <w:spacing w:before="0" w:after="0"/>
        <w:ind w:left="0" w:right="0" w:firstLine="400"/>
        <w:jc w:val="left"/>
        <w:rPr/>
      </w:pPr>
      <w:r>
        <w:rPr/>
      </w:r>
    </w:p>
    <w:p>
      <w:pPr>
        <w:pStyle w:val="TextBody"/>
        <w:bidi w:val="0"/>
        <w:spacing w:lineRule="auto" w:line="288"/>
        <w:ind w:left="0" w:right="0" w:firstLine="400"/>
        <w:jc w:val="left"/>
        <w:rPr/>
      </w:pPr>
      <w:r>
        <w:rPr>
          <w:rFonts w:ascii="Calibri;sans-serif" w:hAnsi="Calibri;sans-serif"/>
          <w:b/>
          <w:color w:val="000000"/>
          <w:sz w:val="22"/>
        </w:rPr>
        <w:t>5.3 Exercise Price</w:t>
      </w:r>
      <w:r>
        <w:rPr>
          <w:rFonts w:ascii="Calibri;sans-serif" w:hAnsi="Calibri;sans-serif"/>
          <w:b w:val="false"/>
          <w:color w:val="000000"/>
          <w:sz w:val="22"/>
        </w:rPr>
        <w:t xml:space="preserve">. Each Stock Option Agreement shall specify the Exercise Price, which shall be such price as is determined by the Administrator in its discretion; </w:t>
      </w:r>
      <w:r>
        <w:rPr>
          <w:rFonts w:ascii="Calibri;sans-serif" w:hAnsi="Calibri;sans-serif"/>
          <w:b w:val="false"/>
          <w:i/>
          <w:color w:val="000000"/>
          <w:sz w:val="22"/>
        </w:rPr>
        <w:t>provided however</w:t>
      </w:r>
      <w:r>
        <w:rPr>
          <w:rFonts w:ascii="Calibri;sans-serif" w:hAnsi="Calibri;sans-serif"/>
          <w:b w:val="false"/>
          <w:color w:val="000000"/>
          <w:sz w:val="22"/>
        </w:rPr>
        <w:t xml:space="preserve">, that unless an </w:t>
      </w:r>
    </w:p>
    <w:p>
      <w:pPr>
        <w:pStyle w:val="TextBody"/>
        <w:bidi w:val="0"/>
        <w:spacing w:before="0" w:after="0"/>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175260"/>
                <wp:effectExtent l="0" t="0" r="0" b="0"/>
                <wp:wrapNone/>
                <wp:docPr id="212" name="Frame2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Calibri;sans-serif" w:hAnsi="Calibri;sans-serif"/>
          <w:b w:val="false"/>
          <w:color w:val="000000"/>
          <w:sz w:val="22"/>
        </w:rPr>
        <w:t xml:space="preserve">Option is intended to comply with Code Section 409A (and not, for the avoidance of doubt, be exempt from Code Section 409A) the Exercise Price of any Option granted to a Participant subject to taxation in the United States shall be not be less than 100% of the Fair Market Value of a Common Share on the date of grant; </w:t>
      </w:r>
      <w:r>
        <w:rPr>
          <w:rFonts w:ascii="Calibri;sans-serif" w:hAnsi="Calibri;sans-serif"/>
          <w:b w:val="false"/>
          <w:i/>
          <w:color w:val="000000"/>
          <w:sz w:val="22"/>
        </w:rPr>
        <w:t>provided further</w:t>
      </w:r>
      <w:r>
        <w:rPr>
          <w:color w:val="000000"/>
        </w:rPr>
        <w:t xml:space="preserve"> </w:t>
      </w:r>
      <w:r>
        <w:rPr>
          <w:rFonts w:ascii="Calibri;sans-serif" w:hAnsi="Calibri;sans-serif"/>
          <w:b w:val="false"/>
          <w:color w:val="000000"/>
          <w:sz w:val="22"/>
        </w:rPr>
        <w:t xml:space="preserve">that the preceding clause shall not apply to an Option that is a Substitute Award granted in a manner that would satisfy the requirements of Code Section 409A and, if applicable, Code Section 424(a). </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pPr>
      <w:r>
        <w:rPr>
          <w:rFonts w:ascii="Calibri;sans-serif" w:hAnsi="Calibri;sans-serif"/>
          <w:b/>
          <w:color w:val="000000"/>
          <w:sz w:val="22"/>
        </w:rPr>
        <w:t>5.4 Exercisability and Term</w:t>
      </w:r>
      <w:r>
        <w:rPr>
          <w:rFonts w:ascii="Calibri;sans-serif" w:hAnsi="Calibri;sans-serif"/>
          <w:b w:val="false"/>
          <w:color w:val="000000"/>
          <w:sz w:val="22"/>
        </w:rPr>
        <w:t xml:space="preserve">. Each Stock Option Agreement shall specify the date or event when all or any installment of the Option is to become vested and/or exercisable; provided that with respect to 95% of the shares available for issuance under the Plan on April 4, 2019, the Option shall not become exercisable prior to the Optionee completing at least one year of Service following the grant of such Option. Notwithstanding the foregoing, a Stock Option Agreement may provide for accelerated exercisability in the event of the Optionee’s death or disability. The Stock Option Agreement shall also specify the term of the Option; provided that, except to the extent necessary to comply with applicable foreign law, the term of an Option shall in no event exceed 7 years from the date of grant. </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pPr>
      <w:r>
        <w:rPr>
          <w:rFonts w:ascii="Calibri;sans-serif" w:hAnsi="Calibri;sans-serif"/>
          <w:b/>
          <w:color w:val="000000"/>
          <w:sz w:val="22"/>
        </w:rPr>
        <w:t>5.5 Death of Optionee</w:t>
      </w:r>
      <w:r>
        <w:rPr>
          <w:rFonts w:ascii="Calibri;sans-serif" w:hAnsi="Calibri;sans-serif"/>
          <w:b w:val="false"/>
          <w:color w:val="000000"/>
          <w:sz w:val="22"/>
        </w:rPr>
        <w:t xml:space="preserve">. After an Optionee’s death, any vested and exercisable Options held by such Optionee may be exercised by his or her beneficiary or beneficiaries. Each Optionee may designate one or more beneficiaries for this purpose by filing the prescribed form with the Company. A beneficiary designation may be changed by filing the prescribed form with the Company at any time before the Optionee’s death. If no beneficiary was designated or if no designated beneficiary survives the Optionee, then any vested and exercisable Options held by the Optionee may be exercised by his or her estate. </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pPr>
      <w:r>
        <w:rPr>
          <w:rFonts w:ascii="Calibri;sans-serif" w:hAnsi="Calibri;sans-serif"/>
          <w:b/>
          <w:color w:val="000000"/>
          <w:sz w:val="22"/>
        </w:rPr>
        <w:t>5.6 Modification or Assumption of Options</w:t>
      </w:r>
      <w:r>
        <w:rPr>
          <w:rFonts w:ascii="Calibri;sans-serif" w:hAnsi="Calibri;sans-serif"/>
          <w:b w:val="false"/>
          <w:color w:val="000000"/>
          <w:sz w:val="22"/>
        </w:rPr>
        <w:t xml:space="preserve">. Within the limitations of the Plan, the Administrator may modify, extend or assume outstanding options or may accept the cancellation of outstanding options (whether granted by the Company or by another issuer) in return for the grant of new Options for the same or a different number of shares and at the same or a different exercise price or in return for the grant of a different type of Award. The foregoing notwithstanding, no modification of an Option shall, without the consent of the Optionee, impair his or her rights or obligations under such Option. Notwithstanding anything in this Plan to the contrary, and except for the adjustment provided in Article 9, neither the Committee nor any other person may (a) decrease the exercise price of any outstanding Option after the date of grant, (b) cancel or allow an Optionee to surrender an outstanding Option to the Company in exchange for cash or as consideration for the grant of a new Option with a lower exercise price or the grant of another Award the effect of which is to reduce the exercise price of any outstanding Option, or (c) take any other action with respect to an Option that would be treated as a repricing under the rules and regulations of the Nasdaq Stock Market (or such other principal U.S. national securities exchange on which the Common Shares are traded). </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pPr>
      <w:r>
        <w:rPr>
          <w:rFonts w:ascii="Calibri;sans-serif" w:hAnsi="Calibri;sans-serif"/>
          <w:b/>
          <w:color w:val="000000"/>
          <w:sz w:val="22"/>
        </w:rPr>
        <w:t>5.7 Buyout Provisions</w:t>
      </w:r>
      <w:r>
        <w:rPr>
          <w:rFonts w:ascii="Calibri;sans-serif" w:hAnsi="Calibri;sans-serif"/>
          <w:b w:val="false"/>
          <w:color w:val="000000"/>
          <w:sz w:val="22"/>
        </w:rPr>
        <w:t xml:space="preserve">. Except to the extent prohibited by Article 5.6, the Administrator may at any time (a) offer to buy out for a payment in cash or cash equivalents an Option previously granted or (b) authorize an Optionee to elect to cash out an Option previously granted, in either case at such time and based upon such terms and conditions as the Administrator shall establish. </w:t>
      </w:r>
    </w:p>
    <w:p>
      <w:pPr>
        <w:pStyle w:val="TextBody"/>
        <w:bidi w:val="0"/>
        <w:spacing w:before="0" w:after="0"/>
        <w:ind w:left="0" w:right="0" w:firstLine="400"/>
        <w:jc w:val="left"/>
        <w:rPr/>
      </w:pPr>
      <w:r>
        <w:rPr/>
      </w:r>
    </w:p>
    <w:p>
      <w:pPr>
        <w:pStyle w:val="TextBody"/>
        <w:bidi w:val="0"/>
        <w:spacing w:lineRule="auto" w:line="288"/>
        <w:ind w:left="0" w:right="0" w:firstLine="400"/>
        <w:jc w:val="left"/>
        <w:rPr/>
      </w:pPr>
      <w:r>
        <w:rPr>
          <w:rFonts w:ascii="Calibri;sans-serif" w:hAnsi="Calibri;sans-serif"/>
          <w:b/>
          <w:color w:val="000000"/>
          <w:sz w:val="22"/>
        </w:rPr>
        <w:t>5.8 Payment for Option Shares</w:t>
      </w:r>
      <w:r>
        <w:rPr>
          <w:rFonts w:ascii="Calibri;sans-serif" w:hAnsi="Calibri;sans-serif"/>
          <w:b w:val="false"/>
          <w:color w:val="000000"/>
          <w:sz w:val="22"/>
        </w:rPr>
        <w:t xml:space="preserve">. The entire Exercise Price of Common Shares issued upon exercise of Options shall be payable in cash or cash equivalents at the time when such Common Shares are purchased. In addition, the Administrator may, in its sole discretion and to the extent permitted by applicable law, accept payment of all or a portion of the Exercise Price through any one or a combination of the following forms or methods: </w:t>
      </w:r>
    </w:p>
    <w:p>
      <w:pPr>
        <w:pStyle w:val="TextBody"/>
        <w:bidi w:val="0"/>
        <w:spacing w:before="0" w:after="0"/>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175260"/>
                <wp:effectExtent l="0" t="0" r="0" b="0"/>
                <wp:wrapNone/>
                <wp:docPr id="213" name="Frame2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400"/>
        <w:jc w:val="left"/>
        <w:rPr>
          <w:rFonts w:ascii="Calibri;sans-serif" w:hAnsi="Calibri;sans-serif"/>
          <w:b w:val="false"/>
          <w:color w:val="000000"/>
          <w:sz w:val="22"/>
        </w:rPr>
      </w:pPr>
      <w:r>
        <w:rPr>
          <w:rFonts w:ascii="Calibri;sans-serif" w:hAnsi="Calibri;sans-serif"/>
          <w:b w:val="false"/>
          <w:color w:val="000000"/>
          <w:sz w:val="22"/>
        </w:rPr>
        <w:t xml:space="preserve">(a) Subject to any conditions or limitations established by the Administrator, by surrendering, or attesting to the ownership of, Common Shares that are already owned by the Optionee with a Fair Market Value on the date of surrender equal to the aggregate exercise price of the Common Shares as to which such Option will be exercised; </w:t>
      </w:r>
    </w:p>
    <w:p>
      <w:pPr>
        <w:pStyle w:val="TextBody"/>
        <w:bidi w:val="0"/>
        <w:spacing w:lineRule="auto" w:line="288" w:before="0" w:after="0"/>
        <w:ind w:left="0" w:right="0" w:firstLine="400"/>
        <w:jc w:val="left"/>
        <w:rPr>
          <w:rFonts w:ascii="Calibri;sans-serif" w:hAnsi="Calibri;sans-serif"/>
          <w:b w:val="false"/>
          <w:color w:val="000000"/>
          <w:sz w:val="22"/>
        </w:rPr>
      </w:pPr>
      <w:r>
        <w:rPr>
          <w:rFonts w:ascii="Calibri;sans-serif" w:hAnsi="Calibri;sans-serif"/>
          <w:b w:val="false"/>
          <w:color w:val="000000"/>
          <w:sz w:val="22"/>
        </w:rPr>
        <w:t xml:space="preserve">(b) By delivering (on a form prescribed by the Company) an irrevocable direction to a securities broker approved by the Company to sell all or part of the Common Shares being purchased under the Plan and to deliver all or part of the sales proceeds to the Company; </w:t>
      </w:r>
    </w:p>
    <w:p>
      <w:pPr>
        <w:pStyle w:val="TextBody"/>
        <w:bidi w:val="0"/>
        <w:spacing w:lineRule="auto" w:line="288" w:before="0" w:after="0"/>
        <w:ind w:left="0" w:right="0" w:firstLine="400"/>
        <w:jc w:val="left"/>
        <w:rPr>
          <w:rFonts w:ascii="Calibri;sans-serif" w:hAnsi="Calibri;sans-serif"/>
          <w:b w:val="false"/>
          <w:color w:val="000000"/>
          <w:sz w:val="22"/>
        </w:rPr>
      </w:pPr>
      <w:r>
        <w:rPr>
          <w:rFonts w:ascii="Calibri;sans-serif" w:hAnsi="Calibri;sans-serif"/>
          <w:b w:val="false"/>
          <w:color w:val="000000"/>
          <w:sz w:val="22"/>
        </w:rPr>
        <w:t xml:space="preserve">(c) Subject to such conditions and requirements as the Administrator may impose from time to time, through a net exercise procedure; or </w:t>
      </w:r>
    </w:p>
    <w:p>
      <w:pPr>
        <w:pStyle w:val="TextBody"/>
        <w:bidi w:val="0"/>
        <w:spacing w:lineRule="auto" w:line="288" w:before="0" w:after="0"/>
        <w:ind w:left="0" w:right="0" w:firstLine="400"/>
        <w:jc w:val="left"/>
        <w:rPr>
          <w:rFonts w:ascii="Calibri;sans-serif" w:hAnsi="Calibri;sans-serif"/>
          <w:b w:val="false"/>
          <w:color w:val="000000"/>
          <w:sz w:val="22"/>
        </w:rPr>
      </w:pPr>
      <w:r>
        <w:rPr>
          <w:rFonts w:ascii="Calibri;sans-serif" w:hAnsi="Calibri;sans-serif"/>
          <w:b w:val="false"/>
          <w:color w:val="000000"/>
          <w:sz w:val="22"/>
        </w:rPr>
        <w:t xml:space="preserve">(d) Through any other form or method consistent with applicable laws, regulations and rules. </w:t>
      </w:r>
    </w:p>
    <w:p>
      <w:pPr>
        <w:pStyle w:val="TextBody"/>
        <w:bidi w:val="0"/>
        <w:spacing w:before="0" w:after="0"/>
        <w:ind w:left="0" w:right="0" w:firstLine="400"/>
        <w:jc w:val="left"/>
        <w:rPr/>
      </w:pPr>
      <w:r>
        <w:rPr/>
      </w:r>
    </w:p>
    <w:p>
      <w:pPr>
        <w:pStyle w:val="TextBody"/>
        <w:bidi w:val="0"/>
        <w:spacing w:lineRule="auto" w:line="288" w:before="0" w:after="0"/>
        <w:jc w:val="left"/>
        <w:rPr/>
      </w:pPr>
      <w:r>
        <w:rPr>
          <w:rFonts w:ascii="Calibri;sans-serif" w:hAnsi="Calibri;sans-serif"/>
          <w:b/>
          <w:color w:val="000000"/>
          <w:sz w:val="22"/>
        </w:rPr>
        <w:t>ARTICLE 6. STOCK APPRECIATION RIGHTS</w:t>
      </w:r>
      <w:r>
        <w:rPr>
          <w:rFonts w:ascii="Calibri;sans-serif" w:hAnsi="Calibri;sans-serif"/>
          <w:b w:val="false"/>
          <w:color w:val="000000"/>
          <w:sz w:val="22"/>
        </w:rPr>
        <w:t xml:space="preserve">. </w:t>
      </w:r>
    </w:p>
    <w:p>
      <w:pPr>
        <w:pStyle w:val="TextBody"/>
        <w:bidi w:val="0"/>
        <w:spacing w:lineRule="auto" w:line="288" w:before="0" w:after="0"/>
        <w:ind w:left="0" w:right="0" w:firstLine="400"/>
        <w:jc w:val="left"/>
        <w:rPr/>
      </w:pPr>
      <w:r>
        <w:rPr>
          <w:rFonts w:ascii="Calibri;sans-serif" w:hAnsi="Calibri;sans-serif"/>
          <w:b/>
          <w:color w:val="000000"/>
          <w:sz w:val="22"/>
        </w:rPr>
        <w:t>6.1 SAR Agreement</w:t>
      </w:r>
      <w:r>
        <w:rPr>
          <w:rFonts w:ascii="Calibri;sans-serif" w:hAnsi="Calibri;sans-serif"/>
          <w:b w:val="false"/>
          <w:color w:val="000000"/>
          <w:sz w:val="22"/>
        </w:rPr>
        <w:t xml:space="preserve">. Each grant of a SAR under the Plan shall be evidenced by a SAR Agreement between the Optionee and the Company. Such SAR shall be subject to all applicable terms of the Plan and may be subject to any other terms that are not inconsistent with the Plan. The provisions of the various SAR Agreements entered into under the Plan need not be identical. </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pPr>
      <w:r>
        <w:rPr>
          <w:rFonts w:ascii="Calibri;sans-serif" w:hAnsi="Calibri;sans-serif"/>
          <w:b/>
          <w:color w:val="000000"/>
          <w:sz w:val="22"/>
        </w:rPr>
        <w:t>6.2 Number of Shares</w:t>
      </w:r>
      <w:r>
        <w:rPr>
          <w:rFonts w:ascii="Calibri;sans-serif" w:hAnsi="Calibri;sans-serif"/>
          <w:b w:val="false"/>
          <w:color w:val="000000"/>
          <w:sz w:val="22"/>
        </w:rPr>
        <w:t xml:space="preserve">. Each SAR Agreement shall specify the number of Common Shares to which the SAR pertains, which number shall adjust in accordance with Article 9. </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pPr>
      <w:r>
        <w:rPr>
          <w:rFonts w:ascii="Calibri;sans-serif" w:hAnsi="Calibri;sans-serif"/>
          <w:b/>
          <w:color w:val="000000"/>
          <w:sz w:val="22"/>
        </w:rPr>
        <w:t>6.3 Exercise Price</w:t>
      </w:r>
      <w:r>
        <w:rPr>
          <w:rFonts w:ascii="Calibri;sans-serif" w:hAnsi="Calibri;sans-serif"/>
          <w:b w:val="false"/>
          <w:color w:val="000000"/>
          <w:sz w:val="22"/>
        </w:rPr>
        <w:t xml:space="preserve">. Each SAR Agreement shall specify the Exercise Price, which shall in no event be less than 100% of the Fair Market Value of a Common Share on the date of grant. The preceding sentence shall not apply to a SAR that is a Substitute Award granted in a manner that would satisfy the requirements of Code Section 409A. </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pPr>
      <w:r>
        <w:rPr>
          <w:rFonts w:ascii="Calibri;sans-serif" w:hAnsi="Calibri;sans-serif"/>
          <w:b/>
          <w:color w:val="000000"/>
          <w:sz w:val="22"/>
        </w:rPr>
        <w:t>6.4 Exercisability and Term</w:t>
      </w:r>
      <w:r>
        <w:rPr>
          <w:rFonts w:ascii="Calibri;sans-serif" w:hAnsi="Calibri;sans-serif"/>
          <w:b w:val="false"/>
          <w:color w:val="000000"/>
          <w:sz w:val="22"/>
        </w:rPr>
        <w:t xml:space="preserve">. Each SAR Agreement shall specify the date when all or any installment of the SAR is to become vested and exercisable; provided that with respect to 95% of the shares available for issuance under the Plan on April 4, 2019, the SAR shall not become exercisable prior to the Optionee completing at least one year of Service following the grant of such SAR. Notwithstanding the foregoing, a SAR Agreement may provide for accelerated exercisability in the event of the Optionee’s death or disability. The SAR Agreement shall also specify the term of the SAR; provided that except to the extent necessary to comply with applicable foreign law, the term of a SAR shall not exceed 7 years from the date of grant. </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pPr>
      <w:r>
        <w:rPr>
          <w:rFonts w:ascii="Calibri;sans-serif" w:hAnsi="Calibri;sans-serif"/>
          <w:b/>
          <w:color w:val="000000"/>
          <w:sz w:val="22"/>
        </w:rPr>
        <w:t>6.5 Exercise of SARs</w:t>
      </w:r>
      <w:r>
        <w:rPr>
          <w:rFonts w:ascii="Calibri;sans-serif" w:hAnsi="Calibri;sans-serif"/>
          <w:b w:val="false"/>
          <w:color w:val="000000"/>
          <w:sz w:val="22"/>
        </w:rPr>
        <w:t xml:space="preserve">. Upon exercise of a SAR, the Optionee (or any person having the right to exercise the SAR after his or her death) shall receive from the Company (a) Common Shares, (b) cash or (c) a combination of Common Shares and cash, as the Administrator shall determine. The amount of cash and/or the Fair Market Value of Common Shares received upon exercise of SARs shall, in the aggregate, not exceed the amount by which the Fair Market Value (on the date of surrender) of the Common Shares subject to the SARs exceeds the Exercise Price. If, on the date when a SAR expires, the Exercise Price is less than the Fair Market Value on such date but any portion of such SAR has not been exercised or surrendered, then such SAR shall automatically be deemed to be exercised as of such date with respect to such portion. A SAR Agreement may also provide for an automatic exercise of the SAR on an earlier date. </w:t>
      </w:r>
    </w:p>
    <w:p>
      <w:pPr>
        <w:pStyle w:val="TextBody"/>
        <w:bidi w:val="0"/>
        <w:spacing w:lineRule="auto" w:line="288"/>
        <w:ind w:left="0" w:right="0" w:firstLine="400"/>
        <w:jc w:val="left"/>
        <w:rPr/>
      </w:pPr>
      <w:r>
        <w:rPr>
          <w:rFonts w:ascii="Calibri;sans-serif" w:hAnsi="Calibri;sans-serif"/>
          <w:b/>
          <w:color w:val="000000"/>
          <w:sz w:val="22"/>
        </w:rPr>
        <w:t>6.6 Death of Optionee</w:t>
      </w:r>
      <w:r>
        <w:rPr>
          <w:rFonts w:ascii="Calibri;sans-serif" w:hAnsi="Calibri;sans-serif"/>
          <w:b w:val="false"/>
          <w:color w:val="000000"/>
          <w:sz w:val="22"/>
        </w:rPr>
        <w:t xml:space="preserve">. After an Optionee’s death, any vested and exercisable SARs held by such Optionee may be exercised by his or her beneficiary or beneficiaries. Each Optionee may designate one or more beneficiaries for this purpose by filing the prescribed form with the Company. A beneficiary designation may be changed by filing the prescribed form with the Company at any time before the Optionee’s death. If no beneficiary was designated or if no designated beneficiary survives the Optionee, </w:t>
      </w:r>
    </w:p>
    <w:p>
      <w:pPr>
        <w:pStyle w:val="TextBody"/>
        <w:bidi w:val="0"/>
        <w:spacing w:before="0" w:after="0"/>
        <w:jc w:val="lef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175260"/>
                <wp:effectExtent l="0" t="0" r="0" b="0"/>
                <wp:wrapNone/>
                <wp:docPr id="214" name="Frame2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 xml:space="preserve">then any vested and exercisable SARs held by the Optionee at the time of his or her death may be exercised by his or her estate. </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pPr>
      <w:r>
        <w:rPr>
          <w:rFonts w:ascii="Calibri;sans-serif" w:hAnsi="Calibri;sans-serif"/>
          <w:b/>
          <w:color w:val="000000"/>
          <w:sz w:val="22"/>
        </w:rPr>
        <w:t>6.7 Modification or Assumption of SARs</w:t>
      </w:r>
      <w:r>
        <w:rPr>
          <w:rFonts w:ascii="Calibri;sans-serif" w:hAnsi="Calibri;sans-serif"/>
          <w:b w:val="false"/>
          <w:color w:val="000000"/>
          <w:sz w:val="22"/>
        </w:rPr>
        <w:t>. Within the limitations of the Plan, the Administrator may modify, extend or assume outstanding SARs or may accept the cancellation of outstanding SARs (whether granted by the Company or by another issuer) in return for the grant of new SARs for the same or a different number of shares and at the same or a different exercise price or in return for the grant of a different type of Award. The foregoing notwithstanding, no modification of a SAR shall, without the consent of the Optionee, impair his or her rights or obligations under such SAR. Notwithstanding anything in this Plan to the contrary, and except for the adjustment provided in Article 9, neither the Committee nor any other person may: (a) decrease the exercise price of any outstanding SAR after the date of grant, (b) cancel or allow an Optionee to surrender an outstanding SAR to the Company in exchange for cash or as consideration for the grant of a new SAR with a lower exercise price or the grant of another Award the effect of which is to reduce the exercise price of any outstanding SAR, or (c) take any other action with respect to a SAR that would be treated as a repricing under the rules and regulations of the Nasdaq Stock Market (or such other principal U.S. national securities exchange on which the Common Shares are traded).</w:t>
      </w:r>
    </w:p>
    <w:p>
      <w:pPr>
        <w:pStyle w:val="TextBody"/>
        <w:bidi w:val="0"/>
        <w:spacing w:before="0" w:after="0"/>
        <w:ind w:left="0" w:right="0" w:firstLine="400"/>
        <w:jc w:val="left"/>
        <w:rPr/>
      </w:pPr>
      <w:r>
        <w:rPr/>
      </w:r>
    </w:p>
    <w:p>
      <w:pPr>
        <w:pStyle w:val="TextBody"/>
        <w:bidi w:val="0"/>
        <w:spacing w:lineRule="auto" w:line="288" w:before="0" w:after="0"/>
        <w:jc w:val="left"/>
        <w:rPr/>
      </w:pPr>
      <w:r>
        <w:rPr>
          <w:rFonts w:ascii="Calibri;sans-serif" w:hAnsi="Calibri;sans-serif"/>
          <w:b/>
          <w:color w:val="000000"/>
          <w:sz w:val="22"/>
        </w:rPr>
        <w:t>ARTICLE 7. RESTRICTED SHARES</w:t>
      </w:r>
      <w:r>
        <w:rPr>
          <w:rFonts w:ascii="Calibri;sans-serif" w:hAnsi="Calibri;sans-serif"/>
          <w:b w:val="false"/>
          <w:color w:val="000000"/>
          <w:sz w:val="22"/>
        </w:rPr>
        <w:t xml:space="preserve">. </w:t>
      </w:r>
    </w:p>
    <w:p>
      <w:pPr>
        <w:pStyle w:val="TextBody"/>
        <w:bidi w:val="0"/>
        <w:spacing w:lineRule="auto" w:line="288" w:before="0" w:after="0"/>
        <w:ind w:left="0" w:right="0" w:firstLine="400"/>
        <w:jc w:val="left"/>
        <w:rPr/>
      </w:pPr>
      <w:r>
        <w:rPr>
          <w:rFonts w:ascii="Calibri;sans-serif" w:hAnsi="Calibri;sans-serif"/>
          <w:b/>
          <w:color w:val="000000"/>
          <w:sz w:val="22"/>
        </w:rPr>
        <w:t>7.1 Restricted Stock Agreement</w:t>
      </w:r>
      <w:r>
        <w:rPr>
          <w:rFonts w:ascii="Calibri;sans-serif" w:hAnsi="Calibri;sans-serif"/>
          <w:b w:val="false"/>
          <w:color w:val="000000"/>
          <w:sz w:val="22"/>
        </w:rPr>
        <w:t xml:space="preserve">. Each grant of Restricted Shares under the Plan shall be evidenced by a Restricted Stock Agreement between the recipient and the Company. Such Restricted Shares shall be subject to all applicable terms of the Plan and may be subject to any other terms that are not inconsistent with the Plan. The provisions of the various Restricted Stock Agreements entered into under the Plan need not be identical. </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pPr>
      <w:r>
        <w:rPr>
          <w:rFonts w:ascii="Calibri;sans-serif" w:hAnsi="Calibri;sans-serif"/>
          <w:b/>
          <w:color w:val="000000"/>
          <w:sz w:val="22"/>
        </w:rPr>
        <w:t>7.2 Payment for Awards</w:t>
      </w:r>
      <w:r>
        <w:rPr>
          <w:rFonts w:ascii="Calibri;sans-serif" w:hAnsi="Calibri;sans-serif"/>
          <w:b w:val="false"/>
          <w:color w:val="000000"/>
          <w:sz w:val="22"/>
        </w:rPr>
        <w:t xml:space="preserve">. Restricted Shares may be sold or awarded under the Plan for such consideration as the Administrator may determine, including (without limitation) cash, cash equivalents, property, cancellation of other equity awards, full-recourse promissory notes, past services and future services, and such other methods of payment as are permitted by applicable law. </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pPr>
      <w:r>
        <w:rPr>
          <w:rFonts w:ascii="Calibri;sans-serif" w:hAnsi="Calibri;sans-serif"/>
          <w:b/>
          <w:color w:val="000000"/>
          <w:sz w:val="22"/>
        </w:rPr>
        <w:t>7.3 Vesting Conditions</w:t>
      </w:r>
      <w:r>
        <w:rPr>
          <w:rFonts w:ascii="Calibri;sans-serif" w:hAnsi="Calibri;sans-serif"/>
          <w:b w:val="false"/>
          <w:color w:val="000000"/>
          <w:sz w:val="22"/>
        </w:rPr>
        <w:t xml:space="preserve">. Each Award of Restricted Shares shall be subject to vesting and/or other conditions as the Administrator may determine; provided that, the Restricted Shares will not vest prior to the holder completing at least one year of Service following the grant of such Award. Notwithstanding the foregoing, a Restricted Stock Agreement may provide for accelerated exercisability in the event of the holder’s death or disability. Vesting shall occur, in full or in installments, upon satisfaction of the conditions specified in the Restricted Stock Agreement. Such conditions, at the Administrator’s discretion, may include one or more Performance Goals. </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pPr>
      <w:r>
        <w:rPr>
          <w:rFonts w:ascii="Calibri;sans-serif" w:hAnsi="Calibri;sans-serif"/>
          <w:b/>
          <w:color w:val="000000"/>
          <w:sz w:val="22"/>
        </w:rPr>
        <w:t>7.4 Voting and Dividend Rights</w:t>
      </w:r>
      <w:r>
        <w:rPr>
          <w:rFonts w:ascii="Calibri;sans-serif" w:hAnsi="Calibri;sans-serif"/>
          <w:b w:val="false"/>
          <w:color w:val="000000"/>
          <w:sz w:val="22"/>
        </w:rPr>
        <w:t xml:space="preserve">. The holders of Restricted Shares awarded under the Plan shall have the same voting, dividend and other rights as the Company’s other stockholders, unless the Administrator otherwise provides. A Restricted Stock Agreement, however, shall require that any cash dividends paid on Restricted Shares (a) be accumulated and paid when such Restricted Shares vest, or (b) be invested in additional Restricted Shares. Such additional Restricted Shares shall be subject to the same conditions and restrictions as the shares subject to the Stock Award with respect to which the dividends were paid. If any dividends or other distributions are paid in Common Shares, such Common Shares shall be subject to the same restrictions on transferability, vesting conditions and forfeitability as the Restricted Shares with respect to which they were paid. </w:t>
      </w:r>
    </w:p>
    <w:p>
      <w:pPr>
        <w:pStyle w:val="TextBody"/>
        <w:bidi w:val="0"/>
        <w:spacing w:before="0" w:after="0"/>
        <w:ind w:left="0" w:right="0" w:firstLine="400"/>
        <w:jc w:val="left"/>
        <w:rPr/>
      </w:pPr>
      <w:r>
        <w:rPr/>
      </w:r>
    </w:p>
    <w:p>
      <w:pPr>
        <w:pStyle w:val="TextBody"/>
        <w:bidi w:val="0"/>
        <w:spacing w:lineRule="auto" w:line="288"/>
        <w:jc w:val="left"/>
        <w:rPr/>
      </w:pPr>
      <w:r>
        <w:rPr>
          <w:rFonts w:ascii="Calibri;sans-serif" w:hAnsi="Calibri;sans-serif"/>
          <w:b/>
          <w:color w:val="000000"/>
          <w:sz w:val="22"/>
        </w:rPr>
        <w:t>ARTICLE 8. STOCK UNITS</w:t>
      </w:r>
      <w:r>
        <w:rPr>
          <w:rFonts w:ascii="Calibri;sans-serif" w:hAnsi="Calibri;sans-serif"/>
          <w:b w:val="false"/>
          <w:color w:val="000000"/>
          <w:sz w:val="22"/>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175260"/>
                <wp:effectExtent l="0" t="0" r="0" b="0"/>
                <wp:wrapNone/>
                <wp:docPr id="215" name="Frame2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400"/>
        <w:jc w:val="left"/>
        <w:rPr/>
      </w:pPr>
      <w:r>
        <w:rPr>
          <w:rFonts w:ascii="Calibri;sans-serif" w:hAnsi="Calibri;sans-serif"/>
          <w:b/>
          <w:color w:val="000000"/>
          <w:sz w:val="22"/>
        </w:rPr>
        <w:t>8.1 Stock Unit Agreement</w:t>
      </w:r>
      <w:r>
        <w:rPr>
          <w:rFonts w:ascii="Calibri;sans-serif" w:hAnsi="Calibri;sans-serif"/>
          <w:b w:val="false"/>
          <w:color w:val="000000"/>
          <w:sz w:val="22"/>
        </w:rPr>
        <w:t xml:space="preserve">. Each grant of Stock Units under the Plan shall be evidenced by a Stock Unit Agreement between the recipient and the Company. Such Stock Units shall be subject to all applicable terms of the Plan and may be subject to any other terms that are not inconsistent with the Plan. The provisions of the various Stock Unit Agreements entered into under the Plan need not be identical. </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pPr>
      <w:r>
        <w:rPr>
          <w:rFonts w:ascii="Calibri;sans-serif" w:hAnsi="Calibri;sans-serif"/>
          <w:b/>
          <w:color w:val="000000"/>
          <w:sz w:val="22"/>
        </w:rPr>
        <w:t>8.2 Payment for Awards</w:t>
      </w:r>
      <w:r>
        <w:rPr>
          <w:rFonts w:ascii="Calibri;sans-serif" w:hAnsi="Calibri;sans-serif"/>
          <w:b w:val="false"/>
          <w:color w:val="000000"/>
          <w:sz w:val="22"/>
        </w:rPr>
        <w:t xml:space="preserve">. To the extent that an Award is granted in the form of Stock Units, no cash consideration shall be required of the Award recipients. </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pPr>
      <w:r>
        <w:rPr>
          <w:rFonts w:ascii="Calibri;sans-serif" w:hAnsi="Calibri;sans-serif"/>
          <w:b/>
          <w:color w:val="000000"/>
          <w:sz w:val="22"/>
        </w:rPr>
        <w:t>8.3 Vesting Conditions</w:t>
      </w:r>
      <w:r>
        <w:rPr>
          <w:rFonts w:ascii="Calibri;sans-serif" w:hAnsi="Calibri;sans-serif"/>
          <w:b w:val="false"/>
          <w:color w:val="000000"/>
          <w:sz w:val="22"/>
        </w:rPr>
        <w:t xml:space="preserve">. Each Award of Stock Units shall be subject to vesting, as determined by the Administrator. Vesting shall occur, in full or in installments, upon satisfaction of the conditions specified in the Stock Unit Agreement; provided that no portion of the Award shall vest earlier than the first anniversary of the date on which the Award is granted. Notwithstanding the foregoing, a Stock Unit Agreement may provide for accelerated exercisability in the event of the holder’s death or disability. Such conditions, at the Administrator’s discretion, may include one or more Performance Goals. </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pPr>
      <w:r>
        <w:rPr>
          <w:rFonts w:ascii="Calibri;sans-serif" w:hAnsi="Calibri;sans-serif"/>
          <w:b/>
          <w:color w:val="000000"/>
          <w:sz w:val="22"/>
        </w:rPr>
        <w:t>8.4 Voting and Dividend Rights</w:t>
      </w:r>
      <w:r>
        <w:rPr>
          <w:rFonts w:ascii="Calibri;sans-serif" w:hAnsi="Calibri;sans-serif"/>
          <w:b w:val="false"/>
          <w:color w:val="000000"/>
          <w:sz w:val="22"/>
        </w:rPr>
        <w:t xml:space="preserve">. The holders of Stock Units shall have no voting rights. Prior to settlement or forfeiture, Stock Units awarded under the Plan may, at the Administrator’s discretion, provide for a right to dividend equivalents. Such right entitles the holder to be credited with an amount equal to all cash dividends paid on one Common Share while the Stock Unit is outstanding. Dividend equivalents shall be converted into additional Stock Units. Settlement of dividend equivalents may be made in the form of cash, in the form of Common Shares, or in a combination of both. If any dividend equivalents are paid with respect to Stock Units, then such dividend equivalents shall be subject to the same conditions, vesting schedule and restrictions as the Stock Units to which they attach. </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pPr>
      <w:r>
        <w:rPr>
          <w:rFonts w:ascii="Calibri;sans-serif" w:hAnsi="Calibri;sans-serif"/>
          <w:b/>
          <w:color w:val="000000"/>
          <w:sz w:val="22"/>
        </w:rPr>
        <w:t>8.5 Form and Time of Settlement of Stock Units</w:t>
      </w:r>
      <w:r>
        <w:rPr>
          <w:rFonts w:ascii="Calibri;sans-serif" w:hAnsi="Calibri;sans-serif"/>
          <w:b w:val="false"/>
          <w:color w:val="000000"/>
          <w:sz w:val="22"/>
        </w:rPr>
        <w:t xml:space="preserve">. Settlement of vested Stock Units may be made in the form of (a) cash, (b) Common Shares or (c) any combination of both, as determined by the Administrator. The actual number of Stock Units eligible for settlement may be larger or smaller than the number included in the original Award, based on predetermined performance factors, including Performance Goals. Methods of converting Stock Units into cash may include (without limitation) a method based on the average Fair Market Value of Common Shares over a series of trading days. Vested Stock Units shall be settled in such manner and at such time(s) as specified in the Stock Unit Agreement. Until an Award of Stock Units is settled, the number of such Stock Units shall be subject to adjustment pursuant to Article 9. </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pPr>
      <w:r>
        <w:rPr>
          <w:rFonts w:ascii="Calibri;sans-serif" w:hAnsi="Calibri;sans-serif"/>
          <w:b/>
          <w:color w:val="000000"/>
          <w:sz w:val="22"/>
        </w:rPr>
        <w:t>8.6 Death of Recipient</w:t>
      </w:r>
      <w:r>
        <w:rPr>
          <w:rFonts w:ascii="Calibri;sans-serif" w:hAnsi="Calibri;sans-serif"/>
          <w:b w:val="false"/>
          <w:color w:val="000000"/>
          <w:sz w:val="22"/>
        </w:rPr>
        <w:t xml:space="preserve">. Any Stock Units that become payable after the recipient’s death shall be distributed to the recipient’s beneficiary or beneficiaries. Each recipient of Stock Units under the Plan may designate one or more beneficiaries for this purpose by filing the prescribed form with the Company. A beneficiary designation may be changed by filing the prescribed form with the Company at any time before the Award recipient’s death. If no beneficiary was designated or if no designated beneficiary survives the Award recipient, then any Stock Units that become payable after the recipient’s death shall be distributed to the recipient’s estate. </w:t>
      </w:r>
    </w:p>
    <w:p>
      <w:pPr>
        <w:pStyle w:val="TextBody"/>
        <w:bidi w:val="0"/>
        <w:spacing w:lineRule="auto" w:line="288" w:before="0" w:after="0"/>
        <w:ind w:left="0" w:right="0" w:firstLine="400"/>
        <w:jc w:val="left"/>
        <w:rPr/>
      </w:pPr>
      <w:r>
        <w:rPr>
          <w:rFonts w:ascii="Calibri;sans-serif" w:hAnsi="Calibri;sans-serif"/>
          <w:b/>
          <w:color w:val="000000"/>
          <w:sz w:val="22"/>
        </w:rPr>
        <w:t>8.7 Modification or Assumption of Stock Units</w:t>
      </w:r>
      <w:r>
        <w:rPr>
          <w:rFonts w:ascii="Calibri;sans-serif" w:hAnsi="Calibri;sans-serif"/>
          <w:b w:val="false"/>
          <w:color w:val="000000"/>
          <w:sz w:val="22"/>
        </w:rPr>
        <w:t xml:space="preserve">. Within the limitations of the Plan, the Administrator may modify or assume outstanding stock units or may accept the cancellation of outstanding stock units (whether granted by the Company or by another issuer) in return for the grant of new Stock Units for the same or a different number of shares or in return for the grant of a different type of Award. The foregoing notwithstanding, no modification of a Stock Unit shall, without the consent of the Participant, impair his or her rights or obligations under such Stock Unit. </w:t>
      </w:r>
    </w:p>
    <w:p>
      <w:pPr>
        <w:pStyle w:val="TextBody"/>
        <w:bidi w:val="0"/>
        <w:ind w:left="0" w:right="0" w:firstLine="40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175260"/>
                <wp:effectExtent l="0" t="0" r="0" b="0"/>
                <wp:wrapNone/>
                <wp:docPr id="216" name="Frame2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400"/>
        <w:jc w:val="left"/>
        <w:rPr/>
      </w:pPr>
      <w:r>
        <w:rPr>
          <w:rFonts w:ascii="Calibri;sans-serif" w:hAnsi="Calibri;sans-serif"/>
          <w:b/>
          <w:color w:val="000000"/>
          <w:sz w:val="22"/>
        </w:rPr>
        <w:t>8.8 Creditors’ Rights</w:t>
      </w:r>
      <w:r>
        <w:rPr>
          <w:rFonts w:ascii="Calibri;sans-serif" w:hAnsi="Calibri;sans-serif"/>
          <w:b w:val="false"/>
          <w:color w:val="000000"/>
          <w:sz w:val="22"/>
        </w:rPr>
        <w:t xml:space="preserve">. A holder of Stock Units shall have no rights other than those of a general creditor of the Company. Stock Units represent an unfunded and unsecured obligation of the Company, subject to the terms and conditions of the applicable Stock Unit Agreement. </w:t>
      </w:r>
    </w:p>
    <w:p>
      <w:pPr>
        <w:pStyle w:val="TextBody"/>
        <w:bidi w:val="0"/>
        <w:spacing w:before="0" w:after="0"/>
        <w:ind w:left="0" w:right="0" w:firstLine="400"/>
        <w:jc w:val="left"/>
        <w:rPr/>
      </w:pPr>
      <w:r>
        <w:rPr/>
      </w:r>
    </w:p>
    <w:p>
      <w:pPr>
        <w:pStyle w:val="TextBody"/>
        <w:bidi w:val="0"/>
        <w:spacing w:lineRule="auto" w:line="288" w:before="0" w:after="0"/>
        <w:jc w:val="left"/>
        <w:rPr/>
      </w:pPr>
      <w:r>
        <w:rPr>
          <w:rFonts w:ascii="Calibri;sans-serif" w:hAnsi="Calibri;sans-serif"/>
          <w:b/>
          <w:color w:val="000000"/>
          <w:sz w:val="22"/>
        </w:rPr>
        <w:t>ARTICLE 9.  ADJUSTMENTS; DISSOLUTIONS AND LIQUIDATIONS; CORPORATE TRANSACTIONS</w:t>
      </w:r>
      <w:r>
        <w:rPr>
          <w:rFonts w:ascii="Calibri;sans-serif" w:hAnsi="Calibri;sans-serif"/>
          <w:b w:val="false"/>
          <w:color w:val="000000"/>
          <w:sz w:val="22"/>
        </w:rPr>
        <w:t xml:space="preserve">. </w:t>
      </w:r>
    </w:p>
    <w:p>
      <w:pPr>
        <w:pStyle w:val="TextBody"/>
        <w:bidi w:val="0"/>
        <w:spacing w:lineRule="auto" w:line="288" w:before="0" w:after="0"/>
        <w:ind w:left="0" w:right="0" w:firstLine="400"/>
        <w:jc w:val="left"/>
        <w:rPr/>
      </w:pPr>
      <w:r>
        <w:rPr>
          <w:rFonts w:ascii="Calibri;sans-serif" w:hAnsi="Calibri;sans-serif"/>
          <w:b/>
          <w:color w:val="000000"/>
          <w:sz w:val="22"/>
        </w:rPr>
        <w:t>9.1 Adjustments</w:t>
      </w:r>
      <w:r>
        <w:rPr>
          <w:rFonts w:ascii="Calibri;sans-serif" w:hAnsi="Calibri;sans-serif"/>
          <w:b w:val="false"/>
          <w:color w:val="000000"/>
          <w:sz w:val="22"/>
        </w:rPr>
        <w:t xml:space="preserve">. In the event of a subdivision of the outstanding Common Shares, a declaration of a dividend payable in Common Shares, a combination or consolidation of the outstanding Common Shares (by reclassification or otherwise) into a lesser number of Common Shares or any other increase or decrease in the number of issued Common Shares effected without receipt of consideration by the Company, proportionate adjustments shall automatically be made to the following: </w:t>
      </w:r>
    </w:p>
    <w:p>
      <w:pPr>
        <w:pStyle w:val="TextBody"/>
        <w:bidi w:val="0"/>
        <w:spacing w:lineRule="auto" w:line="288" w:before="0" w:after="0"/>
        <w:ind w:left="0" w:right="0" w:firstLine="400"/>
        <w:jc w:val="left"/>
        <w:rPr>
          <w:rFonts w:ascii="Calibri;sans-serif" w:hAnsi="Calibri;sans-serif"/>
          <w:b w:val="false"/>
          <w:color w:val="000000"/>
          <w:sz w:val="22"/>
        </w:rPr>
      </w:pPr>
      <w:r>
        <w:rPr>
          <w:rFonts w:ascii="Calibri;sans-serif" w:hAnsi="Calibri;sans-serif"/>
          <w:b w:val="false"/>
          <w:color w:val="000000"/>
          <w:sz w:val="22"/>
        </w:rPr>
        <w:t xml:space="preserve">(a) The number and kind of shares available for issuance under Article 3, including the numerical share limits in Articles 3.1 and 3.5; </w:t>
      </w:r>
    </w:p>
    <w:p>
      <w:pPr>
        <w:pStyle w:val="TextBody"/>
        <w:bidi w:val="0"/>
        <w:spacing w:lineRule="auto" w:line="288" w:before="0" w:after="0"/>
        <w:ind w:left="0" w:right="0" w:firstLine="400"/>
        <w:jc w:val="left"/>
        <w:rPr>
          <w:rFonts w:ascii="Calibri;sans-serif" w:hAnsi="Calibri;sans-serif"/>
          <w:b w:val="false"/>
          <w:color w:val="000000"/>
          <w:sz w:val="22"/>
        </w:rPr>
      </w:pPr>
      <w:r>
        <w:rPr>
          <w:rFonts w:ascii="Calibri;sans-serif" w:hAnsi="Calibri;sans-serif"/>
          <w:b w:val="false"/>
          <w:color w:val="000000"/>
          <w:sz w:val="22"/>
        </w:rPr>
        <w:t xml:space="preserve">(b) The number and kind of shares covered by each outstanding Option, SAR and Stock Unit; or </w:t>
      </w:r>
    </w:p>
    <w:p>
      <w:pPr>
        <w:pStyle w:val="TextBody"/>
        <w:bidi w:val="0"/>
        <w:spacing w:lineRule="auto" w:line="288" w:before="0" w:after="0"/>
        <w:ind w:left="0" w:right="0" w:firstLine="400"/>
        <w:jc w:val="left"/>
        <w:rPr>
          <w:rFonts w:ascii="Calibri;sans-serif" w:hAnsi="Calibri;sans-serif"/>
          <w:b w:val="false"/>
          <w:color w:val="000000"/>
          <w:sz w:val="22"/>
        </w:rPr>
      </w:pPr>
      <w:r>
        <w:rPr>
          <w:rFonts w:ascii="Calibri;sans-serif" w:hAnsi="Calibri;sans-serif"/>
          <w:b w:val="false"/>
          <w:color w:val="000000"/>
          <w:sz w:val="22"/>
        </w:rPr>
        <w:t xml:space="preserve">(c) The Exercise Price applicable to each outstanding Option and SAR, and the repurchase price, if any, applicable to Restricted Shares. </w:t>
      </w:r>
    </w:p>
    <w:p>
      <w:pPr>
        <w:pStyle w:val="TextBody"/>
        <w:bidi w:val="0"/>
        <w:spacing w:lineRule="auto" w:line="288" w:before="0" w:after="0"/>
        <w:ind w:left="0" w:right="0" w:firstLine="400"/>
        <w:jc w:val="left"/>
        <w:rPr>
          <w:rFonts w:ascii="Calibri;sans-serif" w:hAnsi="Calibri;sans-serif"/>
          <w:b w:val="false"/>
          <w:color w:val="000000"/>
          <w:sz w:val="22"/>
        </w:rPr>
      </w:pPr>
      <w:r>
        <w:rPr>
          <w:rFonts w:ascii="Calibri;sans-serif" w:hAnsi="Calibri;sans-serif"/>
          <w:b w:val="false"/>
          <w:color w:val="000000"/>
          <w:sz w:val="22"/>
        </w:rPr>
        <w:t xml:space="preserve">In the event of a declaration of an extraordinary dividend payable in a form other than Common Shares in an amount that has a material effect on the price of Common Shares, a recapitalization, a spin-off or a similar occurrence, the Administrator may make such adjustments as it, in its sole discretion, deems appropriate to the foregoing. Any adjustment in the number of shares subject to an Award under this Article 9.1 shall be rounded down to the nearest whole share, although the Administrator in its sole discretion may make a cash payment in lieu of a fractional share. Except as provided in this Article 9, a Participant shall have no rights by reason of any issuance by the Company of stock of any class or securities convertible into stock of any class, any subdivision or consolidation of shares of stock of any class, the payment of any stock dividend or any other increase or decrease in the number of shares of stock of any class. </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pPr>
      <w:r>
        <w:rPr>
          <w:rFonts w:ascii="Calibri;sans-serif" w:hAnsi="Calibri;sans-serif"/>
          <w:b/>
          <w:color w:val="000000"/>
          <w:sz w:val="22"/>
        </w:rPr>
        <w:t>9.2 Dissolution or Liquidation</w:t>
      </w:r>
      <w:r>
        <w:rPr>
          <w:rFonts w:ascii="Calibri;sans-serif" w:hAnsi="Calibri;sans-serif"/>
          <w:b w:val="false"/>
          <w:color w:val="000000"/>
          <w:sz w:val="22"/>
        </w:rPr>
        <w:t xml:space="preserve">. To the extent not previously exercised or settled, Options, SARs and Stock Units shall terminate immediately prior to the dissolution or liquidation of the Company. </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pPr>
      <w:r>
        <w:rPr>
          <w:rFonts w:ascii="Calibri;sans-serif" w:hAnsi="Calibri;sans-serif"/>
          <w:b/>
          <w:color w:val="000000"/>
          <w:sz w:val="22"/>
        </w:rPr>
        <w:t>9.3 Corporate Transactions</w:t>
      </w:r>
      <w:r>
        <w:rPr>
          <w:rFonts w:ascii="Calibri;sans-serif" w:hAnsi="Calibri;sans-serif"/>
          <w:b w:val="false"/>
          <w:color w:val="000000"/>
          <w:sz w:val="22"/>
        </w:rPr>
        <w:t xml:space="preserve">. In the event that the Company is a party to a merger, consolidation, or a Change in Control (other than one described in Article 14.6(d)), all Common Shares acquired under the Plan and all Awards outstanding on the effective date of the transaction shall be treated in the manner described in the definitive transaction agreement (or, in the event the transaction does not entail a definitive agreement to which the Company is party, in the manner determined by the Administrator (in accordance with this Article 9.3), with such determination having final and binding effect on all parties), which agreement or determination need not treat all Awards (or portions thereof) in an identical manner. The treatment specified in the transaction agreement or by the Administrator shall include one or more of the following with respect to each outstanding Award: </w:t>
      </w:r>
    </w:p>
    <w:p>
      <w:pPr>
        <w:pStyle w:val="TextBody"/>
        <w:bidi w:val="0"/>
        <w:spacing w:lineRule="auto" w:line="288" w:before="0" w:after="0"/>
        <w:ind w:left="0" w:right="0" w:firstLine="400"/>
        <w:jc w:val="left"/>
        <w:rPr>
          <w:rFonts w:ascii="Calibri;sans-serif" w:hAnsi="Calibri;sans-serif"/>
          <w:b w:val="false"/>
          <w:color w:val="000000"/>
          <w:sz w:val="22"/>
        </w:rPr>
      </w:pPr>
      <w:r>
        <w:rPr>
          <w:rFonts w:ascii="Calibri;sans-serif" w:hAnsi="Calibri;sans-serif"/>
          <w:b w:val="false"/>
          <w:color w:val="000000"/>
          <w:sz w:val="22"/>
        </w:rPr>
        <w:t xml:space="preserve">(a) The continuation of such outstanding Award by the Company (if the Company is the surviving entity); </w:t>
      </w:r>
    </w:p>
    <w:p>
      <w:pPr>
        <w:pStyle w:val="TextBody"/>
        <w:bidi w:val="0"/>
        <w:spacing w:lineRule="auto" w:line="288" w:before="0" w:after="0"/>
        <w:ind w:left="0" w:right="0" w:firstLine="400"/>
        <w:jc w:val="left"/>
        <w:rPr>
          <w:rFonts w:ascii="Calibri;sans-serif" w:hAnsi="Calibri;sans-serif"/>
          <w:b w:val="false"/>
          <w:color w:val="000000"/>
          <w:sz w:val="22"/>
        </w:rPr>
      </w:pPr>
      <w:r>
        <w:rPr>
          <w:rFonts w:ascii="Calibri;sans-serif" w:hAnsi="Calibri;sans-serif"/>
          <w:b w:val="false"/>
          <w:color w:val="000000"/>
          <w:sz w:val="22"/>
        </w:rPr>
        <w:t xml:space="preserve">(b) The assumption of such outstanding Award by the surviving entity or its parent, provided that the assumption of an Option or a SAR shall comply with applicable tax requirements; </w:t>
      </w:r>
    </w:p>
    <w:p>
      <w:pPr>
        <w:pStyle w:val="TextBody"/>
        <w:bidi w:val="0"/>
        <w:spacing w:lineRule="auto" w:line="288" w:before="0" w:after="0"/>
        <w:ind w:left="0" w:right="0" w:firstLine="400"/>
        <w:jc w:val="left"/>
        <w:rPr>
          <w:rFonts w:ascii="Calibri;sans-serif" w:hAnsi="Calibri;sans-serif"/>
          <w:b w:val="false"/>
          <w:color w:val="000000"/>
          <w:sz w:val="22"/>
        </w:rPr>
      </w:pPr>
      <w:r>
        <w:rPr>
          <w:rFonts w:ascii="Calibri;sans-serif" w:hAnsi="Calibri;sans-serif"/>
          <w:b w:val="false"/>
          <w:color w:val="000000"/>
          <w:sz w:val="22"/>
        </w:rPr>
        <w:t xml:space="preserve">(c) The substitution by the surviving entity or its parent of an equivalent award for such outstanding Award (including, but not limited to, an award to acquire the same consideration paid to the holders of Common Shares in the transaction), provided that the substitution of an Option or a SAR shall comply with applicable tax requirements; </w:t>
      </w:r>
    </w:p>
    <w:p>
      <w:pPr>
        <w:pStyle w:val="TextBody"/>
        <w:bidi w:val="0"/>
        <w:spacing w:lineRule="auto" w:line="288"/>
        <w:ind w:left="0" w:right="0" w:firstLine="400"/>
        <w:jc w:val="left"/>
        <w:rPr>
          <w:rFonts w:ascii="Calibri;sans-serif" w:hAnsi="Calibri;sans-serif"/>
          <w:b w:val="false"/>
          <w:color w:val="000000"/>
          <w:sz w:val="22"/>
        </w:rPr>
      </w:pPr>
      <w:r>
        <w:rPr>
          <w:rFonts w:ascii="Calibri;sans-serif" w:hAnsi="Calibri;sans-serif"/>
          <w:b w:val="false"/>
          <w:color w:val="000000"/>
          <w:sz w:val="22"/>
        </w:rPr>
        <w:t xml:space="preserve">(d) If outstanding Awards, Options and SARs are not assumed, or equivalent awards are not substituted, by the surviving entity or its parent, then full exercisability and full vesting (with respect to performance vested Awards, Options or SARs, assuming the achievement of the maximum performance </w:t>
      </w:r>
    </w:p>
    <w:p>
      <w:pPr>
        <w:pStyle w:val="TextBody"/>
        <w:bidi w:val="0"/>
        <w:spacing w:before="0" w:after="0"/>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175260"/>
                <wp:effectExtent l="0" t="0" r="0" b="0"/>
                <wp:wrapNone/>
                <wp:docPr id="217" name="Frame2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 xml:space="preserve">targets thereunder) of the Common Shares subject to such Awards, Options and SARs, followed by the cancellation of such Awards, Options and SARs. The full exercisability of such Awards, Options and SARs and full vesting of such Common Shares maybe contingent on the closing of such transaction. The Optionees shall be able to exercise such Options and SARs during a period of not less than five full business days preceding the closing date of such transaction, unless (i) a shorter period is required to permit a timely closing of such merger, consolidation or Change in Control and (ii) such shorter period still offers the Optionees a reasonable opportunity to exercise such Options and SARs. Any exercise of such Options and SARs during such period maybe contingent on the closing of such transaction; </w:t>
      </w:r>
    </w:p>
    <w:p>
      <w:pPr>
        <w:pStyle w:val="TextBody"/>
        <w:bidi w:val="0"/>
        <w:spacing w:lineRule="auto" w:line="288" w:before="0" w:after="0"/>
        <w:ind w:left="0" w:right="0" w:firstLine="400"/>
        <w:jc w:val="left"/>
        <w:rPr/>
      </w:pPr>
      <w:r>
        <w:rPr>
          <w:rFonts w:ascii="Calibri;sans-serif" w:hAnsi="Calibri;sans-serif"/>
          <w:b w:val="false"/>
          <w:color w:val="000000"/>
          <w:sz w:val="22"/>
        </w:rPr>
        <w:t>(e) The cancellation of such Award and a payment to the Participant with respect to each share subject to the Award equal to the excess of (A) the value, as determined by the Administrator in its absolute discretion, of the property (including cash) received by the holder of a Common Share as a result of the transaction, over (if applicable) (B) the per-share Exercise Price of such Award (such excess, if any, the “</w:t>
      </w:r>
      <w:r>
        <w:rPr>
          <w:rFonts w:ascii="Calibri;sans-serif" w:hAnsi="Calibri;sans-serif"/>
          <w:b/>
          <w:color w:val="000000"/>
          <w:sz w:val="22"/>
        </w:rPr>
        <w:t>Spread</w:t>
      </w:r>
      <w:r>
        <w:rPr>
          <w:color w:val="000000"/>
        </w:rPr>
        <w:t>”</w:t>
      </w:r>
      <w:r>
        <w:rPr>
          <w:rFonts w:ascii="Calibri;sans-serif" w:hAnsi="Calibri;sans-serif"/>
          <w:b w:val="false"/>
          <w:color w:val="000000"/>
          <w:sz w:val="22"/>
        </w:rPr>
        <w:t xml:space="preserve">). Such payment may be made in installments and may be deferred until the date or dates when such Award would have become exercisable or the Common Shares subject to such Award would have vested. Such payment may be subject to vesting based on the Participant’s continuing Service, provided that the vesting schedule shall not be less favorable to the Participant than the schedule under which such Award would have become exercisable or such Common Shares subject to such Award would have vested. Such payment shall be made in the form of cash, cash equivalents, or securities of the surviving entity or its parent having a value equal to the Spread. In addition, any escrow, holdback, earn-out or similar provisions in the transaction agreement may apply to such payment to the same extent and in the same manner as such provisions apply to the holders of Common Shares, but only to the extent the application of such provisions does not adversely affect the status of the Award as exempt from Code Section 409A. If the Spread applicable to an Award (whether or not vested) is zero or a negative number, then the Award may be cancelled without making a payment to the Participant. In the event that a Stock Unit or other Award is subject to Code Section 409A, the payment described in this clause (e) shall be made on the settlement date specified in the applicable Stock Unit Agreement, provided that settlement may be accelerated in accordance with Treasury Regulation Section 1.409A-3(j)(4). For purposes of this Subsection (e), the Fair Market Value of any security shall be determined without regard to any vesting conditions that may apply to such security; or </w:t>
      </w:r>
    </w:p>
    <w:p>
      <w:pPr>
        <w:pStyle w:val="TextBody"/>
        <w:bidi w:val="0"/>
        <w:spacing w:lineRule="auto" w:line="288" w:before="0" w:after="0"/>
        <w:ind w:left="0" w:right="0" w:firstLine="400"/>
        <w:jc w:val="left"/>
        <w:rPr>
          <w:rFonts w:ascii="Calibri;sans-serif" w:hAnsi="Calibri;sans-serif"/>
          <w:b w:val="false"/>
          <w:color w:val="000000"/>
          <w:sz w:val="22"/>
        </w:rPr>
      </w:pPr>
      <w:r>
        <w:rPr>
          <w:rFonts w:ascii="Calibri;sans-serif" w:hAnsi="Calibri;sans-serif"/>
          <w:b w:val="false"/>
          <w:color w:val="000000"/>
          <w:sz w:val="22"/>
        </w:rPr>
        <w:t xml:space="preserve">(f) The assignment of any reacquisition or repurchase rights held by the Company in respect of an Award of Restricted Shares to the surviving entity or its parent, with corresponding proportionate adjustments made to the price per share to be paid upon exercise of any such reacquisition or repurchase rights. </w:t>
      </w:r>
    </w:p>
    <w:p>
      <w:pPr>
        <w:pStyle w:val="TextBody"/>
        <w:bidi w:val="0"/>
        <w:spacing w:lineRule="auto" w:line="288" w:before="0" w:after="0"/>
        <w:ind w:left="0" w:right="0" w:firstLine="400"/>
        <w:jc w:val="left"/>
        <w:rPr>
          <w:rFonts w:ascii="Calibri;sans-serif" w:hAnsi="Calibri;sans-serif"/>
          <w:b w:val="false"/>
          <w:color w:val="000000"/>
          <w:sz w:val="22"/>
        </w:rPr>
      </w:pPr>
      <w:r>
        <w:rPr>
          <w:rFonts w:ascii="Calibri;sans-serif" w:hAnsi="Calibri;sans-serif"/>
          <w:b w:val="false"/>
          <w:color w:val="000000"/>
          <w:sz w:val="22"/>
        </w:rPr>
        <w:t xml:space="preserve">For avoidance of doubt, the Administrator shall have the discretion to provide for the acceleration of vesting upon the occurrence of a Change in Control in the event of an involuntary termination prior to or following the Change in Control, whether or not the Award is to be assumed or replaced in the transaction, or in connection with a termination of the Participant’s Service following a transaction. </w:t>
      </w:r>
    </w:p>
    <w:p>
      <w:pPr>
        <w:pStyle w:val="TextBody"/>
        <w:bidi w:val="0"/>
        <w:spacing w:lineRule="auto" w:line="288" w:before="0" w:after="0"/>
        <w:ind w:left="0" w:right="0" w:firstLine="400"/>
        <w:jc w:val="left"/>
        <w:rPr>
          <w:rFonts w:ascii="Calibri;sans-serif" w:hAnsi="Calibri;sans-serif"/>
          <w:b w:val="false"/>
          <w:color w:val="000000"/>
          <w:sz w:val="22"/>
        </w:rPr>
      </w:pPr>
      <w:r>
        <w:rPr>
          <w:rFonts w:ascii="Calibri;sans-serif" w:hAnsi="Calibri;sans-serif"/>
          <w:b w:val="false"/>
          <w:color w:val="000000"/>
          <w:sz w:val="22"/>
        </w:rPr>
        <w:t xml:space="preserve">Any action taken under this Article 9.3 shall either preserve an Award’s status as exempt from Code Section 409A or comply with Code Section 409A. </w:t>
      </w:r>
    </w:p>
    <w:p>
      <w:pPr>
        <w:pStyle w:val="TextBody"/>
        <w:bidi w:val="0"/>
        <w:spacing w:before="0" w:after="0"/>
        <w:ind w:left="0" w:right="0" w:firstLine="400"/>
        <w:jc w:val="left"/>
        <w:rPr/>
      </w:pPr>
      <w:r>
        <w:rPr/>
      </w:r>
    </w:p>
    <w:p>
      <w:pPr>
        <w:pStyle w:val="TextBody"/>
        <w:bidi w:val="0"/>
        <w:spacing w:lineRule="auto" w:line="288" w:before="0" w:after="0"/>
        <w:jc w:val="left"/>
        <w:rPr/>
      </w:pPr>
      <w:r>
        <w:rPr>
          <w:rFonts w:ascii="Calibri;sans-serif" w:hAnsi="Calibri;sans-serif"/>
          <w:b/>
          <w:color w:val="000000"/>
          <w:sz w:val="22"/>
        </w:rPr>
        <w:t>ARTICLE 10. OTHER AWARDS</w:t>
      </w:r>
      <w:r>
        <w:rPr>
          <w:rFonts w:ascii="Calibri;sans-serif" w:hAnsi="Calibri;sans-serif"/>
          <w:b w:val="false"/>
          <w:color w:val="000000"/>
          <w:sz w:val="22"/>
        </w:rPr>
        <w:t xml:space="preserve">. </w:t>
      </w:r>
    </w:p>
    <w:p>
      <w:pPr>
        <w:pStyle w:val="TextBody"/>
        <w:bidi w:val="0"/>
        <w:spacing w:lineRule="auto" w:line="288"/>
        <w:ind w:left="0" w:right="0" w:firstLine="400"/>
        <w:jc w:val="left"/>
        <w:rPr/>
      </w:pPr>
      <w:r>
        <w:rPr>
          <w:rFonts w:ascii="Calibri;sans-serif" w:hAnsi="Calibri;sans-serif"/>
          <w:b/>
          <w:color w:val="000000"/>
          <w:sz w:val="22"/>
        </w:rPr>
        <w:t>10.1 Performance Cash Awards</w:t>
      </w:r>
      <w:r>
        <w:rPr>
          <w:rFonts w:ascii="Calibri;sans-serif" w:hAnsi="Calibri;sans-serif"/>
          <w:b w:val="false"/>
          <w:color w:val="000000"/>
          <w:sz w:val="22"/>
        </w:rPr>
        <w:t xml:space="preserve">. A Performance Cash Award is a cash award that may be granted subject to the attainment of specified Performance Goals during a Performance Period. A Performance Cash Award may also require the completion of a specified period of continuous Service. The length of the Performance Period, the Performance Goals to be attained during the Performance Period, and the degree to which the Performance Goals have been attained shall be determined conclusively by the Administrator. Each Performance Cash Award shall be set forth in a written agreement or in a resolution duly adopted by the Administrator which shall contain provisions determined by the Administrator and not inconsistent with the Plan. The terms of various Performance Cash Awards need not be identical. </w:t>
      </w:r>
    </w:p>
    <w:p>
      <w:pPr>
        <w:pStyle w:val="TextBody"/>
        <w:bidi w:val="0"/>
        <w:spacing w:before="0" w:after="0"/>
        <w:jc w:val="lef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175260"/>
                <wp:effectExtent l="0" t="0" r="0" b="0"/>
                <wp:wrapNone/>
                <wp:docPr id="218" name="Frame2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pPr>
      <w:r>
        <w:rPr>
          <w:rFonts w:ascii="Calibri;sans-serif" w:hAnsi="Calibri;sans-serif"/>
          <w:b/>
          <w:color w:val="000000"/>
          <w:sz w:val="22"/>
        </w:rPr>
        <w:t>10.2 Other Awards</w:t>
      </w:r>
      <w:r>
        <w:rPr>
          <w:rFonts w:ascii="Calibri;sans-serif" w:hAnsi="Calibri;sans-serif"/>
          <w:b w:val="false"/>
          <w:color w:val="000000"/>
          <w:sz w:val="22"/>
        </w:rPr>
        <w:t xml:space="preserve">. Subject in all events to the limitations under Article 3 above as to the number of Common Shares available for issuance this Plan, the Company may grant other forms of equity-based awards not specifically described herein and may grant awards under other plans or programs where such awards are settled in the form of Common Shares issued under this Plan; provided that such other equity-based award will not vest prior to the holder completing at least one year of Service following the grant of such award. Notwithstanding the foregoing, an award agreement may provide for accelerated exercisability in the event of the holder’s death or disability. Such Common Shares shall be treated for all purposes under the Plan like Common Shares issued in settlement of Stock Units and shall, when issued, reduce the number of Common Shares available under Article 3. </w:t>
      </w:r>
    </w:p>
    <w:p>
      <w:pPr>
        <w:pStyle w:val="TextBody"/>
        <w:bidi w:val="0"/>
        <w:spacing w:before="0" w:after="0"/>
        <w:ind w:left="0" w:right="0" w:firstLine="400"/>
        <w:jc w:val="left"/>
        <w:rPr/>
      </w:pPr>
      <w:r>
        <w:rPr/>
      </w:r>
    </w:p>
    <w:p>
      <w:pPr>
        <w:pStyle w:val="TextBody"/>
        <w:bidi w:val="0"/>
        <w:spacing w:lineRule="auto" w:line="288" w:before="0" w:after="0"/>
        <w:jc w:val="left"/>
        <w:rPr/>
      </w:pPr>
      <w:r>
        <w:rPr>
          <w:rFonts w:ascii="Calibri;sans-serif" w:hAnsi="Calibri;sans-serif"/>
          <w:b/>
          <w:color w:val="000000"/>
          <w:sz w:val="22"/>
        </w:rPr>
        <w:t>ARTICLE 11. LIMITATION ON RIGHTS</w:t>
      </w:r>
      <w:r>
        <w:rPr>
          <w:rFonts w:ascii="Calibri;sans-serif" w:hAnsi="Calibri;sans-serif"/>
          <w:b w:val="false"/>
          <w:color w:val="000000"/>
          <w:sz w:val="22"/>
        </w:rPr>
        <w:t xml:space="preserve">. </w:t>
      </w:r>
    </w:p>
    <w:p>
      <w:pPr>
        <w:pStyle w:val="TextBody"/>
        <w:bidi w:val="0"/>
        <w:spacing w:lineRule="auto" w:line="288" w:before="0" w:after="0"/>
        <w:ind w:left="0" w:right="0" w:firstLine="400"/>
        <w:jc w:val="left"/>
        <w:rPr/>
      </w:pPr>
      <w:r>
        <w:rPr>
          <w:rFonts w:ascii="Calibri;sans-serif" w:hAnsi="Calibri;sans-serif"/>
          <w:b/>
          <w:color w:val="000000"/>
          <w:sz w:val="22"/>
        </w:rPr>
        <w:t>11.1 Retention Rights</w:t>
      </w:r>
      <w:r>
        <w:rPr>
          <w:rFonts w:ascii="Calibri;sans-serif" w:hAnsi="Calibri;sans-serif"/>
          <w:b w:val="false"/>
          <w:color w:val="000000"/>
          <w:sz w:val="22"/>
        </w:rPr>
        <w:t xml:space="preserve">. Neither the Plan nor any Award granted under the Plan shall be deemed to give any individual a right to remain a Service Provider. The Company and its Parents, Subsidiaries and Affiliates reserve the right to terminate the Service of any Service Provider at any time, with or without cause, subject to applicable laws, the Company’s certificate of incorporation and by-laws and a written employment agreement (if any). </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pPr>
      <w:r>
        <w:rPr>
          <w:rFonts w:ascii="Calibri;sans-serif" w:hAnsi="Calibri;sans-serif"/>
          <w:b/>
          <w:color w:val="000000"/>
          <w:sz w:val="22"/>
        </w:rPr>
        <w:t>11.2 Stockholders’ Rights</w:t>
      </w:r>
      <w:r>
        <w:rPr>
          <w:rFonts w:ascii="Calibri;sans-serif" w:hAnsi="Calibri;sans-serif"/>
          <w:b w:val="false"/>
          <w:color w:val="000000"/>
          <w:sz w:val="22"/>
        </w:rPr>
        <w:t xml:space="preserve">. Except as set forth in Article 7.4 or 8.4 above, a Participant shall have no dividend rights, voting rights or other rights as a stockholder with respect to any Common Shares covered by his or her Award prior to the time when a stock certificate for such Common Shares is issued or, if applicable, the time when he or she becomes entitled to receive such Common Shares by filing any required notice of exercise and paying any required Exercise Price. No adjustment shall be made for cash dividends or other rights for which the record date is prior to such time, except as expressly provided in the Plan. For the avoidance of doubt, no dividends or dividend equivalents will be paid or credited to an unexercised Option or SAR. </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pPr>
      <w:r>
        <w:rPr>
          <w:rFonts w:ascii="Calibri;sans-serif" w:hAnsi="Calibri;sans-serif"/>
          <w:b/>
          <w:color w:val="000000"/>
          <w:sz w:val="22"/>
        </w:rPr>
        <w:t>11.3 Regulatory Requirements</w:t>
      </w:r>
      <w:r>
        <w:rPr>
          <w:rFonts w:ascii="Calibri;sans-serif" w:hAnsi="Calibri;sans-serif"/>
          <w:b w:val="false"/>
          <w:color w:val="000000"/>
          <w:sz w:val="22"/>
        </w:rPr>
        <w:t xml:space="preserve">. Any other provision of the Plan notwithstanding, the obligation of the Company to issue Common Shares under the Plan shall be subject to all applicable laws, rules and regulations and such approval by any regulatory body as may be required. The Company reserves the right to restrict, in whole or in part, the delivery of Common Shares pursuant to any Award prior to the satisfaction of all legal requirements relating to the issuance of such Common Shares, to their registration, qualification or listing or to an exemption from registration, qualification or listing. The inability of the Company to obtain authority from any regulatory body having jurisdiction, which authority is deemed necessary by the Company’s counsel to be necessary to the lawful issuance and sale of any Common Shares hereunder, will relieve the Company of any liability in respect of the failure to issue or sell such Common Shares as to which such requisite authority will not have been obtained. </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pPr>
      <w:r>
        <w:rPr>
          <w:rFonts w:ascii="Calibri;sans-serif" w:hAnsi="Calibri;sans-serif"/>
          <w:b/>
          <w:color w:val="000000"/>
          <w:sz w:val="22"/>
        </w:rPr>
        <w:t>11.4 Transferability of Awards</w:t>
      </w:r>
      <w:r>
        <w:rPr>
          <w:rFonts w:ascii="Calibri;sans-serif" w:hAnsi="Calibri;sans-serif"/>
          <w:b w:val="false"/>
          <w:color w:val="000000"/>
          <w:sz w:val="22"/>
        </w:rPr>
        <w:t xml:space="preserve">. The Administrator may, in its sole discretion, permit transfer of an Award in a manner consistent with applicable law. Unless otherwise determined by the Administrator, Awards shall be transferable by a Participant only by (a) beneficiary designation, (b) a will or (c) the laws of descent and distribution; provided that, in any event, an ISO may only be transferred by will or by the laws of descent and distribution and may be exercised during the lifetime of the Optionee only by the Optionee or by the Optionee’s guardian or legal representative. In no event may an Award be transferred for any consideration including (without limitation) in exchange for cash or securities. </w:t>
      </w:r>
    </w:p>
    <w:p>
      <w:pPr>
        <w:pStyle w:val="TextBody"/>
        <w:bidi w:val="0"/>
        <w:spacing w:before="0" w:after="0"/>
        <w:ind w:left="0" w:right="0" w:firstLine="400"/>
        <w:jc w:val="left"/>
        <w:rPr/>
      </w:pPr>
      <w:r>
        <w:rPr/>
      </w:r>
    </w:p>
    <w:p>
      <w:pPr>
        <w:pStyle w:val="TextBody"/>
        <w:bidi w:val="0"/>
        <w:spacing w:lineRule="auto" w:line="288"/>
        <w:ind w:left="0" w:right="0" w:firstLine="400"/>
        <w:jc w:val="left"/>
        <w:rPr/>
      </w:pPr>
      <w:r>
        <w:rPr>
          <w:rFonts w:ascii="Calibri;sans-serif" w:hAnsi="Calibri;sans-serif"/>
          <w:b/>
          <w:color w:val="000000"/>
          <w:sz w:val="22"/>
        </w:rPr>
        <w:t>11.5 Other Conditions and Restrictions on Common Shares</w:t>
      </w:r>
      <w:r>
        <w:rPr>
          <w:rFonts w:ascii="Calibri;sans-serif" w:hAnsi="Calibri;sans-serif"/>
          <w:b w:val="false"/>
          <w:color w:val="000000"/>
          <w:sz w:val="22"/>
        </w:rPr>
        <w:t xml:space="preserve">. Any Common Shares issued under the Plan shall be subject to such forfeiture conditions, rights of repurchase, rights of first refusal, other transfer restrictions and such other terms and conditions as the Administrator may determine. Such </w:t>
      </w:r>
    </w:p>
    <w:p>
      <w:pPr>
        <w:pStyle w:val="TextBody"/>
        <w:bidi w:val="0"/>
        <w:spacing w:before="0" w:after="0"/>
        <w:jc w:val="lef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175260"/>
                <wp:effectExtent l="0" t="0" r="0" b="0"/>
                <wp:wrapNone/>
                <wp:docPr id="219" name="Frame2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 xml:space="preserve">conditions and restrictions shall be set forth in the applicable Award Agreement and shall apply in addition to any restrictions that may apply to holders of Common Shares generally. In addition, Common Shares issued under the Plan shall be subject to such conditions and restrictions imposed either by applicable law or by Company policy, as adopted from time to time, designed to ensure compliance with applicable law or laws with which the Company determines in its sole discretion to comply including in order to maintain any statutory, regulatory or tax advantage. </w:t>
      </w:r>
    </w:p>
    <w:p>
      <w:pPr>
        <w:pStyle w:val="TextBody"/>
        <w:bidi w:val="0"/>
        <w:spacing w:before="0" w:after="0"/>
        <w:ind w:left="0" w:right="0" w:firstLine="400"/>
        <w:jc w:val="left"/>
        <w:rPr/>
      </w:pPr>
      <w:r>
        <w:rPr/>
      </w:r>
    </w:p>
    <w:p>
      <w:pPr>
        <w:pStyle w:val="TextBody"/>
        <w:bidi w:val="0"/>
        <w:spacing w:lineRule="auto" w:line="288" w:before="0" w:after="0"/>
        <w:jc w:val="left"/>
        <w:rPr/>
      </w:pPr>
      <w:r>
        <w:rPr>
          <w:rFonts w:ascii="Calibri;sans-serif" w:hAnsi="Calibri;sans-serif"/>
          <w:b/>
          <w:color w:val="000000"/>
          <w:sz w:val="22"/>
        </w:rPr>
        <w:t>ARTICLE 12. TAXES</w:t>
      </w:r>
      <w:r>
        <w:rPr>
          <w:rFonts w:ascii="Calibri;sans-serif" w:hAnsi="Calibri;sans-serif"/>
          <w:b w:val="false"/>
          <w:color w:val="000000"/>
          <w:sz w:val="22"/>
        </w:rPr>
        <w:t xml:space="preserve">. </w:t>
      </w:r>
    </w:p>
    <w:p>
      <w:pPr>
        <w:pStyle w:val="TextBody"/>
        <w:bidi w:val="0"/>
        <w:spacing w:lineRule="auto" w:line="288" w:before="0" w:after="0"/>
        <w:ind w:left="0" w:right="0" w:firstLine="400"/>
        <w:jc w:val="left"/>
        <w:rPr/>
      </w:pPr>
      <w:r>
        <w:rPr>
          <w:rFonts w:ascii="Calibri;sans-serif" w:hAnsi="Calibri;sans-serif"/>
          <w:b/>
          <w:color w:val="000000"/>
          <w:sz w:val="22"/>
        </w:rPr>
        <w:t>12.1 General</w:t>
      </w:r>
      <w:r>
        <w:rPr>
          <w:rFonts w:ascii="Calibri;sans-serif" w:hAnsi="Calibri;sans-serif"/>
          <w:b w:val="false"/>
          <w:color w:val="000000"/>
          <w:sz w:val="22"/>
        </w:rPr>
        <w:t xml:space="preserve">. It is a condition to each Award under the Plan that a Participant or his or her successor shall make arrangements satisfactory to the Company for the satisfaction of any federal, state, local or foreign withholding tax obligations that arise in connection with any Award granted under the Plan. The Company shall not be required to issue any Common Shares or make any cash payment under the Plan unless such obligations are satisfied. </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pPr>
      <w:r>
        <w:rPr>
          <w:rFonts w:ascii="Calibri;sans-serif" w:hAnsi="Calibri;sans-serif"/>
          <w:b/>
          <w:color w:val="000000"/>
          <w:sz w:val="22"/>
        </w:rPr>
        <w:t>12.2 Share Withholding</w:t>
      </w:r>
      <w:r>
        <w:rPr>
          <w:rFonts w:ascii="Calibri;sans-serif" w:hAnsi="Calibri;sans-serif"/>
          <w:b w:val="false"/>
          <w:color w:val="000000"/>
          <w:sz w:val="22"/>
        </w:rPr>
        <w:t xml:space="preserve">. To the extent that applicable law subjects a Participant to tax withholding obligations, the Administrator may permit such Participant to satisfy all or part of such obligations by having the Company withhold all or a portion of any Common Shares that otherwise would be issued to him or her or by surrendering all or a portion of any Common Shares that he or she previously acquired. Such Common Shares shall be valued on the date when they are withheld or surrendered. Any payment of taxes by assigning Common Shares to the Company may be subject to restrictions including any restrictions required by SEC, accounting or other rules. </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pPr>
      <w:r>
        <w:rPr>
          <w:rFonts w:ascii="Calibri;sans-serif" w:hAnsi="Calibri;sans-serif"/>
          <w:b/>
          <w:color w:val="000000"/>
          <w:sz w:val="22"/>
        </w:rPr>
        <w:t>12.3 Section 162(m) Matters</w:t>
      </w:r>
      <w:r>
        <w:rPr>
          <w:rFonts w:ascii="Calibri;sans-serif" w:hAnsi="Calibri;sans-serif"/>
          <w:b w:val="false"/>
          <w:color w:val="000000"/>
          <w:sz w:val="22"/>
        </w:rPr>
        <w:t xml:space="preserve">. The Administrator, in its sole discretion, may determine whether an Award is intended to qualify as “performance-based compensation” within the meaning of Code Section 162(m). The Administrator may grant Awards that are based on Performance Goals but that are not intended to qualify as performance-based compensation. With respect to any Award that is intended to qualify as performance-based compensation, the Administrator shall designate the Performance Goal(s) applicable to, and the formula for calculating the amount payable under, an Award within 90 days following commencement of the applicable Performance Period (or such earlier time as may be required under Code Section 162(m)), and in any event at a time when achievement of the applicable Performance Goal(s) remains substantially uncertain. Prior to the payment of any Award that is intended to constitute performance-based compensation, the Administrator shall certify in writing whether and the extent to which the Performance Goal(s) were achieved for such Performance Period. The Administrator shall have the right to reduce or eliminate (but not to increase) the amount payable under an Award that is intended to constitute performance-based compensation. </w:t>
      </w:r>
    </w:p>
    <w:p>
      <w:pPr>
        <w:pStyle w:val="TextBody"/>
        <w:bidi w:val="0"/>
        <w:spacing w:before="0" w:after="0"/>
        <w:ind w:left="0" w:right="0" w:firstLine="400"/>
        <w:jc w:val="left"/>
        <w:rPr/>
      </w:pPr>
      <w:r>
        <w:rPr/>
      </w:r>
    </w:p>
    <w:p>
      <w:pPr>
        <w:pStyle w:val="TextBody"/>
        <w:bidi w:val="0"/>
        <w:spacing w:lineRule="auto" w:line="288"/>
        <w:ind w:left="0" w:right="0" w:firstLine="400"/>
        <w:jc w:val="left"/>
        <w:rPr/>
      </w:pPr>
      <w:r>
        <w:rPr>
          <w:rFonts w:ascii="Calibri;sans-serif" w:hAnsi="Calibri;sans-serif"/>
          <w:b/>
          <w:color w:val="000000"/>
          <w:sz w:val="22"/>
        </w:rPr>
        <w:t>12.4 Section 409A Matters</w:t>
      </w:r>
      <w:r>
        <w:rPr>
          <w:rFonts w:ascii="Calibri;sans-serif" w:hAnsi="Calibri;sans-serif"/>
          <w:b w:val="false"/>
          <w:color w:val="000000"/>
          <w:sz w:val="22"/>
        </w:rPr>
        <w:t>. Except as otherwise expressly set forth in an Award Agreement, it is intended that Awards granted under the Plan either be exempt from, or comply with, the requirements of Code Section 409A. To the extent an Award is subject to Code Section 409A (a “</w:t>
      </w:r>
      <w:r>
        <w:rPr>
          <w:rFonts w:ascii="Calibri;sans-serif" w:hAnsi="Calibri;sans-serif"/>
          <w:b/>
          <w:color w:val="000000"/>
          <w:sz w:val="22"/>
        </w:rPr>
        <w:t>409A Award</w:t>
      </w:r>
      <w:r>
        <w:rPr>
          <w:color w:val="000000"/>
        </w:rPr>
        <w:t>”</w:t>
      </w:r>
      <w:r>
        <w:rPr>
          <w:rFonts w:ascii="Calibri;sans-serif" w:hAnsi="Calibri;sans-serif"/>
          <w:b w:val="false"/>
          <w:color w:val="000000"/>
          <w:sz w:val="22"/>
        </w:rPr>
        <w:t xml:space="preserve">), the terms of the Plan, the Award and any written agreement governing the Award shall be interpreted to comply with the requirements of Code Section 409A so that the Award is not subject to additional tax or interest under Code Section 409A, unless the Administrator expressly provides otherwise. A 409A Award shall be subject to such additional rules and requirements as specified by the Administrator from time to time in order for it to comply with the requirements of Code Section 409A. In this regard, if any amount under a 409A Award is payable upon a “separation from service” to an individual who is considered a “specified employee” (as each term is defined under Code Section 409A), then no such payment shall be made prior to the date that is the earlier of (i) six months and one day after the Participant’s separation from service or (ii) the Participant’s death, but only to the extent such delay is necessary to prevent such payment from being subject to Code Section 409A(a)(1). </w:t>
      </w:r>
    </w:p>
    <w:p>
      <w:pPr>
        <w:pStyle w:val="TextBody"/>
        <w:bidi w:val="0"/>
        <w:spacing w:before="0" w:after="0"/>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175260"/>
                <wp:effectExtent l="0" t="0" r="0" b="0"/>
                <wp:wrapNone/>
                <wp:docPr id="220" name="Frame2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pPr>
      <w:r>
        <w:rPr>
          <w:rFonts w:ascii="Calibri;sans-serif" w:hAnsi="Calibri;sans-serif"/>
          <w:b/>
          <w:color w:val="000000"/>
          <w:sz w:val="22"/>
        </w:rPr>
        <w:t>12.5 Limitation on Liability</w:t>
      </w:r>
      <w:r>
        <w:rPr>
          <w:rFonts w:ascii="Calibri;sans-serif" w:hAnsi="Calibri;sans-serif"/>
          <w:b w:val="false"/>
          <w:color w:val="000000"/>
          <w:sz w:val="22"/>
        </w:rPr>
        <w:t xml:space="preserve">. Neither the Company nor any person serving as Administrator shall have any liability to a Participant in the event an Award held by the Participant fails to achieve its intended characterization under applicable tax law. </w:t>
      </w:r>
    </w:p>
    <w:p>
      <w:pPr>
        <w:pStyle w:val="TextBody"/>
        <w:bidi w:val="0"/>
        <w:spacing w:before="0" w:after="0"/>
        <w:ind w:left="0" w:right="0" w:firstLine="400"/>
        <w:jc w:val="left"/>
        <w:rPr/>
      </w:pPr>
      <w:r>
        <w:rPr/>
      </w:r>
    </w:p>
    <w:p>
      <w:pPr>
        <w:pStyle w:val="TextBody"/>
        <w:bidi w:val="0"/>
        <w:spacing w:lineRule="auto" w:line="288" w:before="0" w:after="0"/>
        <w:jc w:val="left"/>
        <w:rPr/>
      </w:pPr>
      <w:r>
        <w:rPr>
          <w:rFonts w:ascii="Calibri;sans-serif" w:hAnsi="Calibri;sans-serif"/>
          <w:b/>
          <w:color w:val="000000"/>
          <w:sz w:val="22"/>
        </w:rPr>
        <w:t>ARTICLE 13. FUTURE OF THE PLAN</w:t>
      </w:r>
      <w:r>
        <w:rPr>
          <w:rFonts w:ascii="Calibri;sans-serif" w:hAnsi="Calibri;sans-serif"/>
          <w:b w:val="false"/>
          <w:color w:val="000000"/>
          <w:sz w:val="22"/>
        </w:rPr>
        <w:t xml:space="preserve">. </w:t>
      </w:r>
    </w:p>
    <w:p>
      <w:pPr>
        <w:pStyle w:val="TextBody"/>
        <w:bidi w:val="0"/>
        <w:spacing w:lineRule="auto" w:line="288" w:before="0" w:after="0"/>
        <w:ind w:left="0" w:right="0" w:firstLine="400"/>
        <w:jc w:val="left"/>
        <w:rPr/>
      </w:pPr>
      <w:r>
        <w:rPr>
          <w:rFonts w:ascii="Calibri;sans-serif" w:hAnsi="Calibri;sans-serif"/>
          <w:b/>
          <w:color w:val="000000"/>
          <w:sz w:val="22"/>
        </w:rPr>
        <w:t>13.1 Term of the Plan</w:t>
      </w:r>
      <w:r>
        <w:rPr>
          <w:rFonts w:ascii="Calibri;sans-serif" w:hAnsi="Calibri;sans-serif"/>
          <w:b w:val="false"/>
          <w:color w:val="000000"/>
          <w:sz w:val="22"/>
        </w:rPr>
        <w:t xml:space="preserve">. The Plan, as set forth herein, shall become effective on the date of its adoption by the Board, subject to approval of the Company’s stockholders under Article 13.3 below. The Plan shall terminate automatically 10 years after the later of (a) the date when the Board adopted the Plan or (b) the date when the Board approved the most recent increase in the number of Common Shares reserved under Article 3 that was also approved by the Company’s stockholders. The Plan shall serve as the successor to the Predecessor Plan, and no further Awards may be made under the Predecessor Plan after the Effective Date. </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pPr>
      <w:r>
        <w:rPr>
          <w:rFonts w:ascii="Calibri;sans-serif" w:hAnsi="Calibri;sans-serif"/>
          <w:b/>
          <w:color w:val="000000"/>
          <w:sz w:val="22"/>
        </w:rPr>
        <w:t>13.2 Amendment or Termination</w:t>
      </w:r>
      <w:r>
        <w:rPr>
          <w:rFonts w:ascii="Calibri;sans-serif" w:hAnsi="Calibri;sans-serif"/>
          <w:b w:val="false"/>
          <w:color w:val="000000"/>
          <w:sz w:val="22"/>
        </w:rPr>
        <w:t xml:space="preserve">. The Board may, at any time and for any reason, amend or terminate the Plan. No Awards shall be granted under the Plan after the termination thereof. The termination of the Plan, or any amendment thereof, shall not affect any Award previously granted under the Plan. </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pPr>
      <w:r>
        <w:rPr>
          <w:rFonts w:ascii="Calibri;sans-serif" w:hAnsi="Calibri;sans-serif"/>
          <w:b/>
          <w:color w:val="000000"/>
          <w:sz w:val="22"/>
        </w:rPr>
        <w:t>13.3 Stockholder Approval</w:t>
      </w:r>
      <w:r>
        <w:rPr>
          <w:rFonts w:ascii="Calibri;sans-serif" w:hAnsi="Calibri;sans-serif"/>
          <w:b w:val="false"/>
          <w:color w:val="000000"/>
          <w:sz w:val="22"/>
        </w:rPr>
        <w:t xml:space="preserve">. To the extent required by applicable law, the Plan will be subject to the approval of the Company’s stockholders within 12 months of its adoption date. An amendment of the Plan shall be subject to the approval of the Company’s stockholders only to the extent required by applicable laws, regulations or rules; provided, however, that an amendment to Article 3.1, the last sentence of Article 5.6 or Article 6.7 is subject to approval of the Company’s stockholders. </w:t>
      </w:r>
    </w:p>
    <w:p>
      <w:pPr>
        <w:pStyle w:val="TextBody"/>
        <w:bidi w:val="0"/>
        <w:spacing w:before="0" w:after="0"/>
        <w:ind w:left="0" w:right="0" w:firstLine="400"/>
        <w:jc w:val="left"/>
        <w:rPr/>
      </w:pPr>
      <w:r>
        <w:rPr/>
      </w:r>
    </w:p>
    <w:p>
      <w:pPr>
        <w:pStyle w:val="TextBody"/>
        <w:bidi w:val="0"/>
        <w:spacing w:lineRule="auto" w:line="288" w:before="0" w:after="0"/>
        <w:jc w:val="left"/>
        <w:rPr/>
      </w:pPr>
      <w:r>
        <w:rPr>
          <w:rFonts w:ascii="Calibri;sans-serif" w:hAnsi="Calibri;sans-serif"/>
          <w:b/>
          <w:color w:val="000000"/>
          <w:sz w:val="22"/>
        </w:rPr>
        <w:t>ARTICLE 14. DEFINITIONS</w:t>
      </w:r>
      <w:r>
        <w:rPr>
          <w:rFonts w:ascii="Calibri;sans-serif" w:hAnsi="Calibri;sans-serif"/>
          <w:b w:val="false"/>
          <w:color w:val="000000"/>
          <w:sz w:val="22"/>
        </w:rPr>
        <w:t xml:space="preserve">. </w:t>
      </w:r>
    </w:p>
    <w:p>
      <w:pPr>
        <w:pStyle w:val="TextBody"/>
        <w:bidi w:val="0"/>
        <w:spacing w:lineRule="auto" w:line="288" w:before="0" w:after="0"/>
        <w:ind w:left="0" w:right="0" w:firstLine="400"/>
        <w:jc w:val="left"/>
        <w:rPr/>
      </w:pPr>
      <w:r>
        <w:rPr>
          <w:rFonts w:ascii="Calibri;sans-serif" w:hAnsi="Calibri;sans-serif"/>
          <w:b/>
          <w:color w:val="000000"/>
          <w:sz w:val="22"/>
        </w:rPr>
        <w:t>14.1 “Administrator”</w:t>
      </w:r>
      <w:r>
        <w:rPr>
          <w:color w:val="000000"/>
        </w:rPr>
        <w:t xml:space="preserve"> </w:t>
      </w:r>
      <w:r>
        <w:rPr>
          <w:rFonts w:ascii="Calibri;sans-serif" w:hAnsi="Calibri;sans-serif"/>
          <w:b w:val="false"/>
          <w:color w:val="000000"/>
          <w:sz w:val="22"/>
        </w:rPr>
        <w:t xml:space="preserve">means the Board or any Committee administering the Plan in accordance with Article 2. </w:t>
      </w:r>
    </w:p>
    <w:p>
      <w:pPr>
        <w:pStyle w:val="TextBody"/>
        <w:bidi w:val="0"/>
        <w:spacing w:lineRule="auto" w:line="288" w:before="0" w:after="0"/>
        <w:ind w:left="0" w:right="0" w:firstLine="400"/>
        <w:jc w:val="left"/>
        <w:rPr/>
      </w:pPr>
      <w:r>
        <w:rPr>
          <w:rFonts w:ascii="Calibri;sans-serif" w:hAnsi="Calibri;sans-serif"/>
          <w:b/>
          <w:color w:val="000000"/>
          <w:sz w:val="22"/>
        </w:rPr>
        <w:t>14.2 “Affiliate”</w:t>
      </w:r>
      <w:r>
        <w:rPr>
          <w:color w:val="000000"/>
        </w:rPr>
        <w:t xml:space="preserve"> </w:t>
      </w:r>
      <w:r>
        <w:rPr>
          <w:rFonts w:ascii="Calibri;sans-serif" w:hAnsi="Calibri;sans-serif"/>
          <w:b w:val="false"/>
          <w:color w:val="000000"/>
          <w:sz w:val="22"/>
        </w:rPr>
        <w:t xml:space="preserve">means any entity other than a Subsidiary, if the Company and/or one or more Subsidiaries own not less than 50% of such entity. </w:t>
      </w:r>
    </w:p>
    <w:p>
      <w:pPr>
        <w:pStyle w:val="TextBody"/>
        <w:bidi w:val="0"/>
        <w:spacing w:lineRule="auto" w:line="288" w:before="0" w:after="0"/>
        <w:ind w:left="0" w:right="0" w:firstLine="400"/>
        <w:jc w:val="left"/>
        <w:rPr/>
      </w:pPr>
      <w:r>
        <w:rPr>
          <w:rFonts w:ascii="Calibri;sans-serif" w:hAnsi="Calibri;sans-serif"/>
          <w:b/>
          <w:color w:val="000000"/>
          <w:sz w:val="22"/>
        </w:rPr>
        <w:t>14.3 “Award”</w:t>
      </w:r>
      <w:r>
        <w:rPr>
          <w:color w:val="000000"/>
        </w:rPr>
        <w:t xml:space="preserve"> </w:t>
      </w:r>
      <w:r>
        <w:rPr>
          <w:rFonts w:ascii="Calibri;sans-serif" w:hAnsi="Calibri;sans-serif"/>
          <w:b w:val="false"/>
          <w:color w:val="000000"/>
          <w:sz w:val="22"/>
        </w:rPr>
        <w:t xml:space="preserve">means any award granted under the Plan, including as an Option, a SAR, a Restricted Share, a Stock Unit or a Performance Cash Award. </w:t>
      </w:r>
    </w:p>
    <w:p>
      <w:pPr>
        <w:pStyle w:val="TextBody"/>
        <w:bidi w:val="0"/>
        <w:spacing w:lineRule="auto" w:line="288" w:before="0" w:after="0"/>
        <w:ind w:left="0" w:right="0" w:firstLine="400"/>
        <w:jc w:val="left"/>
        <w:rPr/>
      </w:pPr>
      <w:r>
        <w:rPr>
          <w:rFonts w:ascii="Calibri;sans-serif" w:hAnsi="Calibri;sans-serif"/>
          <w:b/>
          <w:color w:val="000000"/>
          <w:sz w:val="22"/>
        </w:rPr>
        <w:t>14.4 “Award Agreement”</w:t>
      </w:r>
      <w:r>
        <w:rPr>
          <w:color w:val="000000"/>
        </w:rPr>
        <w:t xml:space="preserve"> </w:t>
      </w:r>
      <w:r>
        <w:rPr>
          <w:rFonts w:ascii="Calibri;sans-serif" w:hAnsi="Calibri;sans-serif"/>
          <w:b w:val="false"/>
          <w:color w:val="000000"/>
          <w:sz w:val="22"/>
        </w:rPr>
        <w:t xml:space="preserve">means a Stock Option Agreement, an SAR Agreement, a Restricted Stock Agreement, a Stock Unit Agreement or such other agreement evidencing an Award granted under the Plan. </w:t>
      </w:r>
    </w:p>
    <w:p>
      <w:pPr>
        <w:pStyle w:val="TextBody"/>
        <w:bidi w:val="0"/>
        <w:spacing w:lineRule="auto" w:line="288" w:before="0" w:after="0"/>
        <w:ind w:left="0" w:right="0" w:firstLine="400"/>
        <w:jc w:val="left"/>
        <w:rPr/>
      </w:pPr>
      <w:r>
        <w:rPr>
          <w:rFonts w:ascii="Calibri;sans-serif" w:hAnsi="Calibri;sans-serif"/>
          <w:b/>
          <w:color w:val="000000"/>
          <w:sz w:val="22"/>
        </w:rPr>
        <w:t>14.5 “Board”</w:t>
      </w:r>
      <w:r>
        <w:rPr>
          <w:color w:val="000000"/>
        </w:rPr>
        <w:t xml:space="preserve"> </w:t>
      </w:r>
      <w:r>
        <w:rPr>
          <w:rFonts w:ascii="Calibri;sans-serif" w:hAnsi="Calibri;sans-serif"/>
          <w:b w:val="false"/>
          <w:color w:val="000000"/>
          <w:sz w:val="22"/>
        </w:rPr>
        <w:t xml:space="preserve">means the Company’s Board of Directors, as constituted from time to time, and where the context so requires, reference to the “Board” may refer to a Committee to whom the Board has delegated authority to administer any aspect of this Plan. </w:t>
      </w:r>
    </w:p>
    <w:p>
      <w:pPr>
        <w:pStyle w:val="TextBody"/>
        <w:bidi w:val="0"/>
        <w:spacing w:lineRule="auto" w:line="288" w:before="0" w:after="0"/>
        <w:ind w:left="0" w:right="0" w:firstLine="400"/>
        <w:jc w:val="left"/>
        <w:rPr/>
      </w:pPr>
      <w:r>
        <w:rPr>
          <w:rFonts w:ascii="Calibri;sans-serif" w:hAnsi="Calibri;sans-serif"/>
          <w:b/>
          <w:color w:val="000000"/>
          <w:sz w:val="22"/>
        </w:rPr>
        <w:t>14.6 “Change in Control”</w:t>
      </w:r>
      <w:r>
        <w:rPr>
          <w:color w:val="000000"/>
        </w:rPr>
        <w:t xml:space="preserve"> </w:t>
      </w:r>
      <w:r>
        <w:rPr>
          <w:rFonts w:ascii="Calibri;sans-serif" w:hAnsi="Calibri;sans-serif"/>
          <w:b w:val="false"/>
          <w:color w:val="000000"/>
          <w:sz w:val="22"/>
        </w:rPr>
        <w:t xml:space="preserve">means: </w:t>
      </w:r>
    </w:p>
    <w:p>
      <w:pPr>
        <w:pStyle w:val="TextBody"/>
        <w:bidi w:val="0"/>
        <w:spacing w:lineRule="auto" w:line="288" w:before="0" w:after="0"/>
        <w:ind w:left="0" w:right="0" w:firstLine="400"/>
        <w:jc w:val="left"/>
        <w:rPr>
          <w:rFonts w:ascii="Calibri;sans-serif" w:hAnsi="Calibri;sans-serif"/>
          <w:b w:val="false"/>
          <w:color w:val="000000"/>
          <w:sz w:val="22"/>
        </w:rPr>
      </w:pPr>
      <w:r>
        <w:rPr>
          <w:rFonts w:ascii="Calibri;sans-serif" w:hAnsi="Calibri;sans-serif"/>
          <w:b w:val="false"/>
          <w:color w:val="000000"/>
          <w:sz w:val="22"/>
        </w:rPr>
        <w:t xml:space="preserve">(a) Any “person” (as such term is used in Sections 13(d) and 14(d) of the Exchange Act) becomes the “beneficial owner” (as defined in Rule 13d-3 of the Exchange Act), directly or indirectly, of securities of the Company representing more than fifty percent (50%) of the total voting power represented by the Company’s then-outstanding voting securities; </w:t>
      </w:r>
    </w:p>
    <w:p>
      <w:pPr>
        <w:pStyle w:val="TextBody"/>
        <w:bidi w:val="0"/>
        <w:spacing w:lineRule="auto" w:line="288" w:before="0" w:after="0"/>
        <w:ind w:left="0" w:right="0" w:firstLine="400"/>
        <w:jc w:val="left"/>
        <w:rPr>
          <w:rFonts w:ascii="Calibri;sans-serif" w:hAnsi="Calibri;sans-serif"/>
          <w:b w:val="false"/>
          <w:color w:val="000000"/>
          <w:sz w:val="22"/>
        </w:rPr>
      </w:pPr>
      <w:r>
        <w:rPr>
          <w:rFonts w:ascii="Calibri;sans-serif" w:hAnsi="Calibri;sans-serif"/>
          <w:b w:val="false"/>
          <w:color w:val="000000"/>
          <w:sz w:val="22"/>
        </w:rPr>
        <w:t xml:space="preserve">(b) The consummation of the sale or disposition by the Company of all or substantially all of the Company’s assets; </w:t>
      </w:r>
    </w:p>
    <w:p>
      <w:pPr>
        <w:pStyle w:val="TextBody"/>
        <w:bidi w:val="0"/>
        <w:spacing w:lineRule="auto" w:line="288"/>
        <w:ind w:left="0" w:right="0" w:firstLine="400"/>
        <w:jc w:val="left"/>
        <w:rPr>
          <w:rFonts w:ascii="Calibri;sans-serif" w:hAnsi="Calibri;sans-serif"/>
          <w:b w:val="false"/>
          <w:color w:val="000000"/>
          <w:sz w:val="22"/>
        </w:rPr>
      </w:pPr>
      <w:r>
        <w:rPr>
          <w:rFonts w:ascii="Calibri;sans-serif" w:hAnsi="Calibri;sans-serif"/>
          <w:b w:val="false"/>
          <w:color w:val="000000"/>
          <w:sz w:val="22"/>
        </w:rPr>
        <w:t xml:space="preserve">(c) The consummation of a merger or consolidation of the Company with or into any other entity, other than a merger or consolidation which would result in the voting securities of the Company outstanding immediately prior thereto continuing to represent (either by remaining outstanding or by being converted into voting securities of the surviving entity or its parent) more than fifty percent (50%) </w:t>
      </w:r>
    </w:p>
    <w:p>
      <w:pPr>
        <w:pStyle w:val="TextBody"/>
        <w:bidi w:val="0"/>
        <w:spacing w:before="0" w:after="0"/>
        <w:jc w:val="lef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175260"/>
                <wp:effectExtent l="0" t="0" r="0" b="0"/>
                <wp:wrapNone/>
                <wp:docPr id="221" name="Frame2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 xml:space="preserve">of the total voting power represented by the voting securities of the Company or such surviving entity or its parent outstanding immediately after such merger or consolidation; or </w:t>
      </w:r>
    </w:p>
    <w:p>
      <w:pPr>
        <w:pStyle w:val="TextBody"/>
        <w:bidi w:val="0"/>
        <w:spacing w:lineRule="auto" w:line="288" w:before="0" w:after="0"/>
        <w:ind w:left="0" w:right="0" w:firstLine="400"/>
        <w:jc w:val="left"/>
        <w:rPr/>
      </w:pPr>
      <w:r>
        <w:rPr>
          <w:rFonts w:ascii="Calibri;sans-serif" w:hAnsi="Calibri;sans-serif"/>
          <w:b w:val="false"/>
          <w:color w:val="000000"/>
          <w:sz w:val="22"/>
        </w:rPr>
        <w:t>(d) Individuals who are members of the Board (the “</w:t>
      </w:r>
      <w:r>
        <w:rPr>
          <w:rFonts w:ascii="Calibri;sans-serif" w:hAnsi="Calibri;sans-serif"/>
          <w:b/>
          <w:color w:val="000000"/>
          <w:sz w:val="22"/>
        </w:rPr>
        <w:t>Incumbent Board</w:t>
      </w:r>
      <w:r>
        <w:rPr>
          <w:color w:val="000000"/>
        </w:rPr>
        <w:t>”</w:t>
      </w:r>
      <w:r>
        <w:rPr>
          <w:rFonts w:ascii="Calibri;sans-serif" w:hAnsi="Calibri;sans-serif"/>
          <w:b w:val="false"/>
          <w:color w:val="000000"/>
          <w:sz w:val="22"/>
        </w:rPr>
        <w:t xml:space="preserve">) cease for any reason to constitute at least a majority of the members of the Board over a period of 12 months; provided, however, that if the appointment or election (or nomination for election) of any new Board member was approved or recommended by a majority vote of the members of the Incumbent Board then still in office, such new member shall, for purposes of this Plan, be considered as a member of the Incumbent Board. </w:t>
      </w:r>
    </w:p>
    <w:p>
      <w:pPr>
        <w:pStyle w:val="TextBody"/>
        <w:bidi w:val="0"/>
        <w:spacing w:lineRule="auto" w:line="288" w:before="0" w:after="0"/>
        <w:ind w:left="0" w:right="0" w:firstLine="400"/>
        <w:jc w:val="left"/>
        <w:rPr>
          <w:rFonts w:ascii="Calibri;sans-serif" w:hAnsi="Calibri;sans-serif"/>
          <w:b w:val="false"/>
          <w:color w:val="000000"/>
          <w:sz w:val="22"/>
        </w:rPr>
      </w:pPr>
      <w:r>
        <w:rPr>
          <w:rFonts w:ascii="Calibri;sans-serif" w:hAnsi="Calibri;sans-serif"/>
          <w:b w:val="false"/>
          <w:color w:val="000000"/>
          <w:sz w:val="22"/>
        </w:rPr>
        <w:t xml:space="preserve">A transaction shall not constitute a Change in Control if its sole purpose is to change the state of the Company’s incorporation or to create a holding company that will be owned in substantially the same proportions by the persons who held the Company’s securities immediately before such transaction. In addition, if a Change in Control constitutes a payment event with respect to any Award which provides for a deferral of compensation and is subject to Code Section 409A, then notwithstanding anything to the contrary in the Plan or applicable Award Agreement the transaction with respect to such Award must also constitute a “change in control event” as defined in Treasury Regulation Section 1.409A-3(i)(5) to the extent required by Code Section 409A. </w:t>
      </w:r>
    </w:p>
    <w:p>
      <w:pPr>
        <w:pStyle w:val="TextBody"/>
        <w:bidi w:val="0"/>
        <w:spacing w:lineRule="auto" w:line="288" w:before="0" w:after="0"/>
        <w:ind w:left="0" w:right="0" w:firstLine="400"/>
        <w:jc w:val="left"/>
        <w:rPr/>
      </w:pPr>
      <w:r>
        <w:rPr>
          <w:rFonts w:ascii="Calibri;sans-serif" w:hAnsi="Calibri;sans-serif"/>
          <w:b/>
          <w:color w:val="000000"/>
          <w:sz w:val="22"/>
        </w:rPr>
        <w:t>14.7 “Code”</w:t>
      </w:r>
      <w:r>
        <w:rPr>
          <w:color w:val="000000"/>
        </w:rPr>
        <w:t xml:space="preserve"> </w:t>
      </w:r>
      <w:r>
        <w:rPr>
          <w:rFonts w:ascii="Calibri;sans-serif" w:hAnsi="Calibri;sans-serif"/>
          <w:b w:val="false"/>
          <w:color w:val="000000"/>
          <w:sz w:val="22"/>
        </w:rPr>
        <w:t xml:space="preserve">means the Internal Revenue Code of 1986, as amended. </w:t>
      </w:r>
    </w:p>
    <w:p>
      <w:pPr>
        <w:pStyle w:val="TextBody"/>
        <w:bidi w:val="0"/>
        <w:spacing w:lineRule="auto" w:line="288" w:before="0" w:after="0"/>
        <w:ind w:left="0" w:right="0" w:firstLine="400"/>
        <w:jc w:val="left"/>
        <w:rPr/>
      </w:pPr>
      <w:r>
        <w:rPr>
          <w:rFonts w:ascii="Calibri;sans-serif" w:hAnsi="Calibri;sans-serif"/>
          <w:b/>
          <w:color w:val="000000"/>
          <w:sz w:val="22"/>
        </w:rPr>
        <w:t>14.8 “Committee”</w:t>
      </w:r>
      <w:r>
        <w:rPr>
          <w:color w:val="000000"/>
        </w:rPr>
        <w:t xml:space="preserve"> </w:t>
      </w:r>
      <w:r>
        <w:rPr>
          <w:rFonts w:ascii="Calibri;sans-serif" w:hAnsi="Calibri;sans-serif"/>
          <w:b w:val="false"/>
          <w:color w:val="000000"/>
          <w:sz w:val="22"/>
        </w:rPr>
        <w:t xml:space="preserve">means a committee of one or more members of the Board, or of other individuals satisfying applicable laws, appointed by the Board to administer the Plan. </w:t>
      </w:r>
    </w:p>
    <w:p>
      <w:pPr>
        <w:pStyle w:val="TextBody"/>
        <w:bidi w:val="0"/>
        <w:spacing w:lineRule="auto" w:line="288" w:before="0" w:after="0"/>
        <w:ind w:left="0" w:right="0" w:firstLine="400"/>
        <w:jc w:val="left"/>
        <w:rPr/>
      </w:pPr>
      <w:r>
        <w:rPr>
          <w:rFonts w:ascii="Calibri;sans-serif" w:hAnsi="Calibri;sans-serif"/>
          <w:b/>
          <w:color w:val="000000"/>
          <w:sz w:val="22"/>
        </w:rPr>
        <w:t>14.9 “Common Share”</w:t>
      </w:r>
      <w:r>
        <w:rPr>
          <w:color w:val="000000"/>
        </w:rPr>
        <w:t xml:space="preserve"> </w:t>
      </w:r>
      <w:r>
        <w:rPr>
          <w:rFonts w:ascii="Calibri;sans-serif" w:hAnsi="Calibri;sans-serif"/>
          <w:b w:val="false"/>
          <w:color w:val="000000"/>
          <w:sz w:val="22"/>
        </w:rPr>
        <w:t xml:space="preserve">means one share of the common stock of the Company. </w:t>
      </w:r>
    </w:p>
    <w:p>
      <w:pPr>
        <w:pStyle w:val="TextBody"/>
        <w:bidi w:val="0"/>
        <w:spacing w:lineRule="auto" w:line="288" w:before="0" w:after="0"/>
        <w:ind w:left="0" w:right="0" w:firstLine="400"/>
        <w:jc w:val="left"/>
        <w:rPr/>
      </w:pPr>
      <w:r>
        <w:rPr>
          <w:rFonts w:ascii="Calibri;sans-serif" w:hAnsi="Calibri;sans-serif"/>
          <w:b/>
          <w:color w:val="000000"/>
          <w:sz w:val="22"/>
        </w:rPr>
        <w:t>14.10 “Company”</w:t>
      </w:r>
      <w:r>
        <w:rPr>
          <w:color w:val="000000"/>
        </w:rPr>
        <w:t xml:space="preserve"> </w:t>
      </w:r>
      <w:r>
        <w:rPr>
          <w:rFonts w:ascii="Calibri;sans-serif" w:hAnsi="Calibri;sans-serif"/>
          <w:b w:val="false"/>
          <w:color w:val="000000"/>
          <w:sz w:val="22"/>
        </w:rPr>
        <w:t xml:space="preserve">means Synchronoss Technologies, Inc., a Delaware corporation. </w:t>
      </w:r>
    </w:p>
    <w:p>
      <w:pPr>
        <w:pStyle w:val="TextBody"/>
        <w:bidi w:val="0"/>
        <w:spacing w:lineRule="auto" w:line="288" w:before="0" w:after="0"/>
        <w:ind w:left="0" w:right="0" w:firstLine="400"/>
        <w:jc w:val="left"/>
        <w:rPr/>
      </w:pPr>
      <w:r>
        <w:rPr>
          <w:rFonts w:ascii="Calibri;sans-serif" w:hAnsi="Calibri;sans-serif"/>
          <w:b/>
          <w:color w:val="000000"/>
          <w:sz w:val="22"/>
        </w:rPr>
        <w:t>14.11 “Consultant”</w:t>
      </w:r>
      <w:r>
        <w:rPr>
          <w:color w:val="000000"/>
        </w:rPr>
        <w:t xml:space="preserve"> </w:t>
      </w:r>
      <w:r>
        <w:rPr>
          <w:rFonts w:ascii="Calibri;sans-serif" w:hAnsi="Calibri;sans-serif"/>
          <w:b w:val="false"/>
          <w:color w:val="000000"/>
          <w:sz w:val="22"/>
        </w:rPr>
        <w:t xml:space="preserve">means a consultant or adviser who provides </w:t>
      </w:r>
      <w:r>
        <w:rPr>
          <w:rFonts w:ascii="Calibri;sans-serif" w:hAnsi="Calibri;sans-serif"/>
          <w:b w:val="false"/>
          <w:i/>
          <w:color w:val="000000"/>
          <w:sz w:val="22"/>
        </w:rPr>
        <w:t>bona fide</w:t>
      </w:r>
      <w:r>
        <w:rPr>
          <w:color w:val="000000"/>
        </w:rPr>
        <w:t xml:space="preserve"> </w:t>
      </w:r>
      <w:r>
        <w:rPr>
          <w:rFonts w:ascii="Calibri;sans-serif" w:hAnsi="Calibri;sans-serif"/>
          <w:b w:val="false"/>
          <w:color w:val="000000"/>
          <w:sz w:val="22"/>
        </w:rPr>
        <w:t xml:space="preserve">services to the Company, a Parent, a Subsidiary or an Affiliate as an independent contractor and who qualifies as a consultant or advisor under Instruction A.1.(a)(1) of Form S-8 under the Securities Act. </w:t>
      </w:r>
    </w:p>
    <w:p>
      <w:pPr>
        <w:pStyle w:val="TextBody"/>
        <w:bidi w:val="0"/>
        <w:spacing w:lineRule="auto" w:line="288" w:before="0" w:after="0"/>
        <w:ind w:left="0" w:right="0" w:firstLine="400"/>
        <w:jc w:val="left"/>
        <w:rPr/>
      </w:pPr>
      <w:r>
        <w:rPr>
          <w:rFonts w:ascii="Calibri;sans-serif" w:hAnsi="Calibri;sans-serif"/>
          <w:b/>
          <w:color w:val="000000"/>
          <w:sz w:val="22"/>
        </w:rPr>
        <w:t>14.12 “Effective Date”</w:t>
      </w:r>
      <w:r>
        <w:rPr>
          <w:color w:val="000000"/>
        </w:rPr>
        <w:t xml:space="preserve"> </w:t>
      </w:r>
      <w:r>
        <w:rPr>
          <w:rFonts w:ascii="Calibri;sans-serif" w:hAnsi="Calibri;sans-serif"/>
          <w:b w:val="false"/>
          <w:color w:val="000000"/>
          <w:sz w:val="22"/>
        </w:rPr>
        <w:t xml:space="preserve">means the date on which the Company’s stockholders approve the Plan. </w:t>
      </w:r>
    </w:p>
    <w:p>
      <w:pPr>
        <w:pStyle w:val="TextBody"/>
        <w:bidi w:val="0"/>
        <w:spacing w:lineRule="auto" w:line="288" w:before="0" w:after="0"/>
        <w:ind w:left="0" w:right="0" w:firstLine="400"/>
        <w:jc w:val="left"/>
        <w:rPr/>
      </w:pPr>
      <w:r>
        <w:rPr>
          <w:rFonts w:ascii="Calibri;sans-serif" w:hAnsi="Calibri;sans-serif"/>
          <w:b/>
          <w:color w:val="000000"/>
          <w:sz w:val="22"/>
        </w:rPr>
        <w:t>14.13 “Employee”</w:t>
      </w:r>
      <w:r>
        <w:rPr>
          <w:color w:val="000000"/>
        </w:rPr>
        <w:t xml:space="preserve"> </w:t>
      </w:r>
      <w:r>
        <w:rPr>
          <w:rFonts w:ascii="Calibri;sans-serif" w:hAnsi="Calibri;sans-serif"/>
          <w:b w:val="false"/>
          <w:color w:val="000000"/>
          <w:sz w:val="22"/>
        </w:rPr>
        <w:t xml:space="preserve">means a common-law employee of the Company, a Parent, a Subsidiary or an Affiliate. </w:t>
      </w:r>
    </w:p>
    <w:p>
      <w:pPr>
        <w:pStyle w:val="TextBody"/>
        <w:bidi w:val="0"/>
        <w:spacing w:lineRule="auto" w:line="288" w:before="0" w:after="0"/>
        <w:ind w:left="0" w:right="0" w:firstLine="400"/>
        <w:jc w:val="left"/>
        <w:rPr/>
      </w:pPr>
      <w:r>
        <w:rPr>
          <w:rFonts w:ascii="Calibri;sans-serif" w:hAnsi="Calibri;sans-serif"/>
          <w:b/>
          <w:color w:val="000000"/>
          <w:sz w:val="22"/>
        </w:rPr>
        <w:t>14.14 “Exchange Act”</w:t>
      </w:r>
      <w:r>
        <w:rPr>
          <w:color w:val="000000"/>
        </w:rPr>
        <w:t xml:space="preserve"> </w:t>
      </w:r>
      <w:r>
        <w:rPr>
          <w:rFonts w:ascii="Calibri;sans-serif" w:hAnsi="Calibri;sans-serif"/>
          <w:b w:val="false"/>
          <w:color w:val="000000"/>
          <w:sz w:val="22"/>
        </w:rPr>
        <w:t xml:space="preserve">means the Securities Exchange Act of 1934, as amended. </w:t>
      </w:r>
    </w:p>
    <w:p>
      <w:pPr>
        <w:pStyle w:val="TextBody"/>
        <w:bidi w:val="0"/>
        <w:spacing w:lineRule="auto" w:line="288" w:before="0" w:after="0"/>
        <w:ind w:left="0" w:right="0" w:firstLine="400"/>
        <w:jc w:val="left"/>
        <w:rPr/>
      </w:pPr>
      <w:r>
        <w:rPr>
          <w:rFonts w:ascii="Calibri;sans-serif" w:hAnsi="Calibri;sans-serif"/>
          <w:b/>
          <w:color w:val="000000"/>
          <w:sz w:val="22"/>
        </w:rPr>
        <w:t>14.15 “Exercise Price,”</w:t>
      </w:r>
      <w:r>
        <w:rPr>
          <w:color w:val="000000"/>
        </w:rPr>
        <w:t xml:space="preserve"> </w:t>
      </w:r>
      <w:r>
        <w:rPr>
          <w:rFonts w:ascii="Calibri;sans-serif" w:hAnsi="Calibri;sans-serif"/>
          <w:b w:val="false"/>
          <w:color w:val="000000"/>
          <w:sz w:val="22"/>
        </w:rPr>
        <w:t xml:space="preserve">in the case of an Option, means the amount for which one Common Share may be purchased upon exercise of such Option, as specified in the applicable Stock Option Agreement. “Exercise Price,” in the case of a SAR, means an amount, as specified in the applicable SAR Agreement, which is subtracted from the Fair Market Value of one Common Share in determining the amount payable upon exercise of such SAR. </w:t>
      </w:r>
    </w:p>
    <w:p>
      <w:pPr>
        <w:pStyle w:val="TextBody"/>
        <w:bidi w:val="0"/>
        <w:spacing w:lineRule="auto" w:line="288" w:before="0" w:after="0"/>
        <w:ind w:left="0" w:right="0" w:firstLine="400"/>
        <w:jc w:val="left"/>
        <w:rPr/>
      </w:pPr>
      <w:r>
        <w:rPr>
          <w:rFonts w:ascii="Calibri;sans-serif" w:hAnsi="Calibri;sans-serif"/>
          <w:b/>
          <w:color w:val="000000"/>
          <w:sz w:val="22"/>
        </w:rPr>
        <w:t>14.16 “Fair Market Value”</w:t>
      </w:r>
      <w:r>
        <w:rPr>
          <w:color w:val="000000"/>
        </w:rPr>
        <w:t xml:space="preserve"> </w:t>
      </w:r>
      <w:r>
        <w:rPr>
          <w:rFonts w:ascii="Calibri;sans-serif" w:hAnsi="Calibri;sans-serif"/>
          <w:b w:val="false"/>
          <w:color w:val="000000"/>
          <w:sz w:val="22"/>
        </w:rPr>
        <w:t xml:space="preserve">means the closing price of a Common Share on any established stock exchange or a national market system on the applicable date or, if the applicable date is not a trading day, on the last trading day prior to the applicable date, as reported in a source that the Administrator deems reliable. If Common Shares are not traded on an established stock exchange or a national market system, the Fair Market Value shall be determined by the Administrator in good faith on such basis as it deems appropriate. The Administrator’s determination shall be conclusive and binding on all persons. </w:t>
      </w:r>
    </w:p>
    <w:p>
      <w:pPr>
        <w:pStyle w:val="TextBody"/>
        <w:bidi w:val="0"/>
        <w:spacing w:lineRule="auto" w:line="288" w:before="0" w:after="0"/>
        <w:ind w:left="0" w:right="0" w:firstLine="400"/>
        <w:jc w:val="left"/>
        <w:rPr/>
      </w:pPr>
      <w:r>
        <w:rPr>
          <w:rFonts w:ascii="Calibri;sans-serif" w:hAnsi="Calibri;sans-serif"/>
          <w:b/>
          <w:color w:val="000000"/>
          <w:sz w:val="22"/>
        </w:rPr>
        <w:t>14.17 “IPO Date”</w:t>
      </w:r>
      <w:r>
        <w:rPr>
          <w:color w:val="000000"/>
        </w:rPr>
        <w:t xml:space="preserve"> </w:t>
      </w:r>
      <w:r>
        <w:rPr>
          <w:rFonts w:ascii="Calibri;sans-serif" w:hAnsi="Calibri;sans-serif"/>
          <w:b w:val="false"/>
          <w:color w:val="000000"/>
          <w:sz w:val="22"/>
        </w:rPr>
        <w:t xml:space="preserve">means the effective date of the registration statement filed by the Company with the Securities and Exchange Commission for its initial offering of Common Stock to the public. </w:t>
      </w:r>
    </w:p>
    <w:p>
      <w:pPr>
        <w:pStyle w:val="TextBody"/>
        <w:bidi w:val="0"/>
        <w:spacing w:lineRule="auto" w:line="288" w:before="0" w:after="0"/>
        <w:ind w:left="0" w:right="0" w:firstLine="400"/>
        <w:jc w:val="left"/>
        <w:rPr/>
      </w:pPr>
      <w:r>
        <w:rPr>
          <w:rFonts w:ascii="Calibri;sans-serif" w:hAnsi="Calibri;sans-serif"/>
          <w:b/>
          <w:color w:val="000000"/>
          <w:sz w:val="22"/>
        </w:rPr>
        <w:t>14.18 “ISO”</w:t>
      </w:r>
      <w:r>
        <w:rPr>
          <w:color w:val="000000"/>
        </w:rPr>
        <w:t xml:space="preserve"> </w:t>
      </w:r>
      <w:r>
        <w:rPr>
          <w:rFonts w:ascii="Calibri;sans-serif" w:hAnsi="Calibri;sans-serif"/>
          <w:b w:val="false"/>
          <w:color w:val="000000"/>
          <w:sz w:val="22"/>
        </w:rPr>
        <w:t xml:space="preserve">means an incentive stock option described in Code Section 422(b). </w:t>
      </w:r>
    </w:p>
    <w:p>
      <w:pPr>
        <w:pStyle w:val="TextBody"/>
        <w:bidi w:val="0"/>
        <w:spacing w:lineRule="auto" w:line="288" w:before="0" w:after="0"/>
        <w:ind w:left="0" w:right="0" w:firstLine="400"/>
        <w:jc w:val="left"/>
        <w:rPr/>
      </w:pPr>
      <w:r>
        <w:rPr>
          <w:rFonts w:ascii="Calibri;sans-serif" w:hAnsi="Calibri;sans-serif"/>
          <w:b/>
          <w:color w:val="000000"/>
          <w:sz w:val="22"/>
        </w:rPr>
        <w:t>14.19 “NSO”</w:t>
      </w:r>
      <w:r>
        <w:rPr>
          <w:color w:val="000000"/>
        </w:rPr>
        <w:t xml:space="preserve"> </w:t>
      </w:r>
      <w:r>
        <w:rPr>
          <w:rFonts w:ascii="Calibri;sans-serif" w:hAnsi="Calibri;sans-serif"/>
          <w:b w:val="false"/>
          <w:color w:val="000000"/>
          <w:sz w:val="22"/>
        </w:rPr>
        <w:t xml:space="preserve">means a stock option not described in Code Sections 422 or 423. </w:t>
      </w:r>
    </w:p>
    <w:p>
      <w:pPr>
        <w:pStyle w:val="TextBody"/>
        <w:bidi w:val="0"/>
        <w:spacing w:lineRule="auto" w:line="288" w:before="0" w:after="0"/>
        <w:ind w:left="0" w:right="0" w:firstLine="400"/>
        <w:jc w:val="left"/>
        <w:rPr/>
      </w:pPr>
      <w:r>
        <w:rPr>
          <w:rFonts w:ascii="Calibri;sans-serif" w:hAnsi="Calibri;sans-serif"/>
          <w:b/>
          <w:color w:val="000000"/>
          <w:sz w:val="22"/>
        </w:rPr>
        <w:t>14.20 “Option”</w:t>
      </w:r>
      <w:r>
        <w:rPr>
          <w:color w:val="000000"/>
        </w:rPr>
        <w:t xml:space="preserve"> </w:t>
      </w:r>
      <w:r>
        <w:rPr>
          <w:rFonts w:ascii="Calibri;sans-serif" w:hAnsi="Calibri;sans-serif"/>
          <w:b w:val="false"/>
          <w:color w:val="000000"/>
          <w:sz w:val="22"/>
        </w:rPr>
        <w:t xml:space="preserve">means an ISO or NSO granted under the Plan and entitling the holder to purchase Common Shares. </w:t>
      </w:r>
    </w:p>
    <w:p>
      <w:pPr>
        <w:pStyle w:val="TextBody"/>
        <w:bidi w:val="0"/>
        <w:spacing w:lineRule="auto" w:line="288" w:before="0" w:after="0"/>
        <w:ind w:left="0" w:right="0" w:firstLine="400"/>
        <w:jc w:val="left"/>
        <w:rPr/>
      </w:pPr>
      <w:r>
        <w:rPr>
          <w:rFonts w:ascii="Calibri;sans-serif" w:hAnsi="Calibri;sans-serif"/>
          <w:b/>
          <w:color w:val="000000"/>
          <w:sz w:val="22"/>
        </w:rPr>
        <w:t>14.21 “Optionee”</w:t>
      </w:r>
      <w:r>
        <w:rPr>
          <w:color w:val="000000"/>
        </w:rPr>
        <w:t xml:space="preserve"> </w:t>
      </w:r>
      <w:r>
        <w:rPr>
          <w:rFonts w:ascii="Calibri;sans-serif" w:hAnsi="Calibri;sans-serif"/>
          <w:b w:val="false"/>
          <w:color w:val="000000"/>
          <w:sz w:val="22"/>
        </w:rPr>
        <w:t xml:space="preserve">means an individual or estate holding an Option or SAR. </w:t>
      </w:r>
    </w:p>
    <w:p>
      <w:pPr>
        <w:pStyle w:val="TextBody"/>
        <w:bidi w:val="0"/>
        <w:spacing w:lineRule="auto" w:line="288" w:before="0" w:after="0"/>
        <w:ind w:left="0" w:right="0" w:firstLine="400"/>
        <w:jc w:val="left"/>
        <w:rPr/>
      </w:pPr>
      <w:r>
        <w:rPr>
          <w:rFonts w:ascii="Calibri;sans-serif" w:hAnsi="Calibri;sans-serif"/>
          <w:b/>
          <w:color w:val="000000"/>
          <w:sz w:val="22"/>
        </w:rPr>
        <w:t>14.22 “Outside Director”</w:t>
      </w:r>
      <w:r>
        <w:rPr>
          <w:color w:val="000000"/>
        </w:rPr>
        <w:t xml:space="preserve"> </w:t>
      </w:r>
      <w:r>
        <w:rPr>
          <w:rFonts w:ascii="Calibri;sans-serif" w:hAnsi="Calibri;sans-serif"/>
          <w:b w:val="false"/>
          <w:color w:val="000000"/>
          <w:sz w:val="22"/>
        </w:rPr>
        <w:t xml:space="preserve">means a member of the Board who is not an Employee. </w:t>
      </w:r>
    </w:p>
    <w:p>
      <w:pPr>
        <w:pStyle w:val="TextBody"/>
        <w:bidi w:val="0"/>
        <w:spacing w:lineRule="auto" w:line="288"/>
        <w:ind w:left="0" w:right="0" w:firstLine="400"/>
        <w:jc w:val="left"/>
        <w:rPr/>
      </w:pPr>
      <w:r>
        <w:rPr>
          <w:rFonts w:ascii="Calibri;sans-serif" w:hAnsi="Calibri;sans-serif"/>
          <w:b/>
          <w:color w:val="000000"/>
          <w:sz w:val="22"/>
        </w:rPr>
        <w:t>14.23 “Parent”</w:t>
      </w:r>
      <w:r>
        <w:rPr>
          <w:color w:val="000000"/>
        </w:rPr>
        <w:t xml:space="preserve"> </w:t>
      </w:r>
      <w:r>
        <w:rPr>
          <w:rFonts w:ascii="Calibri;sans-serif" w:hAnsi="Calibri;sans-serif"/>
          <w:b w:val="false"/>
          <w:color w:val="000000"/>
          <w:sz w:val="22"/>
        </w:rPr>
        <w:t xml:space="preserve">means any corporation (other than the Company) in an unbroken chain of corporations ending with the Company, if each of the corporations other than the Company owns stock </w:t>
      </w:r>
    </w:p>
    <w:p>
      <w:pPr>
        <w:pStyle w:val="TextBody"/>
        <w:bidi w:val="0"/>
        <w:spacing w:before="0" w:after="0"/>
        <w:jc w:val="lef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175260"/>
                <wp:effectExtent l="0" t="0" r="0" b="0"/>
                <wp:wrapNone/>
                <wp:docPr id="222" name="Frame2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 xml:space="preserve">possessing 50% or more of the total combined voting power of all classes of stock in one of the other corporations in such chain. A corporation that attains the status of a Parent on a date after the adoption of the Plan shall be considered a Parent commencing as of such date. </w:t>
      </w:r>
    </w:p>
    <w:p>
      <w:pPr>
        <w:pStyle w:val="TextBody"/>
        <w:bidi w:val="0"/>
        <w:spacing w:lineRule="auto" w:line="288" w:before="0" w:after="0"/>
        <w:ind w:left="0" w:right="0" w:firstLine="400"/>
        <w:jc w:val="left"/>
        <w:rPr/>
      </w:pPr>
      <w:r>
        <w:rPr>
          <w:rFonts w:ascii="Calibri;sans-serif" w:hAnsi="Calibri;sans-serif"/>
          <w:b/>
          <w:color w:val="000000"/>
          <w:sz w:val="22"/>
        </w:rPr>
        <w:t>14.24 “Participant”</w:t>
      </w:r>
      <w:r>
        <w:rPr>
          <w:color w:val="000000"/>
        </w:rPr>
        <w:t xml:space="preserve"> </w:t>
      </w:r>
      <w:r>
        <w:rPr>
          <w:rFonts w:ascii="Calibri;sans-serif" w:hAnsi="Calibri;sans-serif"/>
          <w:b w:val="false"/>
          <w:color w:val="000000"/>
          <w:sz w:val="22"/>
        </w:rPr>
        <w:t xml:space="preserve">means an individual or estate holding an Award. </w:t>
      </w:r>
    </w:p>
    <w:p>
      <w:pPr>
        <w:pStyle w:val="TextBody"/>
        <w:bidi w:val="0"/>
        <w:spacing w:lineRule="auto" w:line="288" w:before="0" w:after="0"/>
        <w:ind w:left="0" w:right="0" w:firstLine="400"/>
        <w:jc w:val="left"/>
        <w:rPr/>
      </w:pPr>
      <w:r>
        <w:rPr>
          <w:rFonts w:ascii="Calibri;sans-serif" w:hAnsi="Calibri;sans-serif"/>
          <w:b/>
          <w:color w:val="000000"/>
          <w:sz w:val="22"/>
        </w:rPr>
        <w:t>14.25 “Performance Cash Award”</w:t>
      </w:r>
      <w:r>
        <w:rPr>
          <w:color w:val="000000"/>
        </w:rPr>
        <w:t xml:space="preserve"> </w:t>
      </w:r>
      <w:r>
        <w:rPr>
          <w:rFonts w:ascii="Calibri;sans-serif" w:hAnsi="Calibri;sans-serif"/>
          <w:b w:val="false"/>
          <w:color w:val="000000"/>
          <w:sz w:val="22"/>
        </w:rPr>
        <w:t xml:space="preserve">means an award of cash granted under Article 10.1 of the Plan. </w:t>
      </w:r>
    </w:p>
    <w:p>
      <w:pPr>
        <w:pStyle w:val="TextBody"/>
        <w:bidi w:val="0"/>
        <w:spacing w:lineRule="auto" w:line="288" w:before="0" w:after="0"/>
        <w:ind w:left="0" w:right="0" w:firstLine="400"/>
        <w:jc w:val="left"/>
        <w:rPr/>
      </w:pPr>
      <w:r>
        <w:rPr>
          <w:rFonts w:ascii="Calibri;sans-serif" w:hAnsi="Calibri;sans-serif"/>
          <w:b/>
          <w:color w:val="000000"/>
          <w:sz w:val="22"/>
        </w:rPr>
        <w:t>14.26 “Performance Goal”</w:t>
      </w:r>
      <w:r>
        <w:rPr>
          <w:color w:val="000000"/>
        </w:rPr>
        <w:t xml:space="preserve"> </w:t>
      </w:r>
      <w:r>
        <w:rPr>
          <w:rFonts w:ascii="Calibri;sans-serif" w:hAnsi="Calibri;sans-serif"/>
          <w:b w:val="false"/>
          <w:color w:val="000000"/>
          <w:sz w:val="22"/>
        </w:rPr>
        <w:t xml:space="preserve">means a goal established by the Administrator for the applicable Performance Period based on one or more of the performance criteria set forth in </w:t>
      </w:r>
      <w:r>
        <w:rPr>
          <w:rFonts w:ascii="Calibri;sans-serif" w:hAnsi="Calibri;sans-serif"/>
          <w:b/>
          <w:color w:val="000000"/>
          <w:sz w:val="22"/>
        </w:rPr>
        <w:t>Appendix A</w:t>
      </w:r>
      <w:r>
        <w:rPr>
          <w:rFonts w:ascii="Calibri;sans-serif" w:hAnsi="Calibri;sans-serif"/>
          <w:b w:val="false"/>
          <w:color w:val="000000"/>
          <w:sz w:val="22"/>
        </w:rPr>
        <w:t xml:space="preserve">. Depending on the performance criteria used, a Performance Goal may be expressed in terms of overall Company performance or the performance of a business unit, division, Subsidiary, Affiliate or an individual. A Performance Goal may be measured either in absolute terms or relative to the performance of one or more comparable companies or one or more relevant indices. The Administrator may adjust the results under any performance criterion to exclude any of the following events that occurs during a Performance Period: (a) asset write-downs, (b) litigation, claims, judgments or settlements, (c) the effect of changes in tax laws, accounting principles or other laws or provisions affecting reported results, (d) accruals for reorganization and restructuring programs, (e) extraordinary, unusual or non-recurring items, (f) exchange rate effects for non-U.S. dollar denominated net sales and operating earnings, or (g) statutory adjustments to corporate tax rates; provided, however, that if an Award is intended to qualify as “performance-based compensation” within the meaning of Code Section 162(m), such adjustment(s) shall only be made to the extent consistent with Code Section 162(m). </w:t>
      </w:r>
    </w:p>
    <w:p>
      <w:pPr>
        <w:pStyle w:val="TextBody"/>
        <w:bidi w:val="0"/>
        <w:spacing w:lineRule="auto" w:line="288" w:before="0" w:after="0"/>
        <w:ind w:left="0" w:right="0" w:firstLine="400"/>
        <w:jc w:val="left"/>
        <w:rPr/>
      </w:pPr>
      <w:r>
        <w:rPr>
          <w:rFonts w:ascii="Calibri;sans-serif" w:hAnsi="Calibri;sans-serif"/>
          <w:b/>
          <w:color w:val="000000"/>
          <w:sz w:val="22"/>
        </w:rPr>
        <w:t>14.27 “Performance Period”</w:t>
      </w:r>
      <w:r>
        <w:rPr>
          <w:color w:val="000000"/>
        </w:rPr>
        <w:t xml:space="preserve"> </w:t>
      </w:r>
      <w:r>
        <w:rPr>
          <w:rFonts w:ascii="Calibri;sans-serif" w:hAnsi="Calibri;sans-serif"/>
          <w:b w:val="false"/>
          <w:color w:val="000000"/>
          <w:sz w:val="22"/>
        </w:rPr>
        <w:t xml:space="preserve">means a period of time selected by the Administrator over which the attainment of one or more Performance Goals will be measured for the purpose of determining a Participant’s right to a Performance Cash Award or an Award of Restricted Shares or Stock Units that vests based on the achievement of Performance Goals. Performance Periods may be of varying and overlapping duration, at the discretion of the Administrator. </w:t>
      </w:r>
    </w:p>
    <w:p>
      <w:pPr>
        <w:pStyle w:val="TextBody"/>
        <w:bidi w:val="0"/>
        <w:spacing w:lineRule="auto" w:line="288" w:before="0" w:after="0"/>
        <w:ind w:left="0" w:right="0" w:firstLine="400"/>
        <w:jc w:val="left"/>
        <w:rPr/>
      </w:pPr>
      <w:r>
        <w:rPr>
          <w:rFonts w:ascii="Calibri;sans-serif" w:hAnsi="Calibri;sans-serif"/>
          <w:b/>
          <w:color w:val="000000"/>
          <w:sz w:val="22"/>
        </w:rPr>
        <w:t>14.28 “Plan”</w:t>
      </w:r>
      <w:r>
        <w:rPr>
          <w:color w:val="000000"/>
        </w:rPr>
        <w:t xml:space="preserve"> </w:t>
      </w:r>
      <w:r>
        <w:rPr>
          <w:rFonts w:ascii="Calibri;sans-serif" w:hAnsi="Calibri;sans-serif"/>
          <w:b w:val="false"/>
          <w:color w:val="000000"/>
          <w:sz w:val="22"/>
        </w:rPr>
        <w:t xml:space="preserve">means this Synchronoss Technologies, Inc. 2015 Equity Incentive Plan, as amended from time to time. </w:t>
      </w:r>
    </w:p>
    <w:p>
      <w:pPr>
        <w:pStyle w:val="TextBody"/>
        <w:bidi w:val="0"/>
        <w:spacing w:lineRule="auto" w:line="288" w:before="0" w:after="0"/>
        <w:ind w:left="0" w:right="0" w:firstLine="400"/>
        <w:jc w:val="left"/>
        <w:rPr/>
      </w:pPr>
      <w:r>
        <w:rPr>
          <w:rFonts w:ascii="Calibri;sans-serif" w:hAnsi="Calibri;sans-serif"/>
          <w:b/>
          <w:color w:val="000000"/>
          <w:sz w:val="22"/>
        </w:rPr>
        <w:t>14.29 “Predecessor Plan”</w:t>
      </w:r>
      <w:r>
        <w:rPr>
          <w:color w:val="000000"/>
        </w:rPr>
        <w:t xml:space="preserve"> </w:t>
      </w:r>
      <w:r>
        <w:rPr>
          <w:rFonts w:ascii="Calibri;sans-serif" w:hAnsi="Calibri;sans-serif"/>
          <w:b w:val="false"/>
          <w:color w:val="000000"/>
          <w:sz w:val="22"/>
        </w:rPr>
        <w:t xml:space="preserve">means the Company’s 2006 Equity Incentive Plan, as amended. </w:t>
      </w:r>
    </w:p>
    <w:p>
      <w:pPr>
        <w:pStyle w:val="TextBody"/>
        <w:bidi w:val="0"/>
        <w:spacing w:lineRule="auto" w:line="288" w:before="0" w:after="0"/>
        <w:ind w:left="0" w:right="0" w:firstLine="400"/>
        <w:jc w:val="left"/>
        <w:rPr/>
      </w:pPr>
      <w:r>
        <w:rPr>
          <w:rFonts w:ascii="Calibri;sans-serif" w:hAnsi="Calibri;sans-serif"/>
          <w:b/>
          <w:color w:val="000000"/>
          <w:sz w:val="22"/>
        </w:rPr>
        <w:t>14.30 “Restricted Share”</w:t>
      </w:r>
      <w:r>
        <w:rPr>
          <w:color w:val="000000"/>
        </w:rPr>
        <w:t xml:space="preserve"> </w:t>
      </w:r>
      <w:r>
        <w:rPr>
          <w:rFonts w:ascii="Calibri;sans-serif" w:hAnsi="Calibri;sans-serif"/>
          <w:b w:val="false"/>
          <w:color w:val="000000"/>
          <w:sz w:val="22"/>
        </w:rPr>
        <w:t xml:space="preserve">means a Common Share awarded under the Plan. </w:t>
      </w:r>
    </w:p>
    <w:p>
      <w:pPr>
        <w:pStyle w:val="TextBody"/>
        <w:bidi w:val="0"/>
        <w:spacing w:lineRule="auto" w:line="288" w:before="0" w:after="0"/>
        <w:ind w:left="0" w:right="0" w:firstLine="400"/>
        <w:jc w:val="left"/>
        <w:rPr/>
      </w:pPr>
      <w:r>
        <w:rPr>
          <w:rFonts w:ascii="Calibri;sans-serif" w:hAnsi="Calibri;sans-serif"/>
          <w:b/>
          <w:color w:val="000000"/>
          <w:sz w:val="22"/>
        </w:rPr>
        <w:t>14.31  “Restricted Stock Agreement”</w:t>
      </w:r>
      <w:r>
        <w:rPr>
          <w:color w:val="000000"/>
        </w:rPr>
        <w:t xml:space="preserve"> </w:t>
      </w:r>
      <w:r>
        <w:rPr>
          <w:rFonts w:ascii="Calibri;sans-serif" w:hAnsi="Calibri;sans-serif"/>
          <w:b w:val="false"/>
          <w:color w:val="000000"/>
          <w:sz w:val="22"/>
        </w:rPr>
        <w:t xml:space="preserve">means the agreement between the Company and the recipient of a Restricted Share that contains the terms, conditions and restrictions pertaining to such Restricted Share. </w:t>
      </w:r>
    </w:p>
    <w:p>
      <w:pPr>
        <w:pStyle w:val="TextBody"/>
        <w:bidi w:val="0"/>
        <w:spacing w:lineRule="auto" w:line="288" w:before="0" w:after="0"/>
        <w:ind w:left="0" w:right="0" w:firstLine="400"/>
        <w:jc w:val="left"/>
        <w:rPr/>
      </w:pPr>
      <w:r>
        <w:rPr>
          <w:rFonts w:ascii="Calibri;sans-serif" w:hAnsi="Calibri;sans-serif"/>
          <w:b/>
          <w:color w:val="000000"/>
          <w:sz w:val="22"/>
        </w:rPr>
        <w:t>14.32 “SAR”</w:t>
      </w:r>
      <w:r>
        <w:rPr>
          <w:color w:val="000000"/>
        </w:rPr>
        <w:t xml:space="preserve"> </w:t>
      </w:r>
      <w:r>
        <w:rPr>
          <w:rFonts w:ascii="Calibri;sans-serif" w:hAnsi="Calibri;sans-serif"/>
          <w:b w:val="false"/>
          <w:color w:val="000000"/>
          <w:sz w:val="22"/>
        </w:rPr>
        <w:t xml:space="preserve">means a stock appreciation right granted under the Plan. </w:t>
      </w:r>
    </w:p>
    <w:p>
      <w:pPr>
        <w:pStyle w:val="TextBody"/>
        <w:bidi w:val="0"/>
        <w:spacing w:lineRule="auto" w:line="288" w:before="0" w:after="0"/>
        <w:ind w:left="0" w:right="0" w:firstLine="400"/>
        <w:jc w:val="left"/>
        <w:rPr/>
      </w:pPr>
      <w:r>
        <w:rPr>
          <w:rFonts w:ascii="Calibri;sans-serif" w:hAnsi="Calibri;sans-serif"/>
          <w:b/>
          <w:color w:val="000000"/>
          <w:sz w:val="22"/>
        </w:rPr>
        <w:t>14.33  “SAR Agreement”</w:t>
      </w:r>
      <w:r>
        <w:rPr>
          <w:color w:val="000000"/>
        </w:rPr>
        <w:t xml:space="preserve"> </w:t>
      </w:r>
      <w:r>
        <w:rPr>
          <w:rFonts w:ascii="Calibri;sans-serif" w:hAnsi="Calibri;sans-serif"/>
          <w:b w:val="false"/>
          <w:color w:val="000000"/>
          <w:sz w:val="22"/>
        </w:rPr>
        <w:t xml:space="preserve">means the agreement between the Company and an Optionee that contains the terms, conditions and restrictions pertaining to his or her SAR. </w:t>
      </w:r>
    </w:p>
    <w:p>
      <w:pPr>
        <w:pStyle w:val="TextBody"/>
        <w:bidi w:val="0"/>
        <w:spacing w:lineRule="auto" w:line="288" w:before="0" w:after="0"/>
        <w:ind w:left="0" w:right="0" w:firstLine="400"/>
        <w:jc w:val="left"/>
        <w:rPr/>
      </w:pPr>
      <w:r>
        <w:rPr>
          <w:rFonts w:ascii="Calibri;sans-serif" w:hAnsi="Calibri;sans-serif"/>
          <w:b/>
          <w:color w:val="000000"/>
          <w:sz w:val="22"/>
        </w:rPr>
        <w:t>14.34 “Securities Act”</w:t>
      </w:r>
      <w:r>
        <w:rPr>
          <w:color w:val="000000"/>
        </w:rPr>
        <w:t xml:space="preserve"> </w:t>
      </w:r>
      <w:r>
        <w:rPr>
          <w:rFonts w:ascii="Calibri;sans-serif" w:hAnsi="Calibri;sans-serif"/>
          <w:b w:val="false"/>
          <w:color w:val="000000"/>
          <w:sz w:val="22"/>
        </w:rPr>
        <w:t xml:space="preserve">means the Securities Act of 1933, as amended. </w:t>
      </w:r>
    </w:p>
    <w:p>
      <w:pPr>
        <w:pStyle w:val="TextBody"/>
        <w:bidi w:val="0"/>
        <w:spacing w:lineRule="auto" w:line="288" w:before="0" w:after="0"/>
        <w:ind w:left="0" w:right="0" w:firstLine="400"/>
        <w:jc w:val="left"/>
        <w:rPr/>
      </w:pPr>
      <w:r>
        <w:rPr>
          <w:rFonts w:ascii="Calibri;sans-serif" w:hAnsi="Calibri;sans-serif"/>
          <w:b/>
          <w:color w:val="000000"/>
          <w:sz w:val="22"/>
        </w:rPr>
        <w:t>14.35 “Service”</w:t>
      </w:r>
      <w:r>
        <w:rPr>
          <w:color w:val="000000"/>
        </w:rPr>
        <w:t xml:space="preserve"> </w:t>
      </w:r>
      <w:r>
        <w:rPr>
          <w:rFonts w:ascii="Calibri;sans-serif" w:hAnsi="Calibri;sans-serif"/>
          <w:b w:val="false"/>
          <w:color w:val="000000"/>
          <w:sz w:val="22"/>
        </w:rPr>
        <w:t xml:space="preserve">means service as an Employee, Outside Director or Consultant. </w:t>
      </w:r>
    </w:p>
    <w:p>
      <w:pPr>
        <w:pStyle w:val="TextBody"/>
        <w:bidi w:val="0"/>
        <w:spacing w:lineRule="auto" w:line="288" w:before="0" w:after="0"/>
        <w:ind w:left="0" w:right="0" w:firstLine="400"/>
        <w:jc w:val="left"/>
        <w:rPr/>
      </w:pPr>
      <w:r>
        <w:rPr>
          <w:rFonts w:ascii="Calibri;sans-serif" w:hAnsi="Calibri;sans-serif"/>
          <w:b/>
          <w:color w:val="000000"/>
          <w:sz w:val="22"/>
        </w:rPr>
        <w:t>14.36 “Service Provider”</w:t>
      </w:r>
      <w:r>
        <w:rPr>
          <w:color w:val="000000"/>
        </w:rPr>
        <w:t xml:space="preserve"> </w:t>
      </w:r>
      <w:r>
        <w:rPr>
          <w:rFonts w:ascii="Calibri;sans-serif" w:hAnsi="Calibri;sans-serif"/>
          <w:b w:val="false"/>
          <w:color w:val="000000"/>
          <w:sz w:val="22"/>
        </w:rPr>
        <w:t xml:space="preserve">means any individual who is an Employee, Outside Director or Consultant. </w:t>
      </w:r>
    </w:p>
    <w:p>
      <w:pPr>
        <w:pStyle w:val="TextBody"/>
        <w:bidi w:val="0"/>
        <w:spacing w:lineRule="auto" w:line="288" w:before="0" w:after="0"/>
        <w:ind w:left="0" w:right="0" w:firstLine="400"/>
        <w:jc w:val="left"/>
        <w:rPr/>
      </w:pPr>
      <w:r>
        <w:rPr>
          <w:rFonts w:ascii="Calibri;sans-serif" w:hAnsi="Calibri;sans-serif"/>
          <w:b/>
          <w:color w:val="000000"/>
          <w:sz w:val="22"/>
        </w:rPr>
        <w:t>14.37 “Stock Award”</w:t>
      </w:r>
      <w:r>
        <w:rPr>
          <w:color w:val="000000"/>
        </w:rPr>
        <w:t xml:space="preserve"> </w:t>
      </w:r>
      <w:r>
        <w:rPr>
          <w:rFonts w:ascii="Calibri;sans-serif" w:hAnsi="Calibri;sans-serif"/>
          <w:b w:val="false"/>
          <w:color w:val="000000"/>
          <w:sz w:val="22"/>
        </w:rPr>
        <w:t xml:space="preserve">means any award of an Option, a SAR, a Restricted Share or a Stock Unit under the Plan. </w:t>
      </w:r>
    </w:p>
    <w:p>
      <w:pPr>
        <w:pStyle w:val="TextBody"/>
        <w:bidi w:val="0"/>
        <w:spacing w:lineRule="auto" w:line="288" w:before="0" w:after="0"/>
        <w:ind w:left="0" w:right="0" w:firstLine="400"/>
        <w:jc w:val="left"/>
        <w:rPr/>
      </w:pPr>
      <w:r>
        <w:rPr>
          <w:rFonts w:ascii="Calibri;sans-serif" w:hAnsi="Calibri;sans-serif"/>
          <w:b/>
          <w:color w:val="000000"/>
          <w:sz w:val="22"/>
        </w:rPr>
        <w:t>14.38 “Stock Option Agreement”</w:t>
      </w:r>
      <w:r>
        <w:rPr>
          <w:color w:val="000000"/>
        </w:rPr>
        <w:t xml:space="preserve"> </w:t>
      </w:r>
      <w:r>
        <w:rPr>
          <w:rFonts w:ascii="Calibri;sans-serif" w:hAnsi="Calibri;sans-serif"/>
          <w:b w:val="false"/>
          <w:color w:val="000000"/>
          <w:sz w:val="22"/>
        </w:rPr>
        <w:t xml:space="preserve">means the agreement between the Company and an Optionee that contains the terms, conditions and restrictions pertaining to his or her Option. </w:t>
      </w:r>
    </w:p>
    <w:p>
      <w:pPr>
        <w:pStyle w:val="TextBody"/>
        <w:bidi w:val="0"/>
        <w:spacing w:lineRule="auto" w:line="288" w:before="0" w:after="0"/>
        <w:ind w:left="0" w:right="0" w:firstLine="400"/>
        <w:jc w:val="left"/>
        <w:rPr/>
      </w:pPr>
      <w:r>
        <w:rPr>
          <w:rFonts w:ascii="Calibri;sans-serif" w:hAnsi="Calibri;sans-serif"/>
          <w:b/>
          <w:color w:val="000000"/>
          <w:sz w:val="22"/>
        </w:rPr>
        <w:t>14.39 “Stock Unit”</w:t>
      </w:r>
      <w:r>
        <w:rPr>
          <w:color w:val="000000"/>
        </w:rPr>
        <w:t xml:space="preserve"> </w:t>
      </w:r>
      <w:r>
        <w:rPr>
          <w:rFonts w:ascii="Calibri;sans-serif" w:hAnsi="Calibri;sans-serif"/>
          <w:b w:val="false"/>
          <w:color w:val="000000"/>
          <w:sz w:val="22"/>
        </w:rPr>
        <w:t xml:space="preserve">means a bookkeeping entry representing the equivalent of one Common Share, as awarded under the Plan. </w:t>
      </w:r>
    </w:p>
    <w:p>
      <w:pPr>
        <w:pStyle w:val="TextBody"/>
        <w:bidi w:val="0"/>
        <w:spacing w:lineRule="auto" w:line="288" w:before="0" w:after="0"/>
        <w:ind w:left="0" w:right="0" w:firstLine="400"/>
        <w:jc w:val="left"/>
        <w:rPr/>
      </w:pPr>
      <w:r>
        <w:rPr>
          <w:rFonts w:ascii="Calibri;sans-serif" w:hAnsi="Calibri;sans-serif"/>
          <w:b/>
          <w:color w:val="000000"/>
          <w:sz w:val="22"/>
        </w:rPr>
        <w:t>14.40 “Stock Unit Agreement”</w:t>
      </w:r>
      <w:r>
        <w:rPr>
          <w:color w:val="000000"/>
        </w:rPr>
        <w:t xml:space="preserve"> </w:t>
      </w:r>
      <w:r>
        <w:rPr>
          <w:rFonts w:ascii="Calibri;sans-serif" w:hAnsi="Calibri;sans-serif"/>
          <w:b w:val="false"/>
          <w:color w:val="000000"/>
          <w:sz w:val="22"/>
        </w:rPr>
        <w:t xml:space="preserve">means the agreement between the Company and the recipient of a Stock Unit that contains the terms, conditions and restrictions pertaining to such Stock Unit. </w:t>
      </w:r>
    </w:p>
    <w:p>
      <w:pPr>
        <w:pStyle w:val="TextBody"/>
        <w:bidi w:val="0"/>
        <w:spacing w:lineRule="auto" w:line="288"/>
        <w:ind w:left="0" w:right="0" w:firstLine="400"/>
        <w:jc w:val="left"/>
        <w:rPr/>
      </w:pPr>
      <w:r>
        <w:rPr>
          <w:rFonts w:ascii="Calibri;sans-serif" w:hAnsi="Calibri;sans-serif"/>
          <w:b/>
          <w:color w:val="000000"/>
          <w:sz w:val="22"/>
        </w:rPr>
        <w:t>14.41 “Subsidiary”</w:t>
      </w:r>
      <w:r>
        <w:rPr>
          <w:color w:val="000000"/>
        </w:rPr>
        <w:t xml:space="preserve"> </w:t>
      </w:r>
      <w:r>
        <w:rPr>
          <w:rFonts w:ascii="Calibri;sans-serif" w:hAnsi="Calibri;sans-serif"/>
          <w:b w:val="false"/>
          <w:color w:val="000000"/>
          <w:sz w:val="22"/>
        </w:rPr>
        <w:t xml:space="preserve">means any corporation (other than the Company) in an unbroken chain of corporations beginning with the Company, if each of the corporations other than the last corporation in </w:t>
      </w:r>
    </w:p>
    <w:p>
      <w:pPr>
        <w:pStyle w:val="TextBody"/>
        <w:bidi w:val="0"/>
        <w:spacing w:before="0" w:after="0"/>
        <w:jc w:val="lef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175260"/>
                <wp:effectExtent l="0" t="0" r="0" b="0"/>
                <wp:wrapNone/>
                <wp:docPr id="223" name="Frame2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 xml:space="preserve">the unbroken chain owns stock possessing 50% or more of the total combined voting power of all classes of stock in one of the other corporations in such chain. A corporation that attains the status of a Subsidiary on a date after the adoption of the Plan shall be considered a Subsidiary commencing as of such date </w:t>
      </w:r>
    </w:p>
    <w:p>
      <w:pPr>
        <w:pStyle w:val="TextBody"/>
        <w:bidi w:val="0"/>
        <w:spacing w:lineRule="auto" w:line="288" w:before="0" w:after="0"/>
        <w:ind w:left="0" w:right="0" w:firstLine="400"/>
        <w:jc w:val="left"/>
        <w:rPr/>
      </w:pPr>
      <w:r>
        <w:rPr>
          <w:rFonts w:ascii="Calibri;sans-serif" w:hAnsi="Calibri;sans-serif"/>
          <w:b/>
          <w:color w:val="000000"/>
          <w:sz w:val="22"/>
        </w:rPr>
        <w:t>14.42 “Substitute Awards”</w:t>
      </w:r>
      <w:r>
        <w:rPr>
          <w:color w:val="000000"/>
        </w:rPr>
        <w:t xml:space="preserve"> </w:t>
      </w:r>
      <w:r>
        <w:rPr>
          <w:rFonts w:ascii="Calibri;sans-serif" w:hAnsi="Calibri;sans-serif"/>
          <w:b w:val="false"/>
          <w:color w:val="000000"/>
          <w:sz w:val="22"/>
        </w:rPr>
        <w:t>means Awards or Common Shares issued by the Company in assumption of, or substitution or exchange for, Awards previously granted, or the right or obligation to make future awards, in each case by a corporation acquired by the Company or any Affiliate or with which the Company or any Affiliate combines to the extent permitted by NASDAQ Marketplace Rule 5635 or any successor thereto.</w:t>
      </w:r>
    </w:p>
    <w:p>
      <w:pPr>
        <w:pStyle w:val="TextBody"/>
        <w:bidi w:val="0"/>
        <w:spacing w:before="0" w:after="1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175260"/>
                <wp:effectExtent l="0" t="0" r="0" b="0"/>
                <wp:wrapNone/>
                <wp:docPr id="224" name="Frame2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Calibri;sans-serif" w:hAnsi="Calibri;sans-serif"/>
          <w:b/>
          <w:color w:val="000000"/>
          <w:sz w:val="22"/>
        </w:rPr>
      </w:pPr>
      <w:r>
        <w:rPr>
          <w:rFonts w:ascii="Calibri;sans-serif" w:hAnsi="Calibri;sans-serif"/>
          <w:b/>
          <w:color w:val="000000"/>
          <w:sz w:val="22"/>
        </w:rPr>
        <w:t>APPENDIX A</w:t>
      </w:r>
    </w:p>
    <w:p>
      <w:pPr>
        <w:pStyle w:val="TextBody"/>
        <w:bidi w:val="0"/>
        <w:spacing w:lineRule="auto" w:line="288" w:before="0" w:after="0"/>
        <w:jc w:val="left"/>
        <w:rPr>
          <w:rFonts w:ascii="Calibri;sans-serif" w:hAnsi="Calibri;sans-serif"/>
          <w:b/>
          <w:color w:val="000000"/>
          <w:sz w:val="22"/>
        </w:rPr>
      </w:pPr>
      <w:r>
        <w:rPr>
          <w:rFonts w:ascii="Calibri;sans-serif" w:hAnsi="Calibri;sans-serif"/>
          <w:b/>
          <w:color w:val="000000"/>
          <w:sz w:val="22"/>
        </w:rPr>
        <w:t xml:space="preserve">PERFORMANCE CRITERIA </w:t>
      </w:r>
    </w:p>
    <w:p>
      <w:pPr>
        <w:pStyle w:val="TextBody"/>
        <w:bidi w:val="0"/>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 xml:space="preserve">The Administrator may establish Performance Goals derived from one or more of the following criteria, measured in accordance with GAAP or otherwise, when it makes Awards of Restricted Shares or Stock Units that vest entirely or in part on the basis of performance or when it makes Performance Cash Awards.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825"/>
        <w:gridCol w:w="1613"/>
        <w:gridCol w:w="1616"/>
        <w:gridCol w:w="109"/>
        <w:gridCol w:w="109"/>
        <w:gridCol w:w="109"/>
        <w:gridCol w:w="109"/>
        <w:gridCol w:w="109"/>
        <w:gridCol w:w="109"/>
        <w:gridCol w:w="1405"/>
        <w:gridCol w:w="1185"/>
        <w:gridCol w:w="1189"/>
        <w:gridCol w:w="109"/>
        <w:gridCol w:w="109"/>
        <w:gridCol w:w="1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tcMar>
              <w:top w:w="0" w:type="dxa"/>
              <w:left w:w="0" w:type="dxa"/>
              <w:bottom w:w="0" w:type="dxa"/>
              <w:right w:w="0" w:type="dxa"/>
            </w:tcMar>
            <w:vAlign w:val="center"/>
          </w:tcPr>
          <w:p>
            <w:pPr>
              <w:pStyle w:val="TableContents"/>
              <w:bidi w:val="0"/>
              <w:spacing w:lineRule="auto" w:line="321" w:before="0" w:after="283"/>
              <w:jc w:val="left"/>
              <w:rPr>
                <w:color w:val="000000"/>
              </w:rPr>
            </w:pPr>
            <w:r>
              <w:rPr>
                <w:color w:val="000000"/>
              </w:rPr>
              <w:t>• </w:t>
            </w:r>
            <w:r>
              <w:rPr>
                <w:rFonts w:ascii="Calibri;sans-serif" w:hAnsi="Calibri;sans-serif"/>
                <w:b w:val="false"/>
                <w:color w:val="000000"/>
                <w:sz w:val="22"/>
              </w:rPr>
              <w:t>Earnings (before or after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tcMar>
              <w:top w:w="0" w:type="dxa"/>
              <w:left w:w="0" w:type="dxa"/>
              <w:bottom w:w="0" w:type="dxa"/>
              <w:right w:w="0" w:type="dxa"/>
            </w:tcMar>
            <w:vAlign w:val="center"/>
          </w:tcPr>
          <w:p>
            <w:pPr>
              <w:pStyle w:val="TableContents"/>
              <w:bidi w:val="0"/>
              <w:spacing w:lineRule="auto" w:line="321" w:before="0" w:after="283"/>
              <w:jc w:val="left"/>
              <w:rPr>
                <w:color w:val="000000"/>
              </w:rPr>
            </w:pPr>
            <w:r>
              <w:rPr>
                <w:color w:val="000000"/>
              </w:rPr>
              <w:t>• </w:t>
            </w:r>
            <w:r>
              <w:rPr>
                <w:rFonts w:ascii="Calibri;sans-serif" w:hAnsi="Calibri;sans-serif"/>
                <w:b w:val="false"/>
                <w:color w:val="000000"/>
                <w:sz w:val="22"/>
              </w:rPr>
              <w:t xml:space="preserve">Working capital </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top w:val="single" w:sz="8" w:space="0" w:color="808080"/>
            </w:tcBorders>
            <w:tcMar>
              <w:top w:w="30" w:type="dxa"/>
              <w:left w:w="0" w:type="dxa"/>
              <w:bottom w:w="0" w:type="dxa"/>
              <w:right w:w="0" w:type="dxa"/>
            </w:tcMar>
            <w:vAlign w:val="center"/>
          </w:tcPr>
          <w:p>
            <w:pPr>
              <w:pStyle w:val="TableContents"/>
              <w:bidi w:val="0"/>
              <w:spacing w:lineRule="auto" w:line="321" w:before="0" w:after="283"/>
              <w:jc w:val="left"/>
              <w:rPr>
                <w:color w:val="000000"/>
              </w:rPr>
            </w:pPr>
            <w:r>
              <w:rPr>
                <w:color w:val="000000"/>
              </w:rPr>
              <w:t>• </w:t>
            </w:r>
            <w:r>
              <w:rPr>
                <w:rFonts w:ascii="Calibri;sans-serif" w:hAnsi="Calibri;sans-serif"/>
                <w:b w:val="false"/>
                <w:color w:val="000000"/>
                <w:sz w:val="22"/>
              </w:rPr>
              <w:t>Earnings per share</w:t>
            </w:r>
          </w:p>
        </w:tc>
        <w:tc>
          <w:tcPr>
            <w:tcW w:w="327"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top w:val="single" w:sz="8" w:space="0" w:color="808080"/>
            </w:tcBorders>
            <w:tcMar>
              <w:top w:w="30" w:type="dxa"/>
              <w:left w:w="0" w:type="dxa"/>
              <w:bottom w:w="0" w:type="dxa"/>
              <w:right w:w="0" w:type="dxa"/>
            </w:tcMar>
            <w:vAlign w:val="center"/>
          </w:tcPr>
          <w:p>
            <w:pPr>
              <w:pStyle w:val="TableContents"/>
              <w:bidi w:val="0"/>
              <w:spacing w:lineRule="auto" w:line="321" w:before="0" w:after="283"/>
              <w:jc w:val="left"/>
              <w:rPr>
                <w:color w:val="000000"/>
              </w:rPr>
            </w:pPr>
            <w:r>
              <w:rPr>
                <w:color w:val="000000"/>
              </w:rPr>
              <w:t>• </w:t>
            </w:r>
            <w:r>
              <w:rPr>
                <w:rFonts w:ascii="Calibri;sans-serif" w:hAnsi="Calibri;sans-serif"/>
                <w:b w:val="false"/>
                <w:color w:val="000000"/>
                <w:sz w:val="22"/>
              </w:rPr>
              <w:t xml:space="preserve">Expense or cost reduction </w:t>
            </w:r>
          </w:p>
        </w:tc>
        <w:tc>
          <w:tcPr>
            <w:tcW w:w="376"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top w:val="single" w:sz="8" w:space="0" w:color="808080"/>
            </w:tcBorders>
            <w:tcMar>
              <w:top w:w="30" w:type="dxa"/>
              <w:left w:w="0" w:type="dxa"/>
              <w:bottom w:w="0" w:type="dxa"/>
              <w:right w:w="0" w:type="dxa"/>
            </w:tcMar>
            <w:vAlign w:val="center"/>
          </w:tcPr>
          <w:p>
            <w:pPr>
              <w:pStyle w:val="TableContents"/>
              <w:bidi w:val="0"/>
              <w:spacing w:lineRule="auto" w:line="288" w:before="0" w:after="0"/>
              <w:ind w:left="0" w:right="0" w:hanging="243"/>
              <w:jc w:val="left"/>
              <w:rPr>
                <w:color w:val="000000"/>
              </w:rPr>
            </w:pPr>
            <w:r>
              <w:rPr>
                <w:color w:val="000000"/>
              </w:rPr>
              <w:t>• </w:t>
            </w:r>
            <w:r>
              <w:rPr>
                <w:rFonts w:ascii="Calibri;sans-serif" w:hAnsi="Calibri;sans-serif"/>
                <w:b w:val="false"/>
                <w:color w:val="000000"/>
                <w:sz w:val="22"/>
              </w:rPr>
              <w:t>Earnings before interest, taxes and depreciation (as amount or % of revenue)</w:t>
            </w:r>
          </w:p>
        </w:tc>
        <w:tc>
          <w:tcPr>
            <w:tcW w:w="327"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top w:val="single" w:sz="8" w:space="0" w:color="808080"/>
            </w:tcBorders>
            <w:tcMar>
              <w:top w:w="30" w:type="dxa"/>
              <w:left w:w="0" w:type="dxa"/>
              <w:bottom w:w="0" w:type="dxa"/>
              <w:right w:w="0" w:type="dxa"/>
            </w:tcMar>
            <w:vAlign w:val="center"/>
          </w:tcPr>
          <w:p>
            <w:pPr>
              <w:pStyle w:val="TableContents"/>
              <w:bidi w:val="0"/>
              <w:spacing w:lineRule="auto" w:line="321" w:before="0" w:after="283"/>
              <w:jc w:val="left"/>
              <w:rPr>
                <w:color w:val="000000"/>
              </w:rPr>
            </w:pPr>
            <w:r>
              <w:rPr>
                <w:color w:val="000000"/>
              </w:rPr>
              <w:t>• </w:t>
            </w:r>
            <w:r>
              <w:rPr>
                <w:rFonts w:ascii="Calibri;sans-serif" w:hAnsi="Calibri;sans-serif"/>
                <w:b w:val="false"/>
                <w:color w:val="000000"/>
                <w:sz w:val="22"/>
              </w:rPr>
              <w:t xml:space="preserve">Sales or revenue (in the aggregate or in specific growth areas) </w:t>
            </w:r>
          </w:p>
        </w:tc>
        <w:tc>
          <w:tcPr>
            <w:tcW w:w="376"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top w:val="single" w:sz="8" w:space="0" w:color="808080"/>
            </w:tcBorders>
            <w:tcMar>
              <w:top w:w="30" w:type="dxa"/>
              <w:left w:w="0" w:type="dxa"/>
              <w:bottom w:w="0" w:type="dxa"/>
              <w:right w:w="0" w:type="dxa"/>
            </w:tcMar>
            <w:vAlign w:val="center"/>
          </w:tcPr>
          <w:p>
            <w:pPr>
              <w:pStyle w:val="TableContents"/>
              <w:bidi w:val="0"/>
              <w:spacing w:lineRule="auto" w:line="288" w:before="0" w:after="0"/>
              <w:ind w:left="0" w:right="0" w:hanging="243"/>
              <w:jc w:val="left"/>
              <w:rPr>
                <w:color w:val="000000"/>
              </w:rPr>
            </w:pPr>
            <w:r>
              <w:rPr>
                <w:color w:val="000000"/>
              </w:rPr>
              <w:t>• </w:t>
            </w:r>
            <w:r>
              <w:rPr>
                <w:rFonts w:ascii="Calibri;sans-serif" w:hAnsi="Calibri;sans-serif"/>
                <w:b w:val="false"/>
                <w:color w:val="000000"/>
                <w:sz w:val="22"/>
              </w:rPr>
              <w:t>Earnings before interest, taxes, depreciation &amp; amortization (as amount or % of revenue)</w:t>
            </w:r>
          </w:p>
        </w:tc>
        <w:tc>
          <w:tcPr>
            <w:tcW w:w="327"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top w:val="single" w:sz="8" w:space="0" w:color="808080"/>
            </w:tcBorders>
            <w:tcMar>
              <w:top w:w="30" w:type="dxa"/>
              <w:left w:w="0" w:type="dxa"/>
              <w:bottom w:w="0" w:type="dxa"/>
              <w:right w:w="0" w:type="dxa"/>
            </w:tcMar>
            <w:vAlign w:val="center"/>
          </w:tcPr>
          <w:p>
            <w:pPr>
              <w:pStyle w:val="TableContents"/>
              <w:bidi w:val="0"/>
              <w:spacing w:lineRule="auto" w:line="321" w:before="0" w:after="283"/>
              <w:jc w:val="left"/>
              <w:rPr>
                <w:color w:val="000000"/>
              </w:rPr>
            </w:pPr>
            <w:r>
              <w:rPr>
                <w:color w:val="000000"/>
              </w:rPr>
              <w:t>• </w:t>
            </w:r>
            <w:r>
              <w:rPr>
                <w:rFonts w:ascii="Calibri;sans-serif" w:hAnsi="Calibri;sans-serif"/>
                <w:b w:val="false"/>
                <w:color w:val="000000"/>
                <w:sz w:val="22"/>
              </w:rPr>
              <w:t xml:space="preserve">Economic value added (or an equivalent metric) </w:t>
            </w:r>
          </w:p>
        </w:tc>
        <w:tc>
          <w:tcPr>
            <w:tcW w:w="376"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top w:val="single" w:sz="8" w:space="0" w:color="808080"/>
            </w:tcBorders>
            <w:tcMar>
              <w:top w:w="30" w:type="dxa"/>
              <w:left w:w="0" w:type="dxa"/>
              <w:bottom w:w="0" w:type="dxa"/>
              <w:right w:w="0" w:type="dxa"/>
            </w:tcMar>
            <w:vAlign w:val="center"/>
          </w:tcPr>
          <w:p>
            <w:pPr>
              <w:pStyle w:val="TableContents"/>
              <w:bidi w:val="0"/>
              <w:spacing w:lineRule="auto" w:line="321" w:before="0" w:after="283"/>
              <w:jc w:val="left"/>
              <w:rPr>
                <w:color w:val="000000"/>
              </w:rPr>
            </w:pPr>
            <w:r>
              <w:rPr>
                <w:color w:val="000000"/>
              </w:rPr>
              <w:t>• </w:t>
            </w:r>
            <w:r>
              <w:rPr>
                <w:rFonts w:ascii="Calibri;sans-serif" w:hAnsi="Calibri;sans-serif"/>
                <w:b w:val="false"/>
                <w:color w:val="000000"/>
                <w:sz w:val="22"/>
              </w:rPr>
              <w:t>Total stockholder return and/or value</w:t>
            </w:r>
          </w:p>
        </w:tc>
        <w:tc>
          <w:tcPr>
            <w:tcW w:w="327"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top w:val="single" w:sz="8" w:space="0" w:color="808080"/>
            </w:tcBorders>
            <w:tcMar>
              <w:top w:w="30" w:type="dxa"/>
              <w:left w:w="0" w:type="dxa"/>
              <w:bottom w:w="0" w:type="dxa"/>
              <w:right w:w="0" w:type="dxa"/>
            </w:tcMar>
            <w:vAlign w:val="center"/>
          </w:tcPr>
          <w:p>
            <w:pPr>
              <w:pStyle w:val="TableContents"/>
              <w:bidi w:val="0"/>
              <w:spacing w:lineRule="auto" w:line="321" w:before="0" w:after="283"/>
              <w:jc w:val="left"/>
              <w:rPr>
                <w:color w:val="000000"/>
              </w:rPr>
            </w:pPr>
            <w:r>
              <w:rPr>
                <w:color w:val="000000"/>
              </w:rPr>
              <w:t>• </w:t>
            </w:r>
            <w:r>
              <w:rPr>
                <w:rFonts w:ascii="Calibri;sans-serif" w:hAnsi="Calibri;sans-serif"/>
                <w:b w:val="false"/>
                <w:color w:val="000000"/>
                <w:sz w:val="22"/>
              </w:rPr>
              <w:t xml:space="preserve">Market share </w:t>
            </w:r>
          </w:p>
        </w:tc>
        <w:tc>
          <w:tcPr>
            <w:tcW w:w="376"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top w:val="single" w:sz="8" w:space="0" w:color="808080"/>
            </w:tcBorders>
            <w:tcMar>
              <w:top w:w="30" w:type="dxa"/>
              <w:left w:w="0" w:type="dxa"/>
              <w:bottom w:w="0" w:type="dxa"/>
              <w:right w:w="0" w:type="dxa"/>
            </w:tcMar>
            <w:vAlign w:val="center"/>
          </w:tcPr>
          <w:p>
            <w:pPr>
              <w:pStyle w:val="TableContents"/>
              <w:bidi w:val="0"/>
              <w:spacing w:lineRule="auto" w:line="321" w:before="0" w:after="283"/>
              <w:jc w:val="left"/>
              <w:rPr>
                <w:color w:val="000000"/>
              </w:rPr>
            </w:pPr>
            <w:r>
              <w:rPr>
                <w:color w:val="000000"/>
              </w:rPr>
              <w:t>• </w:t>
            </w:r>
            <w:r>
              <w:rPr>
                <w:rFonts w:ascii="Calibri;sans-serif" w:hAnsi="Calibri;sans-serif"/>
                <w:b w:val="false"/>
                <w:color w:val="000000"/>
                <w:sz w:val="22"/>
              </w:rPr>
              <w:t>Return on equity or average stockholders’ equity</w:t>
            </w:r>
          </w:p>
        </w:tc>
        <w:tc>
          <w:tcPr>
            <w:tcW w:w="327"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top w:val="single" w:sz="8" w:space="0" w:color="808080"/>
            </w:tcBorders>
            <w:tcMar>
              <w:top w:w="30" w:type="dxa"/>
              <w:left w:w="0" w:type="dxa"/>
              <w:bottom w:w="0" w:type="dxa"/>
              <w:right w:w="0" w:type="dxa"/>
            </w:tcMar>
            <w:vAlign w:val="center"/>
          </w:tcPr>
          <w:p>
            <w:pPr>
              <w:pStyle w:val="TableContents"/>
              <w:bidi w:val="0"/>
              <w:spacing w:lineRule="auto" w:line="321" w:before="0" w:after="283"/>
              <w:jc w:val="left"/>
              <w:rPr>
                <w:color w:val="000000"/>
              </w:rPr>
            </w:pPr>
            <w:r>
              <w:rPr>
                <w:color w:val="000000"/>
              </w:rPr>
              <w:t>• </w:t>
            </w:r>
            <w:r>
              <w:rPr>
                <w:rFonts w:ascii="Calibri;sans-serif" w:hAnsi="Calibri;sans-serif"/>
                <w:b w:val="false"/>
                <w:color w:val="000000"/>
                <w:sz w:val="22"/>
              </w:rPr>
              <w:t xml:space="preserve">Cash flow or cash balance </w:t>
            </w:r>
          </w:p>
        </w:tc>
        <w:tc>
          <w:tcPr>
            <w:tcW w:w="376"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top w:val="single" w:sz="8" w:space="0" w:color="808080"/>
            </w:tcBorders>
            <w:tcMar>
              <w:top w:w="30" w:type="dxa"/>
              <w:left w:w="0" w:type="dxa"/>
              <w:bottom w:w="0" w:type="dxa"/>
              <w:right w:w="0" w:type="dxa"/>
            </w:tcMar>
            <w:vAlign w:val="center"/>
          </w:tcPr>
          <w:p>
            <w:pPr>
              <w:pStyle w:val="TableContents"/>
              <w:bidi w:val="0"/>
              <w:spacing w:lineRule="auto" w:line="321" w:before="0" w:after="283"/>
              <w:jc w:val="left"/>
              <w:rPr>
                <w:color w:val="000000"/>
              </w:rPr>
            </w:pPr>
            <w:r>
              <w:rPr>
                <w:color w:val="000000"/>
              </w:rPr>
              <w:t>• </w:t>
            </w:r>
            <w:r>
              <w:rPr>
                <w:rFonts w:ascii="Calibri;sans-serif" w:hAnsi="Calibri;sans-serif"/>
                <w:b w:val="false"/>
                <w:color w:val="000000"/>
                <w:sz w:val="22"/>
              </w:rPr>
              <w:t>Return on assets, investment or capital employed</w:t>
            </w:r>
          </w:p>
        </w:tc>
        <w:tc>
          <w:tcPr>
            <w:tcW w:w="327"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top w:val="single" w:sz="8" w:space="0" w:color="808080"/>
            </w:tcBorders>
            <w:tcMar>
              <w:top w:w="30" w:type="dxa"/>
              <w:left w:w="0" w:type="dxa"/>
              <w:bottom w:w="0" w:type="dxa"/>
              <w:right w:w="0" w:type="dxa"/>
            </w:tcMar>
            <w:vAlign w:val="center"/>
          </w:tcPr>
          <w:p>
            <w:pPr>
              <w:pStyle w:val="TableContents"/>
              <w:bidi w:val="0"/>
              <w:spacing w:lineRule="auto" w:line="321" w:before="0" w:after="283"/>
              <w:jc w:val="left"/>
              <w:rPr>
                <w:color w:val="000000"/>
              </w:rPr>
            </w:pPr>
            <w:r>
              <w:rPr>
                <w:color w:val="000000"/>
              </w:rPr>
              <w:t>• </w:t>
            </w:r>
            <w:r>
              <w:rPr>
                <w:rFonts w:ascii="Calibri;sans-serif" w:hAnsi="Calibri;sans-serif"/>
                <w:b w:val="false"/>
                <w:color w:val="000000"/>
                <w:sz w:val="22"/>
              </w:rPr>
              <w:t xml:space="preserve">Operating cash flow </w:t>
            </w:r>
          </w:p>
        </w:tc>
        <w:tc>
          <w:tcPr>
            <w:tcW w:w="376"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top w:val="single" w:sz="8" w:space="0" w:color="808080"/>
            </w:tcBorders>
            <w:tcMar>
              <w:top w:w="30" w:type="dxa"/>
              <w:left w:w="0" w:type="dxa"/>
              <w:bottom w:w="0" w:type="dxa"/>
              <w:right w:w="0" w:type="dxa"/>
            </w:tcMar>
            <w:vAlign w:val="center"/>
          </w:tcPr>
          <w:p>
            <w:pPr>
              <w:pStyle w:val="TableContents"/>
              <w:bidi w:val="0"/>
              <w:spacing w:lineRule="auto" w:line="321" w:before="0" w:after="283"/>
              <w:jc w:val="left"/>
              <w:rPr>
                <w:color w:val="000000"/>
              </w:rPr>
            </w:pPr>
            <w:r>
              <w:rPr>
                <w:color w:val="000000"/>
              </w:rPr>
              <w:t>• </w:t>
            </w:r>
            <w:r>
              <w:rPr>
                <w:rFonts w:ascii="Calibri;sans-serif" w:hAnsi="Calibri;sans-serif"/>
                <w:b w:val="false"/>
                <w:color w:val="000000"/>
                <w:sz w:val="22"/>
              </w:rPr>
              <w:t>Operating income</w:t>
            </w:r>
          </w:p>
        </w:tc>
        <w:tc>
          <w:tcPr>
            <w:tcW w:w="327"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top w:val="single" w:sz="8" w:space="0" w:color="808080"/>
            </w:tcBorders>
            <w:tcMar>
              <w:top w:w="30" w:type="dxa"/>
              <w:left w:w="0" w:type="dxa"/>
              <w:bottom w:w="0" w:type="dxa"/>
              <w:right w:w="0" w:type="dxa"/>
            </w:tcMar>
            <w:vAlign w:val="center"/>
          </w:tcPr>
          <w:p>
            <w:pPr>
              <w:pStyle w:val="TableContents"/>
              <w:bidi w:val="0"/>
              <w:spacing w:lineRule="auto" w:line="321" w:before="0" w:after="283"/>
              <w:jc w:val="left"/>
              <w:rPr>
                <w:color w:val="000000"/>
              </w:rPr>
            </w:pPr>
            <w:r>
              <w:rPr>
                <w:color w:val="000000"/>
              </w:rPr>
              <w:t>• </w:t>
            </w:r>
            <w:r>
              <w:rPr>
                <w:rFonts w:ascii="Calibri;sans-serif" w:hAnsi="Calibri;sans-serif"/>
                <w:b w:val="false"/>
                <w:color w:val="000000"/>
                <w:sz w:val="22"/>
              </w:rPr>
              <w:t xml:space="preserve">Cash flow per share </w:t>
            </w:r>
          </w:p>
        </w:tc>
        <w:tc>
          <w:tcPr>
            <w:tcW w:w="376"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top w:val="single" w:sz="8" w:space="0" w:color="808080"/>
            </w:tcBorders>
            <w:tcMar>
              <w:top w:w="30" w:type="dxa"/>
              <w:left w:w="0" w:type="dxa"/>
              <w:bottom w:w="0" w:type="dxa"/>
              <w:right w:w="0" w:type="dxa"/>
            </w:tcMar>
            <w:vAlign w:val="center"/>
          </w:tcPr>
          <w:p>
            <w:pPr>
              <w:pStyle w:val="TableContents"/>
              <w:bidi w:val="0"/>
              <w:spacing w:lineRule="auto" w:line="321" w:before="0" w:after="283"/>
              <w:jc w:val="left"/>
              <w:rPr>
                <w:color w:val="000000"/>
              </w:rPr>
            </w:pPr>
            <w:r>
              <w:rPr>
                <w:color w:val="000000"/>
              </w:rPr>
              <w:t>• </w:t>
            </w:r>
            <w:r>
              <w:rPr>
                <w:rFonts w:ascii="Calibri;sans-serif" w:hAnsi="Calibri;sans-serif"/>
                <w:b w:val="false"/>
                <w:color w:val="000000"/>
                <w:sz w:val="22"/>
              </w:rPr>
              <w:t>Gross margin</w:t>
            </w:r>
          </w:p>
        </w:tc>
        <w:tc>
          <w:tcPr>
            <w:tcW w:w="327"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top w:val="single" w:sz="8" w:space="0" w:color="808080"/>
            </w:tcBorders>
            <w:tcMar>
              <w:top w:w="30" w:type="dxa"/>
              <w:left w:w="0" w:type="dxa"/>
              <w:bottom w:w="0" w:type="dxa"/>
              <w:right w:w="0" w:type="dxa"/>
            </w:tcMar>
            <w:vAlign w:val="center"/>
          </w:tcPr>
          <w:p>
            <w:pPr>
              <w:pStyle w:val="TableContents"/>
              <w:bidi w:val="0"/>
              <w:spacing w:lineRule="auto" w:line="321" w:before="0" w:after="283"/>
              <w:jc w:val="left"/>
              <w:rPr>
                <w:color w:val="000000"/>
              </w:rPr>
            </w:pPr>
            <w:r>
              <w:rPr>
                <w:color w:val="000000"/>
              </w:rPr>
              <w:t>• </w:t>
            </w:r>
            <w:r>
              <w:rPr>
                <w:rFonts w:ascii="Calibri;sans-serif" w:hAnsi="Calibri;sans-serif"/>
                <w:b w:val="false"/>
                <w:color w:val="000000"/>
                <w:sz w:val="22"/>
              </w:rPr>
              <w:t xml:space="preserve">Share price </w:t>
            </w:r>
          </w:p>
        </w:tc>
        <w:tc>
          <w:tcPr>
            <w:tcW w:w="376"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top w:val="single" w:sz="8" w:space="0" w:color="808080"/>
            </w:tcBorders>
            <w:tcMar>
              <w:top w:w="30" w:type="dxa"/>
              <w:left w:w="0" w:type="dxa"/>
              <w:bottom w:w="0" w:type="dxa"/>
              <w:right w:w="0" w:type="dxa"/>
            </w:tcMar>
            <w:vAlign w:val="center"/>
          </w:tcPr>
          <w:p>
            <w:pPr>
              <w:pStyle w:val="TableContents"/>
              <w:bidi w:val="0"/>
              <w:spacing w:lineRule="auto" w:line="321" w:before="0" w:after="283"/>
              <w:jc w:val="left"/>
              <w:rPr>
                <w:color w:val="000000"/>
              </w:rPr>
            </w:pPr>
            <w:r>
              <w:rPr>
                <w:color w:val="000000"/>
              </w:rPr>
              <w:t>• </w:t>
            </w:r>
            <w:r>
              <w:rPr>
                <w:rFonts w:ascii="Calibri;sans-serif" w:hAnsi="Calibri;sans-serif"/>
                <w:b w:val="false"/>
                <w:color w:val="000000"/>
                <w:sz w:val="22"/>
              </w:rPr>
              <w:t>Operating margin</w:t>
            </w:r>
          </w:p>
        </w:tc>
        <w:tc>
          <w:tcPr>
            <w:tcW w:w="327"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top w:val="single" w:sz="8" w:space="0" w:color="808080"/>
            </w:tcBorders>
            <w:tcMar>
              <w:top w:w="30" w:type="dxa"/>
              <w:left w:w="0" w:type="dxa"/>
              <w:bottom w:w="0" w:type="dxa"/>
              <w:right w:w="0" w:type="dxa"/>
            </w:tcMar>
            <w:vAlign w:val="center"/>
          </w:tcPr>
          <w:p>
            <w:pPr>
              <w:pStyle w:val="TableContents"/>
              <w:bidi w:val="0"/>
              <w:spacing w:lineRule="auto" w:line="321" w:before="0" w:after="283"/>
              <w:jc w:val="left"/>
              <w:rPr>
                <w:color w:val="000000"/>
              </w:rPr>
            </w:pPr>
            <w:r>
              <w:rPr>
                <w:color w:val="000000"/>
              </w:rPr>
              <w:t>• </w:t>
            </w:r>
            <w:r>
              <w:rPr>
                <w:rFonts w:ascii="Calibri;sans-serif" w:hAnsi="Calibri;sans-serif"/>
                <w:b w:val="false"/>
                <w:color w:val="000000"/>
                <w:sz w:val="22"/>
              </w:rPr>
              <w:t xml:space="preserve">Debt reduction </w:t>
            </w:r>
          </w:p>
        </w:tc>
        <w:tc>
          <w:tcPr>
            <w:tcW w:w="376"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top w:val="single" w:sz="8" w:space="0" w:color="808080"/>
            </w:tcBorders>
            <w:tcMar>
              <w:top w:w="30" w:type="dxa"/>
              <w:left w:w="0" w:type="dxa"/>
              <w:bottom w:w="0" w:type="dxa"/>
              <w:right w:w="0" w:type="dxa"/>
            </w:tcMar>
            <w:vAlign w:val="center"/>
          </w:tcPr>
          <w:p>
            <w:pPr>
              <w:pStyle w:val="TableContents"/>
              <w:bidi w:val="0"/>
              <w:spacing w:lineRule="auto" w:line="321" w:before="0" w:after="283"/>
              <w:jc w:val="left"/>
              <w:rPr>
                <w:color w:val="000000"/>
              </w:rPr>
            </w:pPr>
            <w:r>
              <w:rPr>
                <w:color w:val="000000"/>
              </w:rPr>
              <w:t>• </w:t>
            </w:r>
            <w:r>
              <w:rPr>
                <w:rFonts w:ascii="Calibri;sans-serif" w:hAnsi="Calibri;sans-serif"/>
                <w:b w:val="false"/>
                <w:color w:val="000000"/>
                <w:sz w:val="22"/>
              </w:rPr>
              <w:t>Net operating income</w:t>
            </w:r>
          </w:p>
        </w:tc>
        <w:tc>
          <w:tcPr>
            <w:tcW w:w="327"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top w:val="single" w:sz="8" w:space="0" w:color="808080"/>
            </w:tcBorders>
            <w:tcMar>
              <w:top w:w="30" w:type="dxa"/>
              <w:left w:w="0" w:type="dxa"/>
              <w:bottom w:w="0" w:type="dxa"/>
              <w:right w:w="0" w:type="dxa"/>
            </w:tcMar>
            <w:vAlign w:val="center"/>
          </w:tcPr>
          <w:p>
            <w:pPr>
              <w:pStyle w:val="TableContents"/>
              <w:bidi w:val="0"/>
              <w:spacing w:lineRule="auto" w:line="321" w:before="0" w:after="283"/>
              <w:jc w:val="left"/>
              <w:rPr>
                <w:color w:val="000000"/>
              </w:rPr>
            </w:pPr>
            <w:r>
              <w:rPr>
                <w:color w:val="000000"/>
              </w:rPr>
              <w:t>• </w:t>
            </w:r>
            <w:r>
              <w:rPr>
                <w:rFonts w:ascii="Calibri;sans-serif" w:hAnsi="Calibri;sans-serif"/>
                <w:b w:val="false"/>
                <w:color w:val="000000"/>
                <w:sz w:val="22"/>
              </w:rPr>
              <w:t xml:space="preserve">Customer satisfaction </w:t>
            </w:r>
          </w:p>
        </w:tc>
        <w:tc>
          <w:tcPr>
            <w:tcW w:w="376"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top w:val="single" w:sz="8" w:space="0" w:color="808080"/>
            </w:tcBorders>
            <w:tcMar>
              <w:top w:w="30" w:type="dxa"/>
              <w:left w:w="0" w:type="dxa"/>
              <w:bottom w:w="0" w:type="dxa"/>
              <w:right w:w="0" w:type="dxa"/>
            </w:tcMar>
            <w:vAlign w:val="center"/>
          </w:tcPr>
          <w:p>
            <w:pPr>
              <w:pStyle w:val="TableContents"/>
              <w:bidi w:val="0"/>
              <w:spacing w:lineRule="auto" w:line="321" w:before="0" w:after="283"/>
              <w:jc w:val="left"/>
              <w:rPr>
                <w:color w:val="000000"/>
              </w:rPr>
            </w:pPr>
            <w:r>
              <w:rPr>
                <w:color w:val="000000"/>
              </w:rPr>
              <w:t>• </w:t>
            </w:r>
            <w:r>
              <w:rPr>
                <w:rFonts w:ascii="Calibri;sans-serif" w:hAnsi="Calibri;sans-serif"/>
                <w:b w:val="false"/>
                <w:color w:val="000000"/>
                <w:sz w:val="22"/>
              </w:rPr>
              <w:t>Net operating income after tax</w:t>
            </w:r>
          </w:p>
        </w:tc>
        <w:tc>
          <w:tcPr>
            <w:tcW w:w="327"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top w:val="single" w:sz="8" w:space="0" w:color="808080"/>
            </w:tcBorders>
            <w:tcMar>
              <w:top w:w="30" w:type="dxa"/>
              <w:left w:w="0" w:type="dxa"/>
              <w:bottom w:w="0" w:type="dxa"/>
              <w:right w:w="0" w:type="dxa"/>
            </w:tcMar>
            <w:vAlign w:val="center"/>
          </w:tcPr>
          <w:p>
            <w:pPr>
              <w:pStyle w:val="TableContents"/>
              <w:bidi w:val="0"/>
              <w:spacing w:lineRule="auto" w:line="321" w:before="0" w:after="283"/>
              <w:jc w:val="left"/>
              <w:rPr>
                <w:color w:val="000000"/>
              </w:rPr>
            </w:pPr>
            <w:r>
              <w:rPr>
                <w:color w:val="000000"/>
              </w:rPr>
              <w:t>• </w:t>
            </w:r>
            <w:r>
              <w:rPr>
                <w:rFonts w:ascii="Calibri;sans-serif" w:hAnsi="Calibri;sans-serif"/>
                <w:b w:val="false"/>
                <w:color w:val="000000"/>
                <w:sz w:val="22"/>
              </w:rPr>
              <w:t xml:space="preserve">Stockholders’ equity </w:t>
            </w:r>
          </w:p>
        </w:tc>
        <w:tc>
          <w:tcPr>
            <w:tcW w:w="376"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top w:val="single" w:sz="8" w:space="0" w:color="808080"/>
            </w:tcBorders>
            <w:tcMar>
              <w:top w:w="30" w:type="dxa"/>
              <w:left w:w="0" w:type="dxa"/>
              <w:bottom w:w="0" w:type="dxa"/>
              <w:right w:w="0" w:type="dxa"/>
            </w:tcMar>
            <w:vAlign w:val="center"/>
          </w:tcPr>
          <w:p>
            <w:pPr>
              <w:pStyle w:val="TableContents"/>
              <w:bidi w:val="0"/>
              <w:spacing w:lineRule="auto" w:line="321" w:before="0" w:after="283"/>
              <w:jc w:val="left"/>
              <w:rPr>
                <w:color w:val="000000"/>
              </w:rPr>
            </w:pPr>
            <w:r>
              <w:rPr>
                <w:color w:val="000000"/>
              </w:rPr>
              <w:t>• </w:t>
            </w:r>
            <w:r>
              <w:rPr>
                <w:rFonts w:ascii="Calibri;sans-serif" w:hAnsi="Calibri;sans-serif"/>
                <w:b w:val="false"/>
                <w:color w:val="000000"/>
                <w:sz w:val="22"/>
              </w:rPr>
              <w:t>Operating profits</w:t>
            </w:r>
          </w:p>
        </w:tc>
        <w:tc>
          <w:tcPr>
            <w:tcW w:w="327"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top w:val="single" w:sz="8" w:space="0" w:color="808080"/>
            </w:tcBorders>
            <w:tcMar>
              <w:top w:w="30" w:type="dxa"/>
              <w:left w:w="0" w:type="dxa"/>
              <w:bottom w:w="0" w:type="dxa"/>
              <w:right w:w="0" w:type="dxa"/>
            </w:tcMar>
            <w:vAlign w:val="center"/>
          </w:tcPr>
          <w:p>
            <w:pPr>
              <w:pStyle w:val="TableContents"/>
              <w:bidi w:val="0"/>
              <w:spacing w:lineRule="auto" w:line="321" w:before="0" w:after="283"/>
              <w:jc w:val="left"/>
              <w:rPr>
                <w:color w:val="000000"/>
              </w:rPr>
            </w:pPr>
            <w:r>
              <w:rPr>
                <w:color w:val="000000"/>
              </w:rPr>
              <w:t>• </w:t>
            </w:r>
            <w:r>
              <w:rPr>
                <w:rFonts w:ascii="Calibri;sans-serif" w:hAnsi="Calibri;sans-serif"/>
                <w:b w:val="false"/>
                <w:color w:val="000000"/>
                <w:sz w:val="22"/>
              </w:rPr>
              <w:t xml:space="preserve">Net profits </w:t>
            </w:r>
          </w:p>
        </w:tc>
        <w:tc>
          <w:tcPr>
            <w:tcW w:w="376"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top w:val="single" w:sz="8" w:space="0" w:color="808080"/>
            </w:tcBorders>
            <w:tcMar>
              <w:top w:w="30" w:type="dxa"/>
              <w:left w:w="0" w:type="dxa"/>
              <w:bottom w:w="0" w:type="dxa"/>
              <w:right w:w="0" w:type="dxa"/>
            </w:tcMar>
            <w:vAlign w:val="center"/>
          </w:tcPr>
          <w:p>
            <w:pPr>
              <w:pStyle w:val="TableContents"/>
              <w:bidi w:val="0"/>
              <w:spacing w:lineRule="auto" w:line="321" w:before="0" w:after="283"/>
              <w:jc w:val="left"/>
              <w:rPr>
                <w:color w:val="000000"/>
              </w:rPr>
            </w:pPr>
            <w:r>
              <w:rPr>
                <w:color w:val="000000"/>
              </w:rPr>
              <w:t>• </w:t>
            </w:r>
            <w:r>
              <w:rPr>
                <w:rFonts w:ascii="Calibri;sans-serif" w:hAnsi="Calibri;sans-serif"/>
                <w:b w:val="false"/>
                <w:color w:val="000000"/>
                <w:sz w:val="22"/>
              </w:rPr>
              <w:t>Profit returns and margins</w:t>
            </w:r>
          </w:p>
        </w:tc>
        <w:tc>
          <w:tcPr>
            <w:tcW w:w="327"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top w:val="single" w:sz="8" w:space="0" w:color="808080"/>
            </w:tcBorders>
            <w:tcMar>
              <w:top w:w="30" w:type="dxa"/>
              <w:left w:w="0" w:type="dxa"/>
              <w:bottom w:w="0" w:type="dxa"/>
              <w:right w:w="0" w:type="dxa"/>
            </w:tcMar>
            <w:vAlign w:val="center"/>
          </w:tcPr>
          <w:p>
            <w:pPr>
              <w:pStyle w:val="TableContents"/>
              <w:bidi w:val="0"/>
              <w:spacing w:lineRule="auto" w:line="321" w:before="0" w:after="283"/>
              <w:jc w:val="left"/>
              <w:rPr>
                <w:color w:val="000000"/>
              </w:rPr>
            </w:pPr>
            <w:r>
              <w:rPr>
                <w:color w:val="000000"/>
              </w:rPr>
              <w:t>• </w:t>
            </w:r>
            <w:r>
              <w:rPr>
                <w:rFonts w:ascii="Calibri;sans-serif" w:hAnsi="Calibri;sans-serif"/>
                <w:b w:val="false"/>
                <w:color w:val="000000"/>
                <w:sz w:val="22"/>
              </w:rPr>
              <w:t xml:space="preserve">Contract awards or backlog </w:t>
            </w:r>
          </w:p>
        </w:tc>
        <w:tc>
          <w:tcPr>
            <w:tcW w:w="376"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bottom w:val="single" w:sz="8" w:space="0" w:color="808080"/>
            </w:tcBorders>
            <w:tcMar>
              <w:left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top w:val="single" w:sz="8" w:space="0" w:color="808080"/>
              <w:bottom w:val="single" w:sz="8" w:space="0" w:color="808080"/>
            </w:tcBorders>
            <w:tcMar>
              <w:top w:w="30" w:type="dxa"/>
              <w:left w:w="0" w:type="dxa"/>
              <w:bottom w:w="30" w:type="dxa"/>
              <w:right w:w="0" w:type="dxa"/>
            </w:tcMar>
            <w:vAlign w:val="center"/>
          </w:tcPr>
          <w:p>
            <w:pPr>
              <w:pStyle w:val="TableContents"/>
              <w:bidi w:val="0"/>
              <w:spacing w:lineRule="auto" w:line="321" w:before="0" w:after="283"/>
              <w:jc w:val="left"/>
              <w:rPr>
                <w:color w:val="000000"/>
              </w:rPr>
            </w:pPr>
            <w:r>
              <w:rPr>
                <w:color w:val="000000"/>
              </w:rPr>
              <w:t>• </w:t>
            </w:r>
            <w:r>
              <w:rPr>
                <w:rFonts w:ascii="Calibri;sans-serif" w:hAnsi="Calibri;sans-serif"/>
                <w:b w:val="false"/>
                <w:color w:val="000000"/>
                <w:sz w:val="22"/>
              </w:rPr>
              <w:t>Return on operating revenue</w:t>
            </w:r>
          </w:p>
        </w:tc>
        <w:tc>
          <w:tcPr>
            <w:tcW w:w="327" w:type="dxa"/>
            <w:gridSpan w:val="3"/>
            <w:tcBorders>
              <w:top w:val="single" w:sz="8" w:space="0" w:color="808080"/>
              <w:bottom w:val="single" w:sz="8" w:space="0" w:color="80808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808080"/>
              <w:bottom w:val="single" w:sz="8" w:space="0" w:color="808080"/>
            </w:tcBorders>
            <w:tcMar>
              <w:left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top w:val="single" w:sz="8" w:space="0" w:color="808080"/>
              <w:bottom w:val="single" w:sz="8" w:space="0" w:color="808080"/>
            </w:tcBorders>
            <w:tcMar>
              <w:top w:w="30" w:type="dxa"/>
              <w:left w:w="0" w:type="dxa"/>
              <w:bottom w:w="30" w:type="dxa"/>
              <w:right w:w="0" w:type="dxa"/>
            </w:tcMar>
            <w:vAlign w:val="center"/>
          </w:tcPr>
          <w:p>
            <w:pPr>
              <w:pStyle w:val="TableContents"/>
              <w:bidi w:val="0"/>
              <w:spacing w:lineRule="auto" w:line="321" w:before="0" w:after="283"/>
              <w:jc w:val="left"/>
              <w:rPr>
                <w:color w:val="000000"/>
              </w:rPr>
            </w:pPr>
            <w:r>
              <w:rPr>
                <w:color w:val="000000"/>
              </w:rPr>
              <w:t>• </w:t>
            </w:r>
            <w:r>
              <w:rPr>
                <w:rFonts w:ascii="Calibri;sans-serif" w:hAnsi="Calibri;sans-serif"/>
                <w:b w:val="false"/>
                <w:color w:val="000000"/>
                <w:sz w:val="22"/>
              </w:rPr>
              <w:t>Revenue excluding total advertising cost</w:t>
            </w:r>
          </w:p>
        </w:tc>
        <w:tc>
          <w:tcPr>
            <w:tcW w:w="376" w:type="dxa"/>
            <w:gridSpan w:val="3"/>
            <w:tcBorders>
              <w:top w:val="single" w:sz="8" w:space="0" w:color="808080"/>
              <w:bottom w:val="single" w:sz="8" w:space="0" w:color="80808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 xml:space="preserve">To the extent that an Award is not intended to comply with Code Section 162(m), other measures of performance selected by the Administrator.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175260"/>
                <wp:effectExtent l="0" t="0" r="0" b="0"/>
                <wp:wrapNone/>
                <wp:docPr id="225" name="Frame2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0" w:after="0"/>
        <w:ind w:left="0" w:right="0" w:firstLine="720"/>
        <w:jc w:val="center"/>
        <w:rPr>
          <w:color w:val="000000"/>
        </w:rPr>
      </w:pPr>
      <w:r>
        <w:rPr>
          <w:color w:val="000000"/>
        </w:rPr>
        <w:t> </w:t>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w:t>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PURSUANT TO SECURITIES AND EXCHANGE COMMISSION RULE 13a-14(a)</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jc w:val="both"/>
        <w:rPr/>
      </w:pPr>
      <w:r>
        <w:rPr>
          <w:rFonts w:ascii="Times New Roman;sans-serif" w:hAnsi="Times New Roman;sans-serif"/>
          <w:b w:val="false"/>
          <w:color w:val="000000"/>
          <w:sz w:val="20"/>
        </w:rPr>
        <w:t xml:space="preserve">I, </w:t>
      </w:r>
      <w:r>
        <w:rPr>
          <w:rFonts w:ascii="Times New Roman;sans-serif" w:hAnsi="Times New Roman;sans-serif"/>
          <w:b/>
          <w:color w:val="000000"/>
          <w:sz w:val="20"/>
        </w:rPr>
        <w:t>Jeff Miller</w:t>
      </w:r>
      <w:r>
        <w:rPr>
          <w:rFonts w:ascii="Times New Roman;sans-serif" w:hAnsi="Times New Roman;sans-serif"/>
          <w:b w:val="false"/>
          <w:color w:val="000000"/>
          <w:sz w:val="20"/>
        </w:rPr>
        <w:t>, certify that:</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1.I have reviewed this Quarterly Report on Form 10-Q of Synchronoss Technologies, Inc. for the quarter ended June 30, 2024; </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 13a-15(e) and 15d-15(e)) and internal control over financial reporting (as defined in Exchange Act Rules 13a-15(f) and 15d-15(f)) for the registrant and have:</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ind w:left="0" w:right="0" w:firstLine="720"/>
        <w:jc w:val="both"/>
        <w:rPr>
          <w:color w:val="000000"/>
        </w:rPr>
      </w:pPr>
      <w:r>
        <w:rPr>
          <w:color w:val="000000"/>
        </w:rPr>
        <w:t>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Date: August 9, 2024</w:t>
      </w:r>
    </w:p>
    <w:tbl>
      <w:tblPr>
        <w:tblW w:w="3264" w:type="dxa"/>
        <w:jc w:val="left"/>
        <w:tblInd w:w="0" w:type="dxa"/>
        <w:tblLayout w:type="fixed"/>
        <w:tblCellMar>
          <w:top w:w="28" w:type="dxa"/>
          <w:left w:w="28" w:type="dxa"/>
          <w:bottom w:w="28" w:type="dxa"/>
          <w:right w:w="28" w:type="dxa"/>
        </w:tblCellMar>
      </w:tblPr>
      <w:tblGrid>
        <w:gridCol w:w="124"/>
        <w:gridCol w:w="109"/>
        <w:gridCol w:w="109"/>
        <w:gridCol w:w="849"/>
        <w:gridCol w:w="849"/>
        <w:gridCol w:w="85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Jeff Miller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2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Jeff Miller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175260"/>
                <wp:effectExtent l="0" t="0" r="0" b="0"/>
                <wp:wrapNone/>
                <wp:docPr id="226" name="Frame2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firstLine="72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CERTIFICATION OF PRINCIPAL FINANCIAL OFFICER</w:t>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PURSUANT TO SECURITIES AND EXCHANGE COMMISSION RULE 13a-14(a)</w:t>
      </w:r>
    </w:p>
    <w:p>
      <w:pPr>
        <w:pStyle w:val="TextBody"/>
        <w:bidi w:val="0"/>
        <w:spacing w:lineRule="auto" w:line="288" w:before="0" w:after="0"/>
        <w:ind w:left="0" w:right="0" w:firstLine="720"/>
        <w:jc w:val="center"/>
        <w:rPr>
          <w:color w:val="000000"/>
        </w:rPr>
      </w:pPr>
      <w:r>
        <w:rPr>
          <w:color w:val="000000"/>
        </w:rPr>
        <w:t> </w:t>
      </w:r>
    </w:p>
    <w:p>
      <w:pPr>
        <w:pStyle w:val="TextBody"/>
        <w:bidi w:val="0"/>
        <w:spacing w:lineRule="auto" w:line="288" w:before="0" w:after="0"/>
        <w:jc w:val="both"/>
        <w:rPr/>
      </w:pPr>
      <w:r>
        <w:rPr>
          <w:rFonts w:ascii="Times New Roman;sans-serif" w:hAnsi="Times New Roman;sans-serif"/>
          <w:b w:val="false"/>
          <w:color w:val="000000"/>
          <w:sz w:val="20"/>
        </w:rPr>
        <w:t xml:space="preserve">I, </w:t>
      </w:r>
      <w:r>
        <w:rPr>
          <w:rFonts w:ascii="Times New Roman;sans-serif" w:hAnsi="Times New Roman;sans-serif"/>
          <w:b/>
          <w:color w:val="000000"/>
          <w:sz w:val="20"/>
        </w:rPr>
        <w:t>Louis Ferraro</w:t>
      </w:r>
      <w:r>
        <w:rPr>
          <w:rFonts w:ascii="Times New Roman;sans-serif" w:hAnsi="Times New Roman;sans-serif"/>
          <w:b w:val="false"/>
          <w:color w:val="000000"/>
          <w:sz w:val="20"/>
        </w:rPr>
        <w:t>, certify that:</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Synchronoss Technologies, Inc. for the quarter ended June 30, 2024;</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 13a-15(e) and 15d-15(e)) and internal control over financial reporting (as defined in Exchange Act Rules 13a-15(f) and 15d-15(f)) for the registrant and have: </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August 9, 2024 </w:t>
      </w:r>
    </w:p>
    <w:tbl>
      <w:tblPr>
        <w:tblW w:w="309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684"/>
        <w:gridCol w:w="684"/>
        <w:gridCol w:w="68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 Louis Ferraro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Louis Ferraro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175260"/>
                <wp:effectExtent l="0" t="0" r="0" b="0"/>
                <wp:wrapNone/>
                <wp:docPr id="227" name="Frame2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firstLine="72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0" w:after="0"/>
        <w:ind w:left="0" w:right="0" w:firstLine="720"/>
        <w:jc w:val="right"/>
        <w:rPr>
          <w:color w:val="000000"/>
        </w:rPr>
      </w:pPr>
      <w:r>
        <w:rPr>
          <w:color w:val="000000"/>
        </w:rPr>
        <w:t> </w:t>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w:t>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w:t>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ind w:left="0" w:right="0" w:firstLine="720"/>
        <w:jc w:val="center"/>
        <w:rPr/>
      </w:pPr>
      <w:r>
        <w:rPr>
          <w:rFonts w:ascii="Times New Roman;sans-serif" w:hAnsi="Times New Roman;sans-serif"/>
          <w:b/>
          <w:color w:val="000000"/>
          <w:sz w:val="20"/>
        </w:rPr>
        <w:t>SECTION 906 OF THE SARBANES-OXLEY ACT OF 2002</w:t>
      </w:r>
      <w:r>
        <w:rPr>
          <w:color w:val="000000"/>
        </w:rPr>
        <w:t> </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120"/>
        <w:jc w:val="both"/>
        <w:rPr/>
      </w:pPr>
      <w:r>
        <w:rPr>
          <w:rFonts w:ascii="Times New Roman;sans-serif" w:hAnsi="Times New Roman;sans-serif"/>
          <w:b w:val="false"/>
          <w:color w:val="000000"/>
          <w:sz w:val="20"/>
        </w:rPr>
        <w:t xml:space="preserve">In connection with the Quarterly Report on Form 10-Q of Synchronoss Technologies, Inc. (the “Company”) for the quarter ended June 30, 2024, as filed with the Securities and Exchange Commission on the date hereof (the “Report”), I, </w:t>
      </w:r>
      <w:r>
        <w:rPr>
          <w:rFonts w:ascii="Times New Roman;sans-serif" w:hAnsi="Times New Roman;sans-serif"/>
          <w:b/>
          <w:color w:val="000000"/>
          <w:sz w:val="20"/>
        </w:rPr>
        <w:t>Jeff Miller</w:t>
      </w:r>
      <w:r>
        <w:rPr>
          <w:rFonts w:ascii="Times New Roman;sans-serif" w:hAnsi="Times New Roman;sans-serif"/>
          <w:b w:val="false"/>
          <w:color w:val="000000"/>
          <w:sz w:val="20"/>
        </w:rPr>
        <w:t>, the Chief Executive Officer of the Company, hereby certify, pursuant to 18 U.S.C. 1350, as adopted pursuant to Section 906 of the Sarbanes-Oxley Act of 2002, to the best of my knowledge and belief that:</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as applicable, of the Securities Exchange Act of 1934, as amended, and</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certification is being provided pursuant to 18 U.S.C. 1350 and is not to be deemed a part of the Report, nor is it to be deemed to be “filed” for any purpose whatsoever.</w:t>
      </w:r>
    </w:p>
    <w:p>
      <w:pPr>
        <w:pStyle w:val="TextBody"/>
        <w:bidi w:val="0"/>
        <w:spacing w:before="200" w:after="283"/>
        <w:jc w:val="both"/>
        <w:rPr/>
      </w:pPr>
      <w:r>
        <w:rPr/>
      </w:r>
    </w:p>
    <w:p>
      <w:pPr>
        <w:pStyle w:val="TextBody"/>
        <w:bidi w:val="0"/>
        <w:spacing w:lineRule="auto" w:line="288" w:before="0" w:after="120"/>
        <w:ind w:left="0" w:right="0" w:firstLine="720"/>
        <w:jc w:val="both"/>
        <w:rPr>
          <w:color w:val="000000"/>
        </w:rPr>
      </w:pPr>
      <w:r>
        <w:rPr>
          <w:color w:val="000000"/>
        </w:rPr>
        <w:t> </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Date: August 9, 2024</w:t>
      </w:r>
    </w:p>
    <w:tbl>
      <w:tblPr>
        <w:tblW w:w="359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849"/>
        <w:gridCol w:w="849"/>
        <w:gridCol w:w="85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Jeff Miller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Jeff Miller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color w:val="000000"/>
        </w:rPr>
      </w:pPr>
      <w:r>
        <w:rPr>
          <w:color w:val="000000"/>
        </w:rPr>
        <w:t> </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175260"/>
                <wp:effectExtent l="0" t="0" r="0" b="0"/>
                <wp:wrapNone/>
                <wp:docPr id="228" name="Frame2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firstLine="72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0" w:after="0"/>
        <w:ind w:left="0" w:right="0" w:firstLine="720"/>
        <w:jc w:val="righ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PRINCIPAL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pPr>
      <w:r>
        <w:rPr>
          <w:rFonts w:ascii="Times New Roman;sans-serif" w:hAnsi="Times New Roman;sans-serif"/>
          <w:b/>
          <w:color w:val="000000"/>
          <w:sz w:val="20"/>
        </w:rPr>
        <w:t>SECTION 906 OF THE SARBANES-OXLEY ACT OF 2002</w:t>
      </w:r>
      <w:r>
        <w:rPr>
          <w:color w:val="000000"/>
        </w:rPr>
        <w:t> </w:t>
      </w:r>
    </w:p>
    <w:p>
      <w:pPr>
        <w:pStyle w:val="TextBody"/>
        <w:bidi w:val="0"/>
        <w:spacing w:lineRule="auto" w:line="288" w:before="0" w:after="0"/>
        <w:ind w:left="0" w:right="0" w:firstLine="720"/>
        <w:jc w:val="center"/>
        <w:rPr>
          <w:color w:val="000000"/>
        </w:rPr>
      </w:pPr>
      <w:r>
        <w:rPr>
          <w:color w:val="000000"/>
        </w:rPr>
        <w:t> </w:t>
      </w:r>
    </w:p>
    <w:p>
      <w:pPr>
        <w:pStyle w:val="TextBody"/>
        <w:bidi w:val="0"/>
        <w:spacing w:lineRule="auto" w:line="288" w:before="0" w:after="120"/>
        <w:jc w:val="both"/>
        <w:rPr/>
      </w:pPr>
      <w:r>
        <w:rPr>
          <w:rFonts w:ascii="Times New Roman;sans-serif" w:hAnsi="Times New Roman;sans-serif"/>
          <w:b w:val="false"/>
          <w:color w:val="000000"/>
          <w:sz w:val="20"/>
        </w:rPr>
        <w:t xml:space="preserve">In connection with the Quarterly Report on Form 10-Q of Synchronoss Technologies, Inc. (the “Company”) for the quarter ended June 30, 2024, as filed with the Securities and Exchange Commission on the date hereof (the “Report”), I, </w:t>
      </w:r>
      <w:r>
        <w:rPr>
          <w:rFonts w:ascii="Times New Roman;sans-serif" w:hAnsi="Times New Roman;sans-serif"/>
          <w:b/>
          <w:color w:val="000000"/>
          <w:sz w:val="20"/>
        </w:rPr>
        <w:t>Louis Ferraro</w:t>
      </w:r>
      <w:r>
        <w:rPr>
          <w:rFonts w:ascii="Times New Roman;sans-serif" w:hAnsi="Times New Roman;sans-serif"/>
          <w:b w:val="false"/>
          <w:color w:val="000000"/>
          <w:sz w:val="20"/>
        </w:rPr>
        <w:t>, the Chief Financial Officer of the Company, hereby certify, pursuant to 18 U.S.C. 1350, as adopted pursuant to Section 906 of the Sarbanes-Oxley Act of 2002, to the best of my knowledge and belief that:</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as applicable, of the Securities Exchange Act of 1934, as amended, and</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certification is being provided pursuant to 18 U.S.C. 1350 and is not to be deemed a part of the Report, nor is it to be deemed to be “filed” for any purpose whatsoever.</w:t>
      </w:r>
    </w:p>
    <w:p>
      <w:pPr>
        <w:pStyle w:val="TextBody"/>
        <w:bidi w:val="0"/>
        <w:spacing w:before="200" w:after="283"/>
        <w:jc w:val="both"/>
        <w:rPr/>
      </w:pPr>
      <w:r>
        <w:rPr/>
      </w:r>
    </w:p>
    <w:p>
      <w:pPr>
        <w:pStyle w:val="TextBody"/>
        <w:bidi w:val="0"/>
        <w:spacing w:lineRule="auto" w:line="288" w:before="0" w:after="120"/>
        <w:ind w:left="0" w:right="0" w:firstLine="720"/>
        <w:jc w:val="both"/>
        <w:rPr>
          <w:color w:val="000000"/>
        </w:rPr>
      </w:pPr>
      <w:r>
        <w:rPr>
          <w:color w:val="000000"/>
        </w:rPr>
        <w:t> </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Date: August 9, 2024</w:t>
      </w:r>
    </w:p>
    <w:tbl>
      <w:tblPr>
        <w:tblW w:w="309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684"/>
        <w:gridCol w:w="684"/>
        <w:gridCol w:w="68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 Louis Ferraro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Louis Ferraro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175260"/>
                <wp:effectExtent l="0" t="0" r="0" b="0"/>
                <wp:wrapNone/>
                <wp:docPr id="229" name="Frame2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131554/000113155423000013/sncr-123122xex31restatedce.htm" TargetMode="External"/><Relationship Id="rId3" Type="http://schemas.openxmlformats.org/officeDocument/2006/relationships/hyperlink" Target="https://www.sec.gov/Archives/edgar/data/1131554/000113155422000035/sncr-exhx31certificateofam.htm" TargetMode="External"/><Relationship Id="rId4" Type="http://schemas.openxmlformats.org/officeDocument/2006/relationships/hyperlink" Target="https://www.sec.gov/Archives/edgar/data/1131554/000095012306005985/y15440a2exv3w4.txt" TargetMode="External"/><Relationship Id="rId5" Type="http://schemas.openxmlformats.org/officeDocument/2006/relationships/hyperlink" Target="https://www.sec.gov/Archives/edgar/data/1131554/000110465918010721/a18-6289_1ex3d2.htm" TargetMode="External"/><Relationship Id="rId6" Type="http://schemas.openxmlformats.org/officeDocument/2006/relationships/hyperlink" Target="https://www.sec.gov/Archives/edgar/data/1131554/000110465921087598/tm2120300d3_ex3-3.htm" TargetMode="External"/><Relationship Id="rId7" Type="http://schemas.openxmlformats.org/officeDocument/2006/relationships/hyperlink" Target="https://www.sec.gov/Archives/edgar/data/1131554/000110465921087598/tm2120300d3_ex3-1.htm" TargetMode="External"/><Relationship Id="rId8" Type="http://schemas.openxmlformats.org/officeDocument/2006/relationships/hyperlink" Target="https://www.sec.gov/Archives/edgar/data/1131554/000113155423000098/exh31sncr-certificateofame.htm" TargetMode="External"/><Relationship Id="rId9" Type="http://schemas.openxmlformats.org/officeDocument/2006/relationships/hyperlink" Target="https://www.sec.gov/Archives/edgar/data/1131554/000113155424000066/exh31sncr-certificateofeli.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188</Pages>
  <Words>117514</Words>
  <Characters>627816</Characters>
  <CharactersWithSpaces>743896</CharactersWithSpaces>
  <Paragraphs>4791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