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(Mark One)</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2" w:type="dxa"/>
        <w:jc w:val="center"/>
        <w:tblInd w:w="0" w:type="dxa"/>
        <w:tblLayout w:type="fixed"/>
        <w:tblCellMar>
          <w:top w:w="28" w:type="dxa"/>
          <w:left w:w="28" w:type="dxa"/>
          <w:bottom w:w="28" w:type="dxa"/>
          <w:right w:w="28" w:type="dxa"/>
        </w:tblCellMar>
      </w:tblPr>
      <w:tblGrid>
        <w:gridCol w:w="124"/>
        <w:gridCol w:w="109"/>
        <w:gridCol w:w="109"/>
        <w:gridCol w:w="2758"/>
        <w:gridCol w:w="2758"/>
        <w:gridCol w:w="3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001-40574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SYNCHRONOSS TECHNOLOGIES,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80" w:type="dxa"/>
        <w:jc w:val="center"/>
        <w:tblInd w:w="0" w:type="dxa"/>
        <w:tblLayout w:type="fixed"/>
        <w:tblCellMar>
          <w:top w:w="28" w:type="dxa"/>
          <w:left w:w="28" w:type="dxa"/>
          <w:bottom w:w="28" w:type="dxa"/>
          <w:right w:w="28" w:type="dxa"/>
        </w:tblCellMar>
      </w:tblPr>
      <w:tblGrid>
        <w:gridCol w:w="1056"/>
        <w:gridCol w:w="931"/>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06-1594540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200 Crossing Boulevard, 8th Floor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Bridgewater, New Jersey</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08807</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(866) 620-3940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or a non-accelerated filer. See definition of “accelerated filer and large accelerated filer” in Rule 12b-2 of the Exchange Act. (Check one):</w:t>
      </w:r>
    </w:p>
    <w:tbl>
      <w:tblPr>
        <w:tblW w:w="5210"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709"/>
        <w:gridCol w:w="709"/>
        <w:gridCol w:w="712"/>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41" w:type="dxa"/>
        <w:jc w:val="left"/>
        <w:tblInd w:w="0" w:type="dxa"/>
        <w:tblLayout w:type="fixed"/>
        <w:tblCellMar>
          <w:top w:w="28" w:type="dxa"/>
          <w:left w:w="28" w:type="dxa"/>
          <w:bottom w:w="28" w:type="dxa"/>
          <w:right w:w="28" w:type="dxa"/>
        </w:tblCellMar>
      </w:tblPr>
      <w:tblGrid>
        <w:gridCol w:w="903"/>
        <w:gridCol w:w="795"/>
        <w:gridCol w:w="806"/>
        <w:gridCol w:w="109"/>
        <w:gridCol w:w="109"/>
        <w:gridCol w:w="109"/>
        <w:gridCol w:w="504"/>
        <w:gridCol w:w="504"/>
        <w:gridCol w:w="506"/>
        <w:gridCol w:w="109"/>
        <w:gridCol w:w="109"/>
        <w:gridCol w:w="109"/>
        <w:gridCol w:w="956"/>
        <w:gridCol w:w="956"/>
        <w:gridCol w:w="1357"/>
      </w:tblGrid>
      <w:tr>
        <w:trPr/>
        <w:tc>
          <w:tcPr>
            <w:tcW w:w="9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0"/>
        <w:jc w:val="both"/>
        <w:rPr/>
      </w:pPr>
      <w:r>
        <w:rPr>
          <w:rFonts w:ascii="Times New Roman;serif" w:hAnsi="Times New Roman;serif"/>
          <w:b w:val="false"/>
          <w:color w:val="000000"/>
          <w:sz w:val="18"/>
        </w:rPr>
        <w:t>As of November 3, 2025, there were 11,507,434 s</w:t>
      </w:r>
      <w:r>
        <w:rPr>
          <w:rFonts w:ascii="Times New Roman;serif" w:hAnsi="Times New Roman;serif"/>
          <w:b w:val="false"/>
          <w:color w:val="000000"/>
          <w:sz w:val="18"/>
          <w:shd w:fill="FFFFFF" w:val="clear"/>
        </w:rPr>
        <w:t xml:space="preserve">hares of common stock issued </w:t>
      </w:r>
      <w:r>
        <w:rPr>
          <w:rFonts w:ascii="Times New Roman;serif" w:hAnsi="Times New Roman;serif"/>
          <w:b w:val="false"/>
          <w:color w:val="000000"/>
          <w:sz w:val="18"/>
        </w:rPr>
        <w:t>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 INDEX</w:t>
      </w:r>
    </w:p>
    <w:tbl>
      <w:tblPr>
        <w:tblW w:w="9060" w:type="dxa"/>
        <w:jc w:val="center"/>
        <w:tblInd w:w="0" w:type="dxa"/>
        <w:tblLayout w:type="fixed"/>
        <w:tblCellMar>
          <w:top w:w="28" w:type="dxa"/>
          <w:left w:w="28" w:type="dxa"/>
          <w:bottom w:w="28" w:type="dxa"/>
          <w:right w:w="28" w:type="dxa"/>
        </w:tblCellMar>
      </w:tblPr>
      <w:tblGrid>
        <w:gridCol w:w="299"/>
        <w:gridCol w:w="262"/>
        <w:gridCol w:w="264"/>
        <w:gridCol w:w="2454"/>
        <w:gridCol w:w="2454"/>
        <w:gridCol w:w="2457"/>
        <w:gridCol w:w="254"/>
        <w:gridCol w:w="254"/>
        <w:gridCol w:w="362"/>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0">
              <w:r>
                <w:rPr>
                  <w:rStyle w:val="InternetLink"/>
                  <w:rFonts w:ascii="Times New Roman;serif" w:hAnsi="Times New Roman;serif"/>
                  <w:b w:val="false"/>
                  <w:color w:val="0000FF"/>
                  <w:sz w:val="20"/>
                  <w:u w:val="single"/>
                </w:rPr>
                <w:t>PART I.</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0">
              <w:r>
                <w:rPr>
                  <w:rStyle w:val="InternetLink"/>
                  <w:rFonts w:ascii="Times New Roman;serif" w:hAnsi="Times New Roman;serif"/>
                  <w:b w:val="false"/>
                  <w:color w:val="0000FF"/>
                  <w:sz w:val="20"/>
                  <w:u w:val="single"/>
                </w:rPr>
                <w:t>FINANCIAL INFORMATION</w:t>
              </w:r>
            </w:hyperlink>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c86fb0290a04e479b84893e8c87bea5_10">
              <w:r>
                <w:rPr>
                  <w:rStyle w:val="InternetLink"/>
                  <w:rFonts w:ascii="Times New Roman;serif" w:hAnsi="Times New Roman;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3">
              <w:r>
                <w:rPr>
                  <w:rStyle w:val="InternetLink"/>
                  <w:rFonts w:ascii="Times New Roman;serif" w:hAnsi="Times New Roman;serif"/>
                  <w:b w:val="false"/>
                  <w:color w:val="0000FF"/>
                  <w:sz w:val="20"/>
                  <w:u w:val="single"/>
                </w:rPr>
                <w:t>Item 1.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3">
              <w:r>
                <w:rPr>
                  <w:rStyle w:val="InternetLink"/>
                  <w:rFonts w:ascii="Times New Roman;serif" w:hAnsi="Times New Roman;serif"/>
                  <w:b w:val="false"/>
                  <w:color w:val="0000FF"/>
                  <w:sz w:val="20"/>
                  <w:u w:val="single"/>
                </w:rPr>
                <w:t>Condensed Consolidated Financial Statements and Notes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3">
              <w:r>
                <w:rPr>
                  <w:rStyle w:val="InternetLink"/>
                  <w:rFonts w:ascii="Times New Roman;serif" w:hAnsi="Times New Roman;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
              <w:r>
                <w:rPr>
                  <w:rStyle w:val="InternetLink"/>
                  <w:rFonts w:ascii="Times New Roman;serif" w:hAnsi="Times New Roman;serif"/>
                  <w:b w:val="false"/>
                  <w:color w:val="0000FF"/>
                  <w:sz w:val="20"/>
                  <w:u w:val="single"/>
                </w:rPr>
                <w:t>Condensed Consolidated Balance Sheets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6">
              <w:r>
                <w:rPr>
                  <w:rStyle w:val="InternetLink"/>
                  <w:rFonts w:ascii="Times New Roman;serif" w:hAnsi="Times New Roman;serif"/>
                  <w:b w:val="false"/>
                  <w:color w:val="0000FF"/>
                  <w:sz w:val="20"/>
                  <w:u w:val="single"/>
                </w:rPr>
                <w:t>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9">
              <w:r>
                <w:rPr>
                  <w:rStyle w:val="InternetLink"/>
                  <w:rFonts w:ascii="Times New Roman;serif" w:hAnsi="Times New Roman;serif"/>
                  <w:b w:val="false"/>
                  <w:color w:val="0000FF"/>
                  <w:sz w:val="20"/>
                  <w:u w:val="single"/>
                </w:rPr>
                <w:t>Condensed Consolidated Statements of Operations (unaudited)</w:t>
              </w:r>
            </w:hyperlink>
            <w:r>
              <w:rPr>
                <w:color w:val="000000"/>
              </w:rPr>
              <w:t> </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9">
              <w:r>
                <w:rPr>
                  <w:rStyle w:val="InternetLink"/>
                  <w:rFonts w:ascii="Times New Roman;serif" w:hAnsi="Times New Roman;serif"/>
                  <w:b w:val="false"/>
                  <w:color w:val="0000FF"/>
                  <w:sz w:val="20"/>
                  <w:u w:val="single"/>
                </w:rPr>
                <w:t>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22">
              <w:r>
                <w:rPr>
                  <w:rStyle w:val="InternetLink"/>
                  <w:rFonts w:ascii="Times New Roman;serif" w:hAnsi="Times New Roman;serif"/>
                  <w:b w:val="false"/>
                  <w:color w:val="0000FF"/>
                  <w:sz w:val="20"/>
                  <w:u w:val="single"/>
                </w:rPr>
                <w:t>Condensed Consolidated Statements of Comprehensive Income (Loss) (unaudited)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22">
              <w:r>
                <w:rPr>
                  <w:rStyle w:val="InternetLink"/>
                  <w:rFonts w:ascii="Times New Roman;serif" w:hAnsi="Times New Roman;serif"/>
                  <w:b w:val="false"/>
                  <w:color w:val="0000FF"/>
                  <w:sz w:val="20"/>
                  <w:u w:val="single"/>
                </w:rPr>
                <w:t>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25">
              <w:r>
                <w:rPr>
                  <w:rStyle w:val="InternetLink"/>
                  <w:rFonts w:ascii="Times New Roman;serif" w:hAnsi="Times New Roman;serif"/>
                  <w:b w:val="false"/>
                  <w:color w:val="0000FF"/>
                  <w:sz w:val="20"/>
                  <w:u w:val="single"/>
                </w:rPr>
                <w:t>Condensed Consolidated Statements of Stockholders’ Equity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25">
              <w:r>
                <w:rPr>
                  <w:rStyle w:val="InternetLink"/>
                  <w:rFonts w:ascii="Times New Roman;serif" w:hAnsi="Times New Roman;serif"/>
                  <w:b w:val="false"/>
                  <w:color w:val="0000FF"/>
                  <w:sz w:val="20"/>
                  <w:u w:val="single"/>
                </w:rPr>
                <w:t>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31">
              <w:r>
                <w:rPr>
                  <w:rStyle w:val="InternetLink"/>
                  <w:rFonts w:ascii="Times New Roman;serif" w:hAnsi="Times New Roman;serif"/>
                  <w:b w:val="false"/>
                  <w:color w:val="0000FF"/>
                  <w:sz w:val="20"/>
                  <w:u w:val="single"/>
                </w:rPr>
                <w:t>Condensed Consolidated Statements of Cash Flows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31">
              <w:r>
                <w:rPr>
                  <w:rStyle w:val="InternetLink"/>
                  <w:rFonts w:ascii="Times New Roman;serif" w:hAnsi="Times New Roman;serif"/>
                  <w:b w:val="false"/>
                  <w:color w:val="0000FF"/>
                  <w:sz w:val="20"/>
                  <w:u w:val="single"/>
                </w:rPr>
                <w:t>8</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37">
              <w:r>
                <w:rPr>
                  <w:rStyle w:val="InternetLink"/>
                  <w:rFonts w:ascii="Times New Roman;serif" w:hAnsi="Times New Roman;serif"/>
                  <w:b w:val="false"/>
                  <w:color w:val="0000FF"/>
                  <w:sz w:val="20"/>
                  <w:u w:val="single"/>
                </w:rPr>
                <w:t>Notes to Condensed Consolidated Financial Statements (unaudited)</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37">
              <w:r>
                <w:rPr>
                  <w:rStyle w:val="InternetLink"/>
                  <w:rFonts w:ascii="Times New Roman;serif" w:hAnsi="Times New Roman;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40">
              <w:r>
                <w:rPr>
                  <w:rStyle w:val="InternetLink"/>
                  <w:rFonts w:ascii="Times New Roman;serif" w:hAnsi="Times New Roman;serif"/>
                  <w:b w:val="false"/>
                  <w:color w:val="0000FF"/>
                  <w:sz w:val="20"/>
                  <w:u w:val="single"/>
                </w:rPr>
                <w:t xml:space="preserve">Note 1. Description of Business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40">
              <w:r>
                <w:rPr>
                  <w:rStyle w:val="InternetLink"/>
                  <w:rFonts w:ascii="Times New Roman;serif" w:hAnsi="Times New Roman;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43">
              <w:r>
                <w:rPr>
                  <w:rStyle w:val="InternetLink"/>
                  <w:rFonts w:ascii="Times New Roman;serif" w:hAnsi="Times New Roman;serif"/>
                  <w:b w:val="false"/>
                  <w:color w:val="0000FF"/>
                  <w:sz w:val="20"/>
                  <w:u w:val="single"/>
                </w:rPr>
                <w:t>Note 2. Basis of Presentation and Consolidation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43">
              <w:r>
                <w:rPr>
                  <w:rStyle w:val="InternetLink"/>
                  <w:rFonts w:ascii="Times New Roman;serif" w:hAnsi="Times New Roman;serif"/>
                  <w:b w:val="false"/>
                  <w:color w:val="0000FF"/>
                  <w:sz w:val="20"/>
                  <w:u w:val="single"/>
                </w:rPr>
                <w:t>10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46">
              <w:r>
                <w:rPr>
                  <w:rStyle w:val="InternetLink"/>
                  <w:rFonts w:ascii="Times New Roman;serif" w:hAnsi="Times New Roman;serif"/>
                  <w:b w:val="false"/>
                  <w:color w:val="0000FF"/>
                  <w:sz w:val="20"/>
                  <w:u w:val="single"/>
                </w:rPr>
                <w:t>Note 3. Revenue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46">
              <w:r>
                <w:rPr>
                  <w:rStyle w:val="InternetLink"/>
                  <w:rFonts w:ascii="Times New Roman;serif" w:hAnsi="Times New Roman;serif"/>
                  <w:b w:val="false"/>
                  <w:color w:val="0000FF"/>
                  <w:sz w:val="20"/>
                  <w:u w:val="single"/>
                </w:rPr>
                <w:t>12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cc86fb0290a04e479b84893e8c87bea5_49">
              <w:r>
                <w:rPr>
                  <w:rStyle w:val="InternetLink"/>
                  <w:rFonts w:ascii="Times New Roman;serif" w:hAnsi="Times New Roman;serif"/>
                  <w:b w:val="false"/>
                  <w:color w:val="0000FF"/>
                  <w:sz w:val="20"/>
                  <w:u w:val="single"/>
                </w:rPr>
                <w:t>Note 4. Segments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49">
              <w:r>
                <w:rPr>
                  <w:rStyle w:val="InternetLink"/>
                  <w:rFonts w:ascii="Times New Roman;serif" w:hAnsi="Times New Roman;serif"/>
                  <w:b w:val="false"/>
                  <w:color w:val="0000FF"/>
                  <w:sz w:val="20"/>
                  <w:u w:val="single"/>
                </w:rPr>
                <w:t>14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icc86fb0290a04e479b84893e8c87bea5_55">
              <w:r>
                <w:rPr>
                  <w:rStyle w:val="InternetLink"/>
                  <w:rFonts w:ascii="Times New Roman;serif" w:hAnsi="Times New Roman;serif"/>
                  <w:b w:val="false"/>
                  <w:color w:val="0000FF"/>
                  <w:sz w:val="20"/>
                  <w:u w:val="single"/>
                </w:rPr>
                <w:t>Note 5. Accounts Receivable Securitization Facility</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55">
              <w:r>
                <w:rPr>
                  <w:rStyle w:val="InternetLink"/>
                  <w:rFonts w:ascii="Times New Roman;serif" w:hAnsi="Times New Roman;serif"/>
                  <w:b w:val="false"/>
                  <w:color w:val="0000FF"/>
                  <w:sz w:val="20"/>
                  <w:u w:val="single"/>
                </w:rPr>
                <w:t>15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58">
              <w:r>
                <w:rPr>
                  <w:rStyle w:val="InternetLink"/>
                  <w:rFonts w:ascii="Times New Roman;serif" w:hAnsi="Times New Roman;serif"/>
                  <w:b w:val="false"/>
                  <w:color w:val="0000FF"/>
                  <w:sz w:val="20"/>
                  <w:u w:val="single"/>
                </w:rPr>
                <w:t>Note 6. Fair Value Measurements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58">
              <w:r>
                <w:rPr>
                  <w:rStyle w:val="InternetLink"/>
                  <w:rFonts w:ascii="Times New Roman;serif" w:hAnsi="Times New Roman;serif"/>
                  <w:b w:val="false"/>
                  <w:color w:val="0000FF"/>
                  <w:sz w:val="20"/>
                  <w:u w:val="single"/>
                </w:rPr>
                <w:t>16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61">
              <w:r>
                <w:rPr>
                  <w:rStyle w:val="InternetLink"/>
                  <w:rFonts w:ascii="Times New Roman;serif" w:hAnsi="Times New Roman;serif"/>
                  <w:b w:val="false"/>
                  <w:color w:val="0000FF"/>
                  <w:sz w:val="20"/>
                  <w:u w:val="single"/>
                </w:rPr>
                <w:t>Note 7. Note Receivable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61">
              <w:r>
                <w:rPr>
                  <w:rStyle w:val="InternetLink"/>
                  <w:rFonts w:ascii="Times New Roman;serif" w:hAnsi="Times New Roman;serif"/>
                  <w:b w:val="false"/>
                  <w:color w:val="0000FF"/>
                  <w:sz w:val="20"/>
                  <w:u w:val="single"/>
                </w:rPr>
                <w:t>16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64">
              <w:r>
                <w:rPr>
                  <w:rStyle w:val="InternetLink"/>
                  <w:rFonts w:ascii="Times New Roman;serif" w:hAnsi="Times New Roman;serif"/>
                  <w:b w:val="false"/>
                  <w:color w:val="0000FF"/>
                  <w:sz w:val="20"/>
                  <w:u w:val="single"/>
                </w:rPr>
                <w:t>Note 8. Leases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64">
              <w:r>
                <w:rPr>
                  <w:rStyle w:val="InternetLink"/>
                  <w:rFonts w:ascii="Times New Roman;serif" w:hAnsi="Times New Roman;serif"/>
                  <w:b w:val="false"/>
                  <w:color w:val="0000FF"/>
                  <w:sz w:val="20"/>
                  <w:u w:val="single"/>
                </w:rPr>
                <w:t>17</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67">
              <w:r>
                <w:rPr>
                  <w:rStyle w:val="InternetLink"/>
                  <w:rFonts w:ascii="Times New Roman;serif" w:hAnsi="Times New Roman;serif"/>
                  <w:b w:val="false"/>
                  <w:color w:val="0000FF"/>
                  <w:sz w:val="20"/>
                  <w:u w:val="single"/>
                </w:rPr>
                <w:t>Note 9. Debt</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67">
              <w:r>
                <w:rPr>
                  <w:rStyle w:val="InternetLink"/>
                  <w:rFonts w:ascii="Times New Roman;serif" w:hAnsi="Times New Roman;serif"/>
                  <w:b w:val="false"/>
                  <w:color w:val="0000FF"/>
                  <w:sz w:val="20"/>
                  <w:u w:val="single"/>
                </w:rPr>
                <w:t>20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70">
              <w:r>
                <w:rPr>
                  <w:rStyle w:val="InternetLink"/>
                  <w:rFonts w:ascii="Times New Roman;serif" w:hAnsi="Times New Roman;serif"/>
                  <w:b w:val="false"/>
                  <w:color w:val="0000FF"/>
                  <w:sz w:val="20"/>
                  <w:u w:val="single"/>
                </w:rPr>
                <w:t xml:space="preserve">Note 10. Accumulated Other Comprehensive Loss </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70">
              <w:r>
                <w:rPr>
                  <w:rStyle w:val="InternetLink"/>
                  <w:rFonts w:ascii="Times New Roman;serif" w:hAnsi="Times New Roman;serif"/>
                  <w:b w:val="false"/>
                  <w:color w:val="0000FF"/>
                  <w:sz w:val="20"/>
                  <w:u w:val="single"/>
                </w:rPr>
                <w:t>25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73">
              <w:r>
                <w:rPr>
                  <w:rStyle w:val="InternetLink"/>
                  <w:rFonts w:ascii="Times New Roman;serif" w:hAnsi="Times New Roman;serif"/>
                  <w:b w:val="false"/>
                  <w:color w:val="0000FF"/>
                  <w:sz w:val="20"/>
                  <w:u w:val="single"/>
                </w:rPr>
                <w:t>Note 11. Capital Structure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73">
              <w:r>
                <w:rPr>
                  <w:rStyle w:val="InternetLink"/>
                  <w:rFonts w:ascii="Times New Roman;serif" w:hAnsi="Times New Roman;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85">
              <w:r>
                <w:rPr>
                  <w:rStyle w:val="InternetLink"/>
                  <w:rFonts w:ascii="Times New Roman;serif" w:hAnsi="Times New Roman;serif"/>
                  <w:b w:val="false"/>
                  <w:color w:val="0000FF"/>
                  <w:sz w:val="20"/>
                  <w:u w:val="single"/>
                </w:rPr>
                <w:t>Note 12. Restructuring</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85">
              <w:r>
                <w:rPr>
                  <w:rStyle w:val="InternetLink"/>
                  <w:rFonts w:ascii="Times New Roman;serif" w:hAnsi="Times New Roman;serif"/>
                  <w:b w:val="false"/>
                  <w:color w:val="0000FF"/>
                  <w:sz w:val="20"/>
                  <w:u w:val="single"/>
                </w:rPr>
                <w:t>30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88">
              <w:r>
                <w:rPr>
                  <w:rStyle w:val="InternetLink"/>
                  <w:rFonts w:ascii="Times New Roman;serif" w:hAnsi="Times New Roman;serif"/>
                  <w:b w:val="false"/>
                  <w:color w:val="0000FF"/>
                  <w:sz w:val="20"/>
                  <w:u w:val="single"/>
                </w:rPr>
                <w:t>Note 13. Income Taxes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88">
              <w:r>
                <w:rPr>
                  <w:rStyle w:val="InternetLink"/>
                  <w:rFonts w:ascii="Times New Roman;serif" w:hAnsi="Times New Roman;serif"/>
                  <w:b w:val="false"/>
                  <w:color w:val="0000FF"/>
                  <w:sz w:val="20"/>
                  <w:u w:val="single"/>
                </w:rPr>
                <w:t>30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91">
              <w:r>
                <w:rPr>
                  <w:rStyle w:val="InternetLink"/>
                  <w:rFonts w:ascii="Times New Roman;serif" w:hAnsi="Times New Roman;serif"/>
                  <w:b w:val="false"/>
                  <w:color w:val="0000FF"/>
                  <w:sz w:val="20"/>
                  <w:u w:val="single"/>
                </w:rPr>
                <w:t>Note 14. Earnings Per Common Share</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91">
              <w:r>
                <w:rPr>
                  <w:rStyle w:val="InternetLink"/>
                  <w:rFonts w:ascii="Times New Roman;serif" w:hAnsi="Times New Roman;serif"/>
                  <w:b w:val="false"/>
                  <w:color w:val="0000FF"/>
                  <w:sz w:val="20"/>
                  <w:u w:val="single"/>
                </w:rPr>
                <w:t>31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94">
              <w:r>
                <w:rPr>
                  <w:rStyle w:val="InternetLink"/>
                  <w:rFonts w:ascii="Times New Roman;serif" w:hAnsi="Times New Roman;serif"/>
                  <w:b w:val="false"/>
                  <w:color w:val="0000FF"/>
                  <w:sz w:val="20"/>
                  <w:u w:val="single"/>
                </w:rPr>
                <w:t>Note 15. Commitments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94">
              <w:r>
                <w:rPr>
                  <w:rStyle w:val="InternetLink"/>
                  <w:rFonts w:ascii="Times New Roman;serif" w:hAnsi="Times New Roman;serif"/>
                  <w:b w:val="false"/>
                  <w:color w:val="0000FF"/>
                  <w:sz w:val="20"/>
                  <w:u w:val="single"/>
                </w:rPr>
                <w:t>32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97">
              <w:r>
                <w:rPr>
                  <w:rStyle w:val="InternetLink"/>
                  <w:rFonts w:ascii="Times New Roman;serif" w:hAnsi="Times New Roman;serif"/>
                  <w:b w:val="false"/>
                  <w:color w:val="0000FF"/>
                  <w:sz w:val="20"/>
                  <w:u w:val="single"/>
                </w:rPr>
                <w:t>Note 16. Legal Matters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97">
              <w:r>
                <w:rPr>
                  <w:rStyle w:val="InternetLink"/>
                  <w:rFonts w:ascii="Times New Roman;serif" w:hAnsi="Times New Roman;serif"/>
                  <w:b w:val="false"/>
                  <w:color w:val="0000FF"/>
                  <w:sz w:val="20"/>
                  <w:u w:val="single"/>
                </w:rPr>
                <w:t>33</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06">
              <w:r>
                <w:rPr>
                  <w:rStyle w:val="InternetLink"/>
                  <w:rFonts w:ascii="Times New Roman;serif" w:hAnsi="Times New Roman;serif"/>
                  <w:b w:val="false"/>
                  <w:color w:val="0000FF"/>
                  <w:sz w:val="20"/>
                  <w:u w:val="single"/>
                </w:rPr>
                <w:t>Item 2.</w:t>
              </w:r>
            </w:hyperlink>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06">
              <w:r>
                <w:rPr>
                  <w:rStyle w:val="InternetLink"/>
                  <w:rFonts w:ascii="Times New Roman;serif" w:hAnsi="Times New Roman;serif"/>
                  <w:b w:val="false"/>
                  <w:color w:val="0000FF"/>
                  <w:sz w:val="20"/>
                  <w:u w:val="single"/>
                </w:rPr>
                <w:t>34</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1">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1">
              <w:r>
                <w:rPr>
                  <w:rStyle w:val="InternetLink"/>
                  <w:rFonts w:ascii="Times New Roman;serif" w:hAnsi="Times New Roman;serif"/>
                  <w:b w:val="false"/>
                  <w:color w:val="0000FF"/>
                  <w:sz w:val="20"/>
                  <w:u w:val="single"/>
                </w:rPr>
                <w:t>Quantitative and Qualitative Disclosures About Market Risk</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51">
              <w:r>
                <w:rPr>
                  <w:rStyle w:val="InternetLink"/>
                  <w:rFonts w:ascii="Times New Roman;serif" w:hAnsi="Times New Roman;serif"/>
                  <w:b w:val="false"/>
                  <w:color w:val="0000FF"/>
                  <w:sz w:val="20"/>
                  <w:u w:val="single"/>
                </w:rPr>
                <w:t>41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4">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4">
              <w:r>
                <w:rPr>
                  <w:rStyle w:val="InternetLink"/>
                  <w:rFonts w:ascii="Times New Roman;serif" w:hAnsi="Times New Roman;serif"/>
                  <w:b w:val="false"/>
                  <w:color w:val="0000FF"/>
                  <w:sz w:val="20"/>
                  <w:u w:val="single"/>
                </w:rPr>
                <w:t>Controls and Procedures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54">
              <w:r>
                <w:rPr>
                  <w:rStyle w:val="InternetLink"/>
                  <w:rFonts w:ascii="Times New Roman;serif" w:hAnsi="Times New Roman;serif"/>
                  <w:b w:val="false"/>
                  <w:color w:val="0000FF"/>
                  <w:sz w:val="20"/>
                  <w:u w:val="single"/>
                </w:rPr>
                <w:t>42</w:t>
              </w:r>
            </w:hyperlink>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7">
              <w:r>
                <w:rPr>
                  <w:rStyle w:val="InternetLink"/>
                  <w:rFonts w:ascii="Times New Roman;serif" w:hAnsi="Times New Roman;serif"/>
                  <w:b w:val="false"/>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57">
              <w:r>
                <w:rPr>
                  <w:rStyle w:val="InternetLink"/>
                  <w:rFonts w:ascii="Times New Roman;serif" w:hAnsi="Times New Roman;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57">
              <w:r>
                <w:rPr>
                  <w:rStyle w:val="InternetLink"/>
                  <w:rFonts w:ascii="Times New Roman;serif" w:hAnsi="Times New Roman;serif"/>
                  <w:b w:val="false"/>
                  <w:color w:val="0000FF"/>
                  <w:sz w:val="20"/>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0">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0">
              <w:r>
                <w:rPr>
                  <w:rStyle w:val="InternetLink"/>
                  <w:rFonts w:ascii="Times New Roman;serif" w:hAnsi="Times New Roman;serif"/>
                  <w:b w:val="false"/>
                  <w:color w:val="0000FF"/>
                  <w:sz w:val="20"/>
                  <w:u w:val="single"/>
                </w:rPr>
                <w:t>Legal Proceedings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60">
              <w:r>
                <w:rPr>
                  <w:rStyle w:val="InternetLink"/>
                  <w:rFonts w:ascii="Times New Roman;serif" w:hAnsi="Times New Roman;serif"/>
                  <w:b w:val="false"/>
                  <w:color w:val="0000FF"/>
                  <w:sz w:val="20"/>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3">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3">
              <w:r>
                <w:rPr>
                  <w:rStyle w:val="InternetLink"/>
                  <w:rFonts w:ascii="Times New Roman;serif" w:hAnsi="Times New Roman;serif"/>
                  <w:b w:val="false"/>
                  <w:color w:val="0000FF"/>
                  <w:sz w:val="20"/>
                  <w:u w:val="single"/>
                </w:rPr>
                <w:t>Risk Factors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63">
              <w:r>
                <w:rPr>
                  <w:rStyle w:val="InternetLink"/>
                  <w:rFonts w:ascii="Times New Roman;serif" w:hAnsi="Times New Roman;serif"/>
                  <w:b w:val="false"/>
                  <w:color w:val="0000FF"/>
                  <w:sz w:val="20"/>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6">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6">
              <w:r>
                <w:rPr>
                  <w:rStyle w:val="InternetLink"/>
                  <w:rFonts w:ascii="Times New Roman;serif" w:hAnsi="Times New Roman;serif"/>
                  <w:b w:val="false"/>
                  <w:color w:val="0000FF"/>
                  <w:sz w:val="20"/>
                  <w:u w:val="single"/>
                </w:rPr>
                <w:t>Unregistered Sales of Equity Securities and Use of Proceeds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66">
              <w:r>
                <w:rPr>
                  <w:rStyle w:val="InternetLink"/>
                  <w:rFonts w:ascii="Times New Roman;serif" w:hAnsi="Times New Roman;serif"/>
                  <w:b w:val="false"/>
                  <w:color w:val="0000FF"/>
                  <w:sz w:val="20"/>
                  <w:u w:val="single"/>
                </w:rPr>
                <w:t>44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9">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69">
              <w:r>
                <w:rPr>
                  <w:rStyle w:val="InternetLink"/>
                  <w:rFonts w:ascii="Times New Roman;serif" w:hAnsi="Times New Roman;serif"/>
                  <w:b w:val="false"/>
                  <w:color w:val="0000FF"/>
                  <w:sz w:val="20"/>
                  <w:u w:val="single"/>
                </w:rPr>
                <w:t>Defaults Upon Senior Securities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69">
              <w:r>
                <w:rPr>
                  <w:rStyle w:val="InternetLink"/>
                  <w:rFonts w:ascii="Times New Roman;serif" w:hAnsi="Times New Roman;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72">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72">
              <w:r>
                <w:rPr>
                  <w:rStyle w:val="InternetLink"/>
                  <w:rFonts w:ascii="Times New Roman;serif" w:hAnsi="Times New Roman;serif"/>
                  <w:b w:val="false"/>
                  <w:color w:val="0000FF"/>
                  <w:sz w:val="20"/>
                  <w:u w:val="single"/>
                </w:rPr>
                <w:t>Mine Safety Disclosures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72">
              <w:r>
                <w:rPr>
                  <w:rStyle w:val="InternetLink"/>
                  <w:rFonts w:ascii="Times New Roman;serif" w:hAnsi="Times New Roman;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75">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75">
              <w:r>
                <w:rPr>
                  <w:rStyle w:val="InternetLink"/>
                  <w:rFonts w:ascii="Times New Roman;serif" w:hAnsi="Times New Roman;serif"/>
                  <w:b w:val="false"/>
                  <w:color w:val="0000FF"/>
                  <w:sz w:val="20"/>
                  <w:u w:val="single"/>
                </w:rPr>
                <w:t>Other Information</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75">
              <w:r>
                <w:rPr>
                  <w:rStyle w:val="InternetLink"/>
                  <w:rFonts w:ascii="Times New Roman;serif" w:hAnsi="Times New Roman;serif"/>
                  <w:b w:val="false"/>
                  <w:color w:val="0000FF"/>
                  <w:sz w:val="20"/>
                  <w:u w:val="single"/>
                </w:rPr>
                <w:t>45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81">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81">
              <w:r>
                <w:rPr>
                  <w:rStyle w:val="InternetLink"/>
                  <w:rFonts w:ascii="Times New Roman;serif" w:hAnsi="Times New Roman;serif"/>
                  <w:b w:val="false"/>
                  <w:color w:val="0000FF"/>
                  <w:sz w:val="20"/>
                  <w:u w:val="single"/>
                </w:rPr>
                <w:t>Exhibits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81">
              <w:r>
                <w:rPr>
                  <w:rStyle w:val="InternetLink"/>
                  <w:rFonts w:ascii="Times New Roman;serif" w:hAnsi="Times New Roman;serif"/>
                  <w:b w:val="false"/>
                  <w:color w:val="0000FF"/>
                  <w:sz w:val="20"/>
                  <w:u w:val="single"/>
                </w:rPr>
                <w:t>46</w:t>
              </w:r>
            </w:hyperlink>
          </w:p>
        </w:tc>
      </w:tr>
      <w:tr>
        <w:trPr/>
        <w:tc>
          <w:tcPr>
            <w:tcW w:w="81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c86fb0290a04e479b84893e8c87bea5_184">
              <w:r>
                <w:rPr>
                  <w:rStyle w:val="InternetLink"/>
                  <w:rFonts w:ascii="Times New Roman;serif" w:hAnsi="Times New Roman;serif"/>
                  <w:b w:val="false"/>
                  <w:color w:val="0000FF"/>
                  <w:sz w:val="20"/>
                  <w:u w:val="single"/>
                </w:rPr>
                <w:t>SIGNATURES</w:t>
              </w:r>
            </w:hyperlink>
          </w:p>
        </w:tc>
        <w:tc>
          <w:tcPr>
            <w:tcW w:w="8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c86fb0290a04e479b84893e8c87bea5_184">
              <w:r>
                <w:rPr>
                  <w:rStyle w:val="InternetLink"/>
                  <w:rFonts w:ascii="Times New Roman;serif" w:hAnsi="Times New Roman;serif"/>
                  <w:b w:val="false"/>
                  <w:color w:val="0000FF"/>
                  <w:sz w:val="20"/>
                  <w:u w:val="single"/>
                </w:rPr>
                <w:t>47</w:t>
              </w:r>
            </w:hyperlink>
          </w:p>
        </w:tc>
      </w:tr>
    </w:tbl>
    <w:p>
      <w:pPr>
        <w:pStyle w:val="TextBody"/>
        <w:bidi w:val="0"/>
        <w:spacing w:before="0" w:after="6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AND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682"/>
        <w:gridCol w:w="2024"/>
        <w:gridCol w:w="1949"/>
        <w:gridCol w:w="109"/>
        <w:gridCol w:w="109"/>
        <w:gridCol w:w="109"/>
        <w:gridCol w:w="253"/>
        <w:gridCol w:w="993"/>
        <w:gridCol w:w="131"/>
        <w:gridCol w:w="109"/>
        <w:gridCol w:w="109"/>
        <w:gridCol w:w="109"/>
        <w:gridCol w:w="250"/>
        <w:gridCol w:w="982"/>
        <w:gridCol w:w="129"/>
        <w:gridCol w:w="158"/>
      </w:tblGrid>
      <w:tr>
        <w:trPr/>
        <w:tc>
          <w:tcPr>
            <w:tcW w:w="2682"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&amp;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184,840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16,667 and 16,667 shares authorized, 11,507 and 11,075 shares issued and outstanding at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(424,995)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446"/>
        <w:gridCol w:w="1033"/>
        <w:gridCol w:w="1029"/>
        <w:gridCol w:w="109"/>
        <w:gridCol w:w="109"/>
        <w:gridCol w:w="109"/>
        <w:gridCol w:w="241"/>
        <w:gridCol w:w="825"/>
        <w:gridCol w:w="124"/>
        <w:gridCol w:w="124"/>
        <w:gridCol w:w="124"/>
        <w:gridCol w:w="124"/>
        <w:gridCol w:w="241"/>
        <w:gridCol w:w="825"/>
        <w:gridCol w:w="124"/>
        <w:gridCol w:w="109"/>
        <w:gridCol w:w="109"/>
        <w:gridCol w:w="109"/>
        <w:gridCol w:w="109"/>
        <w:gridCol w:w="109"/>
        <w:gridCol w:w="225"/>
        <w:gridCol w:w="884"/>
        <w:gridCol w:w="116"/>
        <w:gridCol w:w="116"/>
        <w:gridCol w:w="116"/>
        <w:gridCol w:w="116"/>
        <w:gridCol w:w="225"/>
        <w:gridCol w:w="884"/>
        <w:gridCol w:w="116"/>
        <w:gridCol w:w="109"/>
        <w:gridCol w:w="166"/>
      </w:tblGrid>
      <w:tr>
        <w:trPr/>
        <w:tc>
          <w:tcPr>
            <w:tcW w:w="14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net of gain on repurchase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Synchronoss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Cost of revenues excludes depreciation and amortization which are shown separately.</w:t>
      </w:r>
    </w:p>
    <w:p>
      <w:pPr>
        <w:pStyle w:val="TextBody"/>
        <w:bidi w:val="0"/>
        <w:spacing w:before="0" w:after="0"/>
        <w:ind w:left="0" w:right="0" w:hanging="360"/>
        <w:jc w:val="both"/>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(Unaudited) (In thousands) </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416"/>
        <w:gridCol w:w="1214"/>
        <w:gridCol w:w="1132"/>
        <w:gridCol w:w="109"/>
        <w:gridCol w:w="109"/>
        <w:gridCol w:w="109"/>
        <w:gridCol w:w="248"/>
        <w:gridCol w:w="726"/>
        <w:gridCol w:w="128"/>
        <w:gridCol w:w="128"/>
        <w:gridCol w:w="128"/>
        <w:gridCol w:w="128"/>
        <w:gridCol w:w="248"/>
        <w:gridCol w:w="784"/>
        <w:gridCol w:w="128"/>
        <w:gridCol w:w="109"/>
        <w:gridCol w:w="109"/>
        <w:gridCol w:w="109"/>
        <w:gridCol w:w="109"/>
        <w:gridCol w:w="109"/>
        <w:gridCol w:w="233"/>
        <w:gridCol w:w="850"/>
        <w:gridCol w:w="120"/>
        <w:gridCol w:w="120"/>
        <w:gridCol w:w="120"/>
        <w:gridCol w:w="120"/>
        <w:gridCol w:w="233"/>
        <w:gridCol w:w="734"/>
        <w:gridCol w:w="120"/>
        <w:gridCol w:w="109"/>
        <w:gridCol w:w="166"/>
      </w:tblGrid>
      <w:tr>
        <w:trPr/>
        <w:tc>
          <w:tcPr>
            <w:tcW w:w="1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Synchronoss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773"/>
        <w:gridCol w:w="321"/>
        <w:gridCol w:w="322"/>
        <w:gridCol w:w="323"/>
        <w:gridCol w:w="323"/>
        <w:gridCol w:w="196"/>
        <w:gridCol w:w="109"/>
        <w:gridCol w:w="109"/>
        <w:gridCol w:w="109"/>
        <w:gridCol w:w="217"/>
        <w:gridCol w:w="267"/>
        <w:gridCol w:w="120"/>
        <w:gridCol w:w="109"/>
        <w:gridCol w:w="109"/>
        <w:gridCol w:w="109"/>
        <w:gridCol w:w="109"/>
        <w:gridCol w:w="109"/>
        <w:gridCol w:w="109"/>
        <w:gridCol w:w="109"/>
        <w:gridCol w:w="233"/>
        <w:gridCol w:w="878"/>
        <w:gridCol w:w="129"/>
        <w:gridCol w:w="109"/>
        <w:gridCol w:w="109"/>
        <w:gridCol w:w="109"/>
        <w:gridCol w:w="313"/>
        <w:gridCol w:w="1057"/>
        <w:gridCol w:w="176"/>
        <w:gridCol w:w="109"/>
        <w:gridCol w:w="109"/>
        <w:gridCol w:w="109"/>
        <w:gridCol w:w="212"/>
        <w:gridCol w:w="830"/>
        <w:gridCol w:w="117"/>
        <w:gridCol w:w="109"/>
        <w:gridCol w:w="109"/>
        <w:gridCol w:w="109"/>
        <w:gridCol w:w="258"/>
        <w:gridCol w:w="855"/>
        <w:gridCol w:w="214"/>
      </w:tblGrid>
      <w:tr>
        <w:trPr/>
        <w:tc>
          <w:tcPr>
            <w:tcW w:w="7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140" w:type="dxa"/>
            <w:gridSpan w:val="12"/>
            <w:tcBorders/>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6"/>
            <w:tcBorders/>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(448,416)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511,125 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(13,169)</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(442,603)</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905"/>
        <w:gridCol w:w="362"/>
        <w:gridCol w:w="364"/>
        <w:gridCol w:w="323"/>
        <w:gridCol w:w="323"/>
        <w:gridCol w:w="196"/>
        <w:gridCol w:w="109"/>
        <w:gridCol w:w="109"/>
        <w:gridCol w:w="109"/>
        <w:gridCol w:w="212"/>
        <w:gridCol w:w="261"/>
        <w:gridCol w:w="118"/>
        <w:gridCol w:w="109"/>
        <w:gridCol w:w="109"/>
        <w:gridCol w:w="109"/>
        <w:gridCol w:w="109"/>
        <w:gridCol w:w="109"/>
        <w:gridCol w:w="109"/>
        <w:gridCol w:w="109"/>
        <w:gridCol w:w="225"/>
        <w:gridCol w:w="847"/>
        <w:gridCol w:w="125"/>
        <w:gridCol w:w="109"/>
        <w:gridCol w:w="109"/>
        <w:gridCol w:w="109"/>
        <w:gridCol w:w="293"/>
        <w:gridCol w:w="992"/>
        <w:gridCol w:w="165"/>
        <w:gridCol w:w="109"/>
        <w:gridCol w:w="109"/>
        <w:gridCol w:w="109"/>
        <w:gridCol w:w="208"/>
        <w:gridCol w:w="813"/>
        <w:gridCol w:w="115"/>
        <w:gridCol w:w="109"/>
        <w:gridCol w:w="109"/>
        <w:gridCol w:w="109"/>
        <w:gridCol w:w="250"/>
        <w:gridCol w:w="828"/>
        <w:gridCol w:w="209"/>
      </w:tblGrid>
      <w:tr>
        <w:trPr/>
        <w:tc>
          <w:tcPr>
            <w:tcW w:w="90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077" w:type="dxa"/>
            <w:gridSpan w:val="12"/>
            <w:tcBorders/>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491,808 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(427,183)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on exercise of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492,914 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(24,728)</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(Continued)</w:t>
      </w:r>
    </w:p>
    <w:tbl>
      <w:tblPr>
        <w:tblW w:w="10205" w:type="dxa"/>
        <w:jc w:val="center"/>
        <w:tblInd w:w="0" w:type="dxa"/>
        <w:tblLayout w:type="fixed"/>
        <w:tblCellMar>
          <w:top w:w="28" w:type="dxa"/>
          <w:left w:w="28" w:type="dxa"/>
          <w:bottom w:w="28" w:type="dxa"/>
          <w:right w:w="28" w:type="dxa"/>
        </w:tblCellMar>
      </w:tblPr>
      <w:tblGrid>
        <w:gridCol w:w="820"/>
        <w:gridCol w:w="460"/>
        <w:gridCol w:w="462"/>
        <w:gridCol w:w="323"/>
        <w:gridCol w:w="323"/>
        <w:gridCol w:w="196"/>
        <w:gridCol w:w="109"/>
        <w:gridCol w:w="109"/>
        <w:gridCol w:w="109"/>
        <w:gridCol w:w="210"/>
        <w:gridCol w:w="258"/>
        <w:gridCol w:w="116"/>
        <w:gridCol w:w="109"/>
        <w:gridCol w:w="109"/>
        <w:gridCol w:w="109"/>
        <w:gridCol w:w="109"/>
        <w:gridCol w:w="109"/>
        <w:gridCol w:w="109"/>
        <w:gridCol w:w="109"/>
        <w:gridCol w:w="221"/>
        <w:gridCol w:w="832"/>
        <w:gridCol w:w="123"/>
        <w:gridCol w:w="109"/>
        <w:gridCol w:w="109"/>
        <w:gridCol w:w="109"/>
        <w:gridCol w:w="284"/>
        <w:gridCol w:w="959"/>
        <w:gridCol w:w="160"/>
        <w:gridCol w:w="109"/>
        <w:gridCol w:w="109"/>
        <w:gridCol w:w="109"/>
        <w:gridCol w:w="206"/>
        <w:gridCol w:w="801"/>
        <w:gridCol w:w="114"/>
        <w:gridCol w:w="109"/>
        <w:gridCol w:w="109"/>
        <w:gridCol w:w="109"/>
        <w:gridCol w:w="246"/>
        <w:gridCol w:w="815"/>
        <w:gridCol w:w="205"/>
      </w:tblGrid>
      <w:tr>
        <w:trPr/>
        <w:tc>
          <w:tcPr>
            <w:tcW w:w="8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041" w:type="dxa"/>
            <w:gridSpan w:val="12"/>
            <w:tcBorders/>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(41,137)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(424,995)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on 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for taxes in connection with issuance of restricted stock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Zentry partnership termination</w:t>
            </w:r>
            <w:r>
              <w:rPr>
                <w:rFonts w:ascii="Times New Roman;serif" w:hAnsi="Times New Roman;serif"/>
                <w:b w:val="false"/>
                <w:color w:val="000000"/>
                <w:sz w:val="12"/>
              </w:rPr>
              <w:t>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511,125 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(13,169)</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(442,603)</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55,354 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For further detail on Zentry partnership termination refer to </w:t>
      </w:r>
      <w:r>
        <w:rPr>
          <w:rFonts w:ascii="Times New Roman;serif" w:hAnsi="Times New Roman;serif"/>
          <w:b w:val="false"/>
          <w:color w:val="000000"/>
          <w:sz w:val="18"/>
          <w:shd w:fill="FFFFFF" w:val="clear"/>
        </w:rPr>
        <w:t xml:space="preserve">Note 11. Capital Structure </w:t>
      </w:r>
      <w:r>
        <w:rPr>
          <w:rFonts w:ascii="Times New Roman;serif" w:hAnsi="Times New Roman;serif"/>
          <w:b w:val="false"/>
          <w:color w:val="000000"/>
          <w:sz w:val="18"/>
        </w:rPr>
        <w:t>of the Notes to Condensed Consolidated Financial Statements in Item 1 of this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6"/>
        <w:gridCol w:w="450"/>
        <w:gridCol w:w="452"/>
        <w:gridCol w:w="323"/>
        <w:gridCol w:w="323"/>
        <w:gridCol w:w="196"/>
        <w:gridCol w:w="109"/>
        <w:gridCol w:w="109"/>
        <w:gridCol w:w="109"/>
        <w:gridCol w:w="209"/>
        <w:gridCol w:w="257"/>
        <w:gridCol w:w="116"/>
        <w:gridCol w:w="109"/>
        <w:gridCol w:w="109"/>
        <w:gridCol w:w="109"/>
        <w:gridCol w:w="109"/>
        <w:gridCol w:w="109"/>
        <w:gridCol w:w="109"/>
        <w:gridCol w:w="109"/>
        <w:gridCol w:w="220"/>
        <w:gridCol w:w="827"/>
        <w:gridCol w:w="122"/>
        <w:gridCol w:w="109"/>
        <w:gridCol w:w="109"/>
        <w:gridCol w:w="109"/>
        <w:gridCol w:w="280"/>
        <w:gridCol w:w="948"/>
        <w:gridCol w:w="158"/>
        <w:gridCol w:w="109"/>
        <w:gridCol w:w="109"/>
        <w:gridCol w:w="109"/>
        <w:gridCol w:w="205"/>
        <w:gridCol w:w="799"/>
        <w:gridCol w:w="114"/>
        <w:gridCol w:w="109"/>
        <w:gridCol w:w="109"/>
        <w:gridCol w:w="109"/>
        <w:gridCol w:w="245"/>
        <w:gridCol w:w="810"/>
        <w:gridCol w:w="204"/>
      </w:tblGrid>
      <w:tr>
        <w:trPr/>
        <w:tc>
          <w:tcPr>
            <w:tcW w:w="8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031" w:type="dxa"/>
            <w:gridSpan w:val="12"/>
            <w:tcBorders/>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6"/>
            <w:tcBorders/>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483,527 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(431,164)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on exercise of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Shares withheld for taxes in connection with issuance of restricted stock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Senior Notes repurchase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Series B Preferred stock redemption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492,914 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(432,884)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411"/>
        <w:gridCol w:w="2104"/>
        <w:gridCol w:w="2120"/>
        <w:gridCol w:w="109"/>
        <w:gridCol w:w="109"/>
        <w:gridCol w:w="109"/>
        <w:gridCol w:w="252"/>
        <w:gridCol w:w="954"/>
        <w:gridCol w:w="130"/>
        <w:gridCol w:w="130"/>
        <w:gridCol w:w="130"/>
        <w:gridCol w:w="130"/>
        <w:gridCol w:w="252"/>
        <w:gridCol w:w="866"/>
        <w:gridCol w:w="130"/>
        <w:gridCol w:w="109"/>
        <w:gridCol w:w="160"/>
      </w:tblGrid>
      <w:tr>
        <w:trPr/>
        <w:tc>
          <w:tcPr>
            <w:tcW w:w="241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receivable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currency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(federal tax return receipt)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41,936 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15,205 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(Continued)</w:t>
      </w:r>
    </w:p>
    <w:p>
      <w:pPr>
        <w:pStyle w:val="TextBody"/>
        <w:bidi w:val="0"/>
        <w:spacing w:before="0" w:after="0"/>
        <w:jc w:val="center"/>
        <w:rPr/>
      </w:pPr>
      <w:r>
        <w:rPr/>
      </w:r>
    </w:p>
    <w:tbl>
      <w:tblPr>
        <w:tblW w:w="7859" w:type="dxa"/>
        <w:jc w:val="center"/>
        <w:tblInd w:w="0" w:type="dxa"/>
        <w:tblLayout w:type="fixed"/>
        <w:tblCellMar>
          <w:top w:w="28" w:type="dxa"/>
          <w:left w:w="28" w:type="dxa"/>
          <w:bottom w:w="28" w:type="dxa"/>
          <w:right w:w="28" w:type="dxa"/>
        </w:tblCellMar>
      </w:tblPr>
      <w:tblGrid>
        <w:gridCol w:w="1547"/>
        <w:gridCol w:w="1361"/>
        <w:gridCol w:w="1366"/>
        <w:gridCol w:w="109"/>
        <w:gridCol w:w="109"/>
        <w:gridCol w:w="109"/>
        <w:gridCol w:w="262"/>
        <w:gridCol w:w="898"/>
        <w:gridCol w:w="135"/>
        <w:gridCol w:w="135"/>
        <w:gridCol w:w="135"/>
        <w:gridCol w:w="135"/>
        <w:gridCol w:w="262"/>
        <w:gridCol w:w="898"/>
        <w:gridCol w:w="135"/>
        <w:gridCol w:w="109"/>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divestiture,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compensation-related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withholding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related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extinguishment costs related to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Drawdown on A/R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A/R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dividend paid in the form of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Series B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Description of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Synchronoss Personal Cloud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Designed for smartphones, tablets, and desktops across all operating systems, our platform ensures a seamless cross-device experience.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Note 2</w:t>
      </w:r>
      <w:r>
        <w:rPr>
          <w:rFonts w:ascii="Times New Roman;serif" w:hAnsi="Times New Roman;serif"/>
          <w:b/>
          <w:i/>
          <w:color w:val="000000"/>
          <w:sz w:val="20"/>
        </w:rPr>
        <w:t>.</w:t>
      </w:r>
      <w:r>
        <w:rPr>
          <w:color w:val="000000"/>
        </w:rPr>
        <w:t> </w:t>
      </w:r>
      <w:r>
        <w:rPr>
          <w:rFonts w:ascii="Times New Roman;serif" w:hAnsi="Times New Roman;serif"/>
          <w:b/>
          <w:color w:val="000000"/>
          <w:sz w:val="20"/>
        </w:rPr>
        <w:t xml:space="preserve">Basis of Presentation and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2024. The results of operations for the three and nine months ended September 30, 2025 are not necessarily indicative of the results to be expected for the year ending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material intercompany transactions and accounts are eliminated in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noted, tables are presented in U.S. dollars in thousands. Certain columns and rows may not add due to the use of rounded numbers. Percentages and Earnings per share (“EPS”) amounts presented are calculated from the underlying numbers in thousands. We may reclassify certain prior year amounts to conform with current year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Standards recently adopted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634"/>
        <w:gridCol w:w="639"/>
        <w:gridCol w:w="109"/>
        <w:gridCol w:w="109"/>
        <w:gridCol w:w="109"/>
        <w:gridCol w:w="1669"/>
        <w:gridCol w:w="1669"/>
        <w:gridCol w:w="1685"/>
        <w:gridCol w:w="109"/>
        <w:gridCol w:w="109"/>
        <w:gridCol w:w="109"/>
        <w:gridCol w:w="864"/>
        <w:gridCol w:w="688"/>
        <w:gridCol w:w="983"/>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on the financial statements</w:t>
            </w:r>
          </w:p>
        </w:tc>
      </w:tr>
      <w:tr>
        <w:trPr/>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Update 2024-01 - Compensation—Stock Compensation</w:t>
              <w:br/>
              <w:t>(Topic 718) - Scope Application of Profits Interest and Similar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amendments in this Update related to the scope application issue apply to all reporting entities that account for profits interest awards as compensation to employees or nonemployees in return for goods or services. This Update provides specific examples to help stakeholders to determine whether a profits interest award should be accounted for as a share-based payment arrangement (Topic 718) or similar to a cash bonus or profit-sharing arrangement (Topic 710, Compensation—General, or other Topics).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these changes and noted that the adoption of this standard did not have a material impact on the Company’s consolidated financial position or results of operations. </w:t>
            </w:r>
          </w:p>
        </w:tc>
      </w:tr>
      <w:tr>
        <w:trPr/>
        <w:tc>
          <w:tcPr>
            <w:tcW w:w="1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adoption: January 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Standards issued not yet adopted</w:t>
      </w:r>
    </w:p>
    <w:tbl>
      <w:tblPr>
        <w:tblW w:w="10205" w:type="dxa"/>
        <w:jc w:val="center"/>
        <w:tblInd w:w="0" w:type="dxa"/>
        <w:tblLayout w:type="fixed"/>
        <w:tblCellMar>
          <w:top w:w="28" w:type="dxa"/>
          <w:left w:w="28" w:type="dxa"/>
          <w:bottom w:w="28" w:type="dxa"/>
          <w:right w:w="28" w:type="dxa"/>
        </w:tblCellMar>
      </w:tblPr>
      <w:tblGrid>
        <w:gridCol w:w="994"/>
        <w:gridCol w:w="754"/>
        <w:gridCol w:w="761"/>
        <w:gridCol w:w="109"/>
        <w:gridCol w:w="109"/>
        <w:gridCol w:w="109"/>
        <w:gridCol w:w="1600"/>
        <w:gridCol w:w="1559"/>
        <w:gridCol w:w="1575"/>
        <w:gridCol w:w="109"/>
        <w:gridCol w:w="109"/>
        <w:gridCol w:w="109"/>
        <w:gridCol w:w="800"/>
        <w:gridCol w:w="621"/>
        <w:gridCol w:w="887"/>
      </w:tblGrid>
      <w:tr>
        <w:trPr/>
        <w:tc>
          <w:tcPr>
            <w:tcW w:w="99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on the financial statements</w:t>
            </w:r>
          </w:p>
        </w:tc>
      </w:tr>
      <w:tr>
        <w:trPr/>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Update 2025-05 - Financial Instruments—Credit Losses (Topic 326): Measurement of Credit Losses for Accounts Receivable and Contract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Update is to address challenges encountered when applying the guidance in Topic 326, Financial Instruments - Credit Losses, to current accounts receivable and current contract assets arising from transactions accounted for under Topic 606, Revenue from Contracts with Customers. The amendments in this Update introduce a practical expedient for all entities and an accounting policy election for entities other than public business entities related to applying Subtopic 326-20 to current AR and current contracts assets arising from transactions under Topic 606.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these changes and does not anticipate any material impact on the Company’s consolidated financial position or results of operations upon adoption.</w:t>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Planned date of adoption: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Update 2025-06 - Intangibles—Goodwill and Other—Internal-Use Software (Subtopic 350-40): Targeted Improvements to the Accounting for Internal-Use 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amendments in this Update improve the operability of the guidance for accounting for software costs under Subtopic 350-40 through removing all references to software development stages.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these changes which may have a material impact on the Company’s consolidated financial position or results of operations upon adoption.</w:t>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Planned date of adoption: January 1,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Update 2024-03 - Income Statement—Reporting Comprehensive Income—Expense Disaggregation Disclosures (Subtopic 220-40): Disaggregation of Income Statement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Requires a public business entity to disclose, on an annual basis and interim basis, disaggregated information about certain income statement line items in a tabular format in the notes to the financial statements. The guidance does not change what is presented on the face of the income statement.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these changes and does not anticipate any material impact on the Company’s consolidated financial position or results of operations upon adoption.</w:t>
            </w:r>
          </w:p>
        </w:tc>
      </w:tr>
      <w:tr>
        <w:trPr/>
        <w:tc>
          <w:tcPr>
            <w:tcW w:w="2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Planned date of adoption: January 1, 2027</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5"/>
        <w:gridCol w:w="504"/>
        <w:gridCol w:w="507"/>
        <w:gridCol w:w="109"/>
        <w:gridCol w:w="109"/>
        <w:gridCol w:w="109"/>
        <w:gridCol w:w="1137"/>
        <w:gridCol w:w="1137"/>
        <w:gridCol w:w="1140"/>
        <w:gridCol w:w="109"/>
        <w:gridCol w:w="109"/>
        <w:gridCol w:w="109"/>
        <w:gridCol w:w="1329"/>
        <w:gridCol w:w="1329"/>
        <w:gridCol w:w="1893"/>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51"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Update 2023-09 - Income Taxes (Topic 740) - Improvements to Income Tax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evaluated these changes and noted that the adoption of this standard did not have a material impact on the Company’s consolidated financial position or results of operations. The ASU is effective for annual periods beginning after December 15, 2024, and will not impact interim disclosures for 2025. The Company will include additional income tax disclosures in its Annual Report on Form 10-K for the year ending December 31, 2025, as required by ASU Update 2023-09.</w:t>
            </w:r>
          </w:p>
        </w:tc>
      </w:tr>
      <w:tr>
        <w:trPr/>
        <w:tc>
          <w:tcPr>
            <w:tcW w:w="1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Planned date of adoption: 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Revenue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customers into the nature of the services and geographical regions. The Company’s geographic regions are the North America, Europe, the Middle East and Africa (“EMEA”), and Asia Pacific (“APAC”). The majority of the Company’s revenue is from the technology, media, and telecom (“TMT”) sector.</w:t>
      </w:r>
    </w:p>
    <w:p>
      <w:pPr>
        <w:pStyle w:val="TextBody"/>
        <w:bidi w:val="0"/>
        <w:spacing w:before="0" w:after="0"/>
        <w:jc w:val="both"/>
        <w:rPr/>
      </w:pPr>
      <w:r>
        <w:rPr/>
      </w:r>
    </w:p>
    <w:tbl>
      <w:tblPr>
        <w:tblW w:w="8578" w:type="dxa"/>
        <w:jc w:val="left"/>
        <w:tblInd w:w="0" w:type="dxa"/>
        <w:tblLayout w:type="fixed"/>
        <w:tblCellMar>
          <w:top w:w="28" w:type="dxa"/>
          <w:left w:w="28" w:type="dxa"/>
          <w:bottom w:w="28" w:type="dxa"/>
          <w:right w:w="28" w:type="dxa"/>
        </w:tblCellMar>
      </w:tblPr>
      <w:tblGrid>
        <w:gridCol w:w="679"/>
        <w:gridCol w:w="596"/>
        <w:gridCol w:w="600"/>
        <w:gridCol w:w="273"/>
        <w:gridCol w:w="934"/>
        <w:gridCol w:w="141"/>
        <w:gridCol w:w="141"/>
        <w:gridCol w:w="141"/>
        <w:gridCol w:w="141"/>
        <w:gridCol w:w="273"/>
        <w:gridCol w:w="934"/>
        <w:gridCol w:w="141"/>
        <w:gridCol w:w="109"/>
        <w:gridCol w:w="109"/>
        <w:gridCol w:w="109"/>
        <w:gridCol w:w="241"/>
        <w:gridCol w:w="946"/>
        <w:gridCol w:w="124"/>
        <w:gridCol w:w="124"/>
        <w:gridCol w:w="124"/>
        <w:gridCol w:w="124"/>
        <w:gridCol w:w="241"/>
        <w:gridCol w:w="946"/>
        <w:gridCol w:w="124"/>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Geography:</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Line:</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both"/>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Trade Accounts Receivable and Contract Balances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volume-based contracts. The Company presents such receivables in Trade accounts receivable, net on the Condensed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The Company presents such contract assets in Other current assets and Other noncurrent assets on the Condensed Consolidated Balance Sheets. The contract asset balance was $1.0 million and $0.6 million at September 30, 2025 and December 31, 2024, respectively.</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collected in advance of services being provided are accounted for as contract liabilities, which are presented as Deferred revenue, current on the Condensed Consolidated Balance Sheets and are realized with the associated revenue recognized under the contract. Nearly all of the Company's contract liabilities balance are related to services revenue, primarily subscription services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and liabilities are reported in a net position on a customer basis at the end of each reporting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changes in the contract liabilities balance during the period are as follows:</w:t>
      </w:r>
    </w:p>
    <w:tbl>
      <w:tblPr>
        <w:tblW w:w="6558" w:type="dxa"/>
        <w:jc w:val="left"/>
        <w:tblInd w:w="0" w:type="dxa"/>
        <w:tblLayout w:type="fixed"/>
        <w:tblCellMar>
          <w:top w:w="28" w:type="dxa"/>
          <w:left w:w="28" w:type="dxa"/>
          <w:bottom w:w="28" w:type="dxa"/>
          <w:right w:w="28" w:type="dxa"/>
        </w:tblCellMar>
      </w:tblPr>
      <w:tblGrid>
        <w:gridCol w:w="1651"/>
        <w:gridCol w:w="1450"/>
        <w:gridCol w:w="1459"/>
        <w:gridCol w:w="109"/>
        <w:gridCol w:w="479"/>
        <w:gridCol w:w="1059"/>
        <w:gridCol w:w="351"/>
      </w:tblGrid>
      <w:tr>
        <w:trPr/>
        <w:tc>
          <w:tcPr>
            <w:tcW w:w="165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Contract Liabilities</w:t>
            </w:r>
            <w:r>
              <w:rPr>
                <w:rFonts w:ascii="Times New Roman;serif" w:hAnsi="Times New Roman;serif"/>
                <w:b/>
                <w:color w:val="000000"/>
                <w:sz w:val="13"/>
              </w:rPr>
              <w:t>1</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billed but not initially recognized as revenue</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Comprised of Deferred Revenue. $0.7 million of revenue recognized in the period was included in the contract liability balance at the beginning of the period.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Topic 606 requires that the Company disclose the aggregate amount of transaction price that is allocated to performance obligations that have not yet been satisfied as of September 30, 2025. The Company has elected not to disclose transaction price allocated to remaining performance obligations for:</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1.Contracts with an original duration of one year or less, including contracts that can be terminated for convenience without a substantive penalty.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2.Contracts for which the Company recognizes revenues based on the right to invoice for services performed.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consideration for future transactions, above any contractual minimums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consideration for success-based transactions contingent on third party data</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credits for failure to meet future service level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aggregate amount of transaction price allocated to remaining performance obligations, other than those meeting the exclusion criteria above, was $116.9 million, of which approximately 99.6% is expected to be recognized as revenues within 2 years, and the remainder thereafter.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4.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assessed its current structure and operations and determined it has one operating segment and a single reportable segment as the business is managed and assessed by the chief operating decision-maker based on the consolidated results of the organization. The Chief Executive Officer is the chief operating decision-maker (“CODM”) for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derives revenues from customers through the Company’s cloud product under software-as-a-service arrangements.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single segment are the same as those described in the summary of significant accounting policies. The CODM assesses performance and decides how to allocate resources based on consolidated net income (loss). The measure of segment assets is reported on the balance sheet as total consolidated assets.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CODM uses consolidated net income (loss) to evaluate the overall financial performance of the company. The focus is on revenue performance as well as on comparing actual functional spend categories to forecast and, occasionally, prior-year results to assess variances and trends. Decisions regarding resource allocation are primarily made during the annual budget planning process and augmented as needed throughout the year.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Segment operating results and a reconciliation of segment operating income to consolidated net income (loss) are as follows:</w:t>
      </w:r>
    </w:p>
    <w:tbl>
      <w:tblPr>
        <w:tblW w:w="10205" w:type="dxa"/>
        <w:jc w:val="left"/>
        <w:tblInd w:w="0" w:type="dxa"/>
        <w:tblLayout w:type="fixed"/>
        <w:tblCellMar>
          <w:top w:w="28" w:type="dxa"/>
          <w:left w:w="28" w:type="dxa"/>
          <w:bottom w:w="28" w:type="dxa"/>
          <w:right w:w="28" w:type="dxa"/>
        </w:tblCellMar>
      </w:tblPr>
      <w:tblGrid>
        <w:gridCol w:w="1371"/>
        <w:gridCol w:w="1069"/>
        <w:gridCol w:w="1077"/>
        <w:gridCol w:w="109"/>
        <w:gridCol w:w="109"/>
        <w:gridCol w:w="109"/>
        <w:gridCol w:w="253"/>
        <w:gridCol w:w="866"/>
        <w:gridCol w:w="130"/>
        <w:gridCol w:w="130"/>
        <w:gridCol w:w="130"/>
        <w:gridCol w:w="130"/>
        <w:gridCol w:w="253"/>
        <w:gridCol w:w="866"/>
        <w:gridCol w:w="130"/>
        <w:gridCol w:w="109"/>
        <w:gridCol w:w="109"/>
        <w:gridCol w:w="109"/>
        <w:gridCol w:w="231"/>
        <w:gridCol w:w="908"/>
        <w:gridCol w:w="119"/>
        <w:gridCol w:w="119"/>
        <w:gridCol w:w="119"/>
        <w:gridCol w:w="119"/>
        <w:gridCol w:w="231"/>
        <w:gridCol w:w="908"/>
        <w:gridCol w:w="119"/>
        <w:gridCol w:w="109"/>
        <w:gridCol w:w="164"/>
      </w:tblGrid>
      <w:tr>
        <w:trPr/>
        <w:tc>
          <w:tcPr>
            <w:tcW w:w="137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Employees related expense net of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00" w:after="283"/>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There are no intra-entity sales or transfers.</w:t>
      </w:r>
    </w:p>
    <w:p>
      <w:pPr>
        <w:pStyle w:val="TextBody"/>
        <w:bidi w:val="0"/>
        <w:spacing w:lineRule="auto" w:line="288" w:before="0" w:after="0"/>
        <w:ind w:left="0" w:right="0" w:hanging="360"/>
        <w:jc w:val="both"/>
        <w:rPr/>
      </w:pPr>
      <w:r>
        <w:rPr>
          <w:rFonts w:ascii="Times New Roman;serif" w:hAnsi="Times New Roman;serif"/>
          <w:b w:val="false"/>
          <w:color w:val="000000"/>
          <w:sz w:val="12"/>
        </w:rPr>
        <w:t>2    </w:t>
      </w:r>
      <w:r>
        <w:rPr>
          <w:rFonts w:ascii="Times New Roman;serif" w:hAnsi="Times New Roman;serif"/>
          <w:b w:val="false"/>
          <w:color w:val="000000"/>
          <w:sz w:val="18"/>
        </w:rPr>
        <w:t>Other segment items include: administrative expense, facilities expense, maintenance charges, restructuring expense, sales and marketing expense, stock-based compensation expense and other overhead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Accounts Receivable Securitization Facility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23, 2022 (the “A/R Closing Date”), the Company and certain of its subsidiaries (together with the Company, the “Company Group”) entered into a $15 million accounts receivable securitization facility (the “A/R Facility”) with Norddeutsche Landesbank Girozentrale. On June 25, 2025, but effective as of June 17, 2025, the arrangement was amended to extend the expiration date to December 22, 2025, with no other revisions to its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earlier terminated or subsequently extended pursuant to the terms of the Receivables Purchase Agreement, the A/R Facility will expire on December 22,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drew $3.0 million on the A/R Facility, and had repaid the balance in full as of September 30, 2025. For the three months ended September 30, 2024, the Company drew $3.0 million on the A/R Facility, and had repaid the balance in full as of September 30, 2024. For the nine months ended September 30, 2025 the Company drew $6.0 million on the A/R Facility, and had repaid the balance in full as of September 30, 2025. For the nine months ended September 30, 2024, the Company drew $9.0 million on the A/R Facility, and had repaid the balance in full as of September 30, 2024. The interest associated with the draw and repayment was not material for either period. The drawdown and subsequent repayment of the A/R Facility represent financing activities, as reported on the Condensed Consolidated Statements of Cash Flows. As of September 30, 2025 approximately $3.0 million of the Company’s receivables are held by SN Technologies. As of September 30, 2025 there were no outstanding borrowings against the A/R facility and $1.9 million was available for the Company to draw under the A/R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US GAAP,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Level 1 - Observable inputs - quoted prices in active markets for identical assets and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 Unobservable inputs - includes amounts derived from valuation models where one or more significant inputs are unobservable and require the Company to develop relevant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assets and liabilities, and their related classifications under the fair value hierarchy: </w:t>
      </w:r>
    </w:p>
    <w:tbl>
      <w:tblPr>
        <w:tblW w:w="7582" w:type="dxa"/>
        <w:jc w:val="left"/>
        <w:tblInd w:w="0" w:type="dxa"/>
        <w:tblLayout w:type="fixed"/>
        <w:tblCellMar>
          <w:top w:w="28" w:type="dxa"/>
          <w:left w:w="28" w:type="dxa"/>
          <w:bottom w:w="28" w:type="dxa"/>
          <w:right w:w="28" w:type="dxa"/>
        </w:tblCellMar>
      </w:tblPr>
      <w:tblGrid>
        <w:gridCol w:w="967"/>
        <w:gridCol w:w="852"/>
        <w:gridCol w:w="86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46"/>
        <w:gridCol w:w="474"/>
        <w:gridCol w:w="179"/>
      </w:tblGrid>
      <w:tr>
        <w:trPr/>
        <w:tc>
          <w:tcPr>
            <w:tcW w:w="9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accounts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Performance-based cash units</w:t>
            </w:r>
            <w:r>
              <w:rPr>
                <w:rFonts w:ascii="Times New Roman;serif" w:hAnsi="Times New Roman;serif"/>
                <w:b w:val="false"/>
                <w:color w:val="000000"/>
                <w:sz w:val="13"/>
              </w:rPr>
              <w:t>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tbl>
      <w:tblPr>
        <w:tblW w:w="7290" w:type="dxa"/>
        <w:jc w:val="center"/>
        <w:tblInd w:w="0" w:type="dxa"/>
        <w:tblLayout w:type="fixed"/>
        <w:tblCellMar>
          <w:top w:w="28" w:type="dxa"/>
          <w:left w:w="28" w:type="dxa"/>
          <w:bottom w:w="28" w:type="dxa"/>
          <w:right w:w="28" w:type="dxa"/>
        </w:tblCellMar>
      </w:tblPr>
      <w:tblGrid>
        <w:gridCol w:w="967"/>
        <w:gridCol w:w="852"/>
        <w:gridCol w:w="865"/>
        <w:gridCol w:w="211"/>
        <w:gridCol w:w="616"/>
        <w:gridCol w:w="109"/>
        <w:gridCol w:w="109"/>
        <w:gridCol w:w="109"/>
        <w:gridCol w:w="109"/>
        <w:gridCol w:w="211"/>
        <w:gridCol w:w="616"/>
        <w:gridCol w:w="109"/>
        <w:gridCol w:w="109"/>
        <w:gridCol w:w="109"/>
        <w:gridCol w:w="109"/>
        <w:gridCol w:w="229"/>
        <w:gridCol w:w="507"/>
        <w:gridCol w:w="118"/>
        <w:gridCol w:w="109"/>
        <w:gridCol w:w="109"/>
        <w:gridCol w:w="109"/>
        <w:gridCol w:w="246"/>
        <w:gridCol w:w="474"/>
        <w:gridCol w:w="179"/>
      </w:tblGrid>
      <w:tr>
        <w:trPr/>
        <w:tc>
          <w:tcPr>
            <w:tcW w:w="9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accounts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Performance-based cash units</w:t>
            </w:r>
            <w:r>
              <w:rPr>
                <w:rFonts w:ascii="Times New Roman;serif" w:hAnsi="Times New Roman;serif"/>
                <w:b w:val="false"/>
                <w:color w:val="000000"/>
                <w:sz w:val="13"/>
              </w:rPr>
              <w:t>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Included in Cash and cash equivalents on the Condensed Consolidated Balance Sheets.</w:t>
      </w:r>
    </w:p>
    <w:p>
      <w:pPr>
        <w:pStyle w:val="TextBody"/>
        <w:bidi w:val="0"/>
        <w:spacing w:lineRule="auto" w:line="288" w:before="0" w:after="0"/>
        <w:ind w:left="0" w:right="0" w:hanging="360"/>
        <w:jc w:val="both"/>
        <w:rPr/>
      </w:pPr>
      <w:r>
        <w:rPr>
          <w:rFonts w:ascii="Times New Roman;serif" w:hAnsi="Times New Roman;serif"/>
          <w:b w:val="false"/>
          <w:color w:val="000000"/>
          <w:sz w:val="12"/>
        </w:rPr>
        <w:t>2    </w:t>
      </w:r>
      <w:r>
        <w:rPr>
          <w:rFonts w:ascii="Times New Roman;serif" w:hAnsi="Times New Roman;serif"/>
          <w:b w:val="false"/>
          <w:color w:val="000000"/>
          <w:sz w:val="18"/>
        </w:rPr>
        <w:t>The short-term portion is included in Accrued expenses and the long-term portion is included in Other liabilities, non-current on the Condensed Consolidated Balance Sheets.</w:t>
      </w:r>
    </w:p>
    <w:p>
      <w:pPr>
        <w:pStyle w:val="TextBody"/>
        <w:bidi w:val="0"/>
        <w:spacing w:lineRule="auto" w:line="288" w:before="0" w:after="0"/>
        <w:ind w:left="0" w:right="0" w:hanging="360"/>
        <w:jc w:val="both"/>
        <w:rPr/>
      </w:pPr>
      <w:r>
        <w:rPr>
          <w:rFonts w:ascii="Times New Roman;serif" w:hAnsi="Times New Roman;serif"/>
          <w:b w:val="false"/>
          <w:color w:val="000000"/>
          <w:sz w:val="12"/>
        </w:rPr>
        <w:t>3    </w:t>
      </w:r>
      <w:r>
        <w:rPr>
          <w:rFonts w:ascii="Times New Roman;serif" w:hAnsi="Times New Roman;serif"/>
          <w:b w:val="false"/>
          <w:color w:val="000000"/>
          <w:sz w:val="18"/>
        </w:rPr>
        <w:t>For a discussion of performance-based cash units see </w:t>
      </w:r>
      <w:r>
        <w:rPr>
          <w:rFonts w:ascii="Times New Roman;serif" w:hAnsi="Times New Roman;serif"/>
          <w:b w:val="false"/>
          <w:color w:val="000000"/>
          <w:sz w:val="18"/>
          <w:shd w:fill="FFFFFF" w:val="clear"/>
        </w:rPr>
        <w:t>Note 11. Capital Structure</w:t>
      </w:r>
      <w:r>
        <w:rPr>
          <w:color w:val="000000"/>
          <w:shd w:fill="FFFFFF" w:val="clear"/>
        </w:rPr>
        <w:t xml:space="preserve"> </w:t>
      </w:r>
      <w:r>
        <w:rPr>
          <w:rFonts w:ascii="Times New Roman;serif" w:hAnsi="Times New Roman;serif"/>
          <w:b w:val="false"/>
          <w:color w:val="000000"/>
          <w:sz w:val="18"/>
        </w:rPr>
        <w:t>of the Notes to Condensed Consolidated Financial Statements in Item 1 of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9. Debt of the Notes to Condensed Consolidated Financial Statements in Item 1 of this Form 10-Q for presentation of Fair Value of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Note Receivable</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Sequential Technology International, LLC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second quarter of 2020, the Company entered into an agreement with Sequential Technology International, LLC (“STIN”)</w:t>
      </w:r>
      <w:r>
        <w:rPr>
          <w:color w:val="000000"/>
        </w:rPr>
        <w:t xml:space="preserve"> </w:t>
      </w:r>
      <w:r>
        <w:rPr>
          <w:rFonts w:ascii="Times New Roman;serif" w:hAnsi="Times New Roman;serif"/>
          <w:b w:val="false"/>
          <w:color w:val="000000"/>
          <w:sz w:val="20"/>
        </w:rPr>
        <w:t>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 allowance for credit loss was approximately $4.8 million. The Company determined the allowance on the Note using a discounted cash flow analysis, which discounts the expected future cash flows of the asset to determine the collectible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2024, the Company entered into an agreement with STIN and APC to amend the aforementioned promissory note and reduce the principal balance to $3.0 million, forgive outstanding accrued interest and extend the maturity date of the Note to September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8, 2025, the Company and STIN, APC and Sequential Technology International Holdings, LLC (collectively the “Sequential Parties”) entered into an Amended and Restated Settlement Agreement (“Settlement Agreement”) to further amend the amounts due from STIN under the Note in connection with a transaction through which the Sequential Parties were acquired. Under the Settlement Agreement the Company received $1.6 million in past-due rent and contingent consideration which the Company may be entitled to if certain key performance indicators are met within the time periods specified in that Agreement. Given the full allowance for credit losses had been recorded against the Note in 2023, the modification of the terms of the Note had no net impact on the consolidated financial statements for the nine months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contracts with third parties to lease a variety of assets, including certain real estate, equipment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certain sublease arrangements, primarily related to the Company’s real estate leases, where it acts as the lessee and intermediate lessor.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under operating leases are included in Operating lease right-of-use assets, with the related short-term liabilities included in Accrued expenses and long-term portion included in Leases, non-current on the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under finance leases are included in Property, plant and equipment, net, with the related short-term liabilities included in Accrued expenses and long-term portion in Leases, non-current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costs are recognized on a straight-line basis over the lease terms. Finance lease assets are amortized on a straight-line basis over the shorter of the estimated useful lives of the assets or the lease terms.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right-of-use (“ROU”) assets and lease liabilities:</w:t>
      </w:r>
    </w:p>
    <w:tbl>
      <w:tblPr>
        <w:tblW w:w="7522" w:type="dxa"/>
        <w:jc w:val="left"/>
        <w:tblInd w:w="0" w:type="dxa"/>
        <w:tblLayout w:type="fixed"/>
        <w:tblCellMar>
          <w:top w:w="28" w:type="dxa"/>
          <w:left w:w="28" w:type="dxa"/>
          <w:bottom w:w="28" w:type="dxa"/>
          <w:right w:w="28" w:type="dxa"/>
        </w:tblCellMar>
      </w:tblPr>
      <w:tblGrid>
        <w:gridCol w:w="1205"/>
        <w:gridCol w:w="1059"/>
        <w:gridCol w:w="1065"/>
        <w:gridCol w:w="109"/>
        <w:gridCol w:w="109"/>
        <w:gridCol w:w="109"/>
        <w:gridCol w:w="358"/>
        <w:gridCol w:w="1226"/>
        <w:gridCol w:w="185"/>
        <w:gridCol w:w="109"/>
        <w:gridCol w:w="109"/>
        <w:gridCol w:w="109"/>
        <w:gridCol w:w="344"/>
        <w:gridCol w:w="1175"/>
        <w:gridCol w:w="251"/>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liabilities, non-current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The decrease in operating lease liabilities was primarily due to ordinary lease payments, a $2.4 million related to remeasurement of the Bridgewater, NJ lease and the termination of the first floor Dublin, Ireland lease</w:t>
      </w:r>
      <w:r>
        <w:rPr>
          <w:rFonts w:ascii="Times New Roman;serif" w:hAnsi="Times New Roman;serif"/>
          <w:b w:val="false"/>
          <w:color w:val="000000"/>
          <w:sz w:val="18"/>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lease expense and sublease income:</w:t>
      </w:r>
    </w:p>
    <w:tbl>
      <w:tblPr>
        <w:tblW w:w="9309" w:type="dxa"/>
        <w:jc w:val="left"/>
        <w:tblInd w:w="0" w:type="dxa"/>
        <w:tblLayout w:type="fixed"/>
        <w:tblCellMar>
          <w:top w:w="28" w:type="dxa"/>
          <w:left w:w="28" w:type="dxa"/>
          <w:bottom w:w="28" w:type="dxa"/>
          <w:right w:w="28" w:type="dxa"/>
        </w:tblCellMar>
      </w:tblPr>
      <w:tblGrid>
        <w:gridCol w:w="942"/>
        <w:gridCol w:w="831"/>
        <w:gridCol w:w="836"/>
        <w:gridCol w:w="299"/>
        <w:gridCol w:w="874"/>
        <w:gridCol w:w="154"/>
        <w:gridCol w:w="154"/>
        <w:gridCol w:w="154"/>
        <w:gridCol w:w="154"/>
        <w:gridCol w:w="299"/>
        <w:gridCol w:w="874"/>
        <w:gridCol w:w="154"/>
        <w:gridCol w:w="109"/>
        <w:gridCol w:w="109"/>
        <w:gridCol w:w="109"/>
        <w:gridCol w:w="287"/>
        <w:gridCol w:w="840"/>
        <w:gridCol w:w="148"/>
        <w:gridCol w:w="148"/>
        <w:gridCol w:w="148"/>
        <w:gridCol w:w="148"/>
        <w:gridCol w:w="287"/>
        <w:gridCol w:w="840"/>
        <w:gridCol w:w="148"/>
        <w:gridCol w:w="109"/>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leases</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lease costs and income: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1</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 assets impairments, net</w:t>
            </w:r>
            <w:r>
              <w:rPr>
                <w:rFonts w:ascii="Times New Roman;serif" w:hAnsi="Times New Roman;serif"/>
                <w:b w:val="false"/>
                <w:color w:val="000000"/>
                <w:sz w:val="13"/>
              </w:rPr>
              <w:t>1,2</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Sublease income</w:t>
            </w:r>
            <w:r>
              <w:rPr>
                <w:rFonts w:ascii="Times New Roman;serif" w:hAnsi="Times New Roman;serif"/>
                <w:b w:val="false"/>
                <w:color w:val="000000"/>
                <w:sz w:val="13"/>
              </w:rPr>
              <w:t>1,3</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Amounts are included in Cost of revenues, Selling, general and administrative and/or Research and development based on the function that the underlying leased asset supports, which are reflected on the Condensed Consolidated Statements of </w:t>
      </w:r>
      <w:r>
        <w:rPr>
          <w:rFonts w:ascii="Times New Roman;serif" w:hAnsi="Times New Roman;serif"/>
          <w:b w:val="false"/>
          <w:color w:val="000000"/>
          <w:sz w:val="18"/>
          <w:shd w:fill="FFFFFF" w:val="clear"/>
        </w:rPr>
        <w:t xml:space="preserve">Operations. </w:t>
      </w:r>
    </w:p>
    <w:p>
      <w:pPr>
        <w:pStyle w:val="TextBody"/>
        <w:bidi w:val="0"/>
        <w:spacing w:lineRule="auto" w:line="276" w:before="0" w:after="0"/>
        <w:ind w:left="0" w:right="0" w:hanging="360"/>
        <w:jc w:val="both"/>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Reflects impairments recorded for the 7th floor at Bridgewater, NJ lease in the current period, and for Bethlehem, PA in the prior period.</w:t>
      </w:r>
    </w:p>
    <w:p>
      <w:pPr>
        <w:pStyle w:val="TextBody"/>
        <w:bidi w:val="0"/>
        <w:spacing w:lineRule="auto" w:line="276" w:before="0" w:after="0"/>
        <w:ind w:left="0" w:right="0" w:hanging="360"/>
        <w:jc w:val="both"/>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 xml:space="preserve">For the nine months ended September 30, 2025, the sublease income includes a receipt of a $1.6 million past due sublease payment, for which we previously recorded an allowance for credit losses.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undiscounted amount of future cash flows included in the Company’s lease liabilities at September 30, 2025, for each of the five years beginning January 1, 2025 and thereafter, as well as a reconciliation of such undiscounted cash flows to our lease liabilities as of September 30, 2025:</w:t>
      </w:r>
    </w:p>
    <w:p>
      <w:pPr>
        <w:pStyle w:val="TextBody"/>
        <w:bidi w:val="0"/>
        <w:spacing w:before="0" w:after="0"/>
        <w:jc w:val="both"/>
        <w:rPr/>
      </w:pPr>
      <w:r>
        <w:rPr/>
      </w:r>
    </w:p>
    <w:tbl>
      <w:tblPr>
        <w:tblW w:w="8166" w:type="dxa"/>
        <w:jc w:val="left"/>
        <w:tblInd w:w="0" w:type="dxa"/>
        <w:tblLayout w:type="fixed"/>
        <w:tblCellMar>
          <w:top w:w="28" w:type="dxa"/>
          <w:left w:w="28" w:type="dxa"/>
          <w:bottom w:w="28" w:type="dxa"/>
          <w:right w:w="28" w:type="dxa"/>
        </w:tblCellMar>
      </w:tblPr>
      <w:tblGrid>
        <w:gridCol w:w="1624"/>
        <w:gridCol w:w="1422"/>
        <w:gridCol w:w="1438"/>
        <w:gridCol w:w="109"/>
        <w:gridCol w:w="109"/>
        <w:gridCol w:w="109"/>
        <w:gridCol w:w="322"/>
        <w:gridCol w:w="1101"/>
        <w:gridCol w:w="166"/>
        <w:gridCol w:w="109"/>
        <w:gridCol w:w="109"/>
        <w:gridCol w:w="109"/>
        <w:gridCol w:w="309"/>
        <w:gridCol w:w="904"/>
        <w:gridCol w:w="226"/>
      </w:tblGrid>
      <w:tr>
        <w:trPr/>
        <w:tc>
          <w:tcPr>
            <w:tcW w:w="162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lease payments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 average remaining lease term and weighted-average discount rates for our leases:</w:t>
      </w:r>
    </w:p>
    <w:tbl>
      <w:tblPr>
        <w:tblW w:w="10205" w:type="dxa"/>
        <w:jc w:val="center"/>
        <w:tblInd w:w="0" w:type="dxa"/>
        <w:tblLayout w:type="fixed"/>
        <w:tblCellMar>
          <w:top w:w="28" w:type="dxa"/>
          <w:left w:w="28" w:type="dxa"/>
          <w:bottom w:w="28" w:type="dxa"/>
          <w:right w:w="28" w:type="dxa"/>
        </w:tblCellMar>
      </w:tblPr>
      <w:tblGrid>
        <w:gridCol w:w="2486"/>
        <w:gridCol w:w="2128"/>
        <w:gridCol w:w="2136"/>
        <w:gridCol w:w="520"/>
        <w:gridCol w:w="520"/>
        <w:gridCol w:w="522"/>
        <w:gridCol w:w="109"/>
        <w:gridCol w:w="109"/>
        <w:gridCol w:w="109"/>
        <w:gridCol w:w="456"/>
        <w:gridCol w:w="456"/>
        <w:gridCol w:w="654"/>
      </w:tblGrid>
      <w:tr>
        <w:trPr/>
        <w:tc>
          <w:tcPr>
            <w:tcW w:w="248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2024</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 weighted based on lease liability balances:</w:t>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(percentages), weighted based on the remaining balance of lease payments:</w:t>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certain cash flow and supplemental noncash information related to our lease liabilities:</w:t>
      </w:r>
    </w:p>
    <w:tbl>
      <w:tblPr>
        <w:tblW w:w="10205" w:type="dxa"/>
        <w:jc w:val="center"/>
        <w:tblInd w:w="0" w:type="dxa"/>
        <w:tblLayout w:type="fixed"/>
        <w:tblCellMar>
          <w:top w:w="28" w:type="dxa"/>
          <w:left w:w="28" w:type="dxa"/>
          <w:bottom w:w="28" w:type="dxa"/>
          <w:right w:w="28" w:type="dxa"/>
        </w:tblCellMar>
      </w:tblPr>
      <w:tblGrid>
        <w:gridCol w:w="1582"/>
        <w:gridCol w:w="1387"/>
        <w:gridCol w:w="1394"/>
        <w:gridCol w:w="285"/>
        <w:gridCol w:w="834"/>
        <w:gridCol w:w="147"/>
        <w:gridCol w:w="147"/>
        <w:gridCol w:w="147"/>
        <w:gridCol w:w="147"/>
        <w:gridCol w:w="285"/>
        <w:gridCol w:w="631"/>
        <w:gridCol w:w="147"/>
        <w:gridCol w:w="109"/>
        <w:gridCol w:w="109"/>
        <w:gridCol w:w="109"/>
        <w:gridCol w:w="275"/>
        <w:gridCol w:w="806"/>
        <w:gridCol w:w="142"/>
        <w:gridCol w:w="142"/>
        <w:gridCol w:w="142"/>
        <w:gridCol w:w="142"/>
        <w:gridCol w:w="275"/>
        <w:gridCol w:w="609"/>
        <w:gridCol w:w="212"/>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right-of-use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24, 2025 (the “Closing Date”), the Company and certain of its subsidiaries entered into the First Amendment to Credit Agreement and Pledge and Security Agreement (the “2025 Term Loan Agreement”) with the lenders party thereto and BGC Lender Rep LLC, as administrative agent, which amended the 2024 Term Loan Agreement (as defined below), to establish a new term loan facility in an aggregate principal amount of $200.0 million (the “2025 Term Loan”), all of which was funded on the Closing Date, with any existing lenders under the 2024 Term Loan Agreement participating pursuant to a cashless settlement of the $73.6 million outstanding aggregate principal amount of the 2024 Term Loan, as defined below, for total net cash proceeds of $126.4 million. In connection with the 2024 Term Loan settlement, the Company paid a $2.8 million make-whole provision. The proceeds from the 2025 Term Loan, together with cash on hand, were used to redeem all of the $121.4 million outstanding aggregate principal amount of 2021 Senior Notes on May 12, 2025 at the applicable redemption price. The Company paid a $1.2 million prepayment premium in connection with the 2021 Senior Notes redemption.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2025 Term Loan included participation from both existing and new lenders. One lender participated in both the 2024 Term Loan and the 2025 Term Loan. In addition, one former 2021 Senior Notes lender also participated in the 2025 Term Loan. These transactions were evaluated under ASC 470-50, Debt—Modifications and Extinguishments, and were accounted for as debt modifications. Those lenders from the 2021 Senior Notes that did not participate in the 2025 Term Loan (the “Extinguished Note Holders”) were considered extinguished under the accounting guidance. There was one new lender who also participated in the 2025 Term Loan syndicate.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refinancing, the Company incurred $9.0 million of financing-related costs, consisting of $4.0 million in lender fees (treated as original issue discount) and $5.0 million in third-party costs. The Company capitalized the full $4.0 million in lender fees and $0.6 million of third-party costs as debt issuance costs, which will be amortized over the term of the 2025 Term Loan using the effective interest method. The remaining $4.4 million of third-party fees were recognized as Debt modification expense on the Condensed Consolidated Statements of Income for the nine months ended September 30, 2025, in accordance with ASC 470-50.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Closing Date, the Company had $5.6 million of unamortized debt issuance costs associated with the 2024 Term Loan. These costs, along with the $2.8 million make-whole provision paid at refinancing, were capitalized and are being amortized over the term of the 2025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had $2.1 million in unamortized debt issuance costs related to the 2021 Senior Notes. Of this amount, $0.8 million was allocated to lenders determined to be modified and will be amortized over the term of the 2025 Term Loan. The remaining $1.3 million was recognized as Loss on debt extinguishment on the Condensed Consolidated Statements of Income for the nine months ended September 30, 2025. Of the $1.2 million prepayment premium paid on the 2021 Senior Notes, $0.5 million was capitalized and will be amortized over the life of the 2025 Term Loan, while $0.7 million was recorded as Loss on debt extinguishment on the Condensed Consolidated Statements of Income for the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2025 Term Loan also (i) lowered the consolidated secured leverage ratio, (ii) added covenant testing monthly with respect to a minimum number of subscribers under certain material contracts and (iii) provided for certain other changes to the terms of the 2025 Term Loan Agreement, including with respect to certain negative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2025 Term Loan will mature on April 24, 2029 (subject to an earlier springing maturity date that is nine months prior to the effective date of termination, forfeiture, non-renewal, cancellation, revocation or suspension of certain material contracts if unreplaced in accordance with the terms of the 2025 Term Loan Agreement) and bear an interest rate of the secured overnight financing rate, which shall not be less than 2.50%, plus a margin of 7.00% per annum (with one 0.50% stepdown at specified leverage).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repay the outstanding principal amounts of the 2025 Term Loan on a quarterly basis in an amount of $1.3 million beginning on July 24, 2025 and ending on April 24, 2026; $2.5 million beginning on July 24, 2026 and ending on April 24, 2027; $3.8 million beginning on July 24, 2027 and ending on April 24, 2028. Starting on July 24, 2028,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24th day of each July, October, January and April thereafter, such repayments of outstanding principal are to be $5.0 million. The final principal repayment of the 2025 Term Loan is to be repaid on the Maturity Date in an amount equal to the aggregate principal amount of the 2025 Term Loan outstanding on such date. These quarterly principal payment amounts shall be reduced as a result of the application of prepayments in accordance with the order of priority set forth in Section 2.7(i) of the 2025 Term Loan Agreement as described below. The Company is permitted to at any time voluntarily prepay the 2025 Term Loan, in whole or in part subject to a variable prepayment fee if such prepayment was made prior to the third anniversary of the Closing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Company received the expected tax refund from the 2020 CARES Act of $33.9 million, which included $5.2 million of interest. In accordance with the terms of the 2025 Term Loan Agreement, 75% of the total amount, or $25.4 million, was used to pay down the 2025 Term Loan at par. The $25.4 million principal prepayment satisfied the required quarterly principal payments (as disclosed above), including the current portion, through approximately January 2028. Accordingly, as of September 30, 2025, the Company has no remaining contractual payments due on the principal balance of its long term debt for the next 12 months. As a result of this prepayment, $1.7 million of the unamortized deferred financing costs related to the 2025 Term Loan were recognized as interest expense in the third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debt covenants pertaining to the 2025 Term Loan as of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2025 Term Loan Agreement are secured by substantially all of the assets (other than existing real property) of the Company. Other than an Irish Subsidiary (as defined in the 2025 Term Loan Agreement), none of the Company’s direct or indirect foreign subsidiaries or immaterial subsidiaries has guaranteed the loans under the 2025 Term Loan Agreement, but under certain circumstances, such subsidiaries may become guarantors. The 2025 Term Loan Agreement contains customary covenants that limit the Company’s ability and its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2025 Term Loan Agreement. The financial covenants set forth in the 2025 Term Loan Agreement include (i) a maximum consolidated secured leverage ratio of greater than 6.30 to 1.00, which will be tested at the end of each of the Company’s fiscal quarters (ii) a covenant tested monthly with respect to a minimum number of subscribers under certain material contracts and (iii) an average liquidity requirement for any calendar month. All borrowings under the 2025 Term Loan Agreement are subject to the satisfaction of customary conditions, including the absence of a default and the accuracy of representations and warranties subject to certain exceptions. The 2025 Term Loan Agreement also contains mandatory prepayment provisions that are customary for secured financings of this type from excess cash flow and with the proceeds of certain asset sales, tax refunds, equity sales or issuances, and debt issuances, each as more fully described in the 2025 Term Loan Agreement. Upon the occurrence and continuance of an event of default, which, for example, would be triggered by a breach or violation of, default under, cancellation, termination, forfeiture, rescission, revocation, suspension, impairment or non-renewal of certain material contracts of the Company, BGC Lender Rep may take either or both of the following actions: (i) terminate the commitments and (ii) declare all outstanding obligations immediately due and payable and take such other actions as set forth in the 2025 Term Loan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2024 Term Loan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28, 2024 (the “Effective Date”), the Company entered into a Credit Agreement (the “Original Credit Agreement”, as amended by the 2025 Term Loan Agreement (as defined above), the “2024 Term Loan Agreement”) with BGC Lender Rep LLC, as administrative agent, and the lenders party thereto. The 2024 Term Loan Agreement established a senior secured term loan facility of up to $75.0 million (the “2024 Term Loan”), all of which was funded on the Effective Date. The proceeds of the 2024 Term Loan were used to (i) fund the repurchase of $19.7 million of the Company’s 8.375% Senior Notes due 2026 (the “2021 Senior Notes”), for an aggregate purchase price of $16.5 million, (ii) to fund the repurchase of 60,826 shares of its Series B Perpetual Non-Convertible Preferred Stock (the “Series B Preferred”), for an aggregate purchase price of $52.6 million (the “Series B Repurchase”), and (iii) to pay transaction fees and expenses associated with the closing of the transactions contemplated by the 2024 Term Loan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2024 Term Loan was to mature on June 28, 2028 (the “Maturity Date”), subject to certain adjustments to such maturity date pursuant to the terms of the 2024 Term Loan Agreement. The 2024 Term Loan bore interest at a rate per annum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Adjusted Term Secured Overnight Financing Rate (as defined in the 2024 Term Loan Agreement) for the applicable interest period, plus 5.50%, subject to a floor of 2.50%.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line with the terms of the 2024 Term Loan Agreement, the Company made $0.5 million of principal payments on the 2024 Term Loan for the nine months ending September 30, 2025 until the Company entered into the 2025 Term Loan as described above, and $0.5 million of principal payments for the nine months ending September 30,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Redemption of 2024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2025 the 2024 Term Loan was repaid in full pursuant to a cashless settlement of the $73.6 million then outstanding aggregate principal amount on the Closing Date (as defined above) in connection with the 2025 Term Loan (as defined above).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2021 Senior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Notes were senior unsecured obligations of the Company and rank equally in right of payment with all of the Company’s existing and future senior unsecured and unsubordinated indebtedness. The Senior Notes were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bore interest at the rate of 8.375% per annum. Interest on the Senior Notes was payable quarterly in arrears on January 31, April 30, July 31 and October 31 of each year, commencing on July 31, 2021. The Senior Notes were to mature on June 30, 2026, unless redeemed prior to maturity.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might be made in transactions that were deemed to be “at the market offerings” as defined in Rule 415 under the Securities Act of 1933, as amended (the “Securities Act”). Under the Sales Agreement, the Agent would be entitled to compensation of 2.0% of the gross proceeds of all notes sold through it as the Company’s agent.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fourth quarter of 2021, the Company sold an additional $16.1 million aggregate principal amount of Senior Notes pursuant to the Sales Agreement. </w:t>
      </w:r>
      <w:r>
        <w:rPr>
          <w:rFonts w:ascii="Times New Roman;serif" w:hAnsi="Times New Roman;serif"/>
          <w:b w:val="false"/>
          <w:color w:val="000000"/>
          <w:sz w:val="20"/>
        </w:rPr>
        <w:t>The additional Senior Notes sold had terms identical to the initial Senior Notes and were fungible and vote together with, the initial Senior Notes. The Senior Notes were listed and traded on The Nasdaq Global Market under the symbol “SNCRL.”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Repurchase of 2021 Senior Notes and Series B Preferred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28, 2024, the Company used $66.5 million of the proceeds from the 2024 Term Loan and $2.6 million non-interest-bearing deferred consideration, which was paid to BRPI in December of 2024, for a total consideration of $69.1 million (“the total consideration”) to repurchase 100% of its outstanding Series B Perpetual Non-Convertible Preferred Stock (the “Series B Preferred”) and 787,590 (14%) of its outstanding Senior Notes from BRPI, a related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allocated $57.6 million of the total consideration to the Series B Preferred based on the fair value and allocated the remaining consideration of $11.5 million to the Senior Notes repurchase. The carrying value of Senior notes repurchased was $19.1 million including $0.6 million of unamortized debt issuance costs. The second quarter’s accrued interest of $0.3 million was forgiven at the time of the repurchase. The Senior Note Repurchase gain of $7.9 million was calculated as the remaining consideration paid of $11.5 million less the carrying value, less the second quarter’s accrued interest forgiven. The Company accounted for the debt repurchase as a redemption with a related party. ASC 470-50-40-2 indicates that such an extinguishment transaction may be in essence a capital transaction. Therefore, the transaction was accounted for as a capital transaction and reflected as an adjustment to APIC, which resulted in a gain of $7.9 million for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Redemption of 2021 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12, 2025 the Company used $122.6 million of the proceeds from the 2025 Term Loan to repurchase 100% of its outstanding 2021 Senior Notes as described above.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Carrying Value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borrowings were as follows:</w:t>
      </w:r>
    </w:p>
    <w:tbl>
      <w:tblPr>
        <w:tblW w:w="8048" w:type="dxa"/>
        <w:jc w:val="left"/>
        <w:tblInd w:w="0" w:type="dxa"/>
        <w:tblLayout w:type="fixed"/>
        <w:tblCellMar>
          <w:top w:w="28" w:type="dxa"/>
          <w:left w:w="28" w:type="dxa"/>
          <w:bottom w:w="28" w:type="dxa"/>
          <w:right w:w="28" w:type="dxa"/>
        </w:tblCellMar>
      </w:tblPr>
      <w:tblGrid>
        <w:gridCol w:w="1396"/>
        <w:gridCol w:w="1224"/>
        <w:gridCol w:w="1235"/>
        <w:gridCol w:w="109"/>
        <w:gridCol w:w="109"/>
        <w:gridCol w:w="109"/>
        <w:gridCol w:w="326"/>
        <w:gridCol w:w="1276"/>
        <w:gridCol w:w="168"/>
        <w:gridCol w:w="109"/>
        <w:gridCol w:w="109"/>
        <w:gridCol w:w="109"/>
        <w:gridCol w:w="313"/>
        <w:gridCol w:w="1228"/>
        <w:gridCol w:w="228"/>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 and debt issuance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2024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2025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Debt issuance costs are deferred and amortized into interest expense using the effective interest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2025 Term Loan was obtained using the Discounted Cash Flow (“DCF”) valuation model with observable inputs as of September 30, 2025 and is categorized accordingly as Level 2 in the fair value hierarchy. </w:t>
      </w:r>
    </w:p>
    <w:p>
      <w:pPr>
        <w:pStyle w:val="TextBody"/>
        <w:bidi w:val="0"/>
        <w:spacing w:before="0" w:after="0"/>
        <w:jc w:val="both"/>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September 30, 2025</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171,713 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259" w:type="dxa"/>
        <w:jc w:val="left"/>
        <w:tblInd w:w="0" w:type="dxa"/>
        <w:tblLayout w:type="fixed"/>
        <w:tblCellMar>
          <w:top w:w="28" w:type="dxa"/>
          <w:left w:w="28" w:type="dxa"/>
          <w:bottom w:w="28" w:type="dxa"/>
          <w:right w:w="28" w:type="dxa"/>
        </w:tblCellMar>
      </w:tblPr>
      <w:tblGrid>
        <w:gridCol w:w="347"/>
        <w:gridCol w:w="305"/>
        <w:gridCol w:w="307"/>
        <w:gridCol w:w="109"/>
        <w:gridCol w:w="109"/>
        <w:gridCol w:w="109"/>
        <w:gridCol w:w="298"/>
        <w:gridCol w:w="1168"/>
        <w:gridCol w:w="154"/>
        <w:gridCol w:w="109"/>
        <w:gridCol w:w="109"/>
        <w:gridCol w:w="109"/>
        <w:gridCol w:w="248"/>
        <w:gridCol w:w="478"/>
        <w:gridCol w:w="128"/>
        <w:gridCol w:w="109"/>
        <w:gridCol w:w="109"/>
        <w:gridCol w:w="109"/>
        <w:gridCol w:w="211"/>
        <w:gridCol w:w="826"/>
        <w:gridCol w:w="109"/>
        <w:gridCol w:w="109"/>
        <w:gridCol w:w="109"/>
        <w:gridCol w:w="109"/>
        <w:gridCol w:w="248"/>
        <w:gridCol w:w="478"/>
        <w:gridCol w:w="128"/>
        <w:gridCol w:w="109"/>
        <w:gridCol w:w="109"/>
        <w:gridCol w:w="109"/>
        <w:gridCol w:w="211"/>
        <w:gridCol w:w="82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December 31, 2024</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193,275 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interest expense:</w:t>
      </w:r>
    </w:p>
    <w:tbl>
      <w:tblPr>
        <w:tblW w:w="10205" w:type="dxa"/>
        <w:jc w:val="left"/>
        <w:tblInd w:w="0" w:type="dxa"/>
        <w:tblLayout w:type="fixed"/>
        <w:tblCellMar>
          <w:top w:w="28" w:type="dxa"/>
          <w:left w:w="28" w:type="dxa"/>
          <w:bottom w:w="28" w:type="dxa"/>
          <w:right w:w="28" w:type="dxa"/>
        </w:tblCellMar>
      </w:tblPr>
      <w:tblGrid>
        <w:gridCol w:w="1178"/>
        <w:gridCol w:w="981"/>
        <w:gridCol w:w="927"/>
        <w:gridCol w:w="109"/>
        <w:gridCol w:w="109"/>
        <w:gridCol w:w="109"/>
        <w:gridCol w:w="242"/>
        <w:gridCol w:w="710"/>
        <w:gridCol w:w="125"/>
        <w:gridCol w:w="125"/>
        <w:gridCol w:w="125"/>
        <w:gridCol w:w="125"/>
        <w:gridCol w:w="242"/>
        <w:gridCol w:w="710"/>
        <w:gridCol w:w="125"/>
        <w:gridCol w:w="125"/>
        <w:gridCol w:w="125"/>
        <w:gridCol w:w="125"/>
        <w:gridCol w:w="109"/>
        <w:gridCol w:w="182"/>
        <w:gridCol w:w="352"/>
        <w:gridCol w:w="1205"/>
        <w:gridCol w:w="182"/>
        <w:gridCol w:w="182"/>
        <w:gridCol w:w="182"/>
        <w:gridCol w:w="182"/>
        <w:gridCol w:w="211"/>
        <w:gridCol w:w="721"/>
        <w:gridCol w:w="109"/>
        <w:gridCol w:w="109"/>
        <w:gridCol w:w="162"/>
      </w:tblGrid>
      <w:tr>
        <w:trPr/>
        <w:tc>
          <w:tcPr>
            <w:tcW w:w="11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4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312" w:type="dxa"/>
            <w:gridSpan w:val="5"/>
            <w:tcBorders/>
          </w:tcPr>
          <w:p>
            <w:pPr>
              <w:pStyle w:val="TableContents"/>
              <w:bidi w:val="0"/>
              <w:spacing w:before="0" w:after="283"/>
              <w:jc w:val="left"/>
              <w:rPr>
                <w:sz w:val="4"/>
                <w:szCs w:val="4"/>
              </w:rPr>
            </w:pPr>
            <w:r>
              <w:rPr>
                <w:sz w:val="4"/>
                <w:szCs w:val="4"/>
              </w:rPr>
            </w:r>
          </w:p>
        </w:tc>
      </w:tr>
      <w:tr>
        <w:trPr/>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exit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debt issuance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6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$1.7 million of additional amortization due to </w:t>
      </w:r>
      <w:r>
        <w:rPr>
          <w:rFonts w:ascii="Times New Roman;serif" w:hAnsi="Times New Roman;serif"/>
          <w:b w:val="false"/>
          <w:color w:val="000000"/>
          <w:sz w:val="20"/>
        </w:rPr>
        <w:t>$25.4 million</w:t>
      </w:r>
      <w:r>
        <w:rPr>
          <w:color w:val="000000"/>
        </w:rPr>
        <w:t xml:space="preserve"> </w:t>
      </w:r>
      <w:r>
        <w:rPr>
          <w:rFonts w:ascii="Times New Roman;serif" w:hAnsi="Times New Roman;serif"/>
          <w:b w:val="false"/>
          <w:color w:val="000000"/>
          <w:sz w:val="18"/>
        </w:rPr>
        <w:t>principal repayment due to federal tax refund receipt as described above.</w:t>
      </w:r>
    </w:p>
    <w:p>
      <w:pPr>
        <w:pStyle w:val="TextBody"/>
        <w:bidi w:val="0"/>
        <w:spacing w:lineRule="auto" w:line="268" w:before="0" w:after="0"/>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Includes interest on uncertain tax provisions.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Accumulated Other Comprehensive (Loss)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income during the nine months ended September 30, 2025 were as follows:</w:t>
      </w:r>
    </w:p>
    <w:tbl>
      <w:tblPr>
        <w:tblW w:w="10205" w:type="dxa"/>
        <w:jc w:val="left"/>
        <w:tblInd w:w="0" w:type="dxa"/>
        <w:tblLayout w:type="fixed"/>
        <w:tblCellMar>
          <w:top w:w="28" w:type="dxa"/>
          <w:left w:w="28" w:type="dxa"/>
          <w:bottom w:w="28" w:type="dxa"/>
          <w:right w:w="28" w:type="dxa"/>
        </w:tblCellMar>
      </w:tblPr>
      <w:tblGrid>
        <w:gridCol w:w="1107"/>
        <w:gridCol w:w="950"/>
        <w:gridCol w:w="852"/>
        <w:gridCol w:w="335"/>
        <w:gridCol w:w="1229"/>
        <w:gridCol w:w="172"/>
        <w:gridCol w:w="109"/>
        <w:gridCol w:w="109"/>
        <w:gridCol w:w="109"/>
        <w:gridCol w:w="392"/>
        <w:gridCol w:w="1341"/>
        <w:gridCol w:w="203"/>
        <w:gridCol w:w="109"/>
        <w:gridCol w:w="109"/>
        <w:gridCol w:w="109"/>
        <w:gridCol w:w="243"/>
        <w:gridCol w:w="468"/>
        <w:gridCol w:w="125"/>
        <w:gridCol w:w="109"/>
        <w:gridCol w:w="109"/>
        <w:gridCol w:w="109"/>
        <w:gridCol w:w="333"/>
        <w:gridCol w:w="1223"/>
        <w:gridCol w:w="251"/>
      </w:tblGrid>
      <w:tr>
        <w:trPr/>
        <w:tc>
          <w:tcPr>
            <w:tcW w:w="110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Balance at September 30,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intercompany foreign currency transactions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11. Capital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Company’s authorized capital stock was 26,666,667 shares of stock with a par value of $0.0001, of which 16,666,667 shares were designated as common stock and 10,000,000 shares were designated as preferred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common stock is entitled to vote on all matters and is entitled to one vote for each share held. Dividends on common stock will be paid when, and if, declared by the Company’s Board of Directors. No dividends have ever been declared or paid by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Treasury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Treasury Stock balance is nil as of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B Non-Convertible Preferred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2021, the Company closed a private placement of 75,000 shares of its Series B Perpetual Non-Convertible Preferred Stock, par value $0.0001 per share, with an initial liquidation preference of $1,000 per share (the “Series B Preferred”), for net proceeds of $72.8 million (the “Series B Transaction”). The sale of the Series B Preferred was pursuant to the Series B Preferred Stock Purchase Agreement, dated as of June 24, 2021 (the “Series B Purchase Agreement”), between the Company and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Repurchase</w:t>
      </w:r>
      <w:r>
        <w:rPr>
          <w:color w:val="000000"/>
          <w:u w:val="single"/>
          <w:shd w:fill="FFFFFF" w:val="clear"/>
        </w:rPr>
        <w:t xml:space="preserve"> </w:t>
      </w:r>
      <w:r>
        <w:rPr>
          <w:rFonts w:ascii="Times New Roman;serif" w:hAnsi="Times New Roman;serif"/>
          <w:b w:val="false"/>
          <w:color w:val="000000"/>
          <w:sz w:val="20"/>
          <w:u w:val="single"/>
          <w:shd w:fill="FFFFFF" w:val="clear"/>
        </w:rPr>
        <w:t>of Series B Preferred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June 28, 2024 the Company repurchased all outstanding shares of the Series B Preferred stock, as discussed in Note 9. Debt of the Notes to Condensed Consolidated Financial Statements in Item 1 of this Form 10-Q.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n July 1, 2024 the Company filed a Certificate of Elimination to the Series B Certificate with the Secretary of State of the State of Delaware. As a result of the Series B Repurchase, zero shares of the Series B Preferred remain outstanding and none are authorized for issuance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September 30, 2025,</w:t>
      </w:r>
      <w:r>
        <w:rPr>
          <w:color w:val="000000"/>
        </w:rPr>
        <w:t xml:space="preserve"> </w:t>
      </w:r>
      <w:r>
        <w:rPr>
          <w:rFonts w:ascii="Times New Roman;serif" w:hAnsi="Times New Roman;serif"/>
          <w:b w:val="false"/>
          <w:color w:val="000000"/>
          <w:sz w:val="20"/>
        </w:rPr>
        <w:t>and the authorized shares of Series B Preferred Stock were returned to the status of authorized but unissued shares of preferred stock of the Company, without designation as to series pursuant to the Certificate of Designations.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Zentry Partnership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31, 2015, the Company formed a joint venture with a third party, referred to as Zentry with the goal of accelerating the Company’s entrance into the enterprise market by adding identity management capabilities to the Synchronoss Secure Mobility Suite. The Company obtained a 67% interest in Zentry in exchange for $48.0 million. The Company and third party agreed to certain put and call options with regard to third party’s interest in Zentry. The Company determined that the put option was embedded within the noncontrolling interest shares that were subject to the put option. The redemption feature required the classification of third party’s minority interest in the Consolidated Balance Sheets outside of permanent equity under the caption Redeemable non-controlling interest. The venture was deemed not to be a VIE, as a result, the Company consolidated the venture in the consolidated financial statements according to the voting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pursuant to the terms of a transfer and termination agreement, the Company and the other parties thereto agreed to terminate the Joint Venture Agreement dated as of December 31, 2024, and extinguished all rights and obligations in connection therewith. As a result, given the put option was no longer exercisable, the Company reduced the $12.5 million balance of Redeemable non-controlling interest to zero with a corresponding increase in Additional Paid-In Capital (“APIC”)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the Company maintains two stock-based compensation plans, the 2015 Equity Incentive Plan (the “2015 Plan”) and the 2017 New Hire Equity Incentive Plan (“2017 Plan”), under which the Company may grant to its employees, outside directors, and consultants awards in the form of stock options, shares of restricted stock, stock units, or stock appreciation rights and performance shares. As of September 30, 2025, the maximum number of shares of common stock authorized for issuance is 5,741,575 shares under the 2015 Plan and 229,635 shares under the 2017 Plan. </w:t>
      </w:r>
      <w:r>
        <w:rPr>
          <w:rFonts w:ascii="Times New Roman;serif" w:hAnsi="Times New Roman;serif"/>
          <w:b w:val="false"/>
          <w:color w:val="000000"/>
          <w:sz w:val="20"/>
          <w:shd w:fill="FFFFFF" w:val="clear"/>
        </w:rPr>
        <w:t xml:space="preserve">As of September 30, 2025, there were 51,484 shares available for the grant or award under the Company’s 2015 Plan and 109,044 shares available for the grant or award under the Company’s 2017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options granted under the Company’s 2015 and 2017 Plans generally vest one-third of the applicable shares on the first, second, and third anniversary of the grant date, subject to continuous service. The Company accounts for stock options under equity accounting. Stock options are measured at fair value at the grant date using the Black-Scholes option pricing model and expense is recognized on a straight-line basis over the requisite service period. The expense for these awards is recorded in APIC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awards granted under the Company’s 2015 and 2017 Plans generally vest one-third of the applicable shares on the first, second, and third anniversary of the grant date, subject to continuous service. The Company accounts for these awards under equity accounting. Restricted stock awards are measured at the closing stock price at the grant date and expense is recognized on a straight-line basis over the requisite service period. The expense for these awards is recorded in APIC on the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Performance-Based Cash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Performance-based cash units (“PBCU”) are performance-based awards granted under the Company’s Long Term Incentive (“LTI”) Plans. PBCU are three-year grants tied to specific company performance metrics. Each year, the Compensation Committee establishes performance targets for the applicable performance period and PBCU are earned annually based on the achievement of these targets. All earned PBCU generally vest at the end of a three-year period assuming continuous employment as of the vesting date. The PBCU can be settled in cash or in equity as determined by the Compensation Committee, subject to the availability of shares for issuance as of the vesting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PBCU that are accounted for as equity awards are measured at the closing stock price at the grant date and expense is recognized on a straight-line basis over the requisite service period. The expense for the period will increase or decrease based on the percentage achievement of the performance metrics at each reporting date. The expense for these awards is recorded in APIC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PBCU that are accounted for as liability awards are measured at the fair value at the reporting period end date and expense is recognized on a straight-line basis over the requisite service period. The expense for the period will increase or decrease based on updated fair values of these awards as well as the percentage achievement of the performance metrics at each reporting date. The short-term liability related to these awards is included in Accrued expenses and the long-term portion is included in Other liabilities, non-current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currently has three active LTI plans: 2023-2025 LTI Plan, 2024-2026 LTI Plan and 2025-2027 LTI Plan. As of September 30, 2025, the Company’s PBCU granted to employees under these three plans have been accounted for as liability awards, due to the Company’s intent and the ability to settle such awards in cash upon vesting and expected lack of shares available for issuance. As of September 30, 2025, the short-term liability for such awards was $0.4 million and the long-term liability was $1.3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stock-based compensation expense related to all of the Company’s stock awards included by operating expense categories, as follows:</w:t>
      </w:r>
    </w:p>
    <w:tbl>
      <w:tblPr>
        <w:tblW w:w="10205" w:type="dxa"/>
        <w:jc w:val="left"/>
        <w:tblInd w:w="0" w:type="dxa"/>
        <w:tblLayout w:type="fixed"/>
        <w:tblCellMar>
          <w:top w:w="28" w:type="dxa"/>
          <w:left w:w="28" w:type="dxa"/>
          <w:bottom w:w="28" w:type="dxa"/>
          <w:right w:w="28" w:type="dxa"/>
        </w:tblCellMar>
      </w:tblPr>
      <w:tblGrid>
        <w:gridCol w:w="1154"/>
        <w:gridCol w:w="990"/>
        <w:gridCol w:w="976"/>
        <w:gridCol w:w="252"/>
        <w:gridCol w:w="738"/>
        <w:gridCol w:w="130"/>
        <w:gridCol w:w="130"/>
        <w:gridCol w:w="130"/>
        <w:gridCol w:w="130"/>
        <w:gridCol w:w="252"/>
        <w:gridCol w:w="738"/>
        <w:gridCol w:w="130"/>
        <w:gridCol w:w="130"/>
        <w:gridCol w:w="130"/>
        <w:gridCol w:w="130"/>
        <w:gridCol w:w="109"/>
        <w:gridCol w:w="218"/>
        <w:gridCol w:w="423"/>
        <w:gridCol w:w="1235"/>
        <w:gridCol w:w="218"/>
        <w:gridCol w:w="218"/>
        <w:gridCol w:w="218"/>
        <w:gridCol w:w="218"/>
        <w:gridCol w:w="211"/>
        <w:gridCol w:w="616"/>
        <w:gridCol w:w="109"/>
        <w:gridCol w:w="109"/>
        <w:gridCol w:w="163"/>
      </w:tblGrid>
      <w:tr>
        <w:trPr/>
        <w:tc>
          <w:tcPr>
            <w:tcW w:w="115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208" w:type="dxa"/>
            <w:gridSpan w:val="5"/>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related to all of the Company’s stock awards included by award type, as follows:</w:t>
      </w:r>
    </w:p>
    <w:tbl>
      <w:tblPr>
        <w:tblW w:w="10205" w:type="dxa"/>
        <w:jc w:val="left"/>
        <w:tblInd w:w="0" w:type="dxa"/>
        <w:tblLayout w:type="fixed"/>
        <w:tblCellMar>
          <w:top w:w="28" w:type="dxa"/>
          <w:left w:w="28" w:type="dxa"/>
          <w:bottom w:w="28" w:type="dxa"/>
          <w:right w:w="28" w:type="dxa"/>
        </w:tblCellMar>
      </w:tblPr>
      <w:tblGrid>
        <w:gridCol w:w="1250"/>
        <w:gridCol w:w="1041"/>
        <w:gridCol w:w="994"/>
        <w:gridCol w:w="248"/>
        <w:gridCol w:w="728"/>
        <w:gridCol w:w="128"/>
        <w:gridCol w:w="128"/>
        <w:gridCol w:w="128"/>
        <w:gridCol w:w="128"/>
        <w:gridCol w:w="248"/>
        <w:gridCol w:w="728"/>
        <w:gridCol w:w="128"/>
        <w:gridCol w:w="128"/>
        <w:gridCol w:w="128"/>
        <w:gridCol w:w="128"/>
        <w:gridCol w:w="109"/>
        <w:gridCol w:w="208"/>
        <w:gridCol w:w="404"/>
        <w:gridCol w:w="1181"/>
        <w:gridCol w:w="208"/>
        <w:gridCol w:w="208"/>
        <w:gridCol w:w="208"/>
        <w:gridCol w:w="208"/>
        <w:gridCol w:w="211"/>
        <w:gridCol w:w="616"/>
        <w:gridCol w:w="109"/>
        <w:gridCol w:w="109"/>
        <w:gridCol w:w="165"/>
      </w:tblGrid>
      <w:tr>
        <w:trPr/>
        <w:tc>
          <w:tcPr>
            <w:tcW w:w="125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210" w:type="dxa"/>
            <w:gridSpan w:val="5"/>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classified as equity:</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cash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classified awards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classified as liability:</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cash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before taxes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benefit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total unamortized stock-based compensation cost related to unvested restricted stock awards and stock options as of September 30, 2025 was $5.9 million. The expense is expected to be recognized over a weighted-average period of approximately 2.0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total unamortized stock-based compensation cost related to unvested performance-based cash units as of September 30, 2025 was $1.6 million. The expense is expected to be recognized over a weighted-average period of approximately 1.8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12. Restructuring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identify workforce optimization opportunities to better align the Company’s resources with its key strategic priorities.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restructuring accrual at September 30, 2025 and changes during the nine months ended September 30, 2025, are presented below:</w:t>
      </w:r>
    </w:p>
    <w:tbl>
      <w:tblPr>
        <w:tblW w:w="5373" w:type="dxa"/>
        <w:jc w:val="left"/>
        <w:tblInd w:w="0" w:type="dxa"/>
        <w:tblLayout w:type="fixed"/>
        <w:tblCellMar>
          <w:top w:w="28" w:type="dxa"/>
          <w:left w:w="28" w:type="dxa"/>
          <w:bottom w:w="28" w:type="dxa"/>
          <w:right w:w="28" w:type="dxa"/>
        </w:tblCellMar>
      </w:tblPr>
      <w:tblGrid>
        <w:gridCol w:w="956"/>
        <w:gridCol w:w="839"/>
        <w:gridCol w:w="845"/>
        <w:gridCol w:w="109"/>
        <w:gridCol w:w="665"/>
        <w:gridCol w:w="1471"/>
        <w:gridCol w:w="488"/>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Termination Costs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109" w:type="dxa"/>
            <w:tcBorders/>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13.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benefit of approximately $1.8 million and income tax expense of approximately $0.6 million for the three months ended September 30, 2025 and 2024, respectively. The effective tax rate was approximately (44.7)% for the three months ended September 30, 2025, which was lower than the U.S. federal statutory rate, primarily due to the discrete tax benefit recorded in the period. The Company finalized its 2024 U.S. federal income tax return during the period, which resulted in a discrete tax benefit of $1.7 million primarily attributable to research tax credit and foreign tax credit studies completed prior to filing the tax return. The Company’s effective tax rate was approximately (12.3)% for the three months ended September 30, 2024, which was lower than the U.S. federal statutory rate primarily due to the impact of permanent adjustments including Global Intangible Low-Taxes Income and adjustments to valuation allowances associated with prior year activity, partially offset by foreign tax rate differential.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income tax expense of approximately $0.7 million and $3.9 million during the nine months ended September 30, 2025 and 2024, respectively. The effective tax rate was approximately (4.4)% for the nine months ended September 30, 2025, which was lower than the U.S. federal statutory rate due to the current period loss from operations before taxes, the impact of permanent adjustments, including Global Intangible Low-Taxed Income, decreased the effective tax rate, while the impact of foreign tax rate differential, and the impact of valuation allowances increased the effective tax rate. In addition, the Company finalized its 2024 U.S. federal income tax return during the period, which resulted in a discrete tax benefit of $1.7 million primarily attributable to research tax credit and foreign tax credit studies completed prior to filing the tax return. The Company’s effective tax rate was approximately 178.6% for the nine months ended September 30, 2024, which was higher than the U.S. federal statutory rate primarily due to the impact of permanent adjustments, most notably Global Intangible Low-Taxed Income, partially offset by foreign tax rate differential.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this assessment, the Company continues to record a valuation allowance against the net deferred tax assets of certain jurisdictions as the realization of these assets is not more likely than not, given uncertainty of future earnings in these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Unrecognized tax benefits associated with uncertain tax positions were $4.4 million at September 30,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Internal Revenue Service commenced an audit of certain of the Company’s prior year U.S. federal income tax filings, including the 2013 through 2020 tax years. In July 2025, the Company received the full IRS refund of $33.9 million, which included $5.2 million of interest income. This interest income is included within the Consolidated Statements of Operations for the three and nine months ending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Pillar Two Global Anti-Base Erosion rules issued by the Organization for Economic Co-operation and Development ("OECD"), a global policy forum, introduced a global minimum tax of 15% which would apply to multinational groups with consolidated financial statement revenue in excess of EUR 750 million. Nearly all OECD member jurisdictions have agreed in principle to adopt these provisions and numerous jurisdictions, including jurisdictions where the Company operates, have enacted these rules effective January 1, 2024. The Company is not currently subject to these rules but is continuing to evaluate the Pillar Two Framework and its potential impact on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U.S. government enacted The One Big Beautiful Bill Act of 2025 which includes, among other provisions, changes to the U.S. corporate income tax system including the allowance of immediate expensing of domestic research and development expenses and permanent extensions of certain provisions within the Tax Cuts and Jobs Act. Certain provisions, such as the immediate expensing of U.S. domestic research and development costs and 100 percent bonus depreciation are effective for the Company beginning in 2025, while others will be effective in 2026. The Company has incorporated the anticipated impact of this legislation, into its financial statements for the period ending September 30, 2025. The primary impact in the period is a decrease in anticipated 2025 U.S. federal and state current income tax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14. Earnings per Common Share (“EPS”)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(such as performance-based cash unit awards)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numerator and denominator used in computing basic and diluted net income attributable to common stockholders per common share from operations.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88"/>
        <w:gridCol w:w="1151"/>
        <w:gridCol w:w="1057"/>
        <w:gridCol w:w="231"/>
        <w:gridCol w:w="676"/>
        <w:gridCol w:w="119"/>
        <w:gridCol w:w="119"/>
        <w:gridCol w:w="119"/>
        <w:gridCol w:w="119"/>
        <w:gridCol w:w="231"/>
        <w:gridCol w:w="728"/>
        <w:gridCol w:w="119"/>
        <w:gridCol w:w="119"/>
        <w:gridCol w:w="119"/>
        <w:gridCol w:w="119"/>
        <w:gridCol w:w="109"/>
        <w:gridCol w:w="158"/>
        <w:gridCol w:w="307"/>
        <w:gridCol w:w="1131"/>
        <w:gridCol w:w="158"/>
        <w:gridCol w:w="158"/>
        <w:gridCol w:w="158"/>
        <w:gridCol w:w="158"/>
        <w:gridCol w:w="211"/>
        <w:gridCol w:w="660"/>
        <w:gridCol w:w="109"/>
        <w:gridCol w:w="109"/>
        <w:gridCol w:w="165"/>
      </w:tblGrid>
      <w:tr>
        <w:trPr/>
        <w:tc>
          <w:tcPr>
            <w:tcW w:w="158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22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254" w:type="dxa"/>
            <w:gridSpan w:val="5"/>
            <w:tcBorders/>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 basic:</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net of gain on repurchase of preferred stock</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Synchronoss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 diluted: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Synchronoss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from assumed conversion of PBCU</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and unvested restricted shares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Anti-dilutive stock options and restricted stock awards</w:t>
            </w:r>
            <w:r>
              <w:rPr>
                <w:rFonts w:ascii="Times New Roman;serif" w:hAnsi="Times New Roman;serif"/>
                <w:b w:val="false"/>
                <w:color w:val="000000"/>
                <w:sz w:val="13"/>
              </w:rPr>
              <w:t>1</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Represent stock options and restricted stock awards excluded from the Diluted EPS calculations because the effect would be anti-dilutive.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15. Commitments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Non-cancelable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various non-cancelable arrangements such as services for hosting, support, and software that expire at various dates, with the latest expiration in 2028.</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SYNCHRONOSS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tables in thousands, except for per share data or unless otherwise noted)</w:t>
      </w:r>
    </w:p>
    <w:p>
      <w:pPr>
        <w:pStyle w:val="TextBody"/>
        <w:bidi w:val="0"/>
        <w:spacing w:before="0" w:after="0"/>
        <w:jc w:val="center"/>
        <w:rPr/>
      </w:pPr>
      <w:r>
        <w:rPr/>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Aggregate annual future minimum payments under non-cancelable agreements as of September 30, 2025 for each year beginning January 1, 2025, are as follows:</w:t>
      </w:r>
    </w:p>
    <w:tbl>
      <w:tblPr>
        <w:tblW w:w="3868" w:type="dxa"/>
        <w:jc w:val="left"/>
        <w:tblInd w:w="0" w:type="dxa"/>
        <w:tblLayout w:type="fixed"/>
        <w:tblCellMar>
          <w:top w:w="28" w:type="dxa"/>
          <w:left w:w="28" w:type="dxa"/>
          <w:bottom w:w="28" w:type="dxa"/>
          <w:right w:w="28" w:type="dxa"/>
        </w:tblCellMar>
      </w:tblPr>
      <w:tblGrid>
        <w:gridCol w:w="217"/>
        <w:gridCol w:w="190"/>
        <w:gridCol w:w="193"/>
        <w:gridCol w:w="109"/>
        <w:gridCol w:w="109"/>
        <w:gridCol w:w="109"/>
        <w:gridCol w:w="497"/>
        <w:gridCol w:w="1704"/>
        <w:gridCol w:w="259"/>
        <w:gridCol w:w="109"/>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Non-cancelable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16. Legal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lawsuits or other contingencies could have a material impact on the liquidity, results of operations, or financial condition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not currently subject to any legal proceedings that would be expected to have a material adverse effect on its operations; however, the Company may from time to time become a party to various legal proceedings arising in the ordinary course of its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MANAGEMENT’S</w:t>
      </w:r>
      <w:r>
        <w:rPr>
          <w:color w:val="000000"/>
        </w:rPr>
        <w:t xml:space="preserve"> </w:t>
      </w:r>
      <w:r>
        <w:rPr>
          <w:rFonts w:ascii="Times New Roman;serif" w:hAnsi="Times New Roman;serif"/>
          <w:b/>
          <w:color w:val="000000"/>
          <w:sz w:val="20"/>
        </w:rPr>
        <w:t>DISCUSSION AND ANALYSIS OF FINANCIAL</w:t>
      </w:r>
      <w:r>
        <w:rPr>
          <w:color w:val="000000"/>
        </w:rPr>
        <w:t xml:space="preserve"> </w:t>
      </w:r>
      <w:r>
        <w:rPr>
          <w:rFonts w:ascii="Times New Roman;serif" w:hAnsi="Times New Roman;serif"/>
          <w:b/>
          <w:color w:val="000000"/>
          <w:sz w:val="20"/>
        </w:rPr>
        <w:t>CONDITION AND RESULTS OF</w:t>
      </w:r>
      <w:r>
        <w:rPr>
          <w:color w:val="000000"/>
        </w:rPr>
        <w:t xml:space="preserve"> </w:t>
      </w:r>
      <w:r>
        <w:rPr>
          <w:rFonts w:ascii="Times New Roman;serif" w:hAnsi="Times New Roman;serif"/>
          <w:b/>
          <w:color w:val="000000"/>
          <w:sz w:val="20"/>
        </w:rPr>
        <w:t>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“should,” “could,” “would,” “project,” “target,” “plan,” “expect,”, “seek,” “hope,” “likely,” or the negative of these terms or other similar expressions.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that may cause actual results to differ materially from those anticipated or implied by the forward-looking statements. These factors include, but are not limited to:</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Adverse changes in the national and global economic environments, including foreign currency exchange and tariffs could affect our sales, revenue and profitability;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Changes in market trends, growth rates and consumer preferences could impact our ability to meet customer demands, launch new products or features successfully, attract and retain new customers, or to successfully compete with other providers of similar products;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New laws, regulations or changes to existing laws or regulations, including economic and trade policy, taxation and data protection, could increase our operational complexity or cost;</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Failure to anticipate and keep up with technological advancements could impair our competitiveness;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Security breaches or cyber-attacks could compromise our proprietary information, cause reputational harm and result in financial penalties;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sufficiency of and our ability access cash or cash equivalents to meet our liquidity needs, the timing of our federal tax refund, capital expenditures, fluctuations in interest rates or credit availability could impact our financial performance;</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Legal proceedings or changes in the legal environment could affect our business operations and financial condition;</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Pandemic outbreaks, geopolitical tensions or natural disasters could disrupt our operations;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Our ability to attract and retain talented employees is crucial to our success and any shortfall in that area could impact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Given these risks and uncertainties, undue reliance should not be placed on such forward-looking statements.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the media, and others should note that we intend to announce material information to the public through filings with the Securities and Exchange Commission (SEC), the investor relations page on our website (https://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synchronosstechnologiesinc.gcs-web.com/), press releases, public conference calls, webcasts and social media channels, including our X (formerly known as Twitter) feed (x.com/synchronoss) and LinkedIn page (https://www.linkedin.com/company/synchronoss-technologies).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Synchronoss Technologies, Inc. (“Synchronoss” or the “Company”) is a leading provider of white label cloud software and services that enable our customers to keep subscribers, systems, networks, and content in sync.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Synchronoss Personal Cloud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Designed for smartphones, tablets, and desktops across all operating systems, our platform ensures a seamless cross-device experience.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market our solutions through multiple channels such as our corporate website, direct sales teams across key regions (North America, Europe, Middle East and Africa (“EMEA”) and Asia-Pacific (“APAC”)), and industry partnerships.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generate most of our revenues on a subscription basis, which is derived from customer contracts with terms ranging from three to five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future success of our business depends on the continued growth of Business-to-Business (“B2B”) and Business-to-Business-to-Consumer driving customer transactions, and continued expansion of our platforms into the telecom (“TMT”) market globally through cloud markets. As such, the volume of subscribers and our ability to expand our footprint in TMT and globally may result in revenue fluctuations on a quarterly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our revenues are recorded in U.S. dollars, but as we continue to expand our footprint with international carriers, we are subject to currency translation that could affect our future net sales as reported in U.S. dollars.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top five customers accounted for</w:t>
      </w:r>
      <w:r>
        <w:rPr>
          <w:color w:val="000000"/>
          <w:shd w:fill="FFFFFF" w:val="clear"/>
        </w:rPr>
        <w:t xml:space="preserve"> </w:t>
      </w:r>
      <w:r>
        <w:rPr>
          <w:rFonts w:ascii="Times New Roman;serif" w:hAnsi="Times New Roman;serif"/>
          <w:b w:val="false"/>
          <w:color w:val="000000"/>
          <w:sz w:val="20"/>
          <w:shd w:fill="FFFFFF" w:val="clear"/>
        </w:rPr>
        <w:t xml:space="preserve">99.1% </w:t>
      </w:r>
      <w:r>
        <w:rPr>
          <w:rFonts w:ascii="Times New Roman;serif" w:hAnsi="Times New Roman;serif"/>
          <w:b w:val="false"/>
          <w:color w:val="000000"/>
          <w:sz w:val="20"/>
        </w:rPr>
        <w:t xml:space="preserve">and 97.9% of net revenues for the nine months ended September 30, 2025 and September 30, 2024, respectively. Contracts with these customers typically run for three to five years. Of these customers, both Verizon and AT&amp;T accounted for more than 10% of our revenues in 2025 and 2024. The loss of Verizon or AT&amp;T as a customer would have a material negative impact on our company. However, we believe the costs incurred by and subscriber disruption for Verizon or AT&amp;T to replace Synchronoss’ solutions would be substantial.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Current Trends Affecting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has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Discussion of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September 30, 2025 compared to the three months ended September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an overview of our results of operations for the three months ended September 30, 2025 and 2024 (in thousands):</w:t>
      </w:r>
    </w:p>
    <w:tbl>
      <w:tblPr>
        <w:tblW w:w="9696" w:type="dxa"/>
        <w:jc w:val="left"/>
        <w:tblInd w:w="0" w:type="dxa"/>
        <w:tblLayout w:type="fixed"/>
        <w:tblCellMar>
          <w:top w:w="28" w:type="dxa"/>
          <w:left w:w="28" w:type="dxa"/>
          <w:bottom w:w="28" w:type="dxa"/>
          <w:right w:w="28" w:type="dxa"/>
        </w:tblCellMar>
      </w:tblPr>
      <w:tblGrid>
        <w:gridCol w:w="1296"/>
        <w:gridCol w:w="1142"/>
        <w:gridCol w:w="1147"/>
        <w:gridCol w:w="109"/>
        <w:gridCol w:w="109"/>
        <w:gridCol w:w="109"/>
        <w:gridCol w:w="273"/>
        <w:gridCol w:w="934"/>
        <w:gridCol w:w="141"/>
        <w:gridCol w:w="141"/>
        <w:gridCol w:w="141"/>
        <w:gridCol w:w="141"/>
        <w:gridCol w:w="273"/>
        <w:gridCol w:w="934"/>
        <w:gridCol w:w="141"/>
        <w:gridCol w:w="109"/>
        <w:gridCol w:w="751"/>
        <w:gridCol w:w="109"/>
        <w:gridCol w:w="109"/>
        <w:gridCol w:w="109"/>
        <w:gridCol w:w="246"/>
        <w:gridCol w:w="842"/>
        <w:gridCol w:w="127"/>
        <w:gridCol w:w="109"/>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Cost of revenues excludes depreciation and amortization which are shown separately.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shd w:fill="FFFFFF" w:val="clear"/>
        </w:rPr>
        <w:t>Net revenues</w:t>
      </w:r>
      <w:r>
        <w:rPr>
          <w:color w:val="000000"/>
          <w:shd w:fill="FFFFFF" w:val="clear"/>
        </w:rPr>
        <w:t xml:space="preserve"> </w:t>
      </w:r>
      <w:r>
        <w:rPr>
          <w:rFonts w:ascii="Times New Roman;serif" w:hAnsi="Times New Roman;serif"/>
          <w:b w:val="false"/>
          <w:color w:val="000000"/>
          <w:sz w:val="20"/>
          <w:shd w:fill="FFFFFF" w:val="clear"/>
        </w:rPr>
        <w:t xml:space="preserve">decreased $1.0 million to $42.0 million for the three months ended September 30, 2025, compared to the same period in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in revenue was primarily attributable to $0.8 million decrease in professional services, including $1.5 million impact of a customer contract that expired in the prior period, partially offset by subscriber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Cost of revenues</w:t>
      </w:r>
      <w:r>
        <w:rPr>
          <w:color w:val="000000"/>
        </w:rPr>
        <w:t xml:space="preserve"> </w:t>
      </w:r>
      <w:r>
        <w:rPr>
          <w:rFonts w:ascii="Times New Roman;serif" w:hAnsi="Times New Roman;serif"/>
          <w:b w:val="false"/>
          <w:color w:val="000000"/>
          <w:sz w:val="20"/>
        </w:rPr>
        <w:t xml:space="preserve">decreased $0.3 million to $8.7 million for the three months ended September 30, 2025, compared to the same period in 2024. The decrease in 2025 was primarily driven by the elimination of certain third-party service costs following the Company’s transition of related activities to internal operations.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Research and development</w:t>
      </w:r>
      <w:r>
        <w:rPr>
          <w:color w:val="000000"/>
        </w:rPr>
        <w:t xml:space="preserve"> </w:t>
      </w:r>
      <w:r>
        <w:rPr>
          <w:rFonts w:ascii="Times New Roman;serif" w:hAnsi="Times New Roman;serif"/>
          <w:b w:val="false"/>
          <w:color w:val="000000"/>
          <w:sz w:val="20"/>
        </w:rPr>
        <w:t>expense increased $0.5 million to $10.8 million for the three months ended September 30, 2025, compared to the same period in 2024. The increase in 2025 was primarily attributable to higher personnel-related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Selling, general and administrative</w:t>
      </w:r>
      <w:r>
        <w:rPr>
          <w:color w:val="000000"/>
        </w:rPr>
        <w:t xml:space="preserve"> </w:t>
      </w:r>
      <w:r>
        <w:rPr>
          <w:rFonts w:ascii="Times New Roman;serif" w:hAnsi="Times New Roman;serif"/>
          <w:b w:val="false"/>
          <w:color w:val="000000"/>
          <w:sz w:val="20"/>
        </w:rPr>
        <w:t>expense decreased $1.6 million to $12.2 million for the three months ended September 30, 2025, compared to the same period in 2024. Selling, general and administrative expenses decreased primarily due to $1.3 million lower performance-based compensation expense in the current period due to expected full-year metric attainment compared to the prior period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Depreciation and amortization</w:t>
      </w:r>
      <w:r>
        <w:rPr>
          <w:color w:val="000000"/>
        </w:rPr>
        <w:t xml:space="preserve"> </w:t>
      </w:r>
      <w:r>
        <w:rPr>
          <w:rFonts w:ascii="Times New Roman;serif" w:hAnsi="Times New Roman;serif"/>
          <w:b w:val="false"/>
          <w:color w:val="000000"/>
          <w:sz w:val="20"/>
        </w:rPr>
        <w:t xml:space="preserve">expense increased $0.1 million for the three months ended September 30, 2025, compared to the same period in 2024. The 2025 increase was primarily attributable to increased amortization of capitalized software due to more amortizable assets placed in service in the current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income</w:t>
      </w:r>
      <w:r>
        <w:rPr>
          <w:color w:val="000000"/>
        </w:rPr>
        <w:t xml:space="preserve"> </w:t>
      </w:r>
      <w:r>
        <w:rPr>
          <w:rFonts w:ascii="Times New Roman;serif" w:hAnsi="Times New Roman;serif"/>
          <w:b w:val="false"/>
          <w:color w:val="000000"/>
          <w:sz w:val="20"/>
        </w:rPr>
        <w:t xml:space="preserve">increased $5.2 million to $5.4 million for the three months ended September 30, 2025, compared to the same period in prior year primarily due to $5.2 million interest income related to the federal tax refund received by the Company during the third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Interest expense</w:t>
      </w:r>
      <w:r>
        <w:rPr>
          <w:color w:val="000000"/>
        </w:rPr>
        <w:t xml:space="preserve"> </w:t>
      </w:r>
      <w:r>
        <w:rPr>
          <w:rFonts w:ascii="Times New Roman;serif" w:hAnsi="Times New Roman;serif"/>
          <w:b w:val="false"/>
          <w:color w:val="000000"/>
          <w:sz w:val="20"/>
        </w:rPr>
        <w:t>increased $2.3 million to $7.8 million for the three months ended September 30, 2025, compared to the same period in 2024. The increase in interest expense is attributable to $0.5 million higher interest on the 2025 Term Loan and $1.7 million amortization of deferred financing costs accelerated due to 2025 Term Loan principal prepayment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Foreign exchange (loss) gain</w:t>
      </w:r>
      <w:r>
        <w:rPr>
          <w:color w:val="000000"/>
        </w:rPr>
        <w:t xml:space="preserve"> </w:t>
      </w:r>
      <w:r>
        <w:rPr>
          <w:rFonts w:ascii="Times New Roman;serif" w:hAnsi="Times New Roman;serif"/>
          <w:b w:val="false"/>
          <w:color w:val="000000"/>
          <w:sz w:val="20"/>
        </w:rPr>
        <w:t>was a gain of $0.5 million compared to a loss of $5.5 million for the three months ended September 30, 2025 and 2024, respectively, due to the impact of non-cash foreign exchange losses on intercompany payables and receivables primarily between the Company’s U.S. and European entities.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Income tax. </w:t>
      </w:r>
      <w:r>
        <w:rPr>
          <w:rFonts w:ascii="Times New Roman;serif" w:hAnsi="Times New Roman;serif"/>
          <w:b w:val="false"/>
          <w:color w:val="000000"/>
          <w:sz w:val="20"/>
        </w:rPr>
        <w:t>The Company recognized income tax benefit of approximately $1.8 million and income tax expense of approximately $0.6 million for the three months ended September 30, 2025 and 2024, respectively. The effective tax rate was approximately (44.7)% for the three months ended September 30, 2025, which was lower than the U.S. federal statutory rate, primarily due to the discrete tax benefit recorded in the period. The Company finalized its 2024 U.S. federal income tax return during the period, which resulted in a discrete tax benefit of $1.7 million primarily attributable to research tax credit and foreign tax credit studies completed prior to filing the tax return. The Company’s effective tax rate was approximately (12.3)% for the three months ended September 30, 2024, which was lower than the U.S. federal statutory rate primarily due to the impact of permanent adjustments including Global Intangible Low-Taxes Income and adjustments to valuation allowances associated with prior year activity, partially offset by foreign tax rate differential.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to the nine months ended September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an overview of our results of operations for the nine months ended September 30, 2025 and 2025 (in thousands):</w:t>
      </w:r>
    </w:p>
    <w:tbl>
      <w:tblPr>
        <w:tblW w:w="9780" w:type="dxa"/>
        <w:jc w:val="left"/>
        <w:tblInd w:w="0" w:type="dxa"/>
        <w:tblLayout w:type="fixed"/>
        <w:tblCellMar>
          <w:top w:w="28" w:type="dxa"/>
          <w:left w:w="28" w:type="dxa"/>
          <w:bottom w:w="28" w:type="dxa"/>
          <w:right w:w="28" w:type="dxa"/>
        </w:tblCellMar>
      </w:tblPr>
      <w:tblGrid>
        <w:gridCol w:w="1318"/>
        <w:gridCol w:w="1161"/>
        <w:gridCol w:w="1166"/>
        <w:gridCol w:w="109"/>
        <w:gridCol w:w="109"/>
        <w:gridCol w:w="109"/>
        <w:gridCol w:w="241"/>
        <w:gridCol w:w="946"/>
        <w:gridCol w:w="124"/>
        <w:gridCol w:w="124"/>
        <w:gridCol w:w="124"/>
        <w:gridCol w:w="124"/>
        <w:gridCol w:w="241"/>
        <w:gridCol w:w="946"/>
        <w:gridCol w:w="124"/>
        <w:gridCol w:w="109"/>
        <w:gridCol w:w="901"/>
        <w:gridCol w:w="109"/>
        <w:gridCol w:w="109"/>
        <w:gridCol w:w="109"/>
        <w:gridCol w:w="229"/>
        <w:gridCol w:w="867"/>
        <w:gridCol w:w="118"/>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Cost of revenues excludes depreciation and amortization which are shown separately.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color w:val="000000"/>
          <w:sz w:val="20"/>
        </w:rPr>
        <w:t>Net revenues</w:t>
      </w:r>
      <w:r>
        <w:rPr>
          <w:color w:val="000000"/>
        </w:rPr>
        <w:t xml:space="preserve"> </w:t>
      </w:r>
      <w:r>
        <w:rPr>
          <w:rFonts w:ascii="Times New Roman;serif" w:hAnsi="Times New Roman;serif"/>
          <w:b w:val="false"/>
          <w:color w:val="000000"/>
          <w:sz w:val="20"/>
        </w:rPr>
        <w:t>decreased $2.7 million to $126.7 million for the nine months ended September 30, 2025, compared to the same period in 2024. The decrease in revenue was mainly attributable to the $3.6 million decrease in professional services and $4.0 million impact of a customer contract that expired in the prior period, partially offset by $3.9 million related to subscriber growth and $1.0 million greater license revenue in the current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Cost of revenues</w:t>
      </w:r>
      <w:r>
        <w:rPr>
          <w:color w:val="000000"/>
        </w:rPr>
        <w:t xml:space="preserve"> </w:t>
      </w:r>
      <w:r>
        <w:rPr>
          <w:rFonts w:ascii="Times New Roman;serif" w:hAnsi="Times New Roman;serif"/>
          <w:b w:val="false"/>
          <w:color w:val="000000"/>
          <w:sz w:val="20"/>
        </w:rPr>
        <w:t xml:space="preserve">decreased $3.3 million to $26.3 million for the nine months ended September 30, 2025, compared to the same period in 2024. The decrease in 2025 was primarily due to lower baseline employee expenses resulting from restructuring measures implemented in the fourth quarter of 2024, as well as cost-saving initiatives aimed at reducing vendor expenditures and overhead.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Research and development</w:t>
      </w:r>
      <w:r>
        <w:rPr>
          <w:color w:val="000000"/>
        </w:rPr>
        <w:t xml:space="preserve"> </w:t>
      </w:r>
      <w:r>
        <w:rPr>
          <w:rFonts w:ascii="Times New Roman;serif" w:hAnsi="Times New Roman;serif"/>
          <w:b w:val="false"/>
          <w:color w:val="000000"/>
          <w:sz w:val="20"/>
        </w:rPr>
        <w:t>expense decreased $1.6 million to $30.9 million for the nine months ended September 30, 2025, compared to the same period in 2024. The decrease in 2025 was primarily attributable to cost-saving initiatives implemented in the fourth quarter of 2024 aimed at streamlining the workforce and reducing vendor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Selling, general and administrative</w:t>
      </w:r>
      <w:r>
        <w:rPr>
          <w:color w:val="000000"/>
        </w:rPr>
        <w:t xml:space="preserve"> </w:t>
      </w:r>
      <w:r>
        <w:rPr>
          <w:rFonts w:ascii="Times New Roman;serif" w:hAnsi="Times New Roman;serif"/>
          <w:b w:val="false"/>
          <w:color w:val="000000"/>
          <w:sz w:val="20"/>
        </w:rPr>
        <w:t xml:space="preserve">expense decreased $4.4 million to $35.4 million for the nine months ended September 30, 2025, compared to the same period in 2024. The decrease in 2025 was primarily attributable to cost-saving initiatives implemented in the fourth quarter of 2024, decrease in facilities expense due to prior year restructuring activity and lower performance-based compensation expense in the current period due to expected full-year metric attainment compared to the prior period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Restructuring charges</w:t>
      </w:r>
      <w:r>
        <w:rPr>
          <w:color w:val="000000"/>
        </w:rPr>
        <w:t xml:space="preserve"> </w:t>
      </w:r>
      <w:r>
        <w:rPr>
          <w:rFonts w:ascii="Times New Roman;serif" w:hAnsi="Times New Roman;serif"/>
          <w:b w:val="false"/>
          <w:color w:val="000000"/>
          <w:sz w:val="20"/>
        </w:rPr>
        <w:t xml:space="preserve">were $0.2 million and $0.3 million for the nine months ended September 30, 2025 and 2024, respectively, which primarily related to employment termination costs as a result of the work-force reductions initiated to reduce operating costs and align our resources with our key strategic priorities.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Depreciation and amortization</w:t>
      </w:r>
      <w:r>
        <w:rPr>
          <w:color w:val="000000"/>
        </w:rPr>
        <w:t xml:space="preserve"> </w:t>
      </w:r>
      <w:r>
        <w:rPr>
          <w:rFonts w:ascii="Times New Roman;serif" w:hAnsi="Times New Roman;serif"/>
          <w:b w:val="false"/>
          <w:color w:val="000000"/>
          <w:sz w:val="20"/>
        </w:rPr>
        <w:t>expense increased $0.2 million to $12.9 million for the nine months ended September 30, 2025, compared to the same period in 2024. The 2025 increase was primarily attributable to increased amortization of capitalized software due to more amortizable assets placed in service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Interest</w:t>
      </w:r>
      <w:r>
        <w:rPr>
          <w:color w:val="000000"/>
        </w:rPr>
        <w:t xml:space="preserve"> </w:t>
      </w:r>
      <w:r>
        <w:rPr>
          <w:rFonts w:ascii="Times New Roman;serif" w:hAnsi="Times New Roman;serif"/>
          <w:b/>
          <w:color w:val="000000"/>
          <w:sz w:val="20"/>
        </w:rPr>
        <w:t>income</w:t>
      </w:r>
      <w:r>
        <w:rPr>
          <w:color w:val="000000"/>
        </w:rPr>
        <w:t xml:space="preserve"> </w:t>
      </w:r>
      <w:r>
        <w:rPr>
          <w:rFonts w:ascii="Times New Roman;serif" w:hAnsi="Times New Roman;serif"/>
          <w:b w:val="false"/>
          <w:color w:val="000000"/>
          <w:sz w:val="20"/>
        </w:rPr>
        <w:t>increased $5.4 million to $5.9 million for the nine months ended September 30, 2025, compared to the same period in 2024. The increase was primarily due to $5.2 million interest income related to the federal tax refund received by the Company during the third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Interest expense</w:t>
      </w:r>
      <w:r>
        <w:rPr>
          <w:color w:val="000000"/>
        </w:rPr>
        <w:t xml:space="preserve"> </w:t>
      </w:r>
      <w:r>
        <w:rPr>
          <w:rFonts w:ascii="Times New Roman;serif" w:hAnsi="Times New Roman;serif"/>
          <w:b w:val="false"/>
          <w:color w:val="000000"/>
          <w:sz w:val="20"/>
        </w:rPr>
        <w:t>increased $7.2 million to $19.8 million for the nine months ended September 30, 2025, compared to the same period in 2024. The increase in interest expense is attributable to $4.9 million higher interest on the 2025 Term Loan and $2.3 million higher amortization of deferred financing costs, including $1.7 million amortization of deferred financing costs accelerated due to 2025 Term Loan principal prepayment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Debt modification expense</w:t>
      </w:r>
      <w:r>
        <w:rPr>
          <w:color w:val="000000"/>
        </w:rPr>
        <w:t xml:space="preserve"> </w:t>
      </w:r>
      <w:r>
        <w:rPr>
          <w:rFonts w:ascii="Times New Roman;serif" w:hAnsi="Times New Roman;serif"/>
          <w:b w:val="false"/>
          <w:color w:val="000000"/>
          <w:sz w:val="20"/>
        </w:rPr>
        <w:t>was $4.4 million and nil for the nine months ended September 30, 2025 and 2024, respectively, related to deferred financing costs associated with the 2025 Term Loan that were expensed on a pro-rata basis in accordance with debt modification accounting guidance during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Loss on debt extinguishment</w:t>
      </w:r>
      <w:r>
        <w:rPr>
          <w:color w:val="000000"/>
        </w:rPr>
        <w:t xml:space="preserve"> </w:t>
      </w:r>
      <w:r>
        <w:rPr>
          <w:rFonts w:ascii="Times New Roman;serif" w:hAnsi="Times New Roman;serif"/>
          <w:b w:val="false"/>
          <w:color w:val="000000"/>
          <w:sz w:val="20"/>
        </w:rPr>
        <w:t>was $2.0 million and nil for the nine months ended September 30, 2025 and 2024, respectively, related to pro-rata unamortized debt issuance costs and prepayment premium associated with the 2021 Senior Notes extinguishment during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Foreign exchange (loss) gain</w:t>
      </w:r>
      <w:r>
        <w:rPr>
          <w:color w:val="000000"/>
        </w:rPr>
        <w:t xml:space="preserve"> </w:t>
      </w:r>
      <w:r>
        <w:rPr>
          <w:rFonts w:ascii="Times New Roman;serif" w:hAnsi="Times New Roman;serif"/>
          <w:b w:val="false"/>
          <w:color w:val="000000"/>
          <w:sz w:val="20"/>
        </w:rPr>
        <w:t>was a loss of $17.6 million compared to a loss of $0.4 million for the nine months ended September 30, 2025 and 2024, respectively, due to the impact of non-cash foreign exchange losses on intercompany payables and receivables primarily between the Company’s U.S. and European entities.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Income tax. </w:t>
      </w:r>
      <w:r>
        <w:rPr>
          <w:rFonts w:ascii="Times New Roman;serif" w:hAnsi="Times New Roman;serif"/>
          <w:b w:val="false"/>
          <w:color w:val="000000"/>
          <w:sz w:val="20"/>
        </w:rPr>
        <w:t xml:space="preserve">The Company recognized income tax expense of approximately $0.7 million and $3.9 million during the nine months ended September 30, 2025 and 2024, respectively. The effective tax rate was approximately (4.4)% for the nine months ended September 30, 2025, which was lower than the U.S. federal statutory rate due to the current period loss from operations before taxes, the impact of permanent adjustments, including Global Intangible Low-Taxed Income, decreased the effective tax rate, while the impact of foreign tax rate differential, and the impact of valuation allowances increased the effective tax rate.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 the Company finalized its 2024 U.S. federal income tax return during the period, which resulted in a discrete tax benefit of $1.7 million primarily attributable to research tax credit and foreign tax credit studies completed prior to filing the tax return. The Company’s effective tax rate was approximately 178.6% for the nine months ended September 30, 2024, which was higher than the U.S. federal statutory rate primarily due to the impact of permanent adjustments, most notably Global Intangible Low-Taxed Income, partially offset by foreign tax rate differential.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principal sources of liquidity have been cash provided by operations. At September 30, 2025 the Company had an aggregate of </w:t>
      </w:r>
      <w:r>
        <w:rPr>
          <w:rFonts w:ascii="Times New Roman;serif" w:hAnsi="Times New Roman;serif"/>
          <w:b w:val="false"/>
          <w:color w:val="000000"/>
          <w:sz w:val="20"/>
          <w:shd w:fill="FFFFFF" w:val="clear"/>
        </w:rPr>
        <w:t>$34.8 million</w:t>
      </w:r>
      <w:r>
        <w:rPr>
          <w:color w:val="000000"/>
        </w:rPr>
        <w:t xml:space="preserve"> </w:t>
      </w:r>
      <w:r>
        <w:rPr>
          <w:rFonts w:ascii="Times New Roman;serif" w:hAnsi="Times New Roman;serif"/>
          <w:b w:val="false"/>
          <w:color w:val="000000"/>
          <w:sz w:val="20"/>
        </w:rPr>
        <w:t xml:space="preserve">cash and cash equivalents, and generated operating cash flows of </w:t>
      </w:r>
      <w:r>
        <w:rPr>
          <w:rFonts w:ascii="Times New Roman;serif" w:hAnsi="Times New Roman;serif"/>
          <w:b w:val="false"/>
          <w:color w:val="000000"/>
          <w:sz w:val="20"/>
          <w:shd w:fill="FFFFFF" w:val="clear"/>
        </w:rPr>
        <w:t>$41.9 million</w:t>
      </w:r>
      <w:r>
        <w:rPr>
          <w:color w:val="000000"/>
        </w:rPr>
        <w:t xml:space="preserve"> </w:t>
      </w:r>
      <w:r>
        <w:rPr>
          <w:rFonts w:ascii="Times New Roman;serif" w:hAnsi="Times New Roman;serif"/>
          <w:b w:val="false"/>
          <w:color w:val="000000"/>
          <w:sz w:val="20"/>
        </w:rPr>
        <w:t xml:space="preserve">for the nine months ended September 30, 2025. </w:t>
      </w:r>
      <w:r>
        <w:rPr>
          <w:rFonts w:ascii="Times New Roman;serif" w:hAnsi="Times New Roman;serif"/>
          <w:b w:val="false"/>
          <w:color w:val="000000"/>
          <w:sz w:val="20"/>
          <w:shd w:fill="FFFFFF" w:val="clear"/>
        </w:rPr>
        <w:t>At September 30, 2025, our non-U.S. subsidiaries held approximately $8.0 million of cash and cash equivalents that are available for use by our operations around the worl</w:t>
      </w:r>
      <w:r>
        <w:rPr>
          <w:rFonts w:ascii="Times New Roman;serif" w:hAnsi="Times New Roman;serif"/>
          <w:b w:val="false"/>
          <w:color w:val="000000"/>
          <w:sz w:val="20"/>
        </w:rPr>
        <w:t xml:space="preserve">d. The Company believes it has sufficient cash and cash equivalents and will generate sufficient liquidity from operations to meet its obligations for at least the next twelve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However, as the current geopolitical tensions unfold, we will continue to assess any impact on our operations and our liquidity needs. Our liquidity plans are subject to a number of risks and uncertainties, including those described in the "Forward-Looking Statements" section of this MD&amp;A and Part I, Item 1A. “Risk Factors” in our Annual Report on Form 10-K for the year ended December 31, 2024, some of which are outside of our control.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Discussion of Cash Flows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net cash flows follows (in thousands): </w:t>
      </w:r>
    </w:p>
    <w:tbl>
      <w:tblPr>
        <w:tblW w:w="6348" w:type="dxa"/>
        <w:jc w:val="left"/>
        <w:tblInd w:w="0" w:type="dxa"/>
        <w:tblLayout w:type="fixed"/>
        <w:tblCellMar>
          <w:top w:w="28" w:type="dxa"/>
          <w:left w:w="28" w:type="dxa"/>
          <w:bottom w:w="28" w:type="dxa"/>
          <w:right w:w="28" w:type="dxa"/>
        </w:tblCellMar>
      </w:tblPr>
      <w:tblGrid>
        <w:gridCol w:w="961"/>
        <w:gridCol w:w="843"/>
        <w:gridCol w:w="850"/>
        <w:gridCol w:w="254"/>
        <w:gridCol w:w="961"/>
        <w:gridCol w:w="131"/>
        <w:gridCol w:w="131"/>
        <w:gridCol w:w="131"/>
        <w:gridCol w:w="131"/>
        <w:gridCol w:w="254"/>
        <w:gridCol w:w="871"/>
        <w:gridCol w:w="131"/>
        <w:gridCol w:w="109"/>
        <w:gridCol w:w="109"/>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Cash provided by operating activities </w:t>
      </w:r>
      <w:r>
        <w:rPr>
          <w:rFonts w:ascii="Times New Roman;serif" w:hAnsi="Times New Roman;serif"/>
          <w:b w:val="false"/>
          <w:color w:val="000000"/>
          <w:sz w:val="20"/>
        </w:rPr>
        <w:t xml:space="preserve">for the nine months ended September 30, 2025 was $41.9 million as compared to $15.2 million of cash provided by operating activities for the same period in 2024. In the current period, the Company generated cash from operations mainly driven by continued growth in cloud subscribers and reduced operating costs, $33.9 million federal tax refund (including $5.2 million of accrued interest), offset by $2.5 million higher debt interest paid in 2025, $3.7 million debt issuance and debt extinguishment costs related to modified debt, and favorable movements in working capital in 2025 compared to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Cash used in investing</w:t>
      </w:r>
      <w:r>
        <w:rPr>
          <w:color w:val="000000"/>
        </w:rPr>
        <w:t xml:space="preserve"> </w:t>
      </w:r>
      <w:r>
        <w:rPr>
          <w:rFonts w:ascii="Times New Roman;serif" w:hAnsi="Times New Roman;serif"/>
          <w:b/>
          <w:color w:val="000000"/>
          <w:sz w:val="20"/>
        </w:rPr>
        <w:t xml:space="preserve">activities </w:t>
      </w:r>
      <w:r>
        <w:rPr>
          <w:rFonts w:ascii="Times New Roman;serif" w:hAnsi="Times New Roman;serif"/>
          <w:b w:val="false"/>
          <w:color w:val="000000"/>
          <w:sz w:val="20"/>
        </w:rPr>
        <w:t>for the nine months ended September 30, 2025 was $10.2 million as compared to $9.1 million of cash used in investing activities during the same period in 2024. The cash used in investing activities during current and prior year primarily funded product development for our Cloud offering and associated labor costs. In 2024, cash used in investing activities was offset by $1.5 million of deferred consideration for the sale of Messaging and NetworkX Businesses received by the company in the third quarter of 2024.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Cash used in financing activities</w:t>
      </w:r>
      <w:r>
        <w:rPr>
          <w:color w:val="000000"/>
        </w:rPr>
        <w:t xml:space="preserve"> </w:t>
      </w:r>
      <w:r>
        <w:rPr>
          <w:rFonts w:ascii="Times New Roman;serif" w:hAnsi="Times New Roman;serif"/>
          <w:b w:val="false"/>
          <w:color w:val="000000"/>
          <w:sz w:val="20"/>
        </w:rPr>
        <w:t>for the nine months ended September 30, 2025 was $30.3 million as compared to $5.4 million of cash used in financing activities during the same period in 2024. The cash used in financing activities in the current year was primarily related to the receipt of $126.4 million proceeds from 2025 Term Loan net of repayment of 2024 Term Loan, offset by $7.9 million in related issuance costs, $121.4 million repayment of 2021 Senior Notes and $0.7 million in related debt extinguishment costs, $25.4 million repayment of 2025 Term Loan principal due to receipt of the federal income tax refund, and $0.8 million of income and payroll taxes paid as a result of stock-based withholding. The cash used in financing activities in the prior year was primarily related to $75.0 million funding of the Term Loan; offset by $6.8 million issuance costs related to the 2024 term loan, $57.6 million Series B Preferred Stock Repurchase, $11.5 million Senior Notes Repurchase and $4.3 million Series B Preferred dividend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 of Inflation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Inflationary increases in certain input costs, such as occupancy, labor and benefits, and general administrative costs have impacted our business. Management does not believe these impacts have had a material impact on our results of operations during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We cannot assure you, however, that we will not be affected by general inflation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consist of office and laptop leases, notes payable and related interest as well as contractual commitments under third-party hosting, software licenses and maintenance agreements. The following table summarizes our long</w:t>
        <w:noBreakHyphen/>
        <w:t>term contractual obligations as of September 30, 2025 (in thousands):</w:t>
      </w:r>
    </w:p>
    <w:tbl>
      <w:tblPr>
        <w:tblW w:w="9450"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Amount represents obligations associated with colocation agreements and other customer delivery related purchase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Uncertain Tax Positions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Unrecognized tax benefits associated with uncertain tax positions were $4.4 million at September 30, 2025.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within the next 12 months as a result of a lapse of the statute of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disclosure of contingencies as of the date of the financial statements and the reported amounts of revenues and expenses during a fiscal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SEC considers an accounting policy to be critical if it is important to a company’s financial condition and results of operations, and if it requires significant judgment and estimates on the part of management in its application. These estimates and assumptions take into account historical and forward looking factors that the Company believes are reasonable, including but not limited to the potential impacts from current geopolitical tensions. As the extent and duration of the impacts from geopolitical developments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 price has experienced a continuous decline during the second and third quarters of 2025. Management monitors the Company’s market capitalization relative to its carrying value as part of its impairment assessment process. While the decline in stock price may indicate potential impairment triggers, management has performed an evaluation of qualitative and quantitative factors and concluded that no impairment charge was required dor the nine months ended September 30, 2025. The Company will continue to monitor its stock price trends and other relevant factors for any potential impact on the recoverability of goodwill or other long-lived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significant changes in our critical accounting policies and estimates from our Annual Report on Form 10-K for the year ended December 31, 2024. Refer to Management’s Discussion and Analysis of Financial Condition and Results of Operations contained in Part II, Item 7 of our Annual Report on Form 10-K for the year ended December 31, 2024 for a more complete discussion of our critical accounting policies and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standards see Note 2. Basis of Presentation and Consolidation of the Notes to Condensed Consolidated Financial Statements in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no off-balance sheet arrangements as of September 30, 2025 and December 31, 2024 that have, or are reasonably likely to have, a current or future effect on our financial condition, changes in financial condition, revenues or expenses, results of operations, liquidity, capital expenditures or capital resources that are material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about market risk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September 30, 2025 and December 31, 2024 were invested in liquid money market accounts and certificates of deposit. All market-risk sensitive instruments were entered into for non-trading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of interest rate fluctuations on the interest income earned on our cash and cash equivalents. A hypothetical 100 basis point movement in interest rates applicable to our cash and cash equivalents outstanding at September 30, 2025 would increase interest income by approximately $0.3 million on an annual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pursuant to our 2025 Term Loan Agreement bear interest at a rate per annum equal to secured overnight financing rate, subject to a floor of 2.50%, plus applicable margin of 7.00%. As such, our net income is sensitive to movements in interest rates. If interest rates increase, our debt obligations pursuant to the 2025 Term Loan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 Based on our outstanding borrowings pursuant to the 2025 Term Loan Agreement as of September 30, 2025 a hypothetical 100 basis point movement in interest rates would have affected interest expense on the debt by $1.8 million on an annual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Rule 15d-15(f) under the Exchange Act) identified in connection with the evaluation of our controls performed during the three months ended September 30, 2025 that have materially affected, or are reasonably likely to materially affect, our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our material pending legal proceedings that could impact our results of operations, financial condition or cash flows see Note 16. Legal Matters of the Notes to Condensed Consolidated Financial Statements in Item 1 of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set forth below, there have been no material changes to our risk factors as previously disclosed in Part I, Item 1A. included in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2024, we entered into a Credit Agreement with BGC Lender Rep LLC, as administrative agent and the lenders party thereto (the “Original Credit Agreement”), which was subsequently amended by that certain First Amendment to Credit Agreement and Pledge and Security Agreement dated April 24, 2025 (the “2025 Term Loan Agreement” and the Original Credit Agreement, as amended by the First Amendment, the “2024 Term Loan Agreement”). The 2025 Term Loan Agreement established a senior secured term loan of up to $200.0 million (the “2025 Term Loan”), all of which was funded on April 24, 2025. The 2025 Term Loan matures on April 24, 2029, subject to an earlier springing maturity date that is nine months prior to the effective date of termination, forfeiture, non-renewal, cancellation, revocation or suspension of certain material contracts if unreplaced in accordance with the terms of the 2025 Term Loan Agreement (the “Springing Maturity Date”). In the event of a Springing Maturity Date, we will be required to pay all amounts outstanding under the 2025 Term Loan sooner than they would otherwise be due. We may not have sufficient funds available to pay such amounts at that time, and we may not be able to raise additional funds to pay such amounts on a timely basis, on terms we find acceptable, or at 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2025 Term Loan Agreement contains certain operating covenants and restricts our operating and financial flexibility. Our obligations under the 2025 Term Loan Agreement are secured by substantially all of our assets (other than existing real property). The 2025 Term Loan Agreement contains customary covenants that limit our ability and our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2025 Term Loan Agreement. The financial covenants set forth in the 2025 Term Loan Agreement include (i) a maximum consolidated secured leverage ratio, which will be tested at the end of each of Synchronoss’ fiscal quarters, (ii) a covenant tested monthly with respect to a minimum number of subscribers under certain material contracts and (iii) an average liquidity requirement for any calendar month. As of June 30, 2025, we were currently in compliance with the 2025 Term Loan Agreement covenants, but we may fall out of compliance with these covenants. We may also enter into other debt agreements in the future which may contain similar or more restrictive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Upon the occurrence and continuance of an event of default, which, for example, would be triggered by a breach or violation of, default under, cancellation, termination, forfeiture, rescission, revocation, suspension, impairment or non-renewal of certain material contracts of the Company, BGC may take either or both of the following actions: (i) terminate the commitments and (ii) declare all outstanding obligations immediately due and payable and take such other actions as set forth in the 2025 Term Loan Agreement. Any declaration by BGC of an event of default could significantly harm our business and prospects and could cause the price of our common stock to decline significantly. Further, if we were liquidated, the lenders’ rights to repayment would be senior to the rights of our stockholders.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2. UNREGISTERED SALES OF EQUITY SECURITIES AND</w:t>
      </w:r>
      <w:r>
        <w:rPr>
          <w:color w:val="000000"/>
        </w:rPr>
        <w:t xml:space="preserve"> </w:t>
      </w:r>
      <w:r>
        <w:rPr>
          <w:rFonts w:ascii="Times New Roman;serif" w:hAnsi="Times New Roman;serif"/>
          <w:b/>
          <w:color w:val="000000"/>
          <w:sz w:val="20"/>
        </w:rPr>
        <w:t>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80"/>
        <w:jc w:val="both"/>
        <w:rPr/>
      </w:pPr>
      <w:r>
        <w:rPr>
          <w:rFonts w:ascii="Times New Roman;serif" w:hAnsi="Times New Roman;serif"/>
          <w:b/>
          <w:color w:val="000000"/>
          <w:sz w:val="20"/>
        </w:rPr>
        <w:t>ITEM 5. OTHER INFORMATION</w:t>
      </w:r>
      <w:r>
        <w:rPr>
          <w:color w:val="000000"/>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3"/>
        <w:gridCol w:w="226"/>
        <w:gridCol w:w="109"/>
        <w:gridCol w:w="109"/>
        <w:gridCol w:w="109"/>
        <w:gridCol w:w="1375"/>
        <w:gridCol w:w="1207"/>
        <w:gridCol w:w="1220"/>
        <w:gridCol w:w="109"/>
        <w:gridCol w:w="109"/>
        <w:gridCol w:w="109"/>
        <w:gridCol w:w="170"/>
        <w:gridCol w:w="170"/>
        <w:gridCol w:w="171"/>
        <w:gridCol w:w="109"/>
        <w:gridCol w:w="109"/>
        <w:gridCol w:w="109"/>
        <w:gridCol w:w="299"/>
        <w:gridCol w:w="245"/>
        <w:gridCol w:w="165"/>
        <w:gridCol w:w="109"/>
        <w:gridCol w:w="109"/>
        <w:gridCol w:w="109"/>
        <w:gridCol w:w="210"/>
        <w:gridCol w:w="210"/>
        <w:gridCol w:w="211"/>
        <w:gridCol w:w="109"/>
        <w:gridCol w:w="109"/>
        <w:gridCol w:w="109"/>
        <w:gridCol w:w="475"/>
        <w:gridCol w:w="257"/>
        <w:gridCol w:w="241"/>
        <w:gridCol w:w="109"/>
        <w:gridCol w:w="109"/>
        <w:gridCol w:w="109"/>
        <w:gridCol w:w="265"/>
        <w:gridCol w:w="265"/>
        <w:gridCol w:w="38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21"/>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6"/>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16"/>
                  <w:u w:val="single"/>
                </w:rPr>
                <w:t>Certificate of Amendment to the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6"/>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333-132080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9, 2006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6"/>
                  <w:u w:val="single"/>
                </w:rPr>
                <w:t>Amendment No. 1 to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erif" w:hAnsi="Times New Roman;serif"/>
                  <w:b w:val="false"/>
                  <w:color w:val="0000FF"/>
                  <w:sz w:val="16"/>
                  <w:u w:val="single"/>
                </w:rPr>
                <w:t>Amendment No. 2 to the 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FF"/>
                  <w:sz w:val="16"/>
                  <w:u w:val="single"/>
                </w:rPr>
                <w:t>Certificate of Designations of the Series B Perpetual Non-Convertible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000-52049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6"/>
                  <w:u w:val="single"/>
                </w:rPr>
                <w:t>Certificate of Amendment of the Restated Certificate of Incorporation of Synchronoss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16"/>
                  <w:u w:val="single"/>
                </w:rPr>
                <w:t xml:space="preserve">Certificate of Elimination of the Series B Perpetual Non-Convertible Preferred Stock.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6"/>
                  <w:u w:val="single"/>
                </w:rPr>
                <w:t>Synchronoss Technologies,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001-40574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sncrx0930202510xq.htm">
              <w:r>
                <w:rPr>
                  <w:rStyle w:val="InternetLink"/>
                  <w:rFonts w:ascii="Times New Roman;serif" w:hAnsi="Times New Roman;serif"/>
                  <w:b w:val="false"/>
                  <w:color w:val="0000FF"/>
                  <w:sz w:val="16"/>
                  <w:u w:val="single"/>
                </w:rPr>
                <w:t>Certification of Principal Executive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sncrx0930202510xq.htm">
              <w:r>
                <w:rPr>
                  <w:rStyle w:val="InternetLink"/>
                  <w:rFonts w:ascii="Times New Roman;serif" w:hAnsi="Times New Roman;serif"/>
                  <w:b w:val="false"/>
                  <w:color w:val="0000FF"/>
                  <w:sz w:val="16"/>
                  <w:u w:val="single"/>
                </w:rPr>
                <w:t>Certification of Principal Financial Officer pursuant to Rule 13a</w:t>
                <w:noBreakHyphen/>
                <w:t>14(a) of the Exchange Act, as adopted pursuant to section 302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sncrx0930202510xq.htm">
              <w:r>
                <w:rPr>
                  <w:rStyle w:val="InternetLink"/>
                  <w:rFonts w:ascii="Times New Roman;serif" w:hAnsi="Times New Roman;serif"/>
                  <w:b w:val="false"/>
                  <w:color w:val="0000FF"/>
                  <w:sz w:val="16"/>
                  <w:u w:val="single"/>
                </w:rPr>
                <w:t>Certification of Principal Executive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sncrx0930202510xq.htm">
              <w:r>
                <w:rPr>
                  <w:rStyle w:val="InternetLink"/>
                  <w:rFonts w:ascii="Times New Roman;serif" w:hAnsi="Times New Roman;serif"/>
                  <w:b w:val="false"/>
                  <w:color w:val="0000FF"/>
                  <w:sz w:val="16"/>
                  <w:u w:val="single"/>
                </w:rPr>
                <w:t>Certification of Principal Financial Officer pursuant to Rule 13a</w:t>
                <w:noBreakHyphen/>
                <w:t>14(b) of the Exchange Act and section 18 U.S.C. Section 1350, as adopted pursuant to section 906 of the Sarbanes</w:t>
                <w:noBreakHyphen/>
                <w:t>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c86fb0290a04e479b84893e8c87bea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Securities Exchange Act of 1934, the registrant has caused this Report to be signed on its behalf by the undersigned, thereunto duly authorized.</w:t>
      </w:r>
    </w:p>
    <w:tbl>
      <w:tblPr>
        <w:tblW w:w="37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94"/>
        <w:gridCol w:w="894"/>
        <w:gridCol w:w="8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Synchronoss Technologies,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November 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PURSUANT TO SECURITIES AND EXCHANGE COMMISSION RULE 13a-14(a)</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 </w:t>
      </w:r>
      <w:r>
        <w:rPr>
          <w:rFonts w:ascii="Times New Roman;serif" w:hAnsi="Times New Roman;serif"/>
          <w:b/>
          <w:color w:val="000000"/>
          <w:sz w:val="20"/>
        </w:rPr>
        <w:t>Jeff Miller</w:t>
      </w:r>
      <w:r>
        <w:rPr>
          <w:rFonts w:ascii="Times New Roman;serif" w:hAnsi="Times New Roman;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Synchronoss Technologies, Inc. for the quarter ended September 30, 2025;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264" w:type="dxa"/>
        <w:jc w:val="left"/>
        <w:tblInd w:w="0" w:type="dxa"/>
        <w:tblLayout w:type="fixed"/>
        <w:tblCellMar>
          <w:top w:w="28" w:type="dxa"/>
          <w:left w:w="28" w:type="dxa"/>
          <w:bottom w:w="28" w:type="dxa"/>
          <w:right w:w="28" w:type="dxa"/>
        </w:tblCellMar>
      </w:tblPr>
      <w:tblGrid>
        <w:gridCol w:w="124"/>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PURSUANT TO SECURITIES AND EXCHANGE COMMISSION RULE 13a-14(a)</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 </w:t>
      </w:r>
      <w:r>
        <w:rPr>
          <w:rFonts w:ascii="Times New Roman;serif" w:hAnsi="Times New Roman;serif"/>
          <w:b/>
          <w:color w:val="000000"/>
          <w:sz w:val="20"/>
        </w:rPr>
        <w:t>Louis Ferraro</w:t>
      </w:r>
      <w:r>
        <w:rPr>
          <w:rFonts w:ascii="Times New Roman;serif" w:hAnsi="Times New Roman;serif"/>
          <w:b w:val="false"/>
          <w:color w:val="000000"/>
          <w:sz w:val="20"/>
        </w:rPr>
        <w:t>, certify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Synchronoss Technologies, Inc. for the quarter ended September 30, 2025;</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ind w:left="0" w:right="0" w:firstLine="72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120"/>
        <w:jc w:val="both"/>
        <w:rPr/>
      </w:pPr>
      <w:r>
        <w:rPr>
          <w:rFonts w:ascii="Times New Roman;serif" w:hAnsi="Times New Roman;serif"/>
          <w:b w:val="false"/>
          <w:color w:val="000000"/>
          <w:sz w:val="20"/>
        </w:rPr>
        <w:t xml:space="preserve">In connection with the Quarterly Report on Form 10-Q of Synchronoss Technologies, Inc. (the “Company”) for the quarter ended September 30, 2025, as filed with the Securities and Exchange Commission on the date hereof (the “Report”), I, </w:t>
      </w:r>
      <w:r>
        <w:rPr>
          <w:rFonts w:ascii="Times New Roman;serif" w:hAnsi="Times New Roman;serif"/>
          <w:b/>
          <w:color w:val="000000"/>
          <w:sz w:val="20"/>
        </w:rPr>
        <w:t>Jeff Miller</w:t>
      </w:r>
      <w:r>
        <w:rPr>
          <w:rFonts w:ascii="Times New Roman;serif" w:hAnsi="Times New Roman;serif"/>
          <w:b w:val="false"/>
          <w:color w:val="000000"/>
          <w:sz w:val="20"/>
        </w:rPr>
        <w:t>, the Chief Executive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5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9"/>
        <w:gridCol w:w="849"/>
        <w:gridCol w:w="8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Jeff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72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120"/>
        <w:jc w:val="both"/>
        <w:rPr/>
      </w:pPr>
      <w:r>
        <w:rPr>
          <w:rFonts w:ascii="Times New Roman;serif" w:hAnsi="Times New Roman;serif"/>
          <w:b w:val="false"/>
          <w:color w:val="000000"/>
          <w:sz w:val="20"/>
        </w:rPr>
        <w:t xml:space="preserve">In connection with the Quarterly Report on Form 10-Q of Synchronoss Technologies, Inc. (the “Company”) for the quarter ended September 30, 2025, as filed with the Securities and Exchange Commission on the date hereof (the “Report”), I, </w:t>
      </w:r>
      <w:r>
        <w:rPr>
          <w:rFonts w:ascii="Times New Roman;serif" w:hAnsi="Times New Roman;serif"/>
          <w:b/>
          <w:color w:val="000000"/>
          <w:sz w:val="20"/>
        </w:rPr>
        <w:t>Louis Ferraro</w:t>
      </w:r>
      <w:r>
        <w:rPr>
          <w:rFonts w:ascii="Times New Roman;serif" w:hAnsi="Times New Roman;serif"/>
          <w:b w:val="false"/>
          <w:color w:val="000000"/>
          <w:sz w:val="20"/>
        </w:rPr>
        <w:t>, the Chief Financial Officer of the Company, hereby certify, pursuant to 18 U.S.C. 1350, as adopted pursuant to Section 906 of the Sarbanes-Oxley Act of 2002, to the best of my knowledge and belief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provided pursuant to 18 U.S.C. 1350 and is not to be deemed a part of the Report, nor is it to be deemed to be “filed” for any purpose whatsoever.</w:t>
      </w:r>
    </w:p>
    <w:p>
      <w:pPr>
        <w:pStyle w:val="TextBody"/>
        <w:bidi w:val="0"/>
        <w:spacing w:before="200" w:after="283"/>
        <w:jc w:val="both"/>
        <w:rPr/>
      </w:pPr>
      <w:r>
        <w:rPr/>
      </w:r>
    </w:p>
    <w:p>
      <w:pPr>
        <w:pStyle w:val="TextBody"/>
        <w:bidi w:val="0"/>
        <w:spacing w:lineRule="auto" w:line="288" w:before="0" w:after="120"/>
        <w:ind w:left="0" w:right="0" w:firstLine="720"/>
        <w:jc w:val="both"/>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09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6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 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Louis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1554/000113155423000013/sncr-123122xex31restatedce.htm" TargetMode="External"/><Relationship Id="rId3" Type="http://schemas.openxmlformats.org/officeDocument/2006/relationships/hyperlink" Target="https://www.sec.gov/Archives/edgar/data/1131554/000113155422000035/sncr-exhx31certificateofam.htm" TargetMode="External"/><Relationship Id="rId4" Type="http://schemas.openxmlformats.org/officeDocument/2006/relationships/hyperlink" Target="https://www.sec.gov/Archives/edgar/data/1131554/000095012306005985/y15440a2exv3w4.txt" TargetMode="External"/><Relationship Id="rId5" Type="http://schemas.openxmlformats.org/officeDocument/2006/relationships/hyperlink" Target="https://www.sec.gov/Archives/edgar/data/1131554/000110465918010721/a18-6289_1ex3d2.htm" TargetMode="External"/><Relationship Id="rId6" Type="http://schemas.openxmlformats.org/officeDocument/2006/relationships/hyperlink" Target="https://www.sec.gov/Archives/edgar/data/1131554/000110465921087598/tm2120300d3_ex3-3.htm" TargetMode="External"/><Relationship Id="rId7" Type="http://schemas.openxmlformats.org/officeDocument/2006/relationships/hyperlink" Target="https://www.sec.gov/Archives/edgar/data/1131554/000110465921087598/tm2120300d3_ex3-1.htm" TargetMode="External"/><Relationship Id="rId8" Type="http://schemas.openxmlformats.org/officeDocument/2006/relationships/hyperlink" Target="https://www.sec.gov/Archives/edgar/data/1131554/000113155423000098/exh31sncr-certificateofame.htm" TargetMode="External"/><Relationship Id="rId9" Type="http://schemas.openxmlformats.org/officeDocument/2006/relationships/hyperlink" Target="https://www.sec.gov/Archives/edgar/data/1131554/000113155424000066/exh31sncr-certificateofeli.htm" TargetMode="External"/><Relationship Id="rId10" Type="http://schemas.openxmlformats.org/officeDocument/2006/relationships/hyperlink" Target="https://www.sec.gov/Archives/edgar/data/1131554/000113155424000099/ex101-sncrx2015equityincen.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21455</Words>
  <Characters>119705</Characters>
  <CharactersWithSpaces>139737</CharactersWithSpaces>
  <Paragraphs>2657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