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49" w:lineRule="exact"/>
        <w:rPr>
          <w:sz w:val="24"/>
          <w:szCs w:val="24"/>
          <w:color w:val="auto"/>
        </w:rPr>
      </w:pPr>
    </w:p>
    <w:p>
      <w:pPr>
        <w:ind w:left="1080" w:hanging="588"/>
        <w:spacing w:after="0"/>
        <w:tabs>
          <w:tab w:leader="none" w:pos="1080" w:val="left"/>
        </w:tabs>
        <w:numPr>
          <w:ilvl w:val="0"/>
          <w:numId w:val="1"/>
        </w:numPr>
        <w:rPr>
          <w:rFonts w:ascii="Arial" w:cs="Arial" w:eastAsia="Arial" w:hAnsi="Arial"/>
          <w:sz w:val="27"/>
          <w:szCs w:val="27"/>
          <w:color w:val="auto"/>
          <w:vertAlign w:val="subscript"/>
        </w:rPr>
      </w:pPr>
      <w:r>
        <w:rPr>
          <w:rFonts w:ascii="Arial" w:cs="Arial" w:eastAsia="Arial" w:hAnsi="Arial"/>
          <w:sz w:val="15"/>
          <w:szCs w:val="15"/>
          <w:b w:val="1"/>
          <w:bCs w:val="1"/>
          <w:color w:val="auto"/>
        </w:rPr>
        <w:t>QUARTERLY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2017</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356" w:lineRule="exact"/>
        <w:rPr>
          <w:sz w:val="24"/>
          <w:szCs w:val="24"/>
          <w:color w:val="auto"/>
        </w:rPr>
      </w:pPr>
    </w:p>
    <w:p>
      <w:pPr>
        <w:ind w:left="1080" w:hanging="626"/>
        <w:spacing w:after="0"/>
        <w:tabs>
          <w:tab w:leader="none" w:pos="10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233" w:right="239" w:bottom="1440" w:gutter="0" w:footer="0" w:header="0"/>
        </w:sectPr>
      </w:pPr>
    </w:p>
    <w:p>
      <w:pPr>
        <w:spacing w:after="0" w:line="235" w:lineRule="exact"/>
        <w:rPr>
          <w:sz w:val="24"/>
          <w:szCs w:val="24"/>
          <w:color w:val="auto"/>
        </w:rPr>
      </w:pPr>
    </w:p>
    <w:p>
      <w:pPr>
        <w:ind w:left="4400"/>
        <w:spacing w:after="0"/>
        <w:tabs>
          <w:tab w:leader="none" w:pos="68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ectPr>
          <w:pgSz w:w="11900" w:h="16838" w:orient="portrait"/>
          <w:cols w:equalWidth="0" w:num="1">
            <w:col w:w="11420"/>
          </w:cols>
          <w:pgMar w:left="240" w:top="233" w:right="239" w:bottom="1440" w:gutter="0" w:footer="0" w:header="0"/>
          <w:type w:val="continuous"/>
        </w:sectPr>
      </w:pP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Commission file number 000-52049</w:t>
      </w:r>
    </w:p>
    <w:p>
      <w:pPr>
        <w:sectPr>
          <w:pgSz w:w="11900" w:h="16838" w:orient="portrait"/>
          <w:cols w:equalWidth="0" w:num="1">
            <w:col w:w="11420"/>
          </w:cols>
          <w:pgMar w:left="240" w:top="233" w:right="239" w:bottom="1440" w:gutter="0" w:footer="0" w:header="0"/>
          <w:type w:val="continuous"/>
        </w:sect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SYNCHRONOSS TECHNOLOGIES,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1580" w:type="dxa"/>
        <w:tblCellMar>
          <w:top w:w="0" w:type="dxa"/>
          <w:left w:w="0" w:type="dxa"/>
          <w:bottom w:w="0" w:type="dxa"/>
          <w:right w:w="0" w:type="dxa"/>
        </w:tblCellMar>
      </w:tblPr>
      <w:tr>
        <w:trPr>
          <w:trHeight w:val="210"/>
        </w:trPr>
        <w:tc>
          <w:tcPr>
            <w:tcW w:w="6120" w:type="dxa"/>
            <w:vAlign w:val="bottom"/>
          </w:tcPr>
          <w:p>
            <w:pPr>
              <w:jc w:val="center"/>
              <w:ind w:right="3459"/>
              <w:spacing w:after="0"/>
              <w:rPr>
                <w:sz w:val="20"/>
                <w:szCs w:val="20"/>
                <w:color w:val="auto"/>
              </w:rPr>
            </w:pPr>
            <w:r>
              <w:rPr>
                <w:rFonts w:ascii="Arial" w:cs="Arial" w:eastAsia="Arial" w:hAnsi="Arial"/>
                <w:sz w:val="16"/>
                <w:szCs w:val="16"/>
                <w:b w:val="1"/>
                <w:bCs w:val="1"/>
                <w:color w:val="auto"/>
                <w:w w:val="93"/>
              </w:rPr>
              <w:t>Delaware</w:t>
            </w: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auto"/>
              </w:rPr>
              <w:t>06-1594540</w:t>
            </w:r>
          </w:p>
        </w:tc>
      </w:tr>
      <w:tr>
        <w:trPr>
          <w:trHeight w:val="253"/>
        </w:trPr>
        <w:tc>
          <w:tcPr>
            <w:tcW w:w="6120" w:type="dxa"/>
            <w:vAlign w:val="bottom"/>
          </w:tcPr>
          <w:p>
            <w:pPr>
              <w:jc w:val="center"/>
              <w:ind w:right="3479"/>
              <w:spacing w:after="0"/>
              <w:rPr>
                <w:sz w:val="20"/>
                <w:szCs w:val="20"/>
                <w:color w:val="auto"/>
              </w:rPr>
            </w:pPr>
            <w:r>
              <w:rPr>
                <w:rFonts w:ascii="Arial" w:cs="Arial" w:eastAsia="Arial" w:hAnsi="Arial"/>
                <w:sz w:val="16"/>
                <w:szCs w:val="16"/>
                <w:color w:val="auto"/>
                <w:w w:val="93"/>
              </w:rPr>
              <w:t>(State or other jurisdiction of</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3"/>
              </w:rPr>
              <w:t>(I.R.S. Employer</w:t>
            </w:r>
          </w:p>
        </w:tc>
      </w:tr>
      <w:tr>
        <w:trPr>
          <w:trHeight w:val="206"/>
        </w:trPr>
        <w:tc>
          <w:tcPr>
            <w:tcW w:w="6120" w:type="dxa"/>
            <w:vAlign w:val="bottom"/>
          </w:tcPr>
          <w:p>
            <w:pPr>
              <w:jc w:val="center"/>
              <w:ind w:right="3479"/>
              <w:spacing w:after="0"/>
              <w:rPr>
                <w:sz w:val="20"/>
                <w:szCs w:val="20"/>
                <w:color w:val="auto"/>
              </w:rPr>
            </w:pPr>
            <w:r>
              <w:rPr>
                <w:rFonts w:ascii="Arial" w:cs="Arial" w:eastAsia="Arial" w:hAnsi="Arial"/>
                <w:sz w:val="16"/>
                <w:szCs w:val="16"/>
                <w:color w:val="auto"/>
                <w:w w:val="94"/>
              </w:rPr>
              <w:t>incorporation or organization)</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7"/>
              </w:rPr>
              <w:t>Identification No.)</w:t>
            </w:r>
          </w:p>
        </w:tc>
      </w:tr>
      <w:tr>
        <w:trPr>
          <w:trHeight w:val="505"/>
        </w:trPr>
        <w:tc>
          <w:tcPr>
            <w:tcW w:w="6120" w:type="dxa"/>
            <w:vAlign w:val="bottom"/>
          </w:tcPr>
          <w:p>
            <w:pPr>
              <w:jc w:val="center"/>
              <w:ind w:right="3459"/>
              <w:spacing w:after="0"/>
              <w:rPr>
                <w:sz w:val="20"/>
                <w:szCs w:val="20"/>
                <w:color w:val="auto"/>
              </w:rPr>
            </w:pPr>
            <w:r>
              <w:rPr>
                <w:rFonts w:ascii="Arial" w:cs="Arial" w:eastAsia="Arial" w:hAnsi="Arial"/>
                <w:sz w:val="16"/>
                <w:szCs w:val="16"/>
                <w:b w:val="1"/>
                <w:bCs w:val="1"/>
                <w:color w:val="auto"/>
                <w:w w:val="91"/>
              </w:rPr>
              <w:t>200 Crossing Boulevard, 8th Floor</w:t>
            </w:r>
          </w:p>
        </w:tc>
        <w:tc>
          <w:tcPr>
            <w:tcW w:w="1480" w:type="dxa"/>
            <w:vAlign w:val="bottom"/>
          </w:tcPr>
          <w:p>
            <w:pPr>
              <w:spacing w:after="0"/>
              <w:rPr>
                <w:sz w:val="24"/>
                <w:szCs w:val="24"/>
                <w:color w:val="auto"/>
              </w:rPr>
            </w:pPr>
          </w:p>
        </w:tc>
      </w:tr>
      <w:tr>
        <w:trPr>
          <w:trHeight w:val="210"/>
        </w:trPr>
        <w:tc>
          <w:tcPr>
            <w:tcW w:w="6120" w:type="dxa"/>
            <w:vAlign w:val="bottom"/>
          </w:tcPr>
          <w:p>
            <w:pPr>
              <w:jc w:val="center"/>
              <w:ind w:right="3479"/>
              <w:spacing w:after="0"/>
              <w:rPr>
                <w:sz w:val="20"/>
                <w:szCs w:val="20"/>
                <w:color w:val="auto"/>
              </w:rPr>
            </w:pPr>
            <w:r>
              <w:rPr>
                <w:rFonts w:ascii="Arial" w:cs="Arial" w:eastAsia="Arial" w:hAnsi="Arial"/>
                <w:sz w:val="16"/>
                <w:szCs w:val="16"/>
                <w:b w:val="1"/>
                <w:bCs w:val="1"/>
                <w:color w:val="auto"/>
                <w:w w:val="90"/>
              </w:rPr>
              <w:t>Bridgewater, New Jersey</w:t>
            </w:r>
          </w:p>
        </w:tc>
        <w:tc>
          <w:tcPr>
            <w:tcW w:w="1480" w:type="dxa"/>
            <w:vAlign w:val="bottom"/>
          </w:tcPr>
          <w:p>
            <w:pPr>
              <w:jc w:val="right"/>
              <w:ind w:right="319"/>
              <w:spacing w:after="0"/>
              <w:rPr>
                <w:sz w:val="20"/>
                <w:szCs w:val="20"/>
                <w:color w:val="auto"/>
              </w:rPr>
            </w:pPr>
            <w:r>
              <w:rPr>
                <w:rFonts w:ascii="Arial" w:cs="Arial" w:eastAsia="Arial" w:hAnsi="Arial"/>
                <w:sz w:val="16"/>
                <w:szCs w:val="16"/>
                <w:b w:val="1"/>
                <w:bCs w:val="1"/>
                <w:color w:val="auto"/>
              </w:rPr>
              <w:t>08807</w:t>
            </w:r>
          </w:p>
        </w:tc>
      </w:tr>
      <w:tr>
        <w:trPr>
          <w:trHeight w:val="257"/>
        </w:trPr>
        <w:tc>
          <w:tcPr>
            <w:tcW w:w="6120" w:type="dxa"/>
            <w:vAlign w:val="bottom"/>
          </w:tcPr>
          <w:p>
            <w:pPr>
              <w:jc w:val="center"/>
              <w:ind w:right="3459"/>
              <w:spacing w:after="0"/>
              <w:rPr>
                <w:sz w:val="20"/>
                <w:szCs w:val="20"/>
                <w:color w:val="auto"/>
              </w:rPr>
            </w:pPr>
            <w:r>
              <w:rPr>
                <w:rFonts w:ascii="Arial" w:cs="Arial" w:eastAsia="Arial" w:hAnsi="Arial"/>
                <w:sz w:val="16"/>
                <w:szCs w:val="16"/>
                <w:color w:val="auto"/>
                <w:w w:val="94"/>
              </w:rPr>
              <w:t>(Address of principal executive offices)</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2"/>
              </w:rPr>
              <w:t>(Zip Code)</w:t>
            </w:r>
          </w:p>
        </w:tc>
      </w:tr>
      <w:tr>
        <w:trPr>
          <w:trHeight w:val="401"/>
        </w:trPr>
        <w:tc>
          <w:tcPr>
            <w:tcW w:w="6120" w:type="dxa"/>
            <w:vAlign w:val="bottom"/>
          </w:tcPr>
          <w:p>
            <w:pPr>
              <w:jc w:val="right"/>
              <w:ind w:right="1399"/>
              <w:spacing w:after="0"/>
              <w:rPr>
                <w:sz w:val="20"/>
                <w:szCs w:val="20"/>
                <w:color w:val="auto"/>
              </w:rPr>
            </w:pPr>
            <w:r>
              <w:rPr>
                <w:rFonts w:ascii="Arial" w:cs="Arial" w:eastAsia="Arial" w:hAnsi="Arial"/>
                <w:sz w:val="16"/>
                <w:szCs w:val="16"/>
                <w:b w:val="1"/>
                <w:bCs w:val="1"/>
                <w:color w:val="auto"/>
              </w:rPr>
              <w:t>(866) 620-3940</w:t>
            </w:r>
          </w:p>
        </w:tc>
        <w:tc>
          <w:tcPr>
            <w:tcW w:w="1480" w:type="dxa"/>
            <w:vAlign w:val="bottom"/>
          </w:tcPr>
          <w:p>
            <w:pPr>
              <w:spacing w:after="0"/>
              <w:rPr>
                <w:sz w:val="24"/>
                <w:szCs w:val="24"/>
                <w:color w:val="auto"/>
              </w:rPr>
            </w:pPr>
          </w:p>
        </w:tc>
      </w:tr>
      <w:tr>
        <w:trPr>
          <w:trHeight w:val="206"/>
        </w:trPr>
        <w:tc>
          <w:tcPr>
            <w:tcW w:w="6120" w:type="dxa"/>
            <w:vAlign w:val="bottom"/>
          </w:tcPr>
          <w:p>
            <w:pPr>
              <w:jc w:val="center"/>
              <w:ind w:left="2079"/>
              <w:spacing w:after="0"/>
              <w:rPr>
                <w:sz w:val="20"/>
                <w:szCs w:val="20"/>
                <w:color w:val="auto"/>
              </w:rPr>
            </w:pPr>
            <w:r>
              <w:rPr>
                <w:rFonts w:ascii="Arial" w:cs="Arial" w:eastAsia="Arial" w:hAnsi="Arial"/>
                <w:sz w:val="16"/>
                <w:szCs w:val="16"/>
                <w:color w:val="auto"/>
                <w:w w:val="91"/>
              </w:rPr>
              <w:t>(Registrant’s telephone number, including area code)</w:t>
            </w:r>
          </w:p>
        </w:tc>
        <w:tc>
          <w:tcPr>
            <w:tcW w:w="1480" w:type="dxa"/>
            <w:vAlign w:val="bottom"/>
          </w:tcPr>
          <w:p>
            <w:pPr>
              <w:spacing w:after="0"/>
              <w:rPr>
                <w:sz w:val="17"/>
                <w:szCs w:val="17"/>
                <w:color w:val="auto"/>
              </w:rPr>
            </w:pPr>
          </w:p>
        </w:tc>
      </w:tr>
    </w:tbl>
    <w:p>
      <w:pPr>
        <w:spacing w:after="0" w:line="17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94" w:lineRule="exact"/>
        <w:rPr>
          <w:sz w:val="24"/>
          <w:szCs w:val="24"/>
          <w:color w:val="auto"/>
        </w:rPr>
      </w:pPr>
    </w:p>
    <w:p>
      <w:pPr>
        <w:jc w:val="both"/>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2"/>
          <w:szCs w:val="12"/>
          <w:color w:val="auto"/>
        </w:rPr>
        <w:t>x</w:t>
      </w:r>
    </w:p>
    <w:p>
      <w:pPr>
        <w:spacing w:after="0" w:line="100" w:lineRule="exact"/>
        <w:rPr>
          <w:sz w:val="24"/>
          <w:szCs w:val="24"/>
          <w:color w:val="auto"/>
        </w:rPr>
      </w:pPr>
    </w:p>
    <w:p>
      <w:pPr>
        <w:jc w:val="both"/>
        <w:spacing w:after="0" w:line="195"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4"/>
          <w:szCs w:val="14"/>
          <w:color w:val="auto"/>
        </w:rPr>
        <w:t>x</w:t>
      </w:r>
    </w:p>
    <w:p>
      <w:pPr>
        <w:spacing w:after="0" w:line="240" w:lineRule="exact"/>
        <w:rPr>
          <w:sz w:val="24"/>
          <w:szCs w:val="24"/>
          <w:color w:val="auto"/>
        </w:rPr>
      </w:pPr>
    </w:p>
    <w:p>
      <w:pPr>
        <w:jc w:val="both"/>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64" w:lineRule="exact"/>
        <w:rPr>
          <w:sz w:val="24"/>
          <w:szCs w:val="24"/>
          <w:color w:val="auto"/>
        </w:rPr>
      </w:pPr>
    </w:p>
    <w:tbl>
      <w:tblPr>
        <w:tblLayout w:type="fixed"/>
        <w:tblInd w:w="660" w:type="dxa"/>
        <w:tblCellMar>
          <w:top w:w="0" w:type="dxa"/>
          <w:left w:w="0" w:type="dxa"/>
          <w:bottom w:w="0" w:type="dxa"/>
          <w:right w:w="0" w:type="dxa"/>
        </w:tblCellMar>
      </w:tblPr>
      <w:tr>
        <w:trPr>
          <w:trHeight w:val="257"/>
        </w:trPr>
        <w:tc>
          <w:tcPr>
            <w:tcW w:w="2160" w:type="dxa"/>
            <w:vAlign w:val="bottom"/>
          </w:tcPr>
          <w:p>
            <w:pPr>
              <w:jc w:val="center"/>
              <w:ind w:right="299"/>
              <w:spacing w:after="0"/>
              <w:rPr>
                <w:sz w:val="20"/>
                <w:szCs w:val="20"/>
                <w:color w:val="auto"/>
              </w:rPr>
            </w:pPr>
            <w:r>
              <w:rPr>
                <w:rFonts w:ascii="Arial" w:cs="Arial" w:eastAsia="Arial" w:hAnsi="Arial"/>
                <w:sz w:val="16"/>
                <w:szCs w:val="16"/>
                <w:color w:val="auto"/>
                <w:w w:val="92"/>
              </w:rPr>
              <w:t>Large accelerated filer</w:t>
            </w:r>
          </w:p>
        </w:tc>
        <w:tc>
          <w:tcPr>
            <w:tcW w:w="470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jc w:val="center"/>
              <w:ind w:left="619"/>
              <w:spacing w:after="0"/>
              <w:rPr>
                <w:sz w:val="20"/>
                <w:szCs w:val="20"/>
                <w:color w:val="auto"/>
              </w:rPr>
            </w:pPr>
            <w:r>
              <w:rPr>
                <w:rFonts w:ascii="Arial" w:cs="Arial" w:eastAsia="Arial" w:hAnsi="Arial"/>
                <w:sz w:val="16"/>
                <w:szCs w:val="16"/>
                <w:color w:val="auto"/>
                <w:w w:val="95"/>
              </w:rPr>
              <w:t>Accelerated filer</w:t>
            </w:r>
          </w:p>
        </w:tc>
        <w:tc>
          <w:tcPr>
            <w:tcW w:w="560" w:type="dxa"/>
            <w:vAlign w:val="bottom"/>
          </w:tcPr>
          <w:p>
            <w:pPr>
              <w:ind w:left="340"/>
              <w:spacing w:after="0"/>
              <w:rPr>
                <w:sz w:val="20"/>
                <w:szCs w:val="20"/>
                <w:color w:val="auto"/>
              </w:rPr>
            </w:pPr>
            <w:r>
              <w:rPr>
                <w:rFonts w:ascii="Arial" w:cs="Arial" w:eastAsia="Arial" w:hAnsi="Arial"/>
                <w:sz w:val="14"/>
                <w:szCs w:val="14"/>
                <w:color w:val="auto"/>
              </w:rPr>
              <w:t>x</w:t>
            </w:r>
          </w:p>
        </w:tc>
      </w:tr>
      <w:tr>
        <w:trPr>
          <w:trHeight w:val="254"/>
        </w:trPr>
        <w:tc>
          <w:tcPr>
            <w:tcW w:w="2160" w:type="dxa"/>
            <w:vAlign w:val="bottom"/>
          </w:tcPr>
          <w:p>
            <w:pPr>
              <w:jc w:val="center"/>
              <w:ind w:right="299"/>
              <w:spacing w:after="0"/>
              <w:rPr>
                <w:sz w:val="20"/>
                <w:szCs w:val="20"/>
                <w:color w:val="auto"/>
              </w:rPr>
            </w:pPr>
            <w:r>
              <w:rPr>
                <w:rFonts w:ascii="Arial" w:cs="Arial" w:eastAsia="Arial" w:hAnsi="Arial"/>
                <w:sz w:val="16"/>
                <w:szCs w:val="16"/>
                <w:color w:val="auto"/>
                <w:w w:val="93"/>
              </w:rPr>
              <w:t>Non-accelerated filer</w:t>
            </w:r>
          </w:p>
        </w:tc>
        <w:tc>
          <w:tcPr>
            <w:tcW w:w="4700" w:type="dxa"/>
            <w:vAlign w:val="bottom"/>
          </w:tcPr>
          <w:p>
            <w:pPr>
              <w:ind w:left="3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240" w:type="dxa"/>
            <w:vAlign w:val="bottom"/>
          </w:tcPr>
          <w:p>
            <w:pPr>
              <w:jc w:val="center"/>
              <w:ind w:left="619"/>
              <w:spacing w:after="0"/>
              <w:rPr>
                <w:sz w:val="20"/>
                <w:szCs w:val="20"/>
                <w:color w:val="auto"/>
              </w:rPr>
            </w:pPr>
            <w:r>
              <w:rPr>
                <w:rFonts w:ascii="Arial" w:cs="Arial" w:eastAsia="Arial" w:hAnsi="Arial"/>
                <w:sz w:val="16"/>
                <w:szCs w:val="16"/>
                <w:color w:val="auto"/>
                <w:w w:val="92"/>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160" w:type="dxa"/>
            <w:vAlign w:val="bottom"/>
          </w:tcPr>
          <w:p>
            <w:pPr>
              <w:jc w:val="center"/>
              <w:ind w:right="299"/>
              <w:spacing w:after="0"/>
              <w:rPr>
                <w:sz w:val="20"/>
                <w:szCs w:val="20"/>
                <w:color w:val="auto"/>
              </w:rPr>
            </w:pPr>
            <w:r>
              <w:rPr>
                <w:rFonts w:ascii="Arial" w:cs="Arial" w:eastAsia="Arial" w:hAnsi="Arial"/>
                <w:sz w:val="16"/>
                <w:szCs w:val="16"/>
                <w:color w:val="auto"/>
                <w:w w:val="93"/>
              </w:rPr>
              <w:t>Emerging growth company</w:t>
            </w:r>
          </w:p>
        </w:tc>
        <w:tc>
          <w:tcPr>
            <w:tcW w:w="470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spacing w:after="0"/>
              <w:rPr>
                <w:sz w:val="23"/>
                <w:szCs w:val="23"/>
                <w:color w:val="auto"/>
              </w:rPr>
            </w:pPr>
          </w:p>
        </w:tc>
        <w:tc>
          <w:tcPr>
            <w:tcW w:w="560" w:type="dxa"/>
            <w:vAlign w:val="bottom"/>
          </w:tcPr>
          <w:p>
            <w:pPr>
              <w:spacing w:after="0"/>
              <w:rPr>
                <w:sz w:val="23"/>
                <w:szCs w:val="23"/>
                <w:color w:val="auto"/>
              </w:rPr>
            </w:pPr>
          </w:p>
        </w:tc>
      </w:tr>
    </w:tbl>
    <w:p>
      <w:pPr>
        <w:spacing w:after="0" w:line="113"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4"/>
          <w:szCs w:val="14"/>
          <w:color w:val="auto"/>
        </w:rPr>
        <w:t>x</w:t>
      </w:r>
    </w:p>
    <w:p>
      <w:pPr>
        <w:spacing w:after="0" w:line="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4"/>
          <w:szCs w:val="14"/>
          <w:color w:val="auto"/>
        </w:rPr>
        <w:t>x</w:t>
      </w:r>
    </w:p>
    <w:p>
      <w:pPr>
        <w:spacing w:after="0" w:line="400"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7660" w:type="dxa"/>
            <w:vAlign w:val="bottom"/>
            <w:gridSpan w:val="2"/>
          </w:tcPr>
          <w:p>
            <w:pPr>
              <w:jc w:val="center"/>
              <w:ind w:right="3760"/>
              <w:spacing w:after="0"/>
              <w:rPr>
                <w:sz w:val="20"/>
                <w:szCs w:val="20"/>
                <w:color w:val="auto"/>
              </w:rPr>
            </w:pPr>
            <w:r>
              <w:rPr>
                <w:rFonts w:ascii="Arial" w:cs="Arial" w:eastAsia="Arial" w:hAnsi="Arial"/>
                <w:sz w:val="16"/>
                <w:szCs w:val="16"/>
                <w:color w:val="auto"/>
                <w:w w:val="84"/>
              </w:rPr>
              <w:t>Class</w:t>
            </w:r>
          </w:p>
        </w:tc>
        <w:tc>
          <w:tcPr>
            <w:tcW w:w="3760" w:type="dxa"/>
            <w:vAlign w:val="bottom"/>
          </w:tcPr>
          <w:p>
            <w:pPr>
              <w:jc w:val="center"/>
              <w:spacing w:after="0"/>
              <w:rPr>
                <w:sz w:val="20"/>
                <w:szCs w:val="20"/>
                <w:color w:val="auto"/>
              </w:rPr>
            </w:pPr>
            <w:r>
              <w:rPr>
                <w:rFonts w:ascii="Arial" w:cs="Arial" w:eastAsia="Arial" w:hAnsi="Arial"/>
                <w:sz w:val="16"/>
                <w:szCs w:val="16"/>
                <w:color w:val="auto"/>
                <w:w w:val="90"/>
              </w:rPr>
              <w:t>Outstanding at June 30, 2018</w:t>
            </w:r>
          </w:p>
        </w:tc>
      </w:tr>
      <w:tr>
        <w:trPr>
          <w:trHeight w:val="33"/>
        </w:trPr>
        <w:tc>
          <w:tcPr>
            <w:tcW w:w="3900" w:type="dxa"/>
            <w:vAlign w:val="bottom"/>
            <w:tcBorders>
              <w:bottom w:val="single" w:sz="8" w:color="auto"/>
            </w:tcBorders>
          </w:tcPr>
          <w:p>
            <w:pPr>
              <w:spacing w:after="0"/>
              <w:rPr>
                <w:sz w:val="2"/>
                <w:szCs w:val="2"/>
                <w:color w:val="auto"/>
              </w:rPr>
            </w:pPr>
          </w:p>
        </w:tc>
        <w:tc>
          <w:tcPr>
            <w:tcW w:w="376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17"/>
        </w:trPr>
        <w:tc>
          <w:tcPr>
            <w:tcW w:w="7660" w:type="dxa"/>
            <w:vAlign w:val="bottom"/>
            <w:gridSpan w:val="2"/>
          </w:tcPr>
          <w:p>
            <w:pPr>
              <w:jc w:val="center"/>
              <w:ind w:right="3760"/>
              <w:spacing w:after="0"/>
              <w:rPr>
                <w:sz w:val="20"/>
                <w:szCs w:val="20"/>
                <w:color w:val="auto"/>
              </w:rPr>
            </w:pPr>
            <w:r>
              <w:rPr>
                <w:rFonts w:ascii="Arial" w:cs="Arial" w:eastAsia="Arial" w:hAnsi="Arial"/>
                <w:sz w:val="16"/>
                <w:szCs w:val="16"/>
                <w:color w:val="auto"/>
                <w:w w:val="91"/>
              </w:rPr>
              <w:t>Common stock, $0.0001 par value</w:t>
            </w:r>
          </w:p>
        </w:tc>
        <w:tc>
          <w:tcPr>
            <w:tcW w:w="3760" w:type="dxa"/>
            <w:vAlign w:val="bottom"/>
          </w:tcPr>
          <w:p>
            <w:pPr>
              <w:jc w:val="right"/>
              <w:ind w:right="1439"/>
              <w:spacing w:after="0"/>
              <w:rPr>
                <w:sz w:val="20"/>
                <w:szCs w:val="20"/>
                <w:color w:val="auto"/>
              </w:rPr>
            </w:pPr>
            <w:r>
              <w:rPr>
                <w:rFonts w:ascii="Arial" w:cs="Arial" w:eastAsia="Arial" w:hAnsi="Arial"/>
                <w:sz w:val="16"/>
                <w:szCs w:val="16"/>
                <w:color w:val="auto"/>
              </w:rPr>
              <w:t>42,168,400</w:t>
            </w:r>
          </w:p>
        </w:tc>
      </w:tr>
    </w:tbl>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gridSpan w:val="2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61"/>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40" w:type="dxa"/>
            <w:vAlign w:val="bottom"/>
            <w:gridSpan w:val="8"/>
          </w:tcPr>
          <w:p>
            <w:pPr>
              <w:jc w:val="center"/>
              <w:ind w:left="150"/>
              <w:spacing w:after="0"/>
              <w:rPr>
                <w:sz w:val="20"/>
                <w:szCs w:val="20"/>
                <w:color w:val="auto"/>
              </w:rPr>
            </w:pPr>
            <w:r>
              <w:rPr>
                <w:rFonts w:ascii="Arial" w:cs="Arial" w:eastAsia="Arial" w:hAnsi="Arial"/>
                <w:sz w:val="18"/>
                <w:szCs w:val="18"/>
                <w:b w:val="1"/>
                <w:bCs w:val="1"/>
                <w:color w:val="auto"/>
                <w:w w:val="99"/>
              </w:rPr>
              <w:t>SYNCHRONOSS TECHNOLOGIES, INC.</w:t>
            </w:r>
          </w:p>
        </w:tc>
        <w:tc>
          <w:tcPr>
            <w:tcW w:w="2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340" w:type="dxa"/>
            <w:vAlign w:val="bottom"/>
            <w:gridSpan w:val="7"/>
          </w:tcPr>
          <w:p>
            <w:pPr>
              <w:jc w:val="center"/>
              <w:ind w:right="1260"/>
              <w:spacing w:after="0"/>
              <w:rPr>
                <w:sz w:val="20"/>
                <w:szCs w:val="20"/>
                <w:color w:val="auto"/>
              </w:rPr>
            </w:pPr>
            <w:r>
              <w:rPr>
                <w:rFonts w:ascii="Arial" w:cs="Arial" w:eastAsia="Arial" w:hAnsi="Arial"/>
                <w:sz w:val="18"/>
                <w:szCs w:val="18"/>
                <w:b w:val="1"/>
                <w:bCs w:val="1"/>
                <w:color w:val="auto"/>
              </w:rPr>
              <w:t>FORM 10-Q INDEX</w:t>
            </w:r>
          </w:p>
        </w:tc>
        <w:tc>
          <w:tcPr>
            <w:tcW w:w="2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gridSpan w:val="5"/>
          </w:tcPr>
          <w:p>
            <w:pPr>
              <w:jc w:val="center"/>
              <w:ind w:left="1970"/>
              <w:spacing w:after="0"/>
              <w:rPr>
                <w:sz w:val="20"/>
                <w:szCs w:val="20"/>
                <w:color w:val="auto"/>
              </w:rPr>
            </w:pPr>
            <w:r>
              <w:rPr>
                <w:rFonts w:ascii="Arial" w:cs="Arial" w:eastAsia="Arial" w:hAnsi="Arial"/>
                <w:sz w:val="18"/>
                <w:szCs w:val="18"/>
                <w:color w:val="auto"/>
                <w:w w:val="91"/>
              </w:rPr>
              <w:t>PAGE NO.</w:t>
            </w:r>
          </w:p>
        </w:tc>
      </w:tr>
      <w:tr>
        <w:trPr>
          <w:trHeight w:val="230"/>
        </w:trPr>
        <w:tc>
          <w:tcPr>
            <w:tcW w:w="40" w:type="dxa"/>
            <w:vAlign w:val="bottom"/>
          </w:tcPr>
          <w:p>
            <w:pPr>
              <w:spacing w:after="0"/>
              <w:rPr>
                <w:sz w:val="19"/>
                <w:szCs w:val="19"/>
                <w:color w:val="auto"/>
              </w:rPr>
            </w:pPr>
          </w:p>
        </w:tc>
        <w:tc>
          <w:tcPr>
            <w:tcW w:w="620" w:type="dxa"/>
            <w:vAlign w:val="bottom"/>
            <w:gridSpan w:val="2"/>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w:t>
              </w:r>
            </w:hyperlink>
          </w:p>
        </w:tc>
        <w:tc>
          <w:tcPr>
            <w:tcW w:w="520" w:type="dxa"/>
            <w:vAlign w:val="bottom"/>
            <w:gridSpan w:val="3"/>
          </w:tcPr>
          <w:p>
            <w:pPr>
              <w:spacing w:after="0"/>
              <w:rPr>
                <w:sz w:val="19"/>
                <w:szCs w:val="19"/>
                <w:color w:val="auto"/>
              </w:rPr>
            </w:pPr>
          </w:p>
        </w:tc>
        <w:tc>
          <w:tcPr>
            <w:tcW w:w="2260" w:type="dxa"/>
            <w:vAlign w:val="bottom"/>
            <w:gridSpan w:val="8"/>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INFORMATION</w:t>
              </w:r>
            </w:hyperlink>
          </w:p>
        </w:tc>
        <w:tc>
          <w:tcPr>
            <w:tcW w:w="4900" w:type="dxa"/>
            <w:vAlign w:val="bottom"/>
            <w:gridSpan w:val="9"/>
          </w:tcPr>
          <w:p>
            <w:pPr>
              <w:spacing w:after="0"/>
              <w:rPr>
                <w:sz w:val="19"/>
                <w:szCs w:val="19"/>
                <w:color w:val="auto"/>
              </w:rPr>
            </w:pPr>
          </w:p>
        </w:tc>
        <w:tc>
          <w:tcPr>
            <w:tcW w:w="2540" w:type="dxa"/>
            <w:vAlign w:val="bottom"/>
            <w:gridSpan w:val="4"/>
          </w:tcPr>
          <w:p>
            <w:pPr>
              <w:jc w:val="center"/>
              <w:ind w:left="22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3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Item 1.</w:t>
              </w:r>
            </w:hyperlink>
          </w:p>
        </w:tc>
        <w:tc>
          <w:tcPr>
            <w:tcW w:w="80" w:type="dxa"/>
            <w:vAlign w:val="bottom"/>
          </w:tcPr>
          <w:p>
            <w:pPr>
              <w:spacing w:after="0"/>
              <w:rPr>
                <w:sz w:val="24"/>
                <w:szCs w:val="24"/>
                <w:color w:val="auto"/>
              </w:rPr>
            </w:pPr>
          </w:p>
        </w:tc>
        <w:tc>
          <w:tcPr>
            <w:tcW w:w="520" w:type="dxa"/>
            <w:vAlign w:val="bottom"/>
            <w:gridSpan w:val="3"/>
          </w:tcPr>
          <w:p>
            <w:pPr>
              <w:spacing w:after="0"/>
              <w:rPr>
                <w:sz w:val="24"/>
                <w:szCs w:val="24"/>
                <w:color w:val="auto"/>
              </w:rPr>
            </w:pPr>
          </w:p>
        </w:tc>
        <w:tc>
          <w:tcPr>
            <w:tcW w:w="4120" w:type="dxa"/>
            <w:vAlign w:val="bottom"/>
            <w:gridSpan w:val="11"/>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Financial Statements and Notes</w:t>
              </w:r>
            </w:hyperlink>
          </w:p>
        </w:tc>
        <w:tc>
          <w:tcPr>
            <w:tcW w:w="3040" w:type="dxa"/>
            <w:vAlign w:val="bottom"/>
            <w:gridSpan w:val="6"/>
          </w:tcPr>
          <w:p>
            <w:pPr>
              <w:spacing w:after="0"/>
              <w:rPr>
                <w:sz w:val="24"/>
                <w:szCs w:val="24"/>
                <w:color w:val="auto"/>
              </w:rPr>
            </w:pPr>
          </w:p>
        </w:tc>
        <w:tc>
          <w:tcPr>
            <w:tcW w:w="2540" w:type="dxa"/>
            <w:vAlign w:val="bottom"/>
            <w:gridSpan w:val="4"/>
          </w:tcPr>
          <w:p>
            <w:pPr>
              <w:jc w:val="center"/>
              <w:ind w:left="22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3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(unaudited)</w:t>
              </w:r>
            </w:hyperlink>
          </w:p>
        </w:tc>
        <w:tc>
          <w:tcPr>
            <w:tcW w:w="300" w:type="dxa"/>
            <w:vAlign w:val="bottom"/>
          </w:tcPr>
          <w:p>
            <w:pPr>
              <w:spacing w:after="0"/>
              <w:rPr>
                <w:sz w:val="24"/>
                <w:szCs w:val="24"/>
                <w:color w:val="auto"/>
              </w:rPr>
            </w:pPr>
          </w:p>
        </w:tc>
        <w:tc>
          <w:tcPr>
            <w:tcW w:w="3040" w:type="dxa"/>
            <w:vAlign w:val="bottom"/>
            <w:gridSpan w:val="6"/>
          </w:tcPr>
          <w:p>
            <w:pPr>
              <w:spacing w:after="0"/>
              <w:rPr>
                <w:sz w:val="24"/>
                <w:szCs w:val="24"/>
                <w:color w:val="auto"/>
              </w:rPr>
            </w:pPr>
          </w:p>
        </w:tc>
        <w:tc>
          <w:tcPr>
            <w:tcW w:w="2540" w:type="dxa"/>
            <w:vAlign w:val="bottom"/>
            <w:gridSpan w:val="4"/>
          </w:tcPr>
          <w:p>
            <w:pPr>
              <w:jc w:val="center"/>
              <w:ind w:left="22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3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160" w:type="dxa"/>
            <w:vAlign w:val="bottom"/>
            <w:gridSpan w:val="1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and Comprehensive Income (Loss) (unaudited)</w:t>
              </w:r>
            </w:hyperlink>
          </w:p>
        </w:tc>
        <w:tc>
          <w:tcPr>
            <w:tcW w:w="2540" w:type="dxa"/>
            <w:vAlign w:val="bottom"/>
            <w:gridSpan w:val="4"/>
          </w:tcPr>
          <w:p>
            <w:pPr>
              <w:jc w:val="center"/>
              <w:ind w:left="22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3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0" w:type="dxa"/>
            <w:vAlign w:val="bottom"/>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(unaudited)</w:t>
              </w:r>
            </w:hyperlink>
          </w:p>
        </w:tc>
        <w:tc>
          <w:tcPr>
            <w:tcW w:w="2560" w:type="dxa"/>
            <w:vAlign w:val="bottom"/>
            <w:gridSpan w:val="3"/>
          </w:tcPr>
          <w:p>
            <w:pPr>
              <w:spacing w:after="0"/>
              <w:rPr>
                <w:sz w:val="24"/>
                <w:szCs w:val="24"/>
                <w:color w:val="auto"/>
              </w:rPr>
            </w:pPr>
          </w:p>
        </w:tc>
        <w:tc>
          <w:tcPr>
            <w:tcW w:w="2540" w:type="dxa"/>
            <w:vAlign w:val="bottom"/>
            <w:gridSpan w:val="4"/>
          </w:tcPr>
          <w:p>
            <w:pPr>
              <w:jc w:val="center"/>
              <w:ind w:left="229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3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80" w:type="dxa"/>
            <w:vAlign w:val="bottom"/>
            <w:gridSpan w:val="1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2280" w:type="dxa"/>
            <w:vAlign w:val="bottom"/>
            <w:gridSpan w:val="2"/>
          </w:tcPr>
          <w:p>
            <w:pPr>
              <w:spacing w:after="0"/>
              <w:rPr>
                <w:sz w:val="24"/>
                <w:szCs w:val="24"/>
                <w:color w:val="auto"/>
              </w:rPr>
            </w:pPr>
          </w:p>
        </w:tc>
        <w:tc>
          <w:tcPr>
            <w:tcW w:w="2540" w:type="dxa"/>
            <w:vAlign w:val="bottom"/>
            <w:gridSpan w:val="4"/>
          </w:tcPr>
          <w:p>
            <w:pPr>
              <w:jc w:val="center"/>
              <w:ind w:left="229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3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79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50">
              <w:r>
                <w:rPr>
                  <w:rFonts w:ascii="Arial" w:cs="Arial" w:eastAsia="Arial" w:hAnsi="Arial"/>
                  <w:sz w:val="18"/>
                  <w:szCs w:val="18"/>
                  <w:color w:val="0000EE"/>
                  <w:w w:val="94"/>
                </w:rPr>
                <w:t>Item 2.</w:t>
              </w:r>
            </w:hyperlink>
          </w:p>
        </w:tc>
        <w:tc>
          <w:tcPr>
            <w:tcW w:w="600" w:type="dxa"/>
            <w:vAlign w:val="bottom"/>
            <w:gridSpan w:val="4"/>
          </w:tcPr>
          <w:p>
            <w:pPr>
              <w:spacing w:after="0"/>
              <w:rPr>
                <w:sz w:val="24"/>
                <w:szCs w:val="24"/>
                <w:color w:val="auto"/>
              </w:rPr>
            </w:pPr>
          </w:p>
        </w:tc>
        <w:tc>
          <w:tcPr>
            <w:tcW w:w="7160" w:type="dxa"/>
            <w:vAlign w:val="bottom"/>
            <w:gridSpan w:val="1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Management’s Discussion and Analysis of Financial Condition and Results of Operations</w:t>
              </w:r>
            </w:hyperlink>
          </w:p>
        </w:tc>
        <w:tc>
          <w:tcPr>
            <w:tcW w:w="2540" w:type="dxa"/>
            <w:vAlign w:val="bottom"/>
            <w:gridSpan w:val="4"/>
          </w:tcPr>
          <w:p>
            <w:pPr>
              <w:jc w:val="center"/>
              <w:ind w:left="227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3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94"/>
              </w:rPr>
            </w:pPr>
            <w:hyperlink w:anchor="page60">
              <w:r>
                <w:rPr>
                  <w:rFonts w:ascii="Arial" w:cs="Arial" w:eastAsia="Arial" w:hAnsi="Arial"/>
                  <w:sz w:val="18"/>
                  <w:szCs w:val="18"/>
                  <w:color w:val="0000EE"/>
                  <w:w w:val="94"/>
                </w:rPr>
                <w:t>Item 3.</w:t>
              </w:r>
            </w:hyperlink>
          </w:p>
        </w:tc>
        <w:tc>
          <w:tcPr>
            <w:tcW w:w="600" w:type="dxa"/>
            <w:vAlign w:val="bottom"/>
            <w:gridSpan w:val="4"/>
          </w:tcPr>
          <w:p>
            <w:pPr>
              <w:spacing w:after="0"/>
              <w:rPr>
                <w:sz w:val="24"/>
                <w:szCs w:val="24"/>
                <w:color w:val="auto"/>
              </w:rPr>
            </w:pPr>
          </w:p>
        </w:tc>
        <w:tc>
          <w:tcPr>
            <w:tcW w:w="4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24"/>
                <w:szCs w:val="24"/>
                <w:color w:val="auto"/>
              </w:rPr>
            </w:pPr>
          </w:p>
        </w:tc>
        <w:tc>
          <w:tcPr>
            <w:tcW w:w="7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57</w:t>
              </w:r>
            </w:hyperlink>
          </w:p>
        </w:tc>
        <w:tc>
          <w:tcPr>
            <w:tcW w:w="3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color w:val="0000EE"/>
                <w:w w:val="94"/>
              </w:rPr>
            </w:pPr>
            <w:hyperlink w:anchor="page61">
              <w:r>
                <w:rPr>
                  <w:rFonts w:ascii="Arial" w:cs="Arial" w:eastAsia="Arial" w:hAnsi="Arial"/>
                  <w:sz w:val="18"/>
                  <w:szCs w:val="18"/>
                  <w:color w:val="0000EE"/>
                  <w:w w:val="94"/>
                </w:rPr>
                <w:t>Item 4.</w:t>
              </w:r>
            </w:hyperlink>
          </w:p>
        </w:tc>
        <w:tc>
          <w:tcPr>
            <w:tcW w:w="600" w:type="dxa"/>
            <w:vAlign w:val="bottom"/>
            <w:gridSpan w:val="4"/>
          </w:tcPr>
          <w:p>
            <w:pPr>
              <w:spacing w:after="0"/>
              <w:rPr>
                <w:sz w:val="24"/>
                <w:szCs w:val="24"/>
                <w:color w:val="auto"/>
              </w:rPr>
            </w:pP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61">
              <w:r>
                <w:rPr>
                  <w:rFonts w:ascii="Arial" w:cs="Arial" w:eastAsia="Arial" w:hAnsi="Arial"/>
                  <w:sz w:val="18"/>
                  <w:szCs w:val="18"/>
                  <w:color w:val="0000EE"/>
                  <w:w w:val="88"/>
                </w:rPr>
                <w:t>Controls and Procedures</w:t>
              </w:r>
            </w:hyperlink>
          </w:p>
        </w:tc>
        <w:tc>
          <w:tcPr>
            <w:tcW w:w="5380" w:type="dxa"/>
            <w:vAlign w:val="bottom"/>
            <w:gridSpan w:val="11"/>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58</w:t>
              </w:r>
            </w:hyperlink>
          </w:p>
        </w:tc>
        <w:tc>
          <w:tcPr>
            <w:tcW w:w="320" w:type="dxa"/>
            <w:vAlign w:val="bottom"/>
          </w:tcPr>
          <w:p>
            <w:pPr>
              <w:spacing w:after="0"/>
              <w:rPr>
                <w:sz w:val="24"/>
                <w:szCs w:val="24"/>
                <w:color w:val="auto"/>
              </w:rPr>
            </w:pPr>
          </w:p>
        </w:tc>
      </w:tr>
      <w:tr>
        <w:trPr>
          <w:trHeight w:val="790"/>
        </w:trPr>
        <w:tc>
          <w:tcPr>
            <w:tcW w:w="40" w:type="dxa"/>
            <w:vAlign w:val="bottom"/>
          </w:tcPr>
          <w:p>
            <w:pPr>
              <w:spacing w:after="0"/>
              <w:rPr>
                <w:sz w:val="24"/>
                <w:szCs w:val="24"/>
                <w:color w:val="auto"/>
              </w:rPr>
            </w:pPr>
          </w:p>
        </w:tc>
        <w:tc>
          <w:tcPr>
            <w:tcW w:w="700" w:type="dxa"/>
            <w:vAlign w:val="bottom"/>
            <w:gridSpan w:val="4"/>
          </w:tcPr>
          <w:p>
            <w:pPr>
              <w:spacing w:after="0"/>
              <w:rPr>
                <w:rFonts w:ascii="Arial" w:cs="Arial" w:eastAsia="Arial" w:hAnsi="Arial"/>
                <w:sz w:val="18"/>
                <w:szCs w:val="18"/>
                <w:color w:val="0000EE"/>
                <w:w w:val="99"/>
              </w:rPr>
            </w:pPr>
            <w:hyperlink w:anchor="page62">
              <w:r>
                <w:rPr>
                  <w:rFonts w:ascii="Arial" w:cs="Arial" w:eastAsia="Arial" w:hAnsi="Arial"/>
                  <w:sz w:val="18"/>
                  <w:szCs w:val="18"/>
                  <w:color w:val="0000EE"/>
                  <w:w w:val="99"/>
                </w:rPr>
                <w:t>PART II.</w:t>
              </w:r>
            </w:hyperlink>
          </w:p>
        </w:tc>
        <w:tc>
          <w:tcPr>
            <w:tcW w:w="440" w:type="dxa"/>
            <w:vAlign w:val="bottom"/>
          </w:tcPr>
          <w:p>
            <w:pPr>
              <w:spacing w:after="0"/>
              <w:rPr>
                <w:sz w:val="24"/>
                <w:szCs w:val="24"/>
                <w:color w:val="auto"/>
              </w:rPr>
            </w:pPr>
          </w:p>
        </w:tc>
        <w:tc>
          <w:tcPr>
            <w:tcW w:w="7160" w:type="dxa"/>
            <w:vAlign w:val="bottom"/>
            <w:gridSpan w:val="1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2540" w:type="dxa"/>
            <w:vAlign w:val="bottom"/>
            <w:gridSpan w:val="4"/>
          </w:tcPr>
          <w:p>
            <w:pPr>
              <w:jc w:val="center"/>
              <w:ind w:left="2270"/>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59</w:t>
              </w:r>
            </w:hyperlink>
          </w:p>
        </w:tc>
        <w:tc>
          <w:tcPr>
            <w:tcW w:w="3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94"/>
              </w:rPr>
            </w:pPr>
            <w:hyperlink w:anchor="page62">
              <w:r>
                <w:rPr>
                  <w:rFonts w:ascii="Arial" w:cs="Arial" w:eastAsia="Arial" w:hAnsi="Arial"/>
                  <w:sz w:val="18"/>
                  <w:szCs w:val="18"/>
                  <w:color w:val="0000EE"/>
                  <w:w w:val="94"/>
                </w:rPr>
                <w:t>Item 1.</w:t>
              </w:r>
            </w:hyperlink>
          </w:p>
        </w:tc>
        <w:tc>
          <w:tcPr>
            <w:tcW w:w="160" w:type="dxa"/>
            <w:vAlign w:val="bottom"/>
            <w:tcBorders>
              <w:top w:val="single" w:sz="8" w:color="0000EE"/>
            </w:tcBorders>
            <w:gridSpan w:val="3"/>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2"/>
          </w:tcPr>
          <w:p>
            <w:pPr>
              <w:spacing w:after="0"/>
              <w:rPr>
                <w:sz w:val="24"/>
                <w:szCs w:val="24"/>
                <w:color w:val="auto"/>
              </w:rPr>
            </w:pPr>
          </w:p>
        </w:tc>
        <w:tc>
          <w:tcPr>
            <w:tcW w:w="5280" w:type="dxa"/>
            <w:vAlign w:val="bottom"/>
            <w:gridSpan w:val="10"/>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59</w:t>
              </w:r>
            </w:hyperlink>
          </w:p>
        </w:tc>
        <w:tc>
          <w:tcPr>
            <w:tcW w:w="3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680" w:type="dxa"/>
            <w:vAlign w:val="bottom"/>
            <w:gridSpan w:val="3"/>
          </w:tcPr>
          <w:p>
            <w:pPr>
              <w:spacing w:after="0"/>
              <w:rPr>
                <w:rFonts w:ascii="Arial" w:cs="Arial" w:eastAsia="Arial" w:hAnsi="Arial"/>
                <w:sz w:val="18"/>
                <w:szCs w:val="18"/>
                <w:color w:val="0000EE"/>
                <w:w w:val="98"/>
              </w:rPr>
            </w:pPr>
            <w:hyperlink w:anchor="page62">
              <w:r>
                <w:rPr>
                  <w:rFonts w:ascii="Arial" w:cs="Arial" w:eastAsia="Arial" w:hAnsi="Arial"/>
                  <w:sz w:val="18"/>
                  <w:szCs w:val="18"/>
                  <w:color w:val="0000EE"/>
                  <w:w w:val="98"/>
                </w:rPr>
                <w:t>Item 1A.</w:t>
              </w:r>
            </w:hyperlink>
          </w:p>
        </w:tc>
        <w:tc>
          <w:tcPr>
            <w:tcW w:w="460" w:type="dxa"/>
            <w:vAlign w:val="bottom"/>
            <w:gridSpan w:val="2"/>
          </w:tcPr>
          <w:p>
            <w:pPr>
              <w:spacing w:after="0"/>
              <w:rPr>
                <w:sz w:val="24"/>
                <w:szCs w:val="24"/>
                <w:color w:val="auto"/>
              </w:rPr>
            </w:pPr>
          </w:p>
        </w:tc>
        <w:tc>
          <w:tcPr>
            <w:tcW w:w="7160" w:type="dxa"/>
            <w:vAlign w:val="bottom"/>
            <w:gridSpan w:val="1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Risk Factors</w:t>
              </w:r>
            </w:hyperlink>
          </w:p>
        </w:tc>
        <w:tc>
          <w:tcPr>
            <w:tcW w:w="2540" w:type="dxa"/>
            <w:vAlign w:val="bottom"/>
            <w:gridSpan w:val="4"/>
          </w:tcPr>
          <w:p>
            <w:pPr>
              <w:jc w:val="center"/>
              <w:ind w:left="2270"/>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59</w:t>
              </w:r>
            </w:hyperlink>
          </w:p>
        </w:tc>
        <w:tc>
          <w:tcPr>
            <w:tcW w:w="3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color w:val="0000EE"/>
                <w:w w:val="94"/>
              </w:rPr>
            </w:pPr>
            <w:hyperlink w:anchor="page62">
              <w:r>
                <w:rPr>
                  <w:rFonts w:ascii="Arial" w:cs="Arial" w:eastAsia="Arial" w:hAnsi="Arial"/>
                  <w:sz w:val="18"/>
                  <w:szCs w:val="18"/>
                  <w:color w:val="0000EE"/>
                  <w:w w:val="94"/>
                </w:rPr>
                <w:t>Item 2.</w:t>
              </w:r>
            </w:hyperlink>
          </w:p>
        </w:tc>
        <w:tc>
          <w:tcPr>
            <w:tcW w:w="140" w:type="dxa"/>
            <w:vAlign w:val="bottom"/>
            <w:gridSpan w:val="2"/>
          </w:tcPr>
          <w:p>
            <w:pPr>
              <w:spacing w:after="0"/>
              <w:rPr>
                <w:sz w:val="24"/>
                <w:szCs w:val="24"/>
                <w:color w:val="auto"/>
              </w:rPr>
            </w:pPr>
          </w:p>
        </w:tc>
        <w:tc>
          <w:tcPr>
            <w:tcW w:w="460" w:type="dxa"/>
            <w:vAlign w:val="bottom"/>
            <w:gridSpan w:val="2"/>
          </w:tcPr>
          <w:p>
            <w:pPr>
              <w:spacing w:after="0"/>
              <w:rPr>
                <w:sz w:val="24"/>
                <w:szCs w:val="24"/>
                <w:color w:val="auto"/>
              </w:rPr>
            </w:pPr>
          </w:p>
        </w:tc>
        <w:tc>
          <w:tcPr>
            <w:tcW w:w="4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Unregistered Sales of Equity Securities and Use of Proceeds</w:t>
              </w:r>
            </w:hyperlink>
          </w:p>
        </w:tc>
        <w:tc>
          <w:tcPr>
            <w:tcW w:w="2800" w:type="dxa"/>
            <w:vAlign w:val="bottom"/>
            <w:gridSpan w:val="5"/>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59</w:t>
              </w:r>
            </w:hyperlink>
          </w:p>
        </w:tc>
        <w:tc>
          <w:tcPr>
            <w:tcW w:w="3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62">
              <w:r>
                <w:rPr>
                  <w:rFonts w:ascii="Arial" w:cs="Arial" w:eastAsia="Arial" w:hAnsi="Arial"/>
                  <w:sz w:val="18"/>
                  <w:szCs w:val="18"/>
                  <w:color w:val="0000EE"/>
                  <w:w w:val="94"/>
                </w:rPr>
                <w:t>Item 3.</w:t>
              </w:r>
            </w:hyperlink>
          </w:p>
        </w:tc>
        <w:tc>
          <w:tcPr>
            <w:tcW w:w="600" w:type="dxa"/>
            <w:vAlign w:val="bottom"/>
            <w:gridSpan w:val="4"/>
          </w:tcPr>
          <w:p>
            <w:pPr>
              <w:spacing w:after="0"/>
              <w:rPr>
                <w:sz w:val="24"/>
                <w:szCs w:val="24"/>
                <w:color w:val="auto"/>
              </w:rPr>
            </w:pPr>
          </w:p>
        </w:tc>
        <w:tc>
          <w:tcPr>
            <w:tcW w:w="7160" w:type="dxa"/>
            <w:vAlign w:val="bottom"/>
            <w:gridSpan w:val="1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Defaults Upon Senior Securities</w:t>
              </w:r>
            </w:hyperlink>
          </w:p>
        </w:tc>
        <w:tc>
          <w:tcPr>
            <w:tcW w:w="2540" w:type="dxa"/>
            <w:vAlign w:val="bottom"/>
            <w:gridSpan w:val="4"/>
          </w:tcPr>
          <w:p>
            <w:pPr>
              <w:jc w:val="center"/>
              <w:ind w:left="2270"/>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59</w:t>
              </w:r>
            </w:hyperlink>
          </w:p>
        </w:tc>
        <w:tc>
          <w:tcPr>
            <w:tcW w:w="3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94"/>
              </w:rPr>
            </w:pPr>
            <w:hyperlink w:anchor="page62">
              <w:r>
                <w:rPr>
                  <w:rFonts w:ascii="Arial" w:cs="Arial" w:eastAsia="Arial" w:hAnsi="Arial"/>
                  <w:sz w:val="18"/>
                  <w:szCs w:val="18"/>
                  <w:color w:val="0000EE"/>
                  <w:w w:val="94"/>
                </w:rPr>
                <w:t>Item 4.</w:t>
              </w:r>
            </w:hyperlink>
          </w:p>
        </w:tc>
        <w:tc>
          <w:tcPr>
            <w:tcW w:w="600" w:type="dxa"/>
            <w:vAlign w:val="bottom"/>
            <w:gridSpan w:val="4"/>
          </w:tcPr>
          <w:p>
            <w:pPr>
              <w:spacing w:after="0"/>
              <w:rPr>
                <w:sz w:val="24"/>
                <w:szCs w:val="24"/>
                <w:color w:val="auto"/>
              </w:rPr>
            </w:pP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3"/>
          </w:tcPr>
          <w:p>
            <w:pPr>
              <w:spacing w:after="0"/>
              <w:rPr>
                <w:sz w:val="24"/>
                <w:szCs w:val="24"/>
                <w:color w:val="auto"/>
              </w:rPr>
            </w:pPr>
          </w:p>
        </w:tc>
        <w:tc>
          <w:tcPr>
            <w:tcW w:w="4840" w:type="dxa"/>
            <w:vAlign w:val="bottom"/>
            <w:gridSpan w:val="8"/>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59</w:t>
              </w:r>
            </w:hyperlink>
          </w:p>
        </w:tc>
        <w:tc>
          <w:tcPr>
            <w:tcW w:w="3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540" w:type="dxa"/>
            <w:vAlign w:val="bottom"/>
            <w:tcBorders>
              <w:bottom w:val="single" w:sz="8" w:color="0000EE"/>
            </w:tcBorders>
          </w:tcPr>
          <w:p>
            <w:pPr>
              <w:spacing w:after="0"/>
              <w:rPr>
                <w:rFonts w:ascii="Arial" w:cs="Arial" w:eastAsia="Arial" w:hAnsi="Arial"/>
                <w:sz w:val="18"/>
                <w:szCs w:val="18"/>
                <w:color w:val="0000EE"/>
                <w:w w:val="94"/>
              </w:rPr>
            </w:pPr>
            <w:hyperlink w:anchor="page62">
              <w:r>
                <w:rPr>
                  <w:rFonts w:ascii="Arial" w:cs="Arial" w:eastAsia="Arial" w:hAnsi="Arial"/>
                  <w:sz w:val="18"/>
                  <w:szCs w:val="18"/>
                  <w:color w:val="0000EE"/>
                  <w:w w:val="94"/>
                </w:rPr>
                <w:t>Item 5.</w:t>
              </w:r>
            </w:hyperlink>
          </w:p>
        </w:tc>
        <w:tc>
          <w:tcPr>
            <w:tcW w:w="600" w:type="dxa"/>
            <w:vAlign w:val="bottom"/>
            <w:gridSpan w:val="4"/>
          </w:tcPr>
          <w:p>
            <w:pPr>
              <w:spacing w:after="0"/>
              <w:rPr>
                <w:sz w:val="24"/>
                <w:szCs w:val="24"/>
                <w:color w:val="auto"/>
              </w:rPr>
            </w:pP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Other Information</w:t>
              </w:r>
            </w:hyperlink>
          </w:p>
        </w:tc>
        <w:tc>
          <w:tcPr>
            <w:tcW w:w="5840" w:type="dxa"/>
            <w:vAlign w:val="bottom"/>
            <w:gridSpan w:val="13"/>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59</w:t>
              </w:r>
            </w:hyperlink>
          </w:p>
        </w:tc>
        <w:tc>
          <w:tcPr>
            <w:tcW w:w="3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63">
              <w:r>
                <w:rPr>
                  <w:rFonts w:ascii="Arial" w:cs="Arial" w:eastAsia="Arial" w:hAnsi="Arial"/>
                  <w:sz w:val="18"/>
                  <w:szCs w:val="18"/>
                  <w:color w:val="0000EE"/>
                  <w:w w:val="94"/>
                </w:rPr>
                <w:t>Item 6.</w:t>
              </w:r>
            </w:hyperlink>
          </w:p>
        </w:tc>
        <w:tc>
          <w:tcPr>
            <w:tcW w:w="600" w:type="dxa"/>
            <w:vAlign w:val="bottom"/>
            <w:gridSpan w:val="4"/>
          </w:tcPr>
          <w:p>
            <w:pPr>
              <w:spacing w:after="0"/>
              <w:rPr>
                <w:sz w:val="24"/>
                <w:szCs w:val="24"/>
                <w:color w:val="auto"/>
              </w:rPr>
            </w:pPr>
          </w:p>
        </w:tc>
        <w:tc>
          <w:tcPr>
            <w:tcW w:w="7160" w:type="dxa"/>
            <w:vAlign w:val="bottom"/>
            <w:gridSpan w:val="17"/>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Exhibits</w:t>
              </w:r>
            </w:hyperlink>
          </w:p>
        </w:tc>
        <w:tc>
          <w:tcPr>
            <w:tcW w:w="2540" w:type="dxa"/>
            <w:vAlign w:val="bottom"/>
            <w:gridSpan w:val="4"/>
          </w:tcPr>
          <w:p>
            <w:pPr>
              <w:jc w:val="center"/>
              <w:ind w:left="2270"/>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60</w:t>
              </w:r>
            </w:hyperlink>
          </w:p>
        </w:tc>
        <w:tc>
          <w:tcPr>
            <w:tcW w:w="3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4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64">
              <w:r>
                <w:rPr>
                  <w:rFonts w:ascii="Arial" w:cs="Arial" w:eastAsia="Arial" w:hAnsi="Arial"/>
                  <w:sz w:val="18"/>
                  <w:szCs w:val="18"/>
                  <w:color w:val="0000EE"/>
                  <w:w w:val="95"/>
                </w:rPr>
                <w:t>SIGNATURES</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61</w:t>
              </w:r>
            </w:hyperlink>
          </w:p>
        </w:tc>
        <w:tc>
          <w:tcPr>
            <w:tcW w:w="320" w:type="dxa"/>
            <w:vAlign w:val="bottom"/>
          </w:tcPr>
          <w:p>
            <w:pPr>
              <w:spacing w:after="0"/>
              <w:rPr>
                <w:sz w:val="24"/>
                <w:szCs w:val="24"/>
                <w:color w:val="auto"/>
              </w:rPr>
            </w:pPr>
          </w:p>
        </w:tc>
      </w:tr>
    </w:tbl>
    <w:p>
      <w:pPr>
        <w:sectPr>
          <w:pgSz w:w="11900" w:h="16838" w:orient="portrait"/>
          <w:cols w:equalWidth="0" w:num="1">
            <w:col w:w="11200"/>
          </w:cols>
          <w:pgMar w:left="240" w:top="108" w:right="4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AND NOTES</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CONDENSED CONSOLIDATED BALANCE SHEETS (Unaudited) (In thousands)</w:t>
      </w:r>
    </w:p>
    <w:p>
      <w:pPr>
        <w:spacing w:after="0" w:line="157"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2017</w:t>
            </w:r>
          </w:p>
        </w:tc>
        <w:tc>
          <w:tcPr>
            <w:tcW w:w="16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December 31, 2016</w:t>
            </w: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419"/>
              <w:spacing w:after="0"/>
              <w:rPr>
                <w:sz w:val="20"/>
                <w:szCs w:val="20"/>
                <w:color w:val="auto"/>
              </w:rPr>
            </w:pPr>
            <w:r>
              <w:rPr>
                <w:rFonts w:ascii="Arial" w:cs="Arial" w:eastAsia="Arial" w:hAnsi="Arial"/>
                <w:sz w:val="16"/>
                <w:szCs w:val="16"/>
                <w:b w:val="1"/>
                <w:bCs w:val="1"/>
                <w:color w:val="auto"/>
              </w:rPr>
              <w:t>(Restated)</w:t>
            </w: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gridSpan w:val="2"/>
            <w:shd w:val="clear" w:color="auto" w:fill="CCEEFF"/>
          </w:tcPr>
          <w:p>
            <w:pPr>
              <w:ind w:left="51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32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221,178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169,801</w:t>
            </w:r>
          </w:p>
        </w:tc>
        <w:tc>
          <w:tcPr>
            <w:tcW w:w="0" w:type="dxa"/>
            <w:vAlign w:val="bottom"/>
          </w:tcPr>
          <w:p>
            <w:pPr>
              <w:spacing w:after="0"/>
              <w:rPr>
                <w:sz w:val="1"/>
                <w:szCs w:val="1"/>
                <w:color w:val="auto"/>
              </w:rPr>
            </w:pPr>
          </w:p>
        </w:tc>
      </w:tr>
      <w:tr>
        <w:trPr>
          <w:trHeight w:val="237"/>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19,579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41,632</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12,506</w:t>
            </w:r>
          </w:p>
        </w:tc>
        <w:tc>
          <w:tcPr>
            <w:tcW w:w="0" w:type="dxa"/>
            <w:vAlign w:val="bottom"/>
          </w:tcPr>
          <w:p>
            <w:pPr>
              <w:spacing w:after="0"/>
              <w:rPr>
                <w:sz w:val="1"/>
                <w:szCs w:val="1"/>
                <w:color w:val="auto"/>
              </w:rPr>
            </w:pPr>
          </w:p>
        </w:tc>
      </w:tr>
      <w:tr>
        <w:trPr>
          <w:trHeight w:val="220"/>
        </w:trPr>
        <w:tc>
          <w:tcPr>
            <w:tcW w:w="7320" w:type="dxa"/>
            <w:vAlign w:val="bottom"/>
            <w:gridSpan w:val="2"/>
          </w:tcPr>
          <w:p>
            <w:pPr>
              <w:ind w:left="260"/>
              <w:spacing w:after="0"/>
              <w:rPr>
                <w:sz w:val="20"/>
                <w:szCs w:val="20"/>
                <w:color w:val="auto"/>
              </w:rPr>
            </w:pPr>
            <w:r>
              <w:rPr>
                <w:rFonts w:ascii="Arial" w:cs="Arial" w:eastAsia="Arial" w:hAnsi="Arial"/>
                <w:sz w:val="16"/>
                <w:szCs w:val="16"/>
                <w:color w:val="auto"/>
                <w:w w:val="94"/>
              </w:rPr>
              <w:t>Accounts receivable, net of allowances of $2,078 and $1,459 at March 31, 2017 and December 31, 2016,</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respectively**</w:t>
            </w:r>
          </w:p>
        </w:tc>
        <w:tc>
          <w:tcPr>
            <w:tcW w:w="20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92,494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107,474</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Prepaid and 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58,838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38,277</w:t>
            </w:r>
          </w:p>
        </w:tc>
        <w:tc>
          <w:tcPr>
            <w:tcW w:w="0" w:type="dxa"/>
            <w:vAlign w:val="bottom"/>
          </w:tcPr>
          <w:p>
            <w:pPr>
              <w:spacing w:after="0"/>
              <w:rPr>
                <w:sz w:val="1"/>
                <w:szCs w:val="1"/>
                <w:color w:val="auto"/>
              </w:rPr>
            </w:pPr>
          </w:p>
        </w:tc>
      </w:tr>
      <w:tr>
        <w:trPr>
          <w:trHeight w:val="224"/>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Assets held for sale, current*</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63,154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73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465,206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369,690</w:t>
            </w:r>
          </w:p>
        </w:tc>
        <w:tc>
          <w:tcPr>
            <w:tcW w:w="0" w:type="dxa"/>
            <w:vAlign w:val="bottom"/>
          </w:tcPr>
          <w:p>
            <w:pPr>
              <w:spacing w:after="0"/>
              <w:rPr>
                <w:sz w:val="1"/>
                <w:szCs w:val="1"/>
                <w:color w:val="auto"/>
              </w:rPr>
            </w:pPr>
          </w:p>
        </w:tc>
      </w:tr>
      <w:tr>
        <w:trPr>
          <w:trHeight w:val="224"/>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Marketable securities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1,680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2,974</w:t>
            </w: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158,205</w:t>
            </w:r>
          </w:p>
        </w:tc>
        <w:tc>
          <w:tcPr>
            <w:tcW w:w="0" w:type="dxa"/>
            <w:vAlign w:val="bottom"/>
          </w:tcPr>
          <w:p>
            <w:pPr>
              <w:spacing w:after="0"/>
              <w:rPr>
                <w:sz w:val="1"/>
                <w:szCs w:val="1"/>
                <w:color w:val="auto"/>
              </w:rPr>
            </w:pPr>
          </w:p>
        </w:tc>
      </w:tr>
      <w:tr>
        <w:trPr>
          <w:trHeight w:val="224"/>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224,954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224,651</w:t>
            </w: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149,941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162,968</w:t>
            </w:r>
          </w:p>
        </w:tc>
        <w:tc>
          <w:tcPr>
            <w:tcW w:w="0" w:type="dxa"/>
            <w:vAlign w:val="bottom"/>
          </w:tcPr>
          <w:p>
            <w:pPr>
              <w:spacing w:after="0"/>
              <w:rPr>
                <w:sz w:val="1"/>
                <w:szCs w:val="1"/>
                <w:color w:val="auto"/>
              </w:rPr>
            </w:pPr>
          </w:p>
        </w:tc>
      </w:tr>
      <w:tr>
        <w:trPr>
          <w:trHeight w:val="224"/>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Deferred tax assets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15,796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13,286</w:t>
            </w: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8,658</w:t>
            </w:r>
          </w:p>
        </w:tc>
        <w:tc>
          <w:tcPr>
            <w:tcW w:w="0" w:type="dxa"/>
            <w:vAlign w:val="bottom"/>
          </w:tcPr>
          <w:p>
            <w:pPr>
              <w:spacing w:after="0"/>
              <w:rPr>
                <w:sz w:val="1"/>
                <w:szCs w:val="1"/>
                <w:color w:val="auto"/>
              </w:rPr>
            </w:pPr>
          </w:p>
        </w:tc>
      </w:tr>
      <w:tr>
        <w:trPr>
          <w:trHeight w:val="224"/>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Note receivable from related party**</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73,021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70,269</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Equity method investment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44,398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43,650</w:t>
            </w:r>
          </w:p>
        </w:tc>
        <w:tc>
          <w:tcPr>
            <w:tcW w:w="0" w:type="dxa"/>
            <w:vAlign w:val="bottom"/>
          </w:tcPr>
          <w:p>
            <w:pPr>
              <w:spacing w:after="0"/>
              <w:rPr>
                <w:sz w:val="1"/>
                <w:szCs w:val="1"/>
                <w:color w:val="auto"/>
              </w:rPr>
            </w:pPr>
          </w:p>
        </w:tc>
      </w:tr>
      <w:tr>
        <w:trPr>
          <w:trHeight w:val="237"/>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Assets held for sale, non-current*</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909,682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2,048,141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1,054,351</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gridSpan w:val="2"/>
            <w:shd w:val="clear" w:color="auto" w:fill="CCEEFF"/>
          </w:tcPr>
          <w:p>
            <w:pPr>
              <w:ind w:left="380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32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17,057</w:t>
            </w:r>
          </w:p>
        </w:tc>
        <w:tc>
          <w:tcPr>
            <w:tcW w:w="0" w:type="dxa"/>
            <w:vAlign w:val="bottom"/>
          </w:tcPr>
          <w:p>
            <w:pPr>
              <w:spacing w:after="0"/>
              <w:rPr>
                <w:sz w:val="1"/>
                <w:szCs w:val="1"/>
                <w:color w:val="auto"/>
              </w:rPr>
            </w:pPr>
          </w:p>
        </w:tc>
      </w:tr>
      <w:tr>
        <w:trPr>
          <w:trHeight w:val="224"/>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55,194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76,882</w:t>
            </w: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Deferred revenues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88,263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57,430</w:t>
            </w:r>
          </w:p>
        </w:tc>
        <w:tc>
          <w:tcPr>
            <w:tcW w:w="0" w:type="dxa"/>
            <w:vAlign w:val="bottom"/>
          </w:tcPr>
          <w:p>
            <w:pPr>
              <w:spacing w:after="0"/>
              <w:rPr>
                <w:sz w:val="1"/>
                <w:szCs w:val="1"/>
                <w:color w:val="auto"/>
              </w:rPr>
            </w:pPr>
          </w:p>
        </w:tc>
      </w:tr>
      <w:tr>
        <w:trPr>
          <w:trHeight w:val="224"/>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Contingent consideration obligation</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2,831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2,833</w:t>
            </w: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Short-term debt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29,000</w:t>
            </w:r>
          </w:p>
        </w:tc>
        <w:tc>
          <w:tcPr>
            <w:tcW w:w="0" w:type="dxa"/>
            <w:vAlign w:val="bottom"/>
          </w:tcPr>
          <w:p>
            <w:pPr>
              <w:spacing w:after="0"/>
              <w:rPr>
                <w:sz w:val="1"/>
                <w:szCs w:val="1"/>
                <w:color w:val="auto"/>
              </w:rPr>
            </w:pPr>
          </w:p>
        </w:tc>
      </w:tr>
      <w:tr>
        <w:trPr>
          <w:trHeight w:val="224"/>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Liabilities held for sale, current*</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55,998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73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235,044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183,202</w:t>
            </w:r>
          </w:p>
        </w:tc>
        <w:tc>
          <w:tcPr>
            <w:tcW w:w="0" w:type="dxa"/>
            <w:vAlign w:val="bottom"/>
          </w:tcPr>
          <w:p>
            <w:pPr>
              <w:spacing w:after="0"/>
              <w:rPr>
                <w:sz w:val="1"/>
                <w:szCs w:val="1"/>
                <w:color w:val="auto"/>
              </w:rPr>
            </w:pPr>
          </w:p>
        </w:tc>
      </w:tr>
      <w:tr>
        <w:trPr>
          <w:trHeight w:val="237"/>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Lease financing obligation</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12,124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12,450</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Convertible debt, net of debt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226,644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226,291</w:t>
            </w:r>
          </w:p>
        </w:tc>
        <w:tc>
          <w:tcPr>
            <w:tcW w:w="0" w:type="dxa"/>
            <w:vAlign w:val="bottom"/>
          </w:tcPr>
          <w:p>
            <w:pPr>
              <w:spacing w:after="0"/>
              <w:rPr>
                <w:sz w:val="1"/>
                <w:szCs w:val="1"/>
                <w:color w:val="auto"/>
              </w:rPr>
            </w:pPr>
          </w:p>
        </w:tc>
      </w:tr>
      <w:tr>
        <w:trPr>
          <w:trHeight w:val="224"/>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Long term debt- term loan</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874,678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3,508</w:t>
            </w:r>
          </w:p>
        </w:tc>
        <w:tc>
          <w:tcPr>
            <w:tcW w:w="0" w:type="dxa"/>
            <w:vAlign w:val="bottom"/>
          </w:tcPr>
          <w:p>
            <w:pPr>
              <w:spacing w:after="0"/>
              <w:rPr>
                <w:sz w:val="1"/>
                <w:szCs w:val="1"/>
                <w:color w:val="auto"/>
              </w:rPr>
            </w:pPr>
          </w:p>
        </w:tc>
      </w:tr>
      <w:tr>
        <w:trPr>
          <w:trHeight w:val="224"/>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Deferred revenues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51,060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65,630</w:t>
            </w: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8,193</w:t>
            </w:r>
          </w:p>
        </w:tc>
        <w:tc>
          <w:tcPr>
            <w:tcW w:w="0" w:type="dxa"/>
            <w:vAlign w:val="bottom"/>
          </w:tcPr>
          <w:p>
            <w:pPr>
              <w:spacing w:after="0"/>
              <w:rPr>
                <w:sz w:val="1"/>
                <w:szCs w:val="1"/>
                <w:color w:val="auto"/>
              </w:rPr>
            </w:pPr>
          </w:p>
        </w:tc>
      </w:tr>
      <w:tr>
        <w:trPr>
          <w:trHeight w:val="237"/>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Liabilities held for sale, non-current*</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112,118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13)</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320" w:type="dxa"/>
            <w:vAlign w:val="bottom"/>
            <w:gridSpan w:val="2"/>
          </w:tcPr>
          <w:p>
            <w:pPr>
              <w:ind w:left="20"/>
              <w:spacing w:after="0"/>
              <w:rPr>
                <w:sz w:val="20"/>
                <w:szCs w:val="20"/>
                <w:color w:val="auto"/>
              </w:rPr>
            </w:pPr>
            <w:r>
              <w:rPr>
                <w:rFonts w:ascii="Arial" w:cs="Arial" w:eastAsia="Arial" w:hAnsi="Arial"/>
                <w:sz w:val="16"/>
                <w:szCs w:val="16"/>
                <w:color w:val="auto"/>
              </w:rPr>
              <w:t>Redeemable noncontrolling interest</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25,280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25,280</w:t>
            </w: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320" w:type="dxa"/>
            <w:vAlign w:val="bottom"/>
            <w:gridSpan w:val="2"/>
          </w:tcPr>
          <w:p>
            <w:pPr>
              <w:ind w:left="260"/>
              <w:spacing w:after="0"/>
              <w:rPr>
                <w:sz w:val="20"/>
                <w:szCs w:val="20"/>
                <w:color w:val="auto"/>
              </w:rPr>
            </w:pPr>
            <w:r>
              <w:rPr>
                <w:rFonts w:ascii="Arial" w:cs="Arial" w:eastAsia="Arial" w:hAnsi="Arial"/>
                <w:sz w:val="16"/>
                <w:szCs w:val="16"/>
                <w:color w:val="auto"/>
                <w:w w:val="94"/>
              </w:rPr>
              <w:t>Common stock, $0.0001 par value; 100,000 shares authorized, 50,973 and 50,388 shares issued; 45,914</w:t>
            </w:r>
          </w:p>
        </w:tc>
        <w:tc>
          <w:tcPr>
            <w:tcW w:w="200" w:type="dxa"/>
            <w:vAlign w:val="bottom"/>
          </w:tcPr>
          <w:p>
            <w:pPr>
              <w:spacing w:after="0"/>
              <w:rPr>
                <w:sz w:val="19"/>
                <w:szCs w:val="19"/>
                <w:color w:val="auto"/>
              </w:rPr>
            </w:pPr>
          </w:p>
        </w:tc>
        <w:tc>
          <w:tcPr>
            <w:tcW w:w="1520" w:type="dxa"/>
            <w:vAlign w:val="bottom"/>
            <w:vMerge w:val="restart"/>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vMerge w:val="restart"/>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98"/>
        </w:trPr>
        <w:tc>
          <w:tcPr>
            <w:tcW w:w="7320" w:type="dxa"/>
            <w:vAlign w:val="bottom"/>
            <w:gridSpan w:val="2"/>
            <w:vMerge w:val="restart"/>
          </w:tcPr>
          <w:p>
            <w:pPr>
              <w:ind w:left="260"/>
              <w:spacing w:after="0"/>
              <w:rPr>
                <w:sz w:val="20"/>
                <w:szCs w:val="20"/>
                <w:color w:val="auto"/>
              </w:rPr>
            </w:pPr>
            <w:r>
              <w:rPr>
                <w:rFonts w:ascii="Arial" w:cs="Arial" w:eastAsia="Arial" w:hAnsi="Arial"/>
                <w:sz w:val="16"/>
                <w:szCs w:val="16"/>
                <w:color w:val="auto"/>
              </w:rPr>
              <w:t>and 45,292 outstanding at March 31, 2017 and December 31, 2016, respectively</w:t>
            </w:r>
          </w:p>
        </w:tc>
        <w:tc>
          <w:tcPr>
            <w:tcW w:w="20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3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w w:val="94"/>
              </w:rPr>
              <w:t>Treasury stock, at cost (5,059 and 5,096 shares at March 31, 2017 and December 31, 2016,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(105,584)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(106,631)</w:t>
            </w:r>
          </w:p>
        </w:tc>
        <w:tc>
          <w:tcPr>
            <w:tcW w:w="0" w:type="dxa"/>
            <w:vAlign w:val="bottom"/>
          </w:tcPr>
          <w:p>
            <w:pPr>
              <w:spacing w:after="0"/>
              <w:rPr>
                <w:sz w:val="1"/>
                <w:szCs w:val="1"/>
                <w:color w:val="auto"/>
              </w:rPr>
            </w:pPr>
          </w:p>
        </w:tc>
      </w:tr>
      <w:tr>
        <w:trPr>
          <w:trHeight w:val="224"/>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584,377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571,153</w:t>
            </w:r>
          </w:p>
        </w:tc>
        <w:tc>
          <w:tcPr>
            <w:tcW w:w="0" w:type="dxa"/>
            <w:vAlign w:val="bottom"/>
          </w:tcPr>
          <w:p>
            <w:pPr>
              <w:spacing w:after="0"/>
              <w:rPr>
                <w:sz w:val="1"/>
                <w:szCs w:val="1"/>
                <w:color w:val="auto"/>
              </w:rPr>
            </w:pPr>
          </w:p>
        </w:tc>
      </w:tr>
      <w:tr>
        <w:trPr>
          <w:trHeight w:val="47"/>
        </w:trPr>
        <w:tc>
          <w:tcPr>
            <w:tcW w:w="7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(42,350)</w:t>
            </w:r>
          </w:p>
        </w:tc>
        <w:tc>
          <w:tcPr>
            <w:tcW w:w="0" w:type="dxa"/>
            <w:vAlign w:val="bottom"/>
          </w:tcPr>
          <w:p>
            <w:pPr>
              <w:spacing w:after="0"/>
              <w:rPr>
                <w:sz w:val="1"/>
                <w:szCs w:val="1"/>
                <w:color w:val="auto"/>
              </w:rPr>
            </w:pPr>
          </w:p>
        </w:tc>
      </w:tr>
      <w:tr>
        <w:trPr>
          <w:trHeight w:val="224"/>
        </w:trPr>
        <w:tc>
          <w:tcPr>
            <w:tcW w:w="7320" w:type="dxa"/>
            <w:vAlign w:val="bottom"/>
            <w:gridSpan w:val="2"/>
          </w:tcPr>
          <w:p>
            <w:pPr>
              <w:ind w:left="26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45,729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107,620</w:t>
            </w:r>
          </w:p>
        </w:tc>
        <w:tc>
          <w:tcPr>
            <w:tcW w:w="0" w:type="dxa"/>
            <w:vAlign w:val="bottom"/>
          </w:tcPr>
          <w:p>
            <w:pPr>
              <w:spacing w:after="0"/>
              <w:rPr>
                <w:sz w:val="1"/>
                <w:szCs w:val="1"/>
                <w:color w:val="auto"/>
              </w:rPr>
            </w:pPr>
          </w:p>
        </w:tc>
      </w:tr>
      <w:tr>
        <w:trPr>
          <w:trHeight w:val="47"/>
        </w:trPr>
        <w:tc>
          <w:tcPr>
            <w:tcW w:w="73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486,038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529,797</w:t>
            </w:r>
          </w:p>
        </w:tc>
        <w:tc>
          <w:tcPr>
            <w:tcW w:w="0" w:type="dxa"/>
            <w:vAlign w:val="bottom"/>
          </w:tcPr>
          <w:p>
            <w:pPr>
              <w:spacing w:after="0"/>
              <w:rPr>
                <w:sz w:val="1"/>
                <w:szCs w:val="1"/>
                <w:color w:val="auto"/>
              </w:rPr>
            </w:pPr>
          </w:p>
        </w:tc>
      </w:tr>
      <w:tr>
        <w:trPr>
          <w:trHeight w:val="217"/>
        </w:trPr>
        <w:tc>
          <w:tcPr>
            <w:tcW w:w="730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2,048,141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1,054,351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20955</wp:posOffset>
            </wp:positionV>
            <wp:extent cx="22726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72665" cy="26035"/>
                    </a:xfrm>
                    <a:prstGeom prst="rect">
                      <a:avLst/>
                    </a:prstGeom>
                    <a:noFill/>
                  </pic:spPr>
                </pic:pic>
              </a:graphicData>
            </a:graphic>
          </wp:anchor>
        </w:drawing>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 See </w:t>
      </w:r>
      <w:r>
        <w:rPr>
          <w:rFonts w:ascii="Arial" w:cs="Arial" w:eastAsia="Arial" w:hAnsi="Arial"/>
          <w:sz w:val="16"/>
          <w:szCs w:val="16"/>
          <w:i w:val="1"/>
          <w:iCs w:val="1"/>
          <w:color w:val="auto"/>
        </w:rPr>
        <w:t>Note 4 -Acquisitions and Divestitures</w:t>
      </w:r>
      <w:r>
        <w:rPr>
          <w:rFonts w:ascii="Arial" w:cs="Arial" w:eastAsia="Arial" w:hAnsi="Arial"/>
          <w:sz w:val="16"/>
          <w:szCs w:val="16"/>
          <w:color w:val="auto"/>
        </w:rPr>
        <w:t xml:space="preserve"> for transactions classified as held for sale.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See </w:t>
      </w:r>
      <w:r>
        <w:rPr>
          <w:rFonts w:ascii="Arial" w:cs="Arial" w:eastAsia="Arial" w:hAnsi="Arial"/>
          <w:sz w:val="16"/>
          <w:szCs w:val="16"/>
          <w:i w:val="1"/>
          <w:iCs w:val="1"/>
          <w:color w:val="auto"/>
        </w:rPr>
        <w:t>Note 6 -Investments in Affiliates and Related Transactions</w:t>
      </w:r>
      <w:r>
        <w:rPr>
          <w:rFonts w:ascii="Arial" w:cs="Arial" w:eastAsia="Arial" w:hAnsi="Arial"/>
          <w:sz w:val="16"/>
          <w:szCs w:val="16"/>
          <w:color w:val="auto"/>
        </w:rPr>
        <w:t xml:space="preserve"> for related party transactions reflected in this account</w:t>
      </w:r>
    </w:p>
    <w:p>
      <w:pPr>
        <w:spacing w:after="0" w:line="1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40"/>
          </w:cols>
          <w:pgMar w:left="240" w:top="125" w:right="519" w:bottom="0" w:gutter="0" w:footer="0" w:header="0"/>
        </w:sectPr>
      </w:pPr>
    </w:p>
    <w:p>
      <w:pPr>
        <w:spacing w:after="0" w:line="236"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140"/>
          </w:cols>
          <w:pgMar w:left="240" w:top="125" w:right="519" w:bottom="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36"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(In thousands, except per share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399"/>
              <w:spacing w:after="0"/>
              <w:rPr>
                <w:sz w:val="20"/>
                <w:szCs w:val="20"/>
                <w:color w:val="auto"/>
              </w:rPr>
            </w:pPr>
            <w:r>
              <w:rPr>
                <w:rFonts w:ascii="Arial" w:cs="Arial" w:eastAsia="Arial" w:hAnsi="Arial"/>
                <w:sz w:val="16"/>
                <w:szCs w:val="16"/>
                <w:b w:val="1"/>
                <w:bCs w:val="1"/>
                <w:color w:val="auto"/>
              </w:rPr>
              <w:t>(Restated)</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86,097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78,246</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revenues**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46,151</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25,489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25,827</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25,914</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Net change in contingent consideration obligation</w:t>
            </w:r>
          </w:p>
        </w:tc>
        <w:tc>
          <w:tcPr>
            <w:tcW w:w="10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 charges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2,910</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24,087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22,782</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costs and expenses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137,444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123,589</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Loss from continuing operations</w:t>
            </w:r>
          </w:p>
        </w:tc>
        <w:tc>
          <w:tcPr>
            <w:tcW w:w="10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(51,347)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(45,343)</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(10,617)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(1,576)</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Equity method investment income</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 before taxes</w:t>
            </w:r>
          </w:p>
        </w:tc>
        <w:tc>
          <w:tcPr>
            <w:tcW w:w="10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(54,173)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(46,670)</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Benefit for income taxes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8,721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15,520</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 from continuing operations</w:t>
            </w:r>
          </w:p>
        </w:tc>
        <w:tc>
          <w:tcPr>
            <w:tcW w:w="10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(45,452)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(31,150)</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Net loss from discontinued operations, net of tax*</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(16,134)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(1,186)</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(32,336)</w:t>
            </w: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Net loss attributable to redeemable noncontrolling interests</w:t>
            </w:r>
          </w:p>
        </w:tc>
        <w:tc>
          <w:tcPr>
            <w:tcW w:w="10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(2,889)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(3,007)</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Synchronoss</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(29,329)</w:t>
            </w: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71"/>
        </w:trPr>
        <w:tc>
          <w:tcPr>
            <w:tcW w:w="79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Basic:</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Continuing operations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(0.96)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(0.65)</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Discontinued operations*</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17"/>
        </w:trPr>
        <w:tc>
          <w:tcPr>
            <w:tcW w:w="7900" w:type="dxa"/>
            <w:vAlign w:val="bottom"/>
          </w:tcPr>
          <w:p>
            <w:pPr>
              <w:spacing w:after="0"/>
              <w:rPr>
                <w:sz w:val="18"/>
                <w:szCs w:val="18"/>
                <w:color w:val="auto"/>
              </w:rPr>
            </w:pP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(0.68)</w:t>
            </w:r>
          </w:p>
        </w:tc>
      </w:tr>
      <w:tr>
        <w:trPr>
          <w:trHeight w:val="73"/>
        </w:trPr>
        <w:tc>
          <w:tcPr>
            <w:tcW w:w="79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31"/>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Diluted:</w:t>
            </w:r>
          </w:p>
        </w:tc>
        <w:tc>
          <w:tcPr>
            <w:tcW w:w="10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Continuing operations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(0.96)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(0.65)</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Discontinued operations*</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17"/>
        </w:trPr>
        <w:tc>
          <w:tcPr>
            <w:tcW w:w="7900" w:type="dxa"/>
            <w:vAlign w:val="bottom"/>
          </w:tcPr>
          <w:p>
            <w:pPr>
              <w:spacing w:after="0"/>
              <w:rPr>
                <w:sz w:val="18"/>
                <w:szCs w:val="18"/>
                <w:color w:val="auto"/>
              </w:rPr>
            </w:pP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(0.68)</w:t>
            </w:r>
          </w:p>
        </w:tc>
      </w:tr>
      <w:tr>
        <w:trPr>
          <w:trHeight w:val="73"/>
        </w:trPr>
        <w:tc>
          <w:tcPr>
            <w:tcW w:w="79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31"/>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Weighted-average common shares outstanding:</w:t>
            </w:r>
          </w:p>
        </w:tc>
        <w:tc>
          <w:tcPr>
            <w:tcW w:w="10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Basic</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44,212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43,423</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10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44,212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43,423</w:t>
            </w: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jc w:val="both"/>
        <w:ind w:right="5800" w:firstLine="35"/>
        <w:spacing w:after="0" w:line="375" w:lineRule="auto"/>
        <w:tabs>
          <w:tab w:leader="none" w:pos="14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 4 -Acquisitions and Divestitures</w:t>
      </w:r>
      <w:r>
        <w:rPr>
          <w:rFonts w:ascii="Arial" w:cs="Arial" w:eastAsia="Arial" w:hAnsi="Arial"/>
          <w:sz w:val="14"/>
          <w:szCs w:val="14"/>
          <w:color w:val="auto"/>
        </w:rPr>
        <w:t xml:space="preserve"> for transactions classified as held for sale. **Cost of revenues excludes depreciation and amortization which is shown separately.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000" w:right="1960" w:hanging="2903"/>
        <w:spacing w:after="0" w:line="313" w:lineRule="auto"/>
        <w:rPr>
          <w:sz w:val="20"/>
          <w:szCs w:val="20"/>
          <w:color w:val="auto"/>
        </w:rPr>
      </w:pPr>
      <w:r>
        <w:rPr>
          <w:rFonts w:ascii="Arial" w:cs="Arial" w:eastAsia="Arial" w:hAnsi="Arial"/>
          <w:sz w:val="18"/>
          <w:szCs w:val="18"/>
          <w:b w:val="1"/>
          <w:bCs w:val="1"/>
          <w:color w:val="auto"/>
        </w:rPr>
        <w:t>CONDENSED CONSOLIDATED STATEMENTS OF COMPREHENSIVE (LOSS) INCOME (Unaudited) (In thousands)</w:t>
      </w:r>
    </w:p>
    <w:p>
      <w:pPr>
        <w:spacing w:after="0" w:line="86"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8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March 31,</w:t>
            </w:r>
          </w:p>
        </w:tc>
      </w:tr>
      <w:tr>
        <w:trPr>
          <w:trHeight w:val="33"/>
        </w:trPr>
        <w:tc>
          <w:tcPr>
            <w:tcW w:w="8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r>
      <w:tr>
        <w:trPr>
          <w:trHeight w:val="33"/>
        </w:trPr>
        <w:tc>
          <w:tcPr>
            <w:tcW w:w="8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99"/>
              </w:rPr>
              <w:t>(Restated)</w:t>
            </w:r>
          </w:p>
        </w:tc>
      </w:tr>
      <w:tr>
        <w:trPr>
          <w:trHeight w:val="237"/>
        </w:trPr>
        <w:tc>
          <w:tcPr>
            <w:tcW w:w="838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(61,586)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(32,336)</w:t>
            </w:r>
          </w:p>
        </w:tc>
      </w:tr>
      <w:tr>
        <w:trPr>
          <w:trHeight w:val="33"/>
        </w:trPr>
        <w:tc>
          <w:tcPr>
            <w:tcW w:w="8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comprehensive income (loss),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80" w:type="dxa"/>
            <w:vAlign w:val="bottom"/>
          </w:tcPr>
          <w:p>
            <w:pPr>
              <w:ind w:left="260"/>
              <w:spacing w:after="0"/>
              <w:rPr>
                <w:sz w:val="20"/>
                <w:szCs w:val="20"/>
                <w:color w:val="auto"/>
              </w:rPr>
            </w:pPr>
            <w:r>
              <w:rPr>
                <w:rFonts w:ascii="Arial" w:cs="Arial" w:eastAsia="Arial" w:hAnsi="Arial"/>
                <w:sz w:val="16"/>
                <w:szCs w:val="16"/>
                <w:color w:val="auto"/>
              </w:rPr>
              <w:t>Foreign currency translation adjustments</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9,463</w:t>
            </w:r>
          </w:p>
        </w:tc>
      </w:tr>
      <w:tr>
        <w:trPr>
          <w:trHeight w:val="33"/>
        </w:trPr>
        <w:tc>
          <w:tcPr>
            <w:tcW w:w="8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Unrealized gain on available for sale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r>
      <w:tr>
        <w:trPr>
          <w:trHeight w:val="237"/>
        </w:trPr>
        <w:tc>
          <w:tcPr>
            <w:tcW w:w="8380" w:type="dxa"/>
            <w:vAlign w:val="bottom"/>
          </w:tcPr>
          <w:p>
            <w:pPr>
              <w:ind w:left="260"/>
              <w:spacing w:after="0"/>
              <w:rPr>
                <w:sz w:val="20"/>
                <w:szCs w:val="20"/>
                <w:color w:val="auto"/>
              </w:rPr>
            </w:pPr>
            <w:r>
              <w:rPr>
                <w:rFonts w:ascii="Arial" w:cs="Arial" w:eastAsia="Arial" w:hAnsi="Arial"/>
                <w:sz w:val="16"/>
                <w:szCs w:val="16"/>
                <w:color w:val="auto"/>
              </w:rPr>
              <w:t>Net income (loss) on intra-entity foreign currency transactions</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(262)</w:t>
            </w:r>
          </w:p>
        </w:tc>
      </w:tr>
      <w:tr>
        <w:trPr>
          <w:trHeight w:val="33"/>
        </w:trPr>
        <w:tc>
          <w:tcPr>
            <w:tcW w:w="8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 net of tax</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9,221</w:t>
            </w:r>
          </w:p>
        </w:tc>
      </w:tr>
      <w:tr>
        <w:trPr>
          <w:trHeight w:val="237"/>
        </w:trPr>
        <w:tc>
          <w:tcPr>
            <w:tcW w:w="8380" w:type="dxa"/>
            <w:vAlign w:val="bottom"/>
          </w:tcPr>
          <w:p>
            <w:pPr>
              <w:ind w:left="260"/>
              <w:spacing w:after="0"/>
              <w:rPr>
                <w:sz w:val="20"/>
                <w:szCs w:val="20"/>
                <w:color w:val="auto"/>
              </w:rPr>
            </w:pPr>
            <w:r>
              <w:rPr>
                <w:rFonts w:ascii="Arial" w:cs="Arial" w:eastAsia="Arial" w:hAnsi="Arial"/>
                <w:sz w:val="16"/>
                <w:szCs w:val="16"/>
                <w:color w:val="auto"/>
              </w:rPr>
              <w:t>Comprehensive loss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(57,725)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(23,115)</w:t>
            </w:r>
          </w:p>
        </w:tc>
      </w:tr>
      <w:tr>
        <w:trPr>
          <w:trHeight w:val="33"/>
        </w:trPr>
        <w:tc>
          <w:tcPr>
            <w:tcW w:w="8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redeemable noncontrolling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(3,007)</w:t>
            </w:r>
          </w:p>
        </w:tc>
      </w:tr>
      <w:tr>
        <w:trPr>
          <w:trHeight w:val="217"/>
        </w:trPr>
        <w:tc>
          <w:tcPr>
            <w:tcW w:w="8380" w:type="dxa"/>
            <w:vAlign w:val="bottom"/>
          </w:tcPr>
          <w:p>
            <w:pPr>
              <w:ind w:left="20"/>
              <w:spacing w:after="0"/>
              <w:rPr>
                <w:sz w:val="20"/>
                <w:szCs w:val="20"/>
                <w:color w:val="auto"/>
              </w:rPr>
            </w:pPr>
            <w:r>
              <w:rPr>
                <w:rFonts w:ascii="Arial" w:cs="Arial" w:eastAsia="Arial" w:hAnsi="Arial"/>
                <w:sz w:val="16"/>
                <w:szCs w:val="16"/>
                <w:color w:val="auto"/>
              </w:rPr>
              <w:t>Comprehensive loss attributable to Synchronoss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(54,836)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(20,108)</w:t>
            </w:r>
          </w:p>
        </w:tc>
      </w:tr>
      <w:tr>
        <w:trPr>
          <w:trHeight w:val="33"/>
        </w:trPr>
        <w:tc>
          <w:tcPr>
            <w:tcW w:w="8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125" w:right="3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 (In thousands)</w:t>
      </w:r>
    </w:p>
    <w:p>
      <w:pPr>
        <w:spacing w:after="0" w:line="171"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33"/>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r>
      <w:tr>
        <w:trPr>
          <w:trHeight w:val="33"/>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(Restated)</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Net loss from continuing operations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(45,452)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(31,150)</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from 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(1,186)</w:t>
            </w:r>
          </w:p>
        </w:tc>
      </w:tr>
      <w:tr>
        <w:trPr>
          <w:trHeight w:val="243"/>
        </w:trPr>
        <w:tc>
          <w:tcPr>
            <w:tcW w:w="7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24,087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22,782</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Discontinued operations non-cash and working capital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1,295</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8,112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7,790</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Contingent consideration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375</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PIK interest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Earnings from equity method investments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 on disposals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Amortization of bond premium</w:t>
            </w: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373</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Non-cash interest on leased facility</w:t>
            </w: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229</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Accounts receivable, net of allowance for doubtful accounts</w:t>
            </w: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9,320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(22,910)</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20,194</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957</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8,317</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(18,821)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(1,486)</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(7,662)</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Deferred revenues</w:t>
            </w: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16,143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25,482</w:t>
            </w: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23,358</w:t>
            </w:r>
          </w:p>
        </w:tc>
      </w:tr>
      <w:tr>
        <w:trPr>
          <w:trHeight w:val="135"/>
        </w:trPr>
        <w:tc>
          <w:tcPr>
            <w:tcW w:w="7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Purchases of fixed assets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(10,003)</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intangible assets and capitalized software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(1,346)</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Proceeds from the sale of Speechcycle</w:t>
            </w: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13,500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marketable securities available-for-sale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(8,598)</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Maturities of marketable securities available-for-sale</w:t>
            </w: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12,565</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Investing activities in 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Businesses acquired, net of cash</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(815,008)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(86,482)</w:t>
            </w:r>
          </w:p>
        </w:tc>
      </w:tr>
      <w:tr>
        <w:trPr>
          <w:trHeight w:val="33"/>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(807,267)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(93,864)</w:t>
            </w:r>
          </w:p>
        </w:tc>
      </w:tr>
      <w:tr>
        <w:trPr>
          <w:trHeight w:val="33"/>
        </w:trPr>
        <w:tc>
          <w:tcPr>
            <w:tcW w:w="7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35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125" w:right="6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33"/>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r>
      <w:tr>
        <w:trPr>
          <w:trHeight w:val="33"/>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(Restated)</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Share-based compensation-related proceeds, net of taxes paid on withholding shares</w:t>
            </w: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1,755</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issuance costs related to the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Debt issuance costs related to long term debt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(19,887)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issuance of long 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Borrowings on revolving line of credit</w:t>
            </w:r>
          </w:p>
        </w:tc>
        <w:tc>
          <w:tcPr>
            <w:tcW w:w="2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50,000</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Repayment of revolving line of credit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Excess tax benefit from the exercise of stock options</w:t>
            </w:r>
          </w:p>
        </w:tc>
        <w:tc>
          <w:tcPr>
            <w:tcW w:w="2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Repurchases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(16,581)</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Proceeds from sale of Treasury Shares</w:t>
            </w: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955</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capital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17"/>
        </w:trPr>
        <w:tc>
          <w:tcPr>
            <w:tcW w:w="7540" w:type="dxa"/>
            <w:vAlign w:val="bottom"/>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850,210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35,876</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7"/>
        </w:trPr>
        <w:tc>
          <w:tcPr>
            <w:tcW w:w="754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29,324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(34,788)</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restricted cash and cash equivalents at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211,433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147,872</w:t>
            </w:r>
          </w:p>
        </w:tc>
      </w:tr>
      <w:tr>
        <w:trPr>
          <w:trHeight w:val="284"/>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restricted cash and cash equivalents at end of period</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240,757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113,084</w:t>
            </w:r>
          </w:p>
        </w:tc>
      </w:tr>
      <w:tr>
        <w:trPr>
          <w:trHeight w:val="217"/>
        </w:trPr>
        <w:tc>
          <w:tcPr>
            <w:tcW w:w="7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paid for income taxes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1,780</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77"/>
        </w:trPr>
        <w:tc>
          <w:tcPr>
            <w:tcW w:w="75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Cash paid for interest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1,533</w:t>
            </w:r>
          </w:p>
        </w:tc>
      </w:tr>
      <w:tr>
        <w:trPr>
          <w:trHeight w:val="230"/>
        </w:trPr>
        <w:tc>
          <w:tcPr>
            <w:tcW w:w="7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Issuance of common stock in connection with Openwave acquisition</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22,000</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77"/>
        </w:trPr>
        <w:tc>
          <w:tcPr>
            <w:tcW w:w="75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Issuance of common stock in connection with Intralinks acquisition</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Cash and cash equivalents per the Consolidated Balance Sheets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221,178</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86,782</w:t>
            </w:r>
          </w:p>
        </w:tc>
      </w:tr>
      <w:tr>
        <w:trPr>
          <w:trHeight w:val="33"/>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Restricted cash per the Consolidated Balance Sheets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26,302</w:t>
            </w:r>
          </w:p>
        </w:tc>
      </w:tr>
      <w:tr>
        <w:trPr>
          <w:trHeight w:val="244"/>
        </w:trPr>
        <w:tc>
          <w:tcPr>
            <w:tcW w:w="7540" w:type="dxa"/>
            <w:vAlign w:val="bottom"/>
          </w:tcPr>
          <w:p>
            <w:pPr>
              <w:ind w:left="280"/>
              <w:spacing w:after="0"/>
              <w:rPr>
                <w:sz w:val="20"/>
                <w:szCs w:val="20"/>
                <w:color w:val="auto"/>
              </w:rPr>
            </w:pPr>
            <w:r>
              <w:rPr>
                <w:rFonts w:ascii="Arial" w:cs="Arial" w:eastAsia="Arial" w:hAnsi="Arial"/>
                <w:sz w:val="16"/>
                <w:szCs w:val="16"/>
                <w:color w:val="auto"/>
              </w:rPr>
              <w:t>Total cash, cash equivalents and restricted cash</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240,757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113,084</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 See </w:t>
      </w:r>
      <w:r>
        <w:rPr>
          <w:rFonts w:ascii="Arial" w:cs="Arial" w:eastAsia="Arial" w:hAnsi="Arial"/>
          <w:sz w:val="16"/>
          <w:szCs w:val="16"/>
          <w:i w:val="1"/>
          <w:iCs w:val="1"/>
          <w:color w:val="auto"/>
        </w:rPr>
        <w:t>Note 4 - Acquisitions and Divestitures</w:t>
      </w:r>
      <w:r>
        <w:rPr>
          <w:rFonts w:ascii="Arial" w:cs="Arial" w:eastAsia="Arial" w:hAnsi="Arial"/>
          <w:sz w:val="16"/>
          <w:szCs w:val="16"/>
          <w:color w:val="auto"/>
        </w:rPr>
        <w:t xml:space="preserve"> for transactions classified as discontinued operations.</w:t>
      </w:r>
    </w:p>
    <w:p>
      <w:pPr>
        <w:spacing w:after="0" w:line="19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240" w:top="125" w:right="6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Synchronoss Technologies, Inc. (referred to herein as “Synchronoss”, the “Company”, “we”, “our” or “us”) is a global software and services company that provides essential technologies for the mobile transformation of business. The Company’s portfolio, which is targeted at the Consumer and Enterprise markets, contains offerings such as personal cloud, secure-mobility, identity management and scalable messaging platforms, products and solutions. These essential technologies create a better way of delivering the transformative mobile experiences that service providers and enterprises need to help them stay ahead of the curve in competition, innovation, productivity, growth and operational efficiency.</w:t>
      </w:r>
    </w:p>
    <w:p>
      <w:pPr>
        <w:spacing w:after="0" w:line="17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Synchronoss’ products and platforms are designed to be carrier-grade, flexible and scalable, enabling multiple converged communication services to be managed across a range of distribution channels including e-commerce, m-commerce, telesales, customer stores, indirect and other retail outlets. This business model allows the Company to meet the rapidly changing converged services and connected devices offered by their customers. Synchronoss’ products, platforms and solutions enable its enterprise and service provider customers to acquire, retain and service subscribers and employees quickly, reliably and cost-effectively with white label and custom-branded solutions. Synchronoss customers can simplify the processes associated with managing the customer experience for procuring, activating, connecting, backing-up, synchronizing and sharing/collaboration with connected devices and contents from these devices and associated services. The extensibility, scalability, reliability and relevance of the Company’s platforms enable new revenue streams and retention opportunities for their customers through new subscriber acquisitions, sale of new devices, accessories and new value-added service offerings in the Cloud. By using the Company’s technologies, Synchronoss customers can optimize their cost of operations while enhancing their customer experience.</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currently operates in and markets their solutions and services directly through their sales organizations in North America, Europe, the Middle East and Africa (“EMEA”), and the Asia-Pacific region. Synchronoss delivers essential technologies for mobile transformation to two primary types of customers: service provider and enterprise customers in regulated verticals and use cases.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Providers, Retailers, OEMs, Re-sellers and Service Integrators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Company’s products and platforms provide end-to-end seamless integration between customer-facing channels/applications, communication services, or devices and “back-office” infrastructure-related systems and processes. Synchronoss’ customers rely on these solutions and technology to automate the process of activation and content and settings management for their subscribers’ devices while delivering additional communication services. Synchronoss’ portfolio includes: cloud-based sync, backup, storage and content engagement capabilities, broadband connectivity solutions, analytics, white label messaging, identity/access management that enable communications service providers (“CSPs”), cable operators/multi-services operators (“MSOs”) and original equipment manufacturers (“OEMs”) with embedded connectivity (e.g. smartphones, laptops, tablets and mobile internet devices (“MIDs”) such as automobiles, wearables for personal health and wellness, and connected homes), multi-channel retailers, as well as other customers to accelerate and monetize value-add services for secure and broadband networks and connected devices.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Consolidation</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The condensed consolidated financial statements as of March 31, 2017 and for the three months ended March 31, 2017 and 2016 are unaudited, but in the opinion of management, include all adjustments (consisting only of normal recurring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for 2017 and 2016 included in the Company’s Annual Report on Form 10-K for the year ended December 31, 2017, as they have been filed prior to this quarterly report on Form 10-Q and certain prior year amounts have been restated. Refer to </w:t>
      </w:r>
      <w:r>
        <w:rPr>
          <w:rFonts w:ascii="Arial" w:cs="Arial" w:eastAsia="Arial" w:hAnsi="Arial"/>
          <w:sz w:val="17"/>
          <w:szCs w:val="17"/>
          <w:i w:val="1"/>
          <w:iCs w:val="1"/>
          <w:color w:val="auto"/>
        </w:rPr>
        <w:t>Note 3 -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Restatement of Previously Issued Consolidated Financial Statements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Note 14 - Subsequent Events Review </w:t>
      </w:r>
      <w:r>
        <w:rPr>
          <w:rFonts w:ascii="Arial" w:cs="Arial" w:eastAsia="Arial" w:hAnsi="Arial"/>
          <w:sz w:val="17"/>
          <w:szCs w:val="17"/>
          <w:color w:val="auto"/>
        </w:rPr>
        <w:t>for background on the restatement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issued financial statements and Nasdaq compliance, respectively. The results of operations for the three months ended March 31, 2017 are not necessarily indicative of the results to be expected for the year ended December 31, 2017.</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condensed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w:t>
      </w:r>
    </w:p>
    <w:p>
      <w:pPr>
        <w:spacing w:after="0" w:line="19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further information about the Company’s basis of presentation and consolidation or its significant accounting policies, refer to the consolidated financial statements and footnotes thereto included in the Company’s Annual Report on Form 10-K for the year ended December 31,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Restricted cash includes amounts to various deposits, escrows and other cash collateral that are restricted by contractual obligation. The amounts held in escrow, related to the Company’s guarantee of STIH’s Third Party Note was $6.2 million as of March 31, 2017. During the quarter ended March 31, 2017, $23.8 million was released from escrow upon assignment of certain customer contracts contributed in the sale of our BPO business. Remaining amounts were primarily attributed to cash held in transit (see </w:t>
      </w:r>
      <w:r>
        <w:rPr>
          <w:rFonts w:ascii="Arial" w:cs="Arial" w:eastAsia="Arial" w:hAnsi="Arial"/>
          <w:sz w:val="18"/>
          <w:szCs w:val="18"/>
          <w:i w:val="1"/>
          <w:iCs w:val="1"/>
          <w:color w:val="auto"/>
        </w:rPr>
        <w:t>Note 6 - Investments in Affiliates and Related Transactions),</w:t>
      </w:r>
      <w:r>
        <w:rPr>
          <w:rFonts w:ascii="Arial" w:cs="Arial" w:eastAsia="Arial" w:hAnsi="Arial"/>
          <w:sz w:val="18"/>
          <w:szCs w:val="18"/>
          <w:color w:val="auto"/>
        </w:rPr>
        <w:t xml:space="preserve"> and operating cash held by Zentry, which cannot be used to fulfill the obligations of the Company as a whole.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177800</wp:posOffset>
            </wp:positionV>
            <wp:extent cx="7203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Standard</w:t>
            </w:r>
          </w:p>
        </w:tc>
        <w:tc>
          <w:tcPr>
            <w:tcW w:w="6360" w:type="dxa"/>
            <w:vAlign w:val="bottom"/>
          </w:tcPr>
          <w:p>
            <w:pPr>
              <w:ind w:left="100"/>
              <w:spacing w:after="0"/>
              <w:rPr>
                <w:sz w:val="20"/>
                <w:szCs w:val="20"/>
                <w:color w:val="auto"/>
              </w:rPr>
            </w:pPr>
            <w:r>
              <w:rPr>
                <w:rFonts w:ascii="Arial" w:cs="Arial" w:eastAsia="Arial" w:hAnsi="Arial"/>
                <w:sz w:val="16"/>
                <w:szCs w:val="16"/>
                <w:color w:val="auto"/>
              </w:rPr>
              <w:t>Description</w:t>
            </w:r>
          </w:p>
        </w:tc>
        <w:tc>
          <w:tcPr>
            <w:tcW w:w="3020" w:type="dxa"/>
            <w:vAlign w:val="bottom"/>
          </w:tcPr>
          <w:p>
            <w:pPr>
              <w:ind w:left="80"/>
              <w:spacing w:after="0"/>
              <w:rPr>
                <w:sz w:val="20"/>
                <w:szCs w:val="20"/>
                <w:color w:val="auto"/>
              </w:rPr>
            </w:pPr>
            <w:r>
              <w:rPr>
                <w:rFonts w:ascii="Arial" w:cs="Arial" w:eastAsia="Arial" w:hAnsi="Arial"/>
                <w:sz w:val="16"/>
                <w:szCs w:val="16"/>
                <w:color w:val="auto"/>
              </w:rPr>
              <w:t>Effect on the financial statements</w:t>
            </w:r>
          </w:p>
        </w:tc>
      </w:tr>
      <w:tr>
        <w:trPr>
          <w:trHeight w:val="33"/>
        </w:trPr>
        <w:tc>
          <w:tcPr>
            <w:tcW w:w="1980" w:type="dxa"/>
            <w:vAlign w:val="bottom"/>
            <w:tcBorders>
              <w:bottom w:val="single" w:sz="8" w:color="auto"/>
            </w:tcBorders>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13"/>
        </w:trPr>
        <w:tc>
          <w:tcPr>
            <w:tcW w:w="1980" w:type="dxa"/>
            <w:vAlign w:val="bottom"/>
          </w:tcPr>
          <w:p>
            <w:pPr>
              <w:ind w:left="20"/>
              <w:spacing w:after="0"/>
              <w:rPr>
                <w:sz w:val="20"/>
                <w:szCs w:val="20"/>
                <w:color w:val="auto"/>
              </w:rPr>
            </w:pPr>
            <w:r>
              <w:rPr>
                <w:rFonts w:ascii="Arial" w:cs="Arial" w:eastAsia="Arial" w:hAnsi="Arial"/>
                <w:sz w:val="16"/>
                <w:szCs w:val="16"/>
                <w:color w:val="auto"/>
              </w:rPr>
              <w:t>ASU 2017-04 Simplifying</w:t>
            </w:r>
          </w:p>
        </w:tc>
        <w:tc>
          <w:tcPr>
            <w:tcW w:w="6360" w:type="dxa"/>
            <w:vAlign w:val="bottom"/>
          </w:tcPr>
          <w:p>
            <w:pPr>
              <w:ind w:left="100"/>
              <w:spacing w:after="0"/>
              <w:rPr>
                <w:sz w:val="20"/>
                <w:szCs w:val="20"/>
                <w:color w:val="auto"/>
              </w:rPr>
            </w:pPr>
            <w:r>
              <w:rPr>
                <w:rFonts w:ascii="Arial" w:cs="Arial" w:eastAsia="Arial" w:hAnsi="Arial"/>
                <w:sz w:val="16"/>
                <w:szCs w:val="16"/>
                <w:color w:val="auto"/>
                <w:w w:val="95"/>
              </w:rPr>
              <w:t>In January 2017, the Financial Accounting Standards Board (“FASB”) issued guidance which</w:t>
            </w:r>
          </w:p>
        </w:tc>
        <w:tc>
          <w:tcPr>
            <w:tcW w:w="3020" w:type="dxa"/>
            <w:vAlign w:val="bottom"/>
          </w:tcPr>
          <w:p>
            <w:pPr>
              <w:ind w:left="80"/>
              <w:spacing w:after="0"/>
              <w:rPr>
                <w:sz w:val="20"/>
                <w:szCs w:val="20"/>
                <w:color w:val="auto"/>
              </w:rPr>
            </w:pPr>
            <w:r>
              <w:rPr>
                <w:rFonts w:ascii="Arial" w:cs="Arial" w:eastAsia="Arial" w:hAnsi="Arial"/>
                <w:sz w:val="16"/>
                <w:szCs w:val="16"/>
                <w:color w:val="auto"/>
              </w:rPr>
              <w:t>The Company elected to early adopt this</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the Test for Goodwill</w:t>
            </w:r>
          </w:p>
        </w:tc>
        <w:tc>
          <w:tcPr>
            <w:tcW w:w="6360" w:type="dxa"/>
            <w:vAlign w:val="bottom"/>
          </w:tcPr>
          <w:p>
            <w:pPr>
              <w:ind w:left="100"/>
              <w:spacing w:after="0"/>
              <w:rPr>
                <w:sz w:val="20"/>
                <w:szCs w:val="20"/>
                <w:color w:val="auto"/>
              </w:rPr>
            </w:pPr>
            <w:r>
              <w:rPr>
                <w:rFonts w:ascii="Arial" w:cs="Arial" w:eastAsia="Arial" w:hAnsi="Arial"/>
                <w:sz w:val="16"/>
                <w:szCs w:val="16"/>
                <w:color w:val="auto"/>
                <w:w w:val="93"/>
              </w:rPr>
              <w:t>eliminates Step 2 from the goodwill impairment test. Under the amendments in this Update, an</w:t>
            </w:r>
          </w:p>
        </w:tc>
        <w:tc>
          <w:tcPr>
            <w:tcW w:w="3020" w:type="dxa"/>
            <w:vAlign w:val="bottom"/>
          </w:tcPr>
          <w:p>
            <w:pPr>
              <w:ind w:left="80"/>
              <w:spacing w:after="0"/>
              <w:rPr>
                <w:sz w:val="20"/>
                <w:szCs w:val="20"/>
                <w:color w:val="auto"/>
              </w:rPr>
            </w:pPr>
            <w:r>
              <w:rPr>
                <w:rFonts w:ascii="Arial" w:cs="Arial" w:eastAsia="Arial" w:hAnsi="Arial"/>
                <w:sz w:val="16"/>
                <w:szCs w:val="16"/>
                <w:color w:val="auto"/>
              </w:rPr>
              <w:t>ASU for annual and interim goodwill</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Impairment</w:t>
            </w:r>
          </w:p>
        </w:tc>
        <w:tc>
          <w:tcPr>
            <w:tcW w:w="6360" w:type="dxa"/>
            <w:vAlign w:val="bottom"/>
          </w:tcPr>
          <w:p>
            <w:pPr>
              <w:ind w:left="100"/>
              <w:spacing w:after="0"/>
              <w:rPr>
                <w:sz w:val="20"/>
                <w:szCs w:val="20"/>
                <w:color w:val="auto"/>
              </w:rPr>
            </w:pPr>
            <w:r>
              <w:rPr>
                <w:rFonts w:ascii="Arial" w:cs="Arial" w:eastAsia="Arial" w:hAnsi="Arial"/>
                <w:sz w:val="16"/>
                <w:szCs w:val="16"/>
                <w:color w:val="auto"/>
                <w:w w:val="97"/>
              </w:rPr>
              <w:t>entity should recognize an impairment charge for the amount by which the carrying amount</w:t>
            </w:r>
          </w:p>
        </w:tc>
        <w:tc>
          <w:tcPr>
            <w:tcW w:w="3020" w:type="dxa"/>
            <w:vAlign w:val="bottom"/>
          </w:tcPr>
          <w:p>
            <w:pPr>
              <w:ind w:left="80"/>
              <w:spacing w:after="0"/>
              <w:rPr>
                <w:sz w:val="20"/>
                <w:szCs w:val="20"/>
                <w:color w:val="auto"/>
              </w:rPr>
            </w:pPr>
            <w:r>
              <w:rPr>
                <w:rFonts w:ascii="Arial" w:cs="Arial" w:eastAsia="Arial" w:hAnsi="Arial"/>
                <w:sz w:val="16"/>
                <w:szCs w:val="16"/>
                <w:color w:val="auto"/>
              </w:rPr>
              <w:t>impairment testing dates after January 1,</w:t>
            </w:r>
          </w:p>
        </w:tc>
      </w:tr>
      <w:tr>
        <w:trPr>
          <w:trHeight w:val="203"/>
        </w:trPr>
        <w:tc>
          <w:tcPr>
            <w:tcW w:w="198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w w:val="92"/>
              </w:rPr>
              <w:t>exceeds the reporting unit's fair value; however, the loss recognized should not exceed the total</w:t>
            </w:r>
          </w:p>
        </w:tc>
        <w:tc>
          <w:tcPr>
            <w:tcW w:w="3020" w:type="dxa"/>
            <w:vAlign w:val="bottom"/>
          </w:tcPr>
          <w:p>
            <w:pPr>
              <w:ind w:left="80"/>
              <w:spacing w:after="0"/>
              <w:rPr>
                <w:sz w:val="20"/>
                <w:szCs w:val="20"/>
                <w:color w:val="auto"/>
              </w:rPr>
            </w:pPr>
            <w:r>
              <w:rPr>
                <w:rFonts w:ascii="Arial" w:cs="Arial" w:eastAsia="Arial" w:hAnsi="Arial"/>
                <w:sz w:val="16"/>
                <w:szCs w:val="16"/>
                <w:color w:val="auto"/>
              </w:rPr>
              <w:t>2017. The adoption of this ASU had no</w:t>
            </w:r>
          </w:p>
        </w:tc>
      </w:tr>
      <w:tr>
        <w:trPr>
          <w:trHeight w:val="203"/>
        </w:trPr>
        <w:tc>
          <w:tcPr>
            <w:tcW w:w="198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rPr>
              <w:t>amount of goodwill allocated to that reporting unit. Accounting Standard Update (“ASU”)</w:t>
            </w:r>
          </w:p>
        </w:tc>
        <w:tc>
          <w:tcPr>
            <w:tcW w:w="3020" w:type="dxa"/>
            <w:vAlign w:val="bottom"/>
          </w:tcPr>
          <w:p>
            <w:pPr>
              <w:ind w:left="80"/>
              <w:spacing w:after="0"/>
              <w:rPr>
                <w:sz w:val="20"/>
                <w:szCs w:val="20"/>
                <w:color w:val="auto"/>
              </w:rPr>
            </w:pPr>
            <w:r>
              <w:rPr>
                <w:rFonts w:ascii="Arial" w:cs="Arial" w:eastAsia="Arial" w:hAnsi="Arial"/>
                <w:sz w:val="16"/>
                <w:szCs w:val="16"/>
                <w:color w:val="auto"/>
              </w:rPr>
              <w:t>impact on the Company’s consolidated</w:t>
            </w:r>
          </w:p>
        </w:tc>
      </w:tr>
      <w:tr>
        <w:trPr>
          <w:trHeight w:val="203"/>
        </w:trPr>
        <w:tc>
          <w:tcPr>
            <w:tcW w:w="198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w w:val="94"/>
              </w:rPr>
              <w:t>2017-04 also eliminates the requirement for any reporting unit with a zero or negative carrying</w:t>
            </w:r>
          </w:p>
        </w:tc>
        <w:tc>
          <w:tcPr>
            <w:tcW w:w="3020" w:type="dxa"/>
            <w:vAlign w:val="bottom"/>
          </w:tcPr>
          <w:p>
            <w:pPr>
              <w:ind w:left="80"/>
              <w:spacing w:after="0"/>
              <w:rPr>
                <w:sz w:val="20"/>
                <w:szCs w:val="20"/>
                <w:color w:val="auto"/>
              </w:rPr>
            </w:pPr>
            <w:r>
              <w:rPr>
                <w:rFonts w:ascii="Arial" w:cs="Arial" w:eastAsia="Arial" w:hAnsi="Arial"/>
                <w:sz w:val="16"/>
                <w:szCs w:val="16"/>
                <w:color w:val="auto"/>
              </w:rPr>
              <w:t>financial statements.</w:t>
            </w:r>
          </w:p>
        </w:tc>
      </w:tr>
      <w:tr>
        <w:trPr>
          <w:trHeight w:val="203"/>
        </w:trPr>
        <w:tc>
          <w:tcPr>
            <w:tcW w:w="198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w w:val="94"/>
              </w:rPr>
              <w:t>amount to perform a qualitative assessment and, if it fails that qualitative test, to perform Step</w:t>
            </w:r>
          </w:p>
        </w:tc>
        <w:tc>
          <w:tcPr>
            <w:tcW w:w="302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w w:val="95"/>
              </w:rPr>
              <w:t>2 of the goodwill impairment test. ASU 2017-04 is effective for annual or any interim goodwill</w:t>
            </w:r>
          </w:p>
        </w:tc>
        <w:tc>
          <w:tcPr>
            <w:tcW w:w="302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rPr>
              <w:t>impairment tests in fiscal years beginning after December 15, 2019. Early adoption is</w:t>
            </w:r>
          </w:p>
        </w:tc>
        <w:tc>
          <w:tcPr>
            <w:tcW w:w="302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w w:val="99"/>
              </w:rPr>
              <w:t>permitted for interim or annual goodwill impairment tests performed on testing dates after</w:t>
            </w:r>
          </w:p>
        </w:tc>
        <w:tc>
          <w:tcPr>
            <w:tcW w:w="3020" w:type="dxa"/>
            <w:vAlign w:val="bottom"/>
          </w:tcPr>
          <w:p>
            <w:pPr>
              <w:spacing w:after="0"/>
              <w:rPr>
                <w:sz w:val="17"/>
                <w:szCs w:val="17"/>
                <w:color w:val="auto"/>
              </w:rPr>
            </w:pPr>
          </w:p>
        </w:tc>
      </w:tr>
      <w:tr>
        <w:trPr>
          <w:trHeight w:val="206"/>
        </w:trPr>
        <w:tc>
          <w:tcPr>
            <w:tcW w:w="198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rPr>
              <w:t>January 1, 2017.</w:t>
            </w:r>
          </w:p>
        </w:tc>
        <w:tc>
          <w:tcPr>
            <w:tcW w:w="3020" w:type="dxa"/>
            <w:vAlign w:val="bottom"/>
          </w:tcPr>
          <w:p>
            <w:pPr>
              <w:spacing w:after="0"/>
              <w:rPr>
                <w:sz w:val="17"/>
                <w:szCs w:val="17"/>
                <w:color w:val="auto"/>
              </w:rPr>
            </w:pPr>
          </w:p>
        </w:tc>
      </w:tr>
      <w:tr>
        <w:trPr>
          <w:trHeight w:val="253"/>
        </w:trPr>
        <w:tc>
          <w:tcPr>
            <w:tcW w:w="1980" w:type="dxa"/>
            <w:vAlign w:val="bottom"/>
          </w:tcPr>
          <w:p>
            <w:pPr>
              <w:ind w:left="20"/>
              <w:spacing w:after="0"/>
              <w:rPr>
                <w:sz w:val="20"/>
                <w:szCs w:val="20"/>
                <w:color w:val="auto"/>
              </w:rPr>
            </w:pPr>
            <w:r>
              <w:rPr>
                <w:rFonts w:ascii="Arial" w:cs="Arial" w:eastAsia="Arial" w:hAnsi="Arial"/>
                <w:sz w:val="16"/>
                <w:szCs w:val="16"/>
                <w:color w:val="auto"/>
                <w:w w:val="96"/>
              </w:rPr>
              <w:t>Date of adoption: January 1,</w:t>
            </w:r>
          </w:p>
        </w:tc>
        <w:tc>
          <w:tcPr>
            <w:tcW w:w="636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2020.</w:t>
            </w:r>
          </w:p>
        </w:tc>
        <w:tc>
          <w:tcPr>
            <w:tcW w:w="636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33"/>
        </w:trPr>
        <w:tc>
          <w:tcPr>
            <w:tcW w:w="1980" w:type="dxa"/>
            <w:vAlign w:val="bottom"/>
            <w:tcBorders>
              <w:bottom w:val="single" w:sz="8" w:color="auto"/>
            </w:tcBorders>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245745</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Standard</w:t>
            </w:r>
          </w:p>
        </w:tc>
        <w:tc>
          <w:tcPr>
            <w:tcW w:w="6360" w:type="dxa"/>
            <w:vAlign w:val="bottom"/>
          </w:tcPr>
          <w:p>
            <w:pPr>
              <w:ind w:left="100"/>
              <w:spacing w:after="0"/>
              <w:rPr>
                <w:sz w:val="20"/>
                <w:szCs w:val="20"/>
                <w:color w:val="auto"/>
              </w:rPr>
            </w:pPr>
            <w:r>
              <w:rPr>
                <w:rFonts w:ascii="Arial" w:cs="Arial" w:eastAsia="Arial" w:hAnsi="Arial"/>
                <w:sz w:val="16"/>
                <w:szCs w:val="16"/>
                <w:color w:val="auto"/>
              </w:rPr>
              <w:t>Description</w:t>
            </w:r>
          </w:p>
        </w:tc>
        <w:tc>
          <w:tcPr>
            <w:tcW w:w="3020" w:type="dxa"/>
            <w:vAlign w:val="bottom"/>
          </w:tcPr>
          <w:p>
            <w:pPr>
              <w:ind w:left="80"/>
              <w:spacing w:after="0"/>
              <w:rPr>
                <w:sz w:val="20"/>
                <w:szCs w:val="20"/>
                <w:color w:val="auto"/>
              </w:rPr>
            </w:pPr>
            <w:r>
              <w:rPr>
                <w:rFonts w:ascii="Arial" w:cs="Arial" w:eastAsia="Arial" w:hAnsi="Arial"/>
                <w:sz w:val="16"/>
                <w:szCs w:val="16"/>
                <w:color w:val="auto"/>
              </w:rPr>
              <w:t>Effect on the financial statements</w:t>
            </w:r>
          </w:p>
        </w:tc>
      </w:tr>
      <w:tr>
        <w:trPr>
          <w:trHeight w:val="33"/>
        </w:trPr>
        <w:tc>
          <w:tcPr>
            <w:tcW w:w="1980" w:type="dxa"/>
            <w:vAlign w:val="bottom"/>
            <w:tcBorders>
              <w:bottom w:val="single" w:sz="8" w:color="auto"/>
            </w:tcBorders>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13"/>
        </w:trPr>
        <w:tc>
          <w:tcPr>
            <w:tcW w:w="1980" w:type="dxa"/>
            <w:vAlign w:val="bottom"/>
          </w:tcPr>
          <w:p>
            <w:pPr>
              <w:ind w:left="20"/>
              <w:spacing w:after="0"/>
              <w:rPr>
                <w:sz w:val="20"/>
                <w:szCs w:val="20"/>
                <w:color w:val="auto"/>
              </w:rPr>
            </w:pPr>
            <w:r>
              <w:rPr>
                <w:rFonts w:ascii="Arial" w:cs="Arial" w:eastAsia="Arial" w:hAnsi="Arial"/>
                <w:sz w:val="16"/>
                <w:szCs w:val="16"/>
                <w:color w:val="auto"/>
              </w:rPr>
              <w:t>ASU 2017-01 Business</w:t>
            </w:r>
          </w:p>
        </w:tc>
        <w:tc>
          <w:tcPr>
            <w:tcW w:w="6360" w:type="dxa"/>
            <w:vAlign w:val="bottom"/>
          </w:tcPr>
          <w:p>
            <w:pPr>
              <w:ind w:left="100"/>
              <w:spacing w:after="0"/>
              <w:rPr>
                <w:sz w:val="20"/>
                <w:szCs w:val="20"/>
                <w:color w:val="auto"/>
              </w:rPr>
            </w:pPr>
            <w:r>
              <w:rPr>
                <w:rFonts w:ascii="Arial" w:cs="Arial" w:eastAsia="Arial" w:hAnsi="Arial"/>
                <w:sz w:val="16"/>
                <w:szCs w:val="16"/>
                <w:color w:val="auto"/>
              </w:rPr>
              <w:t>In January 2017, FASB changed its definition of a business in an effort to help entities</w:t>
            </w:r>
          </w:p>
        </w:tc>
        <w:tc>
          <w:tcPr>
            <w:tcW w:w="3020" w:type="dxa"/>
            <w:vAlign w:val="bottom"/>
          </w:tcPr>
          <w:p>
            <w:pPr>
              <w:ind w:left="80"/>
              <w:spacing w:after="0"/>
              <w:rPr>
                <w:sz w:val="20"/>
                <w:szCs w:val="20"/>
                <w:color w:val="auto"/>
              </w:rPr>
            </w:pPr>
            <w:r>
              <w:rPr>
                <w:rFonts w:ascii="Arial" w:cs="Arial" w:eastAsia="Arial" w:hAnsi="Arial"/>
                <w:sz w:val="16"/>
                <w:szCs w:val="16"/>
                <w:color w:val="auto"/>
                <w:w w:val="93"/>
              </w:rPr>
              <w:t>The Company adopted this ASU on January</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Combinations (Topic 805),</w:t>
            </w:r>
          </w:p>
        </w:tc>
        <w:tc>
          <w:tcPr>
            <w:tcW w:w="6360" w:type="dxa"/>
            <w:vAlign w:val="bottom"/>
          </w:tcPr>
          <w:p>
            <w:pPr>
              <w:ind w:left="100"/>
              <w:spacing w:after="0"/>
              <w:rPr>
                <w:sz w:val="20"/>
                <w:szCs w:val="20"/>
                <w:color w:val="auto"/>
              </w:rPr>
            </w:pPr>
            <w:r>
              <w:rPr>
                <w:rFonts w:ascii="Arial" w:cs="Arial" w:eastAsia="Arial" w:hAnsi="Arial"/>
                <w:sz w:val="16"/>
                <w:szCs w:val="16"/>
                <w:color w:val="auto"/>
                <w:w w:val="91"/>
              </w:rPr>
              <w:t>determine whether a set of transferred assets and activities is a business. The guidance requires</w:t>
            </w:r>
          </w:p>
        </w:tc>
        <w:tc>
          <w:tcPr>
            <w:tcW w:w="3020" w:type="dxa"/>
            <w:vAlign w:val="bottom"/>
          </w:tcPr>
          <w:p>
            <w:pPr>
              <w:ind w:left="80"/>
              <w:spacing w:after="0"/>
              <w:rPr>
                <w:sz w:val="20"/>
                <w:szCs w:val="20"/>
                <w:color w:val="auto"/>
              </w:rPr>
            </w:pPr>
            <w:r>
              <w:rPr>
                <w:rFonts w:ascii="Arial" w:cs="Arial" w:eastAsia="Arial" w:hAnsi="Arial"/>
                <w:sz w:val="16"/>
                <w:szCs w:val="16"/>
                <w:color w:val="auto"/>
              </w:rPr>
              <w:t>1, 2017 on a prospective basis. The</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Clarifying the Definition of</w:t>
            </w:r>
          </w:p>
        </w:tc>
        <w:tc>
          <w:tcPr>
            <w:tcW w:w="6360" w:type="dxa"/>
            <w:vAlign w:val="bottom"/>
          </w:tcPr>
          <w:p>
            <w:pPr>
              <w:ind w:left="100"/>
              <w:spacing w:after="0"/>
              <w:rPr>
                <w:sz w:val="20"/>
                <w:szCs w:val="20"/>
                <w:color w:val="auto"/>
              </w:rPr>
            </w:pPr>
            <w:r>
              <w:rPr>
                <w:rFonts w:ascii="Arial" w:cs="Arial" w:eastAsia="Arial" w:hAnsi="Arial"/>
                <w:sz w:val="16"/>
                <w:szCs w:val="16"/>
                <w:color w:val="auto"/>
                <w:w w:val="93"/>
              </w:rPr>
              <w:t>an entity to first evaluate whether substantially all of the fair value of the gross assets acquired</w:t>
            </w:r>
          </w:p>
        </w:tc>
        <w:tc>
          <w:tcPr>
            <w:tcW w:w="3020" w:type="dxa"/>
            <w:vAlign w:val="bottom"/>
          </w:tcPr>
          <w:p>
            <w:pPr>
              <w:ind w:left="80"/>
              <w:spacing w:after="0"/>
              <w:rPr>
                <w:sz w:val="20"/>
                <w:szCs w:val="20"/>
                <w:color w:val="auto"/>
              </w:rPr>
            </w:pPr>
            <w:r>
              <w:rPr>
                <w:rFonts w:ascii="Arial" w:cs="Arial" w:eastAsia="Arial" w:hAnsi="Arial"/>
                <w:sz w:val="16"/>
                <w:szCs w:val="16"/>
                <w:color w:val="auto"/>
                <w:w w:val="97"/>
              </w:rPr>
              <w:t>adoption of this ASU had no impact on the</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a Business</w:t>
            </w:r>
          </w:p>
        </w:tc>
        <w:tc>
          <w:tcPr>
            <w:tcW w:w="6360" w:type="dxa"/>
            <w:vAlign w:val="bottom"/>
          </w:tcPr>
          <w:p>
            <w:pPr>
              <w:ind w:left="100"/>
              <w:spacing w:after="0"/>
              <w:rPr>
                <w:sz w:val="20"/>
                <w:szCs w:val="20"/>
                <w:color w:val="auto"/>
              </w:rPr>
            </w:pPr>
            <w:r>
              <w:rPr>
                <w:rFonts w:ascii="Arial" w:cs="Arial" w:eastAsia="Arial" w:hAnsi="Arial"/>
                <w:sz w:val="16"/>
                <w:szCs w:val="16"/>
                <w:color w:val="auto"/>
                <w:w w:val="98"/>
              </w:rPr>
              <w:t>is concentrated in a single identifiable asset or a group of similar identifiable assets. If this</w:t>
            </w:r>
          </w:p>
        </w:tc>
        <w:tc>
          <w:tcPr>
            <w:tcW w:w="3020" w:type="dxa"/>
            <w:vAlign w:val="bottom"/>
          </w:tcPr>
          <w:p>
            <w:pPr>
              <w:ind w:left="80"/>
              <w:spacing w:after="0"/>
              <w:rPr>
                <w:sz w:val="20"/>
                <w:szCs w:val="20"/>
                <w:color w:val="auto"/>
              </w:rPr>
            </w:pPr>
            <w:r>
              <w:rPr>
                <w:rFonts w:ascii="Arial" w:cs="Arial" w:eastAsia="Arial" w:hAnsi="Arial"/>
                <w:sz w:val="16"/>
                <w:szCs w:val="16"/>
                <w:color w:val="auto"/>
              </w:rPr>
              <w:t>Company’s condensed consolidated</w:t>
            </w:r>
          </w:p>
        </w:tc>
      </w:tr>
      <w:tr>
        <w:trPr>
          <w:trHeight w:val="203"/>
        </w:trPr>
        <w:tc>
          <w:tcPr>
            <w:tcW w:w="198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w w:val="92"/>
              </w:rPr>
              <w:t>threshold is met, the set of transferred assets and activities is not a business. If the threshold is</w:t>
            </w:r>
          </w:p>
        </w:tc>
        <w:tc>
          <w:tcPr>
            <w:tcW w:w="3020" w:type="dxa"/>
            <w:vAlign w:val="bottom"/>
          </w:tcPr>
          <w:p>
            <w:pPr>
              <w:ind w:left="80"/>
              <w:spacing w:after="0"/>
              <w:rPr>
                <w:sz w:val="20"/>
                <w:szCs w:val="20"/>
                <w:color w:val="auto"/>
              </w:rPr>
            </w:pPr>
            <w:r>
              <w:rPr>
                <w:rFonts w:ascii="Arial" w:cs="Arial" w:eastAsia="Arial" w:hAnsi="Arial"/>
                <w:sz w:val="16"/>
                <w:szCs w:val="16"/>
                <w:color w:val="auto"/>
              </w:rPr>
              <w:t>financial statements.</w:t>
            </w:r>
          </w:p>
        </w:tc>
      </w:tr>
      <w:tr>
        <w:trPr>
          <w:trHeight w:val="203"/>
        </w:trPr>
        <w:tc>
          <w:tcPr>
            <w:tcW w:w="198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w w:val="91"/>
              </w:rPr>
              <w:t>not met, the entity evaluates whether the set meets the requirement that a business include, at a</w:t>
            </w:r>
          </w:p>
        </w:tc>
        <w:tc>
          <w:tcPr>
            <w:tcW w:w="302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w w:val="93"/>
              </w:rPr>
              <w:t>minimum, an input and a substantive process that together significantly contribute to the ability</w:t>
            </w:r>
          </w:p>
        </w:tc>
        <w:tc>
          <w:tcPr>
            <w:tcW w:w="302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w w:val="96"/>
              </w:rPr>
              <w:t>to create outputs. The guidance narrows the definition of outputs by more closely aligning it</w:t>
            </w:r>
          </w:p>
        </w:tc>
        <w:tc>
          <w:tcPr>
            <w:tcW w:w="302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w w:val="97"/>
              </w:rPr>
              <w:t>with how outputs are described in the new revenue guidance. The guidance is effective for</w:t>
            </w:r>
          </w:p>
        </w:tc>
        <w:tc>
          <w:tcPr>
            <w:tcW w:w="302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w w:val="98"/>
              </w:rPr>
              <w:t>public business entities for annual periods beginning after 15 December 2017, and interim</w:t>
            </w:r>
          </w:p>
        </w:tc>
        <w:tc>
          <w:tcPr>
            <w:tcW w:w="302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w w:val="95"/>
              </w:rPr>
              <w:t>periods within those periods. For all other entities, it is effective for annual periods beginning</w:t>
            </w:r>
          </w:p>
        </w:tc>
        <w:tc>
          <w:tcPr>
            <w:tcW w:w="302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rPr>
              <w:t>after 15 December 2018, and interim periods within annual periods beginning after 15</w:t>
            </w:r>
          </w:p>
        </w:tc>
        <w:tc>
          <w:tcPr>
            <w:tcW w:w="3020" w:type="dxa"/>
            <w:vAlign w:val="bottom"/>
          </w:tcPr>
          <w:p>
            <w:pPr>
              <w:spacing w:after="0"/>
              <w:rPr>
                <w:sz w:val="17"/>
                <w:szCs w:val="17"/>
                <w:color w:val="auto"/>
              </w:rPr>
            </w:pPr>
          </w:p>
        </w:tc>
      </w:tr>
      <w:tr>
        <w:trPr>
          <w:trHeight w:val="206"/>
        </w:trPr>
        <w:tc>
          <w:tcPr>
            <w:tcW w:w="1980" w:type="dxa"/>
            <w:vAlign w:val="bottom"/>
          </w:tcPr>
          <w:p>
            <w:pPr>
              <w:spacing w:after="0"/>
              <w:rPr>
                <w:sz w:val="17"/>
                <w:szCs w:val="17"/>
                <w:color w:val="auto"/>
              </w:rPr>
            </w:pPr>
          </w:p>
        </w:tc>
        <w:tc>
          <w:tcPr>
            <w:tcW w:w="6360" w:type="dxa"/>
            <w:vAlign w:val="bottom"/>
          </w:tcPr>
          <w:p>
            <w:pPr>
              <w:ind w:left="100"/>
              <w:spacing w:after="0"/>
              <w:rPr>
                <w:sz w:val="20"/>
                <w:szCs w:val="20"/>
                <w:color w:val="auto"/>
              </w:rPr>
            </w:pPr>
            <w:r>
              <w:rPr>
                <w:rFonts w:ascii="Arial" w:cs="Arial" w:eastAsia="Arial" w:hAnsi="Arial"/>
                <w:sz w:val="16"/>
                <w:szCs w:val="16"/>
                <w:color w:val="auto"/>
              </w:rPr>
              <w:t>December 2019. Early adoption is permitted.</w:t>
            </w:r>
          </w:p>
        </w:tc>
        <w:tc>
          <w:tcPr>
            <w:tcW w:w="3020" w:type="dxa"/>
            <w:vAlign w:val="bottom"/>
          </w:tcPr>
          <w:p>
            <w:pPr>
              <w:spacing w:after="0"/>
              <w:rPr>
                <w:sz w:val="17"/>
                <w:szCs w:val="17"/>
                <w:color w:val="auto"/>
              </w:rPr>
            </w:pPr>
          </w:p>
        </w:tc>
      </w:tr>
      <w:tr>
        <w:trPr>
          <w:trHeight w:val="253"/>
        </w:trPr>
        <w:tc>
          <w:tcPr>
            <w:tcW w:w="1980" w:type="dxa"/>
            <w:vAlign w:val="bottom"/>
          </w:tcPr>
          <w:p>
            <w:pPr>
              <w:ind w:left="20"/>
              <w:spacing w:after="0"/>
              <w:rPr>
                <w:sz w:val="20"/>
                <w:szCs w:val="20"/>
                <w:color w:val="auto"/>
              </w:rPr>
            </w:pPr>
            <w:r>
              <w:rPr>
                <w:rFonts w:ascii="Arial" w:cs="Arial" w:eastAsia="Arial" w:hAnsi="Arial"/>
                <w:sz w:val="16"/>
                <w:szCs w:val="16"/>
                <w:color w:val="auto"/>
                <w:w w:val="96"/>
              </w:rPr>
              <w:t>Date of adoption: January 1,</w:t>
            </w:r>
          </w:p>
        </w:tc>
        <w:tc>
          <w:tcPr>
            <w:tcW w:w="636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2017.</w:t>
            </w:r>
          </w:p>
        </w:tc>
        <w:tc>
          <w:tcPr>
            <w:tcW w:w="6360" w:type="dxa"/>
            <w:vAlign w:val="bottom"/>
          </w:tcPr>
          <w:p>
            <w:pPr>
              <w:spacing w:after="0"/>
              <w:rPr>
                <w:sz w:val="17"/>
                <w:szCs w:val="17"/>
                <w:color w:val="auto"/>
              </w:rPr>
            </w:pPr>
          </w:p>
        </w:tc>
        <w:tc>
          <w:tcPr>
            <w:tcW w:w="30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20955</wp:posOffset>
            </wp:positionV>
            <wp:extent cx="7203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64"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ASU 2016-18 Statement of</w:t>
      </w:r>
      <w:r>
        <w:rPr>
          <w:sz w:val="20"/>
          <w:szCs w:val="20"/>
          <w:color w:val="auto"/>
        </w:rPr>
        <w:tab/>
      </w:r>
      <w:r>
        <w:rPr>
          <w:rFonts w:ascii="Arial" w:cs="Arial" w:eastAsia="Arial" w:hAnsi="Arial"/>
          <w:sz w:val="14"/>
          <w:szCs w:val="14"/>
          <w:color w:val="auto"/>
        </w:rPr>
        <w:t>In November 2016, the FASB issued ASU 2016-18, which amends the guidance in ASC 230,</w:t>
      </w:r>
    </w:p>
    <w:p>
      <w:pPr>
        <w:spacing w:after="0" w:line="22"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Cash Flows (Topic 230)</w:t>
      </w:r>
      <w:r>
        <w:rPr>
          <w:sz w:val="20"/>
          <w:szCs w:val="20"/>
          <w:color w:val="auto"/>
        </w:rPr>
        <w:tab/>
      </w:r>
      <w:r>
        <w:rPr>
          <w:rFonts w:ascii="Arial" w:cs="Arial" w:eastAsia="Arial" w:hAnsi="Arial"/>
          <w:sz w:val="14"/>
          <w:szCs w:val="14"/>
          <w:color w:val="auto"/>
        </w:rPr>
        <w:t>including providing additional guidance related to transfers between cash and restricted cash</w:t>
      </w:r>
    </w:p>
    <w:p>
      <w:pPr>
        <w:spacing w:after="0" w:line="19"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and how entities present, in their statement of cash flows, the cash receipts and cash payments</w:t>
      </w:r>
    </w:p>
    <w:p>
      <w:pPr>
        <w:spacing w:after="0" w:line="42"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that directly affect the restricted cash accounts. ASU 2016-18 is effective for annual reporting</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periods beginning after December 15, 2017, and interim periods within those years, with early</w:t>
      </w:r>
    </w:p>
    <w:p>
      <w:pPr>
        <w:spacing w:after="0" w:line="19"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adoption permitted.</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6"/>
          <w:szCs w:val="16"/>
          <w:color w:val="auto"/>
        </w:rPr>
        <w:t>Date of adoption: January 1,</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33020</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The Company adopted this ASU on January 1, 2017 to each period presented and applied the changes to the condensed consolidated statements of cash flows.</w:t>
      </w:r>
    </w:p>
    <w:p>
      <w:pPr>
        <w:spacing w:after="0" w:line="888" w:lineRule="exact"/>
        <w:rPr>
          <w:sz w:val="20"/>
          <w:szCs w:val="20"/>
          <w:color w:val="auto"/>
        </w:rPr>
      </w:pPr>
    </w:p>
    <w:p>
      <w:pPr>
        <w:sectPr>
          <w:pgSz w:w="11900" w:h="16838" w:orient="portrait"/>
          <w:cols w:equalWidth="0" w:num="2">
            <w:col w:w="8240" w:space="220"/>
            <w:col w:w="2940"/>
          </w:cols>
          <w:pgMar w:left="240" w:top="125" w:right="259" w:bottom="1440" w:gutter="0" w:footer="0" w:header="0"/>
          <w:type w:val="continuous"/>
        </w:sectPr>
      </w:pPr>
    </w:p>
    <w:p>
      <w:pPr>
        <w:ind w:left="60"/>
        <w:spacing w:after="0"/>
        <w:rPr>
          <w:sz w:val="20"/>
          <w:szCs w:val="20"/>
          <w:color w:val="auto"/>
        </w:rPr>
      </w:pPr>
      <w:r>
        <w:rPr>
          <w:rFonts w:ascii="Arial" w:cs="Arial" w:eastAsia="Arial" w:hAnsi="Arial"/>
          <w:sz w:val="16"/>
          <w:szCs w:val="16"/>
          <w:color w:val="auto"/>
        </w:rPr>
        <w:t>ASU 2016-17</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5"/>
          <w:szCs w:val="15"/>
          <w:color w:val="auto"/>
        </w:rPr>
        <w:t>Consolidation: Interest Held</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4"/>
          <w:szCs w:val="14"/>
          <w:color w:val="auto"/>
        </w:rPr>
        <w:t>through Related Parties That</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5"/>
          <w:szCs w:val="15"/>
          <w:color w:val="auto"/>
        </w:rPr>
        <w:t>Are under Common Control</w:t>
      </w:r>
    </w:p>
    <w:p>
      <w:pPr>
        <w:spacing w:after="0" w:line="200" w:lineRule="exact"/>
        <w:rPr>
          <w:sz w:val="20"/>
          <w:szCs w:val="20"/>
          <w:color w:val="auto"/>
        </w:rPr>
      </w:pPr>
    </w:p>
    <w:p>
      <w:pPr>
        <w:spacing w:after="0" w:line="285" w:lineRule="exact"/>
        <w:rPr>
          <w:sz w:val="20"/>
          <w:szCs w:val="20"/>
          <w:color w:val="auto"/>
        </w:rPr>
      </w:pPr>
    </w:p>
    <w:p>
      <w:pPr>
        <w:ind w:left="60" w:right="20"/>
        <w:spacing w:after="0" w:line="293" w:lineRule="auto"/>
        <w:rPr>
          <w:sz w:val="20"/>
          <w:szCs w:val="20"/>
          <w:color w:val="auto"/>
        </w:rPr>
      </w:pPr>
      <w:r>
        <w:rPr>
          <w:rFonts w:ascii="Arial" w:cs="Arial" w:eastAsia="Arial" w:hAnsi="Arial"/>
          <w:sz w:val="16"/>
          <w:szCs w:val="16"/>
          <w:color w:val="auto"/>
        </w:rPr>
        <w:t>Date of adoption: January 1, 2017.</w:t>
      </w:r>
    </w:p>
    <w:p>
      <w:pPr>
        <w:spacing w:after="0" w:line="20" w:lineRule="exact"/>
        <w:rPr>
          <w:sz w:val="20"/>
          <w:szCs w:val="20"/>
          <w:color w:val="auto"/>
        </w:rPr>
      </w:pPr>
      <w:r>
        <w:rPr>
          <w:sz w:val="20"/>
          <w:szCs w:val="20"/>
          <w:color w:val="auto"/>
        </w:rPr>
        <w:br w:type="column"/>
      </w:r>
    </w:p>
    <w:p>
      <w:pPr>
        <w:spacing w:after="0" w:line="315" w:lineRule="auto"/>
        <w:rPr>
          <w:sz w:val="20"/>
          <w:szCs w:val="20"/>
          <w:color w:val="auto"/>
        </w:rPr>
      </w:pPr>
      <w:r>
        <w:rPr>
          <w:rFonts w:ascii="Arial" w:cs="Arial" w:eastAsia="Arial" w:hAnsi="Arial"/>
          <w:sz w:val="14"/>
          <w:szCs w:val="14"/>
          <w:color w:val="auto"/>
        </w:rPr>
        <w:t>In October 2016, the FASB issued ASU 2016-17, to amend the consolidation guidance on how a reporting entity that is the single decision maker of a variable interest entity should treat indirect interests in the entity held through related parties that are under common control within the reporting entity when determining whether it is the primary beneficiary of that variable interest entity. The standard is effective for fiscal years beginning after December 15, 2016, including interim periods within those fiscal years. Early adoption is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281940</wp:posOffset>
            </wp:positionV>
            <wp:extent cx="7203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93" w:lineRule="auto"/>
        <w:rPr>
          <w:sz w:val="20"/>
          <w:szCs w:val="20"/>
          <w:color w:val="auto"/>
        </w:rPr>
      </w:pPr>
      <w:r>
        <w:rPr>
          <w:rFonts w:ascii="Arial" w:cs="Arial" w:eastAsia="Arial" w:hAnsi="Arial"/>
          <w:sz w:val="15"/>
          <w:szCs w:val="15"/>
          <w:color w:val="auto"/>
        </w:rPr>
        <w:t>The Company adopted this ASU on January 1, 2017 on a prospective basis. The adoption of this ASU had no significant impact on the Company’s condensed consolidated financial statements.</w:t>
      </w:r>
    </w:p>
    <w:p>
      <w:pPr>
        <w:spacing w:after="0" w:line="688" w:lineRule="exact"/>
        <w:rPr>
          <w:sz w:val="20"/>
          <w:szCs w:val="20"/>
          <w:color w:val="auto"/>
        </w:rPr>
      </w:pPr>
    </w:p>
    <w:p>
      <w:pPr>
        <w:sectPr>
          <w:pgSz w:w="11900" w:h="16838" w:orient="portrait"/>
          <w:cols w:equalWidth="0" w:num="3">
            <w:col w:w="1920" w:space="200"/>
            <w:col w:w="6140" w:space="200"/>
            <w:col w:w="2940"/>
          </w:cols>
          <w:pgMar w:left="240" w:top="125" w:right="259" w:bottom="1440" w:gutter="0" w:footer="0" w:header="0"/>
          <w:type w:val="continuous"/>
        </w:sectPr>
      </w:pPr>
    </w:p>
    <w:p>
      <w:pPr>
        <w:ind w:left="60"/>
        <w:spacing w:after="0"/>
        <w:tabs>
          <w:tab w:leader="none" w:pos="2100" w:val="left"/>
        </w:tabs>
        <w:rPr>
          <w:sz w:val="20"/>
          <w:szCs w:val="20"/>
          <w:color w:val="auto"/>
        </w:rPr>
      </w:pPr>
      <w:r>
        <w:rPr>
          <w:rFonts w:ascii="Arial" w:cs="Arial" w:eastAsia="Arial" w:hAnsi="Arial"/>
          <w:sz w:val="16"/>
          <w:szCs w:val="16"/>
          <w:color w:val="auto"/>
        </w:rPr>
        <w:t>ASU 2016-16 Intra-Entity</w:t>
      </w:r>
      <w:r>
        <w:rPr>
          <w:sz w:val="20"/>
          <w:szCs w:val="20"/>
          <w:color w:val="auto"/>
        </w:rPr>
        <w:tab/>
      </w:r>
      <w:r>
        <w:rPr>
          <w:rFonts w:ascii="Arial" w:cs="Arial" w:eastAsia="Arial" w:hAnsi="Arial"/>
          <w:sz w:val="14"/>
          <w:szCs w:val="14"/>
          <w:color w:val="auto"/>
        </w:rPr>
        <w:t>In October 2016, the FASB issued ASU 2016-16, which requires entities to recognize at the</w:t>
      </w:r>
    </w:p>
    <w:p>
      <w:pPr>
        <w:spacing w:after="0" w:line="22"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Transfers of Assets Other</w:t>
      </w:r>
      <w:r>
        <w:rPr>
          <w:sz w:val="20"/>
          <w:szCs w:val="20"/>
          <w:color w:val="auto"/>
        </w:rPr>
        <w:tab/>
      </w:r>
      <w:r>
        <w:rPr>
          <w:rFonts w:ascii="Arial" w:cs="Arial" w:eastAsia="Arial" w:hAnsi="Arial"/>
          <w:sz w:val="14"/>
          <w:szCs w:val="14"/>
          <w:color w:val="auto"/>
        </w:rPr>
        <w:t>transaction date the income tax effects for intra-entity transfers of assets other than inventory.</w:t>
      </w:r>
    </w:p>
    <w:p>
      <w:pPr>
        <w:spacing w:after="0" w:line="19"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Than Inventory</w:t>
      </w:r>
      <w:r>
        <w:rPr>
          <w:sz w:val="20"/>
          <w:szCs w:val="20"/>
          <w:color w:val="auto"/>
        </w:rPr>
        <w:tab/>
      </w:r>
      <w:r>
        <w:rPr>
          <w:rFonts w:ascii="Arial" w:cs="Arial" w:eastAsia="Arial" w:hAnsi="Arial"/>
          <w:sz w:val="14"/>
          <w:szCs w:val="14"/>
          <w:color w:val="auto"/>
        </w:rPr>
        <w:t>The standard is effective for interim and annual reporting periods beginning after December</w:t>
      </w:r>
    </w:p>
    <w:p>
      <w:pPr>
        <w:spacing w:after="0" w:line="19"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15, 2017, with early adoption permitted.</w:t>
      </w:r>
    </w:p>
    <w:p>
      <w:pPr>
        <w:spacing w:after="0" w:line="271" w:lineRule="exact"/>
        <w:rPr>
          <w:sz w:val="20"/>
          <w:szCs w:val="20"/>
          <w:color w:val="auto"/>
        </w:rPr>
      </w:pPr>
    </w:p>
    <w:p>
      <w:pPr>
        <w:ind w:left="60"/>
        <w:spacing w:after="0"/>
        <w:rPr>
          <w:sz w:val="20"/>
          <w:szCs w:val="20"/>
          <w:color w:val="auto"/>
        </w:rPr>
      </w:pPr>
      <w:r>
        <w:rPr>
          <w:rFonts w:ascii="Arial" w:cs="Arial" w:eastAsia="Arial" w:hAnsi="Arial"/>
          <w:sz w:val="16"/>
          <w:szCs w:val="16"/>
          <w:color w:val="auto"/>
        </w:rPr>
        <w:t>Date of adoption: January 1,</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33020</wp:posOffset>
            </wp:positionV>
            <wp:extent cx="7203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318" w:lineRule="auto"/>
        <w:rPr>
          <w:sz w:val="20"/>
          <w:szCs w:val="20"/>
          <w:color w:val="auto"/>
        </w:rPr>
      </w:pPr>
      <w:r>
        <w:rPr>
          <w:rFonts w:ascii="Arial" w:cs="Arial" w:eastAsia="Arial" w:hAnsi="Arial"/>
          <w:sz w:val="14"/>
          <w:szCs w:val="14"/>
          <w:color w:val="auto"/>
        </w:rPr>
        <w:t>The Company adopted this ASU on January 1, 2017 on a modified retrospective basis through a cumulative-effect adjustment directly to retained earnings of $3.2 million as of January 1, 2017.</w:t>
      </w:r>
    </w:p>
    <w:p>
      <w:pPr>
        <w:spacing w:after="0" w:line="472" w:lineRule="exact"/>
        <w:rPr>
          <w:sz w:val="20"/>
          <w:szCs w:val="20"/>
          <w:color w:val="auto"/>
        </w:rPr>
      </w:pPr>
    </w:p>
    <w:p>
      <w:pPr>
        <w:sectPr>
          <w:pgSz w:w="11900" w:h="16838" w:orient="portrait"/>
          <w:cols w:equalWidth="0" w:num="2">
            <w:col w:w="8180" w:space="280"/>
            <w:col w:w="2940"/>
          </w:cols>
          <w:pgMar w:left="240" w:top="125" w:right="259" w:bottom="1440" w:gutter="0" w:footer="0" w:header="0"/>
          <w:type w:val="continuous"/>
        </w:sectPr>
      </w:pPr>
    </w:p>
    <w:p>
      <w:pPr>
        <w:ind w:left="60"/>
        <w:spacing w:after="0"/>
        <w:tabs>
          <w:tab w:leader="none" w:pos="2100" w:val="left"/>
        </w:tabs>
        <w:rPr>
          <w:sz w:val="20"/>
          <w:szCs w:val="20"/>
          <w:color w:val="auto"/>
        </w:rPr>
      </w:pPr>
      <w:r>
        <w:rPr>
          <w:rFonts w:ascii="Arial" w:cs="Arial" w:eastAsia="Arial" w:hAnsi="Arial"/>
          <w:sz w:val="16"/>
          <w:szCs w:val="16"/>
          <w:color w:val="auto"/>
        </w:rPr>
        <w:t>ASU 2016-15 Statement of</w:t>
      </w:r>
      <w:r>
        <w:rPr>
          <w:sz w:val="20"/>
          <w:szCs w:val="20"/>
          <w:color w:val="auto"/>
        </w:rPr>
        <w:tab/>
      </w:r>
      <w:r>
        <w:rPr>
          <w:rFonts w:ascii="Arial" w:cs="Arial" w:eastAsia="Arial" w:hAnsi="Arial"/>
          <w:sz w:val="14"/>
          <w:szCs w:val="14"/>
          <w:color w:val="auto"/>
        </w:rPr>
        <w:t>In August 2016, the FASB issued ASU 2016-15 which will make eight targeted changes to</w:t>
      </w:r>
    </w:p>
    <w:p>
      <w:pPr>
        <w:spacing w:after="0" w:line="22"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Cash Flows</w:t>
      </w:r>
      <w:r>
        <w:rPr>
          <w:sz w:val="20"/>
          <w:szCs w:val="20"/>
          <w:color w:val="auto"/>
        </w:rPr>
        <w:tab/>
      </w:r>
      <w:r>
        <w:rPr>
          <w:rFonts w:ascii="Arial" w:cs="Arial" w:eastAsia="Arial" w:hAnsi="Arial"/>
          <w:sz w:val="14"/>
          <w:szCs w:val="14"/>
          <w:color w:val="auto"/>
        </w:rPr>
        <w:t>how cash receipts and cash payments are presented and classified in the statement of cash</w:t>
      </w:r>
    </w:p>
    <w:p>
      <w:pPr>
        <w:spacing w:after="0" w:line="19" w:lineRule="exact"/>
        <w:rPr>
          <w:sz w:val="20"/>
          <w:szCs w:val="20"/>
          <w:color w:val="auto"/>
        </w:rPr>
      </w:pPr>
    </w:p>
    <w:p>
      <w:pPr>
        <w:ind w:left="2120"/>
        <w:spacing w:after="0" w:line="272" w:lineRule="auto"/>
        <w:rPr>
          <w:sz w:val="20"/>
          <w:szCs w:val="20"/>
          <w:color w:val="auto"/>
        </w:rPr>
      </w:pPr>
      <w:r>
        <w:rPr>
          <w:rFonts w:ascii="Arial" w:cs="Arial" w:eastAsia="Arial" w:hAnsi="Arial"/>
          <w:sz w:val="16"/>
          <w:szCs w:val="16"/>
          <w:color w:val="auto"/>
        </w:rPr>
        <w:t>flows. ASU 2016-15 is effective for fiscal years beginning after December 15, 2017. ASU 2016-15 will require adoption on a retrospective basis unless it is impracticable to apply, in which case the Company would be required to apply the amendments prospectively as of the earliest date practicable.</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Date of adoption: January 1,</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33020</wp:posOffset>
            </wp:positionV>
            <wp:extent cx="720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60"/>
        <w:spacing w:after="0" w:line="318" w:lineRule="auto"/>
        <w:rPr>
          <w:sz w:val="20"/>
          <w:szCs w:val="20"/>
          <w:color w:val="auto"/>
        </w:rPr>
      </w:pPr>
      <w:r>
        <w:rPr>
          <w:rFonts w:ascii="Arial" w:cs="Arial" w:eastAsia="Arial" w:hAnsi="Arial"/>
          <w:sz w:val="14"/>
          <w:szCs w:val="14"/>
          <w:color w:val="auto"/>
        </w:rPr>
        <w:t>The Company adopted this ASU on January 1, 2017 using a retrospective transition method. The adoption of this ASU had no impact on the Company’s condensed consolidated financial statements.</w:t>
      </w:r>
    </w:p>
    <w:p>
      <w:pPr>
        <w:spacing w:after="0" w:line="590" w:lineRule="exact"/>
        <w:rPr>
          <w:sz w:val="20"/>
          <w:szCs w:val="20"/>
          <w:color w:val="auto"/>
        </w:rPr>
      </w:pPr>
    </w:p>
    <w:p>
      <w:pPr>
        <w:sectPr>
          <w:pgSz w:w="11900" w:h="16838" w:orient="portrait"/>
          <w:cols w:equalWidth="0" w:num="2">
            <w:col w:w="8140" w:space="320"/>
            <w:col w:w="2940"/>
          </w:cols>
          <w:pgMar w:left="240" w:top="125" w:right="25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125" w:right="2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issued not yet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980" w:type="dxa"/>
            <w:vAlign w:val="bottom"/>
          </w:tcPr>
          <w:p>
            <w:pPr>
              <w:ind w:left="40"/>
              <w:spacing w:after="0"/>
              <w:rPr>
                <w:sz w:val="20"/>
                <w:szCs w:val="20"/>
                <w:color w:val="auto"/>
              </w:rPr>
            </w:pPr>
            <w:r>
              <w:rPr>
                <w:rFonts w:ascii="Arial" w:cs="Arial" w:eastAsia="Arial" w:hAnsi="Arial"/>
                <w:sz w:val="16"/>
                <w:szCs w:val="16"/>
                <w:color w:val="auto"/>
              </w:rPr>
              <w:t>Standard</w:t>
            </w:r>
          </w:p>
        </w:tc>
        <w:tc>
          <w:tcPr>
            <w:tcW w:w="6420" w:type="dxa"/>
            <w:vAlign w:val="bottom"/>
          </w:tcPr>
          <w:p>
            <w:pPr>
              <w:ind w:left="120"/>
              <w:spacing w:after="0"/>
              <w:rPr>
                <w:sz w:val="20"/>
                <w:szCs w:val="20"/>
                <w:color w:val="auto"/>
              </w:rPr>
            </w:pPr>
            <w:r>
              <w:rPr>
                <w:rFonts w:ascii="Arial" w:cs="Arial" w:eastAsia="Arial" w:hAnsi="Arial"/>
                <w:sz w:val="16"/>
                <w:szCs w:val="16"/>
                <w:color w:val="auto"/>
              </w:rPr>
              <w:t>Description</w:t>
            </w:r>
          </w:p>
        </w:tc>
        <w:tc>
          <w:tcPr>
            <w:tcW w:w="3020" w:type="dxa"/>
            <w:vAlign w:val="bottom"/>
          </w:tcPr>
          <w:p>
            <w:pPr>
              <w:ind w:left="80"/>
              <w:spacing w:after="0"/>
              <w:rPr>
                <w:sz w:val="20"/>
                <w:szCs w:val="20"/>
                <w:color w:val="auto"/>
              </w:rPr>
            </w:pPr>
            <w:r>
              <w:rPr>
                <w:rFonts w:ascii="Arial" w:cs="Arial" w:eastAsia="Arial" w:hAnsi="Arial"/>
                <w:sz w:val="16"/>
                <w:szCs w:val="16"/>
                <w:color w:val="auto"/>
              </w:rPr>
              <w:t>Effect on the financial statements</w:t>
            </w:r>
          </w:p>
        </w:tc>
      </w:tr>
      <w:tr>
        <w:trPr>
          <w:trHeight w:val="33"/>
        </w:trPr>
        <w:tc>
          <w:tcPr>
            <w:tcW w:w="198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13"/>
        </w:trPr>
        <w:tc>
          <w:tcPr>
            <w:tcW w:w="1980" w:type="dxa"/>
            <w:vAlign w:val="bottom"/>
          </w:tcPr>
          <w:p>
            <w:pPr>
              <w:ind w:left="40"/>
              <w:spacing w:after="0"/>
              <w:rPr>
                <w:sz w:val="20"/>
                <w:szCs w:val="20"/>
                <w:color w:val="auto"/>
              </w:rPr>
            </w:pPr>
            <w:r>
              <w:rPr>
                <w:rFonts w:ascii="Arial" w:cs="Arial" w:eastAsia="Arial" w:hAnsi="Arial"/>
                <w:sz w:val="16"/>
                <w:szCs w:val="16"/>
                <w:color w:val="auto"/>
              </w:rPr>
              <w:t>ASU 2017-09 Stock</w:t>
            </w:r>
          </w:p>
        </w:tc>
        <w:tc>
          <w:tcPr>
            <w:tcW w:w="6420" w:type="dxa"/>
            <w:vAlign w:val="bottom"/>
          </w:tcPr>
          <w:p>
            <w:pPr>
              <w:ind w:left="120"/>
              <w:spacing w:after="0"/>
              <w:rPr>
                <w:sz w:val="20"/>
                <w:szCs w:val="20"/>
                <w:color w:val="auto"/>
              </w:rPr>
            </w:pPr>
            <w:r>
              <w:rPr>
                <w:rFonts w:ascii="Arial" w:cs="Arial" w:eastAsia="Arial" w:hAnsi="Arial"/>
                <w:sz w:val="16"/>
                <w:szCs w:val="16"/>
                <w:color w:val="auto"/>
                <w:w w:val="93"/>
              </w:rPr>
              <w:t>In May 2017, FASB issued guidance which clarifies when changes to the terms or conditions of</w:t>
            </w:r>
          </w:p>
        </w:tc>
        <w:tc>
          <w:tcPr>
            <w:tcW w:w="3020" w:type="dxa"/>
            <w:vAlign w:val="bottom"/>
          </w:tcPr>
          <w:p>
            <w:pPr>
              <w:ind w:left="80"/>
              <w:spacing w:after="0"/>
              <w:rPr>
                <w:sz w:val="20"/>
                <w:szCs w:val="20"/>
                <w:color w:val="auto"/>
              </w:rPr>
            </w:pPr>
            <w:r>
              <w:rPr>
                <w:rFonts w:ascii="Arial" w:cs="Arial" w:eastAsia="Arial" w:hAnsi="Arial"/>
                <w:sz w:val="16"/>
                <w:szCs w:val="16"/>
                <w:color w:val="auto"/>
              </w:rPr>
              <w:t>The Company is currently evaluating the</w:t>
            </w:r>
          </w:p>
        </w:tc>
      </w:tr>
      <w:tr>
        <w:trPr>
          <w:trHeight w:val="203"/>
        </w:trPr>
        <w:tc>
          <w:tcPr>
            <w:tcW w:w="1980" w:type="dxa"/>
            <w:vAlign w:val="bottom"/>
          </w:tcPr>
          <w:p>
            <w:pPr>
              <w:ind w:left="40"/>
              <w:spacing w:after="0"/>
              <w:rPr>
                <w:sz w:val="20"/>
                <w:szCs w:val="20"/>
                <w:color w:val="auto"/>
              </w:rPr>
            </w:pPr>
            <w:r>
              <w:rPr>
                <w:rFonts w:ascii="Arial" w:cs="Arial" w:eastAsia="Arial" w:hAnsi="Arial"/>
                <w:sz w:val="16"/>
                <w:szCs w:val="16"/>
                <w:color w:val="auto"/>
                <w:w w:val="99"/>
              </w:rPr>
              <w:t>Compensation (Topic 718),</w:t>
            </w:r>
          </w:p>
        </w:tc>
        <w:tc>
          <w:tcPr>
            <w:tcW w:w="6420" w:type="dxa"/>
            <w:vAlign w:val="bottom"/>
          </w:tcPr>
          <w:p>
            <w:pPr>
              <w:ind w:left="120"/>
              <w:spacing w:after="0"/>
              <w:rPr>
                <w:sz w:val="20"/>
                <w:szCs w:val="20"/>
                <w:color w:val="auto"/>
              </w:rPr>
            </w:pPr>
            <w:r>
              <w:rPr>
                <w:rFonts w:ascii="Arial" w:cs="Arial" w:eastAsia="Arial" w:hAnsi="Arial"/>
                <w:sz w:val="16"/>
                <w:szCs w:val="16"/>
                <w:color w:val="auto"/>
                <w:w w:val="95"/>
              </w:rPr>
              <w:t>a share-based payment award must be accounted for as modifications. Entities will apply the</w:t>
            </w:r>
          </w:p>
        </w:tc>
        <w:tc>
          <w:tcPr>
            <w:tcW w:w="3020" w:type="dxa"/>
            <w:vAlign w:val="bottom"/>
          </w:tcPr>
          <w:p>
            <w:pPr>
              <w:ind w:left="80"/>
              <w:spacing w:after="0"/>
              <w:rPr>
                <w:sz w:val="20"/>
                <w:szCs w:val="20"/>
                <w:color w:val="auto"/>
              </w:rPr>
            </w:pPr>
            <w:r>
              <w:rPr>
                <w:rFonts w:ascii="Arial" w:cs="Arial" w:eastAsia="Arial" w:hAnsi="Arial"/>
                <w:sz w:val="16"/>
                <w:szCs w:val="16"/>
                <w:color w:val="auto"/>
              </w:rPr>
              <w:t>impact of the adoption of this ASU on its</w:t>
            </w:r>
          </w:p>
        </w:tc>
      </w:tr>
      <w:tr>
        <w:trPr>
          <w:trHeight w:val="203"/>
        </w:trPr>
        <w:tc>
          <w:tcPr>
            <w:tcW w:w="1980" w:type="dxa"/>
            <w:vAlign w:val="bottom"/>
          </w:tcPr>
          <w:p>
            <w:pPr>
              <w:ind w:left="40"/>
              <w:spacing w:after="0"/>
              <w:rPr>
                <w:sz w:val="20"/>
                <w:szCs w:val="20"/>
                <w:color w:val="auto"/>
              </w:rPr>
            </w:pPr>
            <w:r>
              <w:rPr>
                <w:rFonts w:ascii="Arial" w:cs="Arial" w:eastAsia="Arial" w:hAnsi="Arial"/>
                <w:sz w:val="16"/>
                <w:szCs w:val="16"/>
                <w:color w:val="auto"/>
              </w:rPr>
              <w:t>Scope of Modification</w:t>
            </w:r>
          </w:p>
        </w:tc>
        <w:tc>
          <w:tcPr>
            <w:tcW w:w="6420" w:type="dxa"/>
            <w:vAlign w:val="bottom"/>
          </w:tcPr>
          <w:p>
            <w:pPr>
              <w:ind w:left="120"/>
              <w:spacing w:after="0"/>
              <w:rPr>
                <w:sz w:val="20"/>
                <w:szCs w:val="20"/>
                <w:color w:val="auto"/>
              </w:rPr>
            </w:pPr>
            <w:r>
              <w:rPr>
                <w:rFonts w:ascii="Arial" w:cs="Arial" w:eastAsia="Arial" w:hAnsi="Arial"/>
                <w:sz w:val="16"/>
                <w:szCs w:val="16"/>
                <w:color w:val="auto"/>
                <w:w w:val="95"/>
              </w:rPr>
              <w:t>modification accounting guidance if the value, vesting conditions or classification of the award</w:t>
            </w:r>
          </w:p>
        </w:tc>
        <w:tc>
          <w:tcPr>
            <w:tcW w:w="3020" w:type="dxa"/>
            <w:vAlign w:val="bottom"/>
          </w:tcPr>
          <w:p>
            <w:pPr>
              <w:ind w:left="80"/>
              <w:spacing w:after="0"/>
              <w:rPr>
                <w:sz w:val="20"/>
                <w:szCs w:val="20"/>
                <w:color w:val="auto"/>
              </w:rPr>
            </w:pPr>
            <w:r>
              <w:rPr>
                <w:rFonts w:ascii="Arial" w:cs="Arial" w:eastAsia="Arial" w:hAnsi="Arial"/>
                <w:sz w:val="16"/>
                <w:szCs w:val="16"/>
                <w:color w:val="auto"/>
              </w:rPr>
              <w:t>condensed consolidated financial</w:t>
            </w:r>
          </w:p>
        </w:tc>
      </w:tr>
      <w:tr>
        <w:trPr>
          <w:trHeight w:val="203"/>
        </w:trPr>
        <w:tc>
          <w:tcPr>
            <w:tcW w:w="1980" w:type="dxa"/>
            <w:vAlign w:val="bottom"/>
          </w:tcPr>
          <w:p>
            <w:pPr>
              <w:ind w:left="40"/>
              <w:spacing w:after="0"/>
              <w:rPr>
                <w:sz w:val="20"/>
                <w:szCs w:val="20"/>
                <w:color w:val="auto"/>
              </w:rPr>
            </w:pPr>
            <w:r>
              <w:rPr>
                <w:rFonts w:ascii="Arial" w:cs="Arial" w:eastAsia="Arial" w:hAnsi="Arial"/>
                <w:sz w:val="16"/>
                <w:szCs w:val="16"/>
                <w:color w:val="auto"/>
              </w:rPr>
              <w:t>Accounting</w:t>
            </w:r>
          </w:p>
        </w:tc>
        <w:tc>
          <w:tcPr>
            <w:tcW w:w="6420" w:type="dxa"/>
            <w:vAlign w:val="bottom"/>
          </w:tcPr>
          <w:p>
            <w:pPr>
              <w:ind w:left="120"/>
              <w:spacing w:after="0"/>
              <w:rPr>
                <w:sz w:val="20"/>
                <w:szCs w:val="20"/>
                <w:color w:val="auto"/>
              </w:rPr>
            </w:pPr>
            <w:r>
              <w:rPr>
                <w:rFonts w:ascii="Arial" w:cs="Arial" w:eastAsia="Arial" w:hAnsi="Arial"/>
                <w:sz w:val="16"/>
                <w:szCs w:val="16"/>
                <w:color w:val="auto"/>
                <w:w w:val="96"/>
              </w:rPr>
              <w:t>changes. The guidance also clarifies that a modification to an award could be significant and</w:t>
            </w:r>
          </w:p>
        </w:tc>
        <w:tc>
          <w:tcPr>
            <w:tcW w:w="3020" w:type="dxa"/>
            <w:vAlign w:val="bottom"/>
          </w:tcPr>
          <w:p>
            <w:pPr>
              <w:ind w:left="80"/>
              <w:spacing w:after="0"/>
              <w:rPr>
                <w:sz w:val="20"/>
                <w:szCs w:val="20"/>
                <w:color w:val="auto"/>
              </w:rPr>
            </w:pPr>
            <w:r>
              <w:rPr>
                <w:rFonts w:ascii="Arial" w:cs="Arial" w:eastAsia="Arial" w:hAnsi="Arial"/>
                <w:sz w:val="16"/>
                <w:szCs w:val="16"/>
                <w:color w:val="auto"/>
              </w:rPr>
              <w:t>statements.</w:t>
            </w:r>
          </w:p>
        </w:tc>
      </w:tr>
      <w:tr>
        <w:trPr>
          <w:trHeight w:val="203"/>
        </w:trPr>
        <w:tc>
          <w:tcPr>
            <w:tcW w:w="1980" w:type="dxa"/>
            <w:vAlign w:val="bottom"/>
          </w:tcPr>
          <w:p>
            <w:pPr>
              <w:spacing w:after="0"/>
              <w:rPr>
                <w:sz w:val="17"/>
                <w:szCs w:val="17"/>
                <w:color w:val="auto"/>
              </w:rPr>
            </w:pPr>
          </w:p>
        </w:tc>
        <w:tc>
          <w:tcPr>
            <w:tcW w:w="6420" w:type="dxa"/>
            <w:vAlign w:val="bottom"/>
          </w:tcPr>
          <w:p>
            <w:pPr>
              <w:ind w:left="120"/>
              <w:spacing w:after="0"/>
              <w:rPr>
                <w:sz w:val="20"/>
                <w:szCs w:val="20"/>
                <w:color w:val="auto"/>
              </w:rPr>
            </w:pPr>
            <w:r>
              <w:rPr>
                <w:rFonts w:ascii="Arial" w:cs="Arial" w:eastAsia="Arial" w:hAnsi="Arial"/>
                <w:sz w:val="16"/>
                <w:szCs w:val="16"/>
                <w:color w:val="auto"/>
                <w:w w:val="96"/>
              </w:rPr>
              <w:t>therefore require disclosure, even if modification accounting is not required. ASU 2017-09 is</w:t>
            </w:r>
          </w:p>
        </w:tc>
        <w:tc>
          <w:tcPr>
            <w:tcW w:w="302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6420" w:type="dxa"/>
            <w:vAlign w:val="bottom"/>
          </w:tcPr>
          <w:p>
            <w:pPr>
              <w:ind w:left="120"/>
              <w:spacing w:after="0"/>
              <w:rPr>
                <w:sz w:val="20"/>
                <w:szCs w:val="20"/>
                <w:color w:val="auto"/>
              </w:rPr>
            </w:pPr>
            <w:r>
              <w:rPr>
                <w:rFonts w:ascii="Arial" w:cs="Arial" w:eastAsia="Arial" w:hAnsi="Arial"/>
                <w:sz w:val="16"/>
                <w:szCs w:val="16"/>
                <w:color w:val="auto"/>
                <w:w w:val="94"/>
              </w:rPr>
              <w:t>effective for fiscal years, and interim periods within those years, beginning after December 31,</w:t>
            </w:r>
          </w:p>
        </w:tc>
        <w:tc>
          <w:tcPr>
            <w:tcW w:w="302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6420" w:type="dxa"/>
            <w:vAlign w:val="bottom"/>
          </w:tcPr>
          <w:p>
            <w:pPr>
              <w:ind w:left="120"/>
              <w:spacing w:after="0"/>
              <w:rPr>
                <w:sz w:val="20"/>
                <w:szCs w:val="20"/>
                <w:color w:val="auto"/>
              </w:rPr>
            </w:pPr>
            <w:r>
              <w:rPr>
                <w:rFonts w:ascii="Arial" w:cs="Arial" w:eastAsia="Arial" w:hAnsi="Arial"/>
                <w:sz w:val="16"/>
                <w:szCs w:val="16"/>
                <w:color w:val="auto"/>
                <w:w w:val="97"/>
              </w:rPr>
              <w:t>2017. Early adoption is permitted as of the beginning of an annual period for which financial</w:t>
            </w:r>
          </w:p>
        </w:tc>
        <w:tc>
          <w:tcPr>
            <w:tcW w:w="302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6420" w:type="dxa"/>
            <w:vAlign w:val="bottom"/>
          </w:tcPr>
          <w:p>
            <w:pPr>
              <w:ind w:left="120"/>
              <w:spacing w:after="0"/>
              <w:rPr>
                <w:sz w:val="20"/>
                <w:szCs w:val="20"/>
                <w:color w:val="auto"/>
              </w:rPr>
            </w:pPr>
            <w:r>
              <w:rPr>
                <w:rFonts w:ascii="Arial" w:cs="Arial" w:eastAsia="Arial" w:hAnsi="Arial"/>
                <w:sz w:val="16"/>
                <w:szCs w:val="16"/>
                <w:color w:val="auto"/>
                <w:w w:val="95"/>
              </w:rPr>
              <w:t>statements have not been issued. ASU 2017-09 should be applied prospectively to an award</w:t>
            </w:r>
          </w:p>
        </w:tc>
        <w:tc>
          <w:tcPr>
            <w:tcW w:w="3020" w:type="dxa"/>
            <w:vAlign w:val="bottom"/>
          </w:tcPr>
          <w:p>
            <w:pPr>
              <w:spacing w:after="0"/>
              <w:rPr>
                <w:sz w:val="17"/>
                <w:szCs w:val="17"/>
                <w:color w:val="auto"/>
              </w:rPr>
            </w:pPr>
          </w:p>
        </w:tc>
      </w:tr>
      <w:tr>
        <w:trPr>
          <w:trHeight w:val="206"/>
        </w:trPr>
        <w:tc>
          <w:tcPr>
            <w:tcW w:w="1980" w:type="dxa"/>
            <w:vAlign w:val="bottom"/>
          </w:tcPr>
          <w:p>
            <w:pPr>
              <w:spacing w:after="0"/>
              <w:rPr>
                <w:sz w:val="17"/>
                <w:szCs w:val="17"/>
                <w:color w:val="auto"/>
              </w:rPr>
            </w:pPr>
          </w:p>
        </w:tc>
        <w:tc>
          <w:tcPr>
            <w:tcW w:w="6420" w:type="dxa"/>
            <w:vAlign w:val="bottom"/>
          </w:tcPr>
          <w:p>
            <w:pPr>
              <w:ind w:left="120"/>
              <w:spacing w:after="0"/>
              <w:rPr>
                <w:sz w:val="20"/>
                <w:szCs w:val="20"/>
                <w:color w:val="auto"/>
              </w:rPr>
            </w:pPr>
            <w:r>
              <w:rPr>
                <w:rFonts w:ascii="Arial" w:cs="Arial" w:eastAsia="Arial" w:hAnsi="Arial"/>
                <w:sz w:val="16"/>
                <w:szCs w:val="16"/>
                <w:color w:val="auto"/>
              </w:rPr>
              <w:t>modified on or after the adoption date.</w:t>
            </w:r>
          </w:p>
        </w:tc>
        <w:tc>
          <w:tcPr>
            <w:tcW w:w="3020" w:type="dxa"/>
            <w:vAlign w:val="bottom"/>
          </w:tcPr>
          <w:p>
            <w:pPr>
              <w:spacing w:after="0"/>
              <w:rPr>
                <w:sz w:val="17"/>
                <w:szCs w:val="17"/>
                <w:color w:val="auto"/>
              </w:rPr>
            </w:pPr>
          </w:p>
        </w:tc>
      </w:tr>
      <w:tr>
        <w:trPr>
          <w:trHeight w:val="253"/>
        </w:trPr>
        <w:tc>
          <w:tcPr>
            <w:tcW w:w="1980" w:type="dxa"/>
            <w:vAlign w:val="bottom"/>
          </w:tcPr>
          <w:p>
            <w:pPr>
              <w:ind w:left="40"/>
              <w:spacing w:after="0"/>
              <w:rPr>
                <w:sz w:val="20"/>
                <w:szCs w:val="20"/>
                <w:color w:val="auto"/>
              </w:rPr>
            </w:pPr>
            <w:r>
              <w:rPr>
                <w:rFonts w:ascii="Arial" w:cs="Arial" w:eastAsia="Arial" w:hAnsi="Arial"/>
                <w:sz w:val="16"/>
                <w:szCs w:val="16"/>
                <w:color w:val="auto"/>
                <w:w w:val="95"/>
              </w:rPr>
              <w:t>Date of adoption: January 1,</w:t>
            </w:r>
          </w:p>
        </w:tc>
        <w:tc>
          <w:tcPr>
            <w:tcW w:w="642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206"/>
        </w:trPr>
        <w:tc>
          <w:tcPr>
            <w:tcW w:w="1980" w:type="dxa"/>
            <w:vAlign w:val="bottom"/>
          </w:tcPr>
          <w:p>
            <w:pPr>
              <w:ind w:left="40"/>
              <w:spacing w:after="0"/>
              <w:rPr>
                <w:sz w:val="20"/>
                <w:szCs w:val="20"/>
                <w:color w:val="auto"/>
              </w:rPr>
            </w:pPr>
            <w:r>
              <w:rPr>
                <w:rFonts w:ascii="Arial" w:cs="Arial" w:eastAsia="Arial" w:hAnsi="Arial"/>
                <w:sz w:val="16"/>
                <w:szCs w:val="16"/>
                <w:color w:val="auto"/>
              </w:rPr>
              <w:t>2018.</w:t>
            </w:r>
          </w:p>
        </w:tc>
        <w:tc>
          <w:tcPr>
            <w:tcW w:w="6420" w:type="dxa"/>
            <w:vAlign w:val="bottom"/>
          </w:tcPr>
          <w:p>
            <w:pPr>
              <w:spacing w:after="0"/>
              <w:rPr>
                <w:sz w:val="17"/>
                <w:szCs w:val="17"/>
                <w:color w:val="auto"/>
              </w:rPr>
            </w:pPr>
          </w:p>
        </w:tc>
        <w:tc>
          <w:tcPr>
            <w:tcW w:w="30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64" w:lineRule="exact"/>
        <w:rPr>
          <w:sz w:val="20"/>
          <w:szCs w:val="20"/>
          <w:color w:val="auto"/>
        </w:rPr>
      </w:pPr>
    </w:p>
    <w:p>
      <w:pPr>
        <w:ind w:left="40" w:right="120"/>
        <w:spacing w:after="0" w:line="318" w:lineRule="auto"/>
        <w:rPr>
          <w:sz w:val="20"/>
          <w:szCs w:val="20"/>
          <w:color w:val="auto"/>
        </w:rPr>
      </w:pPr>
      <w:r>
        <w:rPr>
          <w:rFonts w:ascii="Arial" w:cs="Arial" w:eastAsia="Arial" w:hAnsi="Arial"/>
          <w:sz w:val="14"/>
          <w:szCs w:val="14"/>
          <w:color w:val="auto"/>
        </w:rPr>
        <w:t>ASU 2016-13 Financial Instruments-Credit Losses (Topic 326): Measurement of Credit Losses on Financial Instruments</w:t>
      </w:r>
    </w:p>
    <w:p>
      <w:pPr>
        <w:spacing w:after="0" w:line="203"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Date of adoption: January 1, 2020.</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In June 2016, the FASB issued ASU 2016-13 which replaces the incurred loss impairment methodology in current GAAP with a methodology that reflects expected credit losses and requires consideration of a broader range of reasonable and supportable information to inform credit loss estimates. The ASU is effective for public companies in annual periods beginning after December 15, 2019, and interim periods within those years. Early adoption is permitted beginning after December 15, 2018 and interim periods within those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290195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260"/>
        <w:spacing w:after="0" w:line="273" w:lineRule="auto"/>
        <w:rPr>
          <w:sz w:val="20"/>
          <w:szCs w:val="20"/>
          <w:color w:val="auto"/>
        </w:rPr>
      </w:pPr>
      <w:r>
        <w:rPr>
          <w:rFonts w:ascii="Arial" w:cs="Arial" w:eastAsia="Arial" w:hAnsi="Arial"/>
          <w:sz w:val="16"/>
          <w:szCs w:val="16"/>
          <w:color w:val="auto"/>
        </w:rPr>
        <w:t>The Company is currently evaluating the impact of the adoption of this ASU on its condensed consolidated financial statements.</w:t>
      </w:r>
    </w:p>
    <w:p>
      <w:pPr>
        <w:spacing w:after="0" w:line="904" w:lineRule="exact"/>
        <w:rPr>
          <w:sz w:val="20"/>
          <w:szCs w:val="20"/>
          <w:color w:val="auto"/>
        </w:rPr>
      </w:pPr>
    </w:p>
    <w:p>
      <w:pPr>
        <w:sectPr>
          <w:pgSz w:w="11900" w:h="16838" w:orient="portrait"/>
          <w:cols w:equalWidth="0" w:num="3">
            <w:col w:w="1880" w:space="220"/>
            <w:col w:w="6100" w:space="280"/>
            <w:col w:w="2940"/>
          </w:cols>
          <w:pgMar w:left="240" w:top="125" w:right="239" w:bottom="1440" w:gutter="0" w:footer="0" w:header="0"/>
          <w:type w:val="continuous"/>
        </w:sectPr>
      </w:pPr>
    </w:p>
    <w:p>
      <w:pPr>
        <w:ind w:left="40"/>
        <w:spacing w:after="0"/>
        <w:tabs>
          <w:tab w:leader="none" w:pos="2080" w:val="left"/>
        </w:tabs>
        <w:rPr>
          <w:sz w:val="20"/>
          <w:szCs w:val="20"/>
          <w:color w:val="auto"/>
        </w:rPr>
      </w:pPr>
      <w:r>
        <w:rPr>
          <w:rFonts w:ascii="Arial" w:cs="Arial" w:eastAsia="Arial" w:hAnsi="Arial"/>
          <w:sz w:val="16"/>
          <w:szCs w:val="16"/>
          <w:color w:val="auto"/>
        </w:rPr>
        <w:t>ASU 2016-02 Leases (Topic</w:t>
      </w:r>
      <w:r>
        <w:rPr>
          <w:sz w:val="20"/>
          <w:szCs w:val="20"/>
          <w:color w:val="auto"/>
        </w:rPr>
        <w:tab/>
      </w:r>
      <w:r>
        <w:rPr>
          <w:rFonts w:ascii="Arial" w:cs="Arial" w:eastAsia="Arial" w:hAnsi="Arial"/>
          <w:sz w:val="14"/>
          <w:szCs w:val="14"/>
          <w:color w:val="auto"/>
        </w:rPr>
        <w:t>In February 2016, the FASB issued ASU 2016-02 which requires lessees to recognize, for all</w:t>
      </w:r>
    </w:p>
    <w:p>
      <w:pPr>
        <w:spacing w:after="0" w:line="22"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15"/>
          <w:szCs w:val="15"/>
          <w:color w:val="auto"/>
        </w:rPr>
        <w:t>842)</w:t>
      </w:r>
      <w:r>
        <w:rPr>
          <w:sz w:val="20"/>
          <w:szCs w:val="20"/>
          <w:color w:val="auto"/>
        </w:rPr>
        <w:tab/>
      </w:r>
      <w:r>
        <w:rPr>
          <w:rFonts w:ascii="Arial" w:cs="Arial" w:eastAsia="Arial" w:hAnsi="Arial"/>
          <w:sz w:val="15"/>
          <w:szCs w:val="15"/>
          <w:color w:val="auto"/>
        </w:rPr>
        <w:t>leases of 12 months or more, a liability to make lease payments and a right-of-use asset</w:t>
      </w:r>
    </w:p>
    <w:p>
      <w:pPr>
        <w:spacing w:after="0" w:line="30" w:lineRule="exact"/>
        <w:rPr>
          <w:sz w:val="20"/>
          <w:szCs w:val="20"/>
          <w:color w:val="auto"/>
        </w:rPr>
      </w:pPr>
    </w:p>
    <w:p>
      <w:pPr>
        <w:ind w:left="2100"/>
        <w:spacing w:after="0" w:line="292" w:lineRule="auto"/>
        <w:rPr>
          <w:sz w:val="20"/>
          <w:szCs w:val="20"/>
          <w:color w:val="auto"/>
        </w:rPr>
      </w:pPr>
      <w:r>
        <w:rPr>
          <w:rFonts w:ascii="Arial" w:cs="Arial" w:eastAsia="Arial" w:hAnsi="Arial"/>
          <w:sz w:val="15"/>
          <w:szCs w:val="15"/>
          <w:color w:val="auto"/>
        </w:rPr>
        <w:t>representing the right to use the underlying asset for the lease term. Additionally, the guidance requires improved disclosures to help users of financial statements better understand the nature of an entity’s leasing activities. This ASU is effective for public reporting companies for interim and annual periods beginning after December 15, 2018, with early adoption permitted, and must be adopted using a modified retrospective approach.</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of adoption: January 1,</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73" w:lineRule="auto"/>
        <w:rPr>
          <w:sz w:val="20"/>
          <w:szCs w:val="20"/>
          <w:color w:val="auto"/>
        </w:rPr>
      </w:pPr>
      <w:r>
        <w:rPr>
          <w:rFonts w:ascii="Arial" w:cs="Arial" w:eastAsia="Arial" w:hAnsi="Arial"/>
          <w:sz w:val="16"/>
          <w:szCs w:val="16"/>
          <w:color w:val="auto"/>
        </w:rPr>
        <w:t>The Company is in the process of evaluating the effect of the new guidance on its condensed consolidated financial statements and disclosures.</w:t>
      </w:r>
    </w:p>
    <w:p>
      <w:pPr>
        <w:spacing w:after="0" w:line="1225" w:lineRule="exact"/>
        <w:rPr>
          <w:sz w:val="20"/>
          <w:szCs w:val="20"/>
          <w:color w:val="auto"/>
        </w:rPr>
      </w:pPr>
    </w:p>
    <w:p>
      <w:pPr>
        <w:sectPr>
          <w:pgSz w:w="11900" w:h="16838" w:orient="portrait"/>
          <w:cols w:equalWidth="0" w:num="2">
            <w:col w:w="8260" w:space="220"/>
            <w:col w:w="2940"/>
          </w:cols>
          <w:pgMar w:left="240" w:top="125" w:right="239" w:bottom="1440" w:gutter="0" w:footer="0" w:header="0"/>
          <w:type w:val="continuous"/>
        </w:sectPr>
      </w:pPr>
    </w:p>
    <w:p>
      <w:pPr>
        <w:spacing w:after="0" w:line="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May 2014, the FASB issued a new accounting standard related to revenue recognition, ASU 2014-09, “Revenue from Contracts with Customers,” (“ASC 606” or “Topic 606”). The new standard supersedes the existing revenue recognition requirements under U.S. GAAP and requires entities to recognize revenue when they transfer control of promised goods or services to customers in an amount that reflects the consideration to which the entity expects to be entitled to in exchange for those goods or services. It also requires increased disclosures regarding the nature, amount, timing, and uncertainty of revenues and cash flows arising from contracts with customers.</w:t>
      </w:r>
    </w:p>
    <w:p>
      <w:pPr>
        <w:spacing w:after="0" w:line="18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On January 1, 2018, we adopted Topic 606 applying the modified retrospective method to all contracts that were not completed as of January 1, 2018. We recorded a net reduction to opening retained earnings of approximately $10.1 million as of January 1, 2018 due to the cumulative impact of adopting Topic 606.</w:t>
      </w:r>
    </w:p>
    <w:p>
      <w:pPr>
        <w:spacing w:after="0" w:line="18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impact of adoption primarily relates to (1) the delayed pattern of recognition under Topic 606 for certain professional services revenue when such professional services involve the customization of features and functionality for subscription services customers and (2) the earlier pattern of recognition under Topic 606 for license revenue when the Company provides hosting services for on-premise license customers. In the case of professional services that involve the customization of features and functionality for subscription services, under historic accounting policies the professional services were considered to have standalone value, and as a result were recognized as the services were performed. Under Topic 606, such professional services are not considered to be a distinct performance obligation within the context of the subscription services contract, and as such customization services revenue is recognized over the shorter of the estimated remaining life of the subscription software (typically three years) or the remaining term of the subscription services contract. In the case of license contracts sold in association with hosting, under historic accounting policies the license revenue was recognized over the hosting term due to the lack of vendor specific objective evidence (“VSOE”) of fair value for the hosting services. Under Topic 606, VSOE is no longer required in order to allocate revenue between the license and the hosting services, and the license revenue is generally recognized upon delivery of the software based on the relative allocation of the contract price based on the established standalone selling price (“SSP”)</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Additional impacts of adoption include (1) in certain cases changes in the amount allocated to the various performance obligation in accordance with the relative standalone selling price method required by Topic 606 compared to the amount allocated to the various elements in accordance with the residual method or the relative selling price method, as applicable, under historic accounting policies, (2) the capitalization and subsequent amortization of certain sales commissions as costs to obtain a contract under ASC 340-40, whereas under historic accounting policies all such amounts were expensed as incurred (3) the timing and amount of revenue recognition for certain sales contracts that are considered to involve variable consideration under Topic 606, but were considered to either not be fixed or determinable or to involve contingent revenue features under historic accounting policies, (4) in certain limited cases, the accounting for discounted customer options to purchase future software or services as material rights under Topic 606, as well as (5) the income tax impact of the above items, as applicable.</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adoption of Topic 606 and the related cost accounting guidance under ASC 340, we are required to capitalize certain contract acquisition costs consisting primarily of commissions and bonuses paid when contracts are signed. As of January 1, 2018, the date we adopted Topic 606, we capitalized $0.7 million in contract acquisition costs related to contracts that were not completed.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Restatement of Previously Issued Consolidated Financial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restated its audited consolidated financial statements for the years ended December 31, 2016 and 2015 for the matters described below. The effects of these restatement adjustments on (i) the Company’s Consolidated Balance Sheet at December 31, 2016, (ii) the Company’s Consolidated Statement of Operations for the years ended December 31, 2016 and 2015, (iii) the Company’s Consolidated Statements of Comprehensive Income for the years ended December 31, 2016 and 2015, (iv) the Company’s Consolidated Statements of Stockholders’ Equity for the years ended December 31, 2016 and 2015 and (v) the Company’s Consolidated Statement of Cash Flows for the years ended December 31, 2016 and 2015 are presented in the Company’s 2017 Form 10-K.</w:t>
      </w:r>
    </w:p>
    <w:p>
      <w:pPr>
        <w:spacing w:after="0" w:line="1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effects of the restatement adjustments on the Company’s unaudited Condensed Consolidated financial statements as of March 31, 2016 and for the three month period then ended are reflected in the tables 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individual restatement matters that underlie the restatement adjustments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Adjustments Related to Hosting Services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typically sells hosting services to its subscription services customers, as well as to certain software license customers. As part of the Company’s review of its historical accounting, it has determined that adjustments are required related to certain transactions in each of these two categories of customers that purchase hosting services.</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It was observed that in certain instances, the Company has historically entered into hosting arrangements that included various components to the fee structure with certain fees accelerated during the initial years of the arrangement. Historically, the Company recognized the accelerated fees as billed and maintenance and support fees were recognized on a straight-line basis through the term of the arrangement. However, the Company has determined to revise its accounting treatment for certain hosting services to reflect revenue recognition on a straight-line basis for such fees over the appropriate period of time during which (i) the benefits of hosting services were provided to the customer or (ii) the customer benefited from the set-up fees. The revised accounting treatment for the revenue recognition is reflected in the restated consolidated financial statements, whereby there has been a deferral of a portion of the accelerated fees out of the initial period of the arrangement, and recognition of those deferred amounts in the later periods of the hosting services arrangement.</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case of certain perpetual software license customers, the Company historically recognized the perpetual software license fee revenue on an upfront basis. The Company has determined to revise its accounting treatment of that software license fee revenue to recognize it ratably over a period of time due to the inclusion of hosting services, as part of the same multiple element arrangement. In certain of these cases, the Company had entered into a separate hosting services contract with the customer that the Company has now determined should have been combined with the software license agreement and treated as part of a larger multiple element arrangement.</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accordance with the software revenue recognition rules, since the Company cannot establish vendor specific objective evidence of fair value of the hosting services, the software license element cannot be separated from the hosting services.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revised accounting treatment for the revenue recognition is reflected in the restated consolidated financial statements, whereby the bundled arrangement fees have been recognized ratably over the economic life of the hosting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Adjustments Related to Establishing Persuasive Evidence of an Arrangement and Other Revenue Adjustments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historically has had, and continues to have, contractual arrangements with certain customers whereby there is an established master services agreement that includes general terms and conditions. Such master services agreements contemplate the delivery by the customer of purchasing documentation for purposes of completing orders, indicating the nature, price and quantity of products and services ordered. In certain cases, the Company historically formed a view that persuasive evidence of an arrangement existed relating to such orders based upon its receipt from a customer of written confirmation of the order and commitment to pay the agreed price, such as a quote approval sent by the customer in response to a quote issued by the Company, but prior to that customer’s subsequent delivery to the Company an executed statement of work or, in some instances, a purchase order, pursuant to a master services agreement.</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determined, in certain situations, to revise the timing of revenue recognition to when it received final formal contract documentation, which occurred in a future period. In those cases where the adjustment to defer revenue has been recorded prior to when cash payment was received from the customer, the balance sheet impact has been to reduce the related accounts receivable balance, whereas the balance sheet impact of these adjustments after the receipt of cash payment from the customer has been to increase accrued liabilities.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also adjusted revenue recognition in connection with certain other transactions, including (i) where the payment obligation on the date of sale was found not to have been fixed and determinable; (ii) where collectability was not reasonably assured; (iii) where the software delivered to the customer was ultimately deemed not to have met acceptance criteria; or (iv) where formal acceptance was not obtained.</w:t>
      </w:r>
    </w:p>
    <w:p>
      <w:pPr>
        <w:spacing w:after="0" w:line="16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certain situations, these adjustments represent issues related to the timing of revenue recognition, while in other cases, these adjustments represent amounts that had subsequently been written-off to bad debt expense (whereby now both the revenue and the related bad debt expense has been reversed).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Adjustments Related to Accounting for Acquisitions and Divestiture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identified and corrected errors related to fees received under license agreements entered into with parties of certain historical acquisitions and a divestiture. In each case, the Company had originally treated the license agreement as a separate transaction and recorded the license fees on a gross basis as revenue. The Company has determined to revise its accounting treatment of the license arrangements, to record the license fees as part of the accounting for the acquisition or divestiture, as follows:</w:t>
      </w:r>
    </w:p>
    <w:p>
      <w:pPr>
        <w:spacing w:after="0" w:line="187" w:lineRule="exact"/>
        <w:rPr>
          <w:sz w:val="20"/>
          <w:szCs w:val="20"/>
          <w:color w:val="auto"/>
        </w:rPr>
      </w:pPr>
    </w:p>
    <w:p>
      <w:pPr>
        <w:jc w:val="both"/>
        <w:ind w:left="66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certain cases, the Company entered into a license agreement as part of settling prior intellectual property infringement claims against an acquired entity and/or its selling parent company and affiliates. Historically, the Company had recognized these license fees separately as revenue. However, the Company has determined to net these license fees against the consideration paid as part of the acquisitions, resulting in a reduction of the goodwill and/or intangible assets recorded in purchase accounting.</w:t>
      </w:r>
    </w:p>
    <w:p>
      <w:pPr>
        <w:spacing w:after="0" w:line="2"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Company’s consolidated joint venture Zentry LLC (“Zentry”) and the Company’s partner in that joint venture entered into a license agreement in December 2015 at the same time as the formation of the joint venture. Historically, the Company recorded the license fees as revenue separately from the Zentry formation. The Company has determined to net these license fees against the cash contributions paid as part of the joint venture formation, resulting in a reduction of the goodwill and intangible assets recorded in purchase accounting.</w:t>
      </w: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entered into a licensing agreement in December 2016 with Sequential Technology International, LLC (“STIN”) shortly after closing the divestiture of its activation business to Sequential Technology International Holdings, LLC (“STIH”). Historically, the Company recorded the license fees as revenue separately from the accounting for the divestiture. The Company has determined to classify these license fees as additional gain on sale of the activation exception handling business.</w:t>
      </w:r>
    </w:p>
    <w:p>
      <w:pPr>
        <w:spacing w:after="0" w:line="1"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made adjustments to reduce the contingent consideration payable to shareholders of Razorsight Corporation (“Razorsight”), which was acquired by the Company in August 2015, and the related losses previously recorded to adjust that liability to fair value, as a result of the determination that many of the sales of Razorsight software that had originally been included in the earn-out calculation have now been adjusted as part of the restatement.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jc w:val="both"/>
        <w:ind w:left="66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made adjustments to record the fair value of the Company’s guarantee of certain of STIN’s debt as part of the divestiture of its activation exception handling business to STIH in December 2016, to record the sellers note extended in the transaction at fair value, and to adjust certain receivables and other assets sold in the transaction.</w:t>
      </w:r>
    </w:p>
    <w:p>
      <w:pPr>
        <w:jc w:val="both"/>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made certain adjustments to the opening balances of Openwave Messaging, Inc. (“Openwave”) and SNCR, LLC (“SNCR, LLC”); impacting deferred revenue, goodwill and intangibles. Adjustments in deferred revenue and intangibles resulted were reported post-acquisition as revenues and costs were realized.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Adjustments and Capitalized Software</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 also identified and corrected certain errors in the amounts reported as capitalized software development. These adjustments were primarily around (i) the recognition of impairment or immediate expensing of certain previously capitalized software development costs and (ii) revisions of amounts capitalized and the timing of when such capitalized costs are amortized. Adjustments pertaining to capitalized software development were driven primarily due to misalignment on the unit of account being measured in tracking project progress and ultimately general release as well as the appropriateness of the capitalization of certain administrative costs.</w:t>
      </w:r>
    </w:p>
    <w:p>
      <w:pPr>
        <w:spacing w:after="0" w:line="18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 also identified and corrected certain other errors, primarily due to timing of recognition of (i) stock-based compensation arrangements, (ii) accruals and reserves, (iii) noncontrolling interests and (iv) impairment charges. Impairment charges were primarily due to long-lived asset impairments realized on SNCR, LLC assets, due to continued delays in product development and sales. Additionally, the Company identified certain prior year balance sheet classification adjustments requiring, the most significant of which, a reclassification between cash and restricted cash due to certain contractual restrictions on cash balances, and reclassifications between treasury stock and additional paid-in-capital due to share issuances from the Company’s common stock pool, rather than its treasury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 xml:space="preserve">The Company recorded adjustments to income taxes to reflect the impact of the restatement adjustments, as well as a discrete tax adjustment to record a valuation allowance at a specific foreign jurisdiction in an earlier year than originally recorded. See </w:t>
      </w:r>
      <w:r>
        <w:rPr>
          <w:rFonts w:ascii="Arial" w:cs="Arial" w:eastAsia="Arial" w:hAnsi="Arial"/>
          <w:sz w:val="18"/>
          <w:szCs w:val="18"/>
          <w:i w:val="1"/>
          <w:iCs w:val="1"/>
          <w:color w:val="auto"/>
        </w:rPr>
        <w:t>Note 11 - Income Taxes</w:t>
      </w:r>
      <w:r>
        <w:rPr>
          <w:rFonts w:ascii="Arial" w:cs="Arial" w:eastAsia="Arial" w:hAnsi="Arial"/>
          <w:sz w:val="18"/>
          <w:szCs w:val="18"/>
          <w:color w:val="auto"/>
        </w:rPr>
        <w:t xml:space="preserve"> for discussion of the related impact to the Company’s effective tax rate.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following table presents the Condensed Consolidated Balance Sheet as previously reported, restatement adjustments and the Condensed Consolidated Balance Sheet as restated at December 31,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Adjustments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Revenue -</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Evidence of</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Arrangement</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Capitalized</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140" w:type="dxa"/>
            <w:vAlign w:val="bottom"/>
            <w:gridSpan w:val="3"/>
          </w:tcPr>
          <w:p>
            <w:pPr>
              <w:ind w:left="40"/>
              <w:spacing w:after="0"/>
              <w:rPr>
                <w:sz w:val="20"/>
                <w:szCs w:val="20"/>
                <w:color w:val="auto"/>
              </w:rPr>
            </w:pPr>
            <w:r>
              <w:rPr>
                <w:rFonts w:ascii="Arial" w:cs="Arial" w:eastAsia="Arial" w:hAnsi="Arial"/>
                <w:sz w:val="16"/>
                <w:szCs w:val="16"/>
                <w:b w:val="1"/>
                <w:bCs w:val="1"/>
                <w:color w:val="auto"/>
              </w:rPr>
              <w:t>As Previously</w:t>
            </w:r>
          </w:p>
        </w:tc>
        <w:tc>
          <w:tcPr>
            <w:tcW w:w="800" w:type="dxa"/>
            <w:vAlign w:val="bottom"/>
            <w:gridSpan w:val="3"/>
          </w:tcPr>
          <w:p>
            <w:pPr>
              <w:ind w:left="40"/>
              <w:spacing w:after="0"/>
              <w:rPr>
                <w:sz w:val="20"/>
                <w:szCs w:val="20"/>
                <w:color w:val="auto"/>
              </w:rPr>
            </w:pPr>
            <w:r>
              <w:rPr>
                <w:rFonts w:ascii="Arial" w:cs="Arial" w:eastAsia="Arial" w:hAnsi="Arial"/>
                <w:sz w:val="16"/>
                <w:szCs w:val="16"/>
                <w:b w:val="1"/>
                <w:bCs w:val="1"/>
                <w:color w:val="auto"/>
              </w:rPr>
              <w:t>Revenue</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and Other</w:t>
            </w: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Acquisitions &amp;</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Software</w:t>
            </w:r>
          </w:p>
        </w:tc>
        <w:tc>
          <w:tcPr>
            <w:tcW w:w="1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Income</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140" w:type="dxa"/>
            <w:vAlign w:val="bottom"/>
            <w:gridSpan w:val="3"/>
          </w:tcPr>
          <w:p>
            <w:pPr>
              <w:ind w:left="80"/>
              <w:spacing w:after="0"/>
              <w:rPr>
                <w:sz w:val="20"/>
                <w:szCs w:val="20"/>
                <w:color w:val="auto"/>
              </w:rPr>
            </w:pPr>
            <w:r>
              <w:rPr>
                <w:rFonts w:ascii="Arial" w:cs="Arial" w:eastAsia="Arial" w:hAnsi="Arial"/>
                <w:sz w:val="16"/>
                <w:szCs w:val="16"/>
                <w:b w:val="1"/>
                <w:bCs w:val="1"/>
                <w:color w:val="auto"/>
              </w:rPr>
              <w:t>Reported **</w:t>
            </w:r>
          </w:p>
        </w:tc>
        <w:tc>
          <w:tcPr>
            <w:tcW w:w="800" w:type="dxa"/>
            <w:vAlign w:val="bottom"/>
            <w:gridSpan w:val="3"/>
          </w:tcPr>
          <w:p>
            <w:pPr>
              <w:ind w:left="20"/>
              <w:spacing w:after="0"/>
              <w:rPr>
                <w:sz w:val="20"/>
                <w:szCs w:val="20"/>
                <w:color w:val="auto"/>
              </w:rPr>
            </w:pPr>
            <w:r>
              <w:rPr>
                <w:rFonts w:ascii="Arial" w:cs="Arial" w:eastAsia="Arial" w:hAnsi="Arial"/>
                <w:sz w:val="16"/>
                <w:szCs w:val="16"/>
                <w:b w:val="1"/>
                <w:bCs w:val="1"/>
                <w:color w:val="auto"/>
              </w:rPr>
              <w:t>- Hosting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Revenue</w:t>
            </w: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Divestiture</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and Other</w:t>
            </w:r>
          </w:p>
        </w:tc>
        <w:tc>
          <w:tcPr>
            <w:tcW w:w="14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Taxes</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w w:val="90"/>
              </w:rPr>
              <w:t>As Restated</w:t>
            </w:r>
          </w:p>
        </w:tc>
        <w:tc>
          <w:tcPr>
            <w:tcW w:w="0" w:type="dxa"/>
            <w:vAlign w:val="bottom"/>
          </w:tcPr>
          <w:p>
            <w:pPr>
              <w:spacing w:after="0"/>
              <w:rPr>
                <w:sz w:val="1"/>
                <w:szCs w:val="1"/>
                <w:color w:val="auto"/>
              </w:rPr>
            </w:pPr>
          </w:p>
        </w:tc>
      </w:tr>
      <w:tr>
        <w:trPr>
          <w:trHeight w:val="33"/>
        </w:trPr>
        <w:tc>
          <w:tcPr>
            <w:tcW w:w="3920" w:type="dxa"/>
            <w:vAlign w:val="bottom"/>
            <w:vMerge w:val="restart"/>
          </w:tcPr>
          <w:p>
            <w:pPr>
              <w:ind w:left="168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181,018</w:t>
            </w:r>
          </w:p>
        </w:tc>
        <w:tc>
          <w:tcPr>
            <w:tcW w:w="12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  (11,217)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  169,801</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41,632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41,632</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12,506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12,506</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137,233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107,474</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33,696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1,408</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4,339</w:t>
            </w:r>
          </w:p>
        </w:tc>
        <w:tc>
          <w:tcPr>
            <w:tcW w:w="10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38,277</w:t>
            </w:r>
          </w:p>
        </w:tc>
        <w:tc>
          <w:tcPr>
            <w:tcW w:w="0" w:type="dxa"/>
            <w:vAlign w:val="bottom"/>
          </w:tcPr>
          <w:p>
            <w:pPr>
              <w:spacing w:after="0"/>
              <w:rPr>
                <w:sz w:val="1"/>
                <w:szCs w:val="1"/>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364,453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9,304</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4,339</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369,690</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2,974</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155,599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3,429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158,205</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269,905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(41,358)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224,651</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203,864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(19,830)</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162,968</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11,783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13,286</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7,541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8,658</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 receivable from related party</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(12,731)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70,269</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Equity method investment</w:t>
            </w: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45,890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(2,240)</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43,650</w:t>
            </w:r>
          </w:p>
        </w:tc>
        <w:tc>
          <w:tcPr>
            <w:tcW w:w="0" w:type="dxa"/>
            <w:vAlign w:val="bottom"/>
          </w:tcPr>
          <w:p>
            <w:pPr>
              <w:spacing w:after="0"/>
              <w:rPr>
                <w:sz w:val="1"/>
                <w:szCs w:val="1"/>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1,164,729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(67,748)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12,226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1,054,351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620" w:right="2460" w:hanging="5612"/>
        <w:spacing w:after="0" w:line="919" w:lineRule="auto"/>
        <w:tabs>
          <w:tab w:leader="none" w:pos="229"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amounts reflected in this column have been adjusted for retrospective application of discontinued operations. 15</w:t>
      </w:r>
    </w:p>
    <w:p>
      <w:pPr>
        <w:sectPr>
          <w:pgSz w:w="11900" w:h="16838" w:orient="portrait"/>
          <w:cols w:equalWidth="0" w:num="1">
            <w:col w:w="11120"/>
          </w:cols>
          <w:pgMar w:left="240" w:top="125" w:right="5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100"/>
              <w:spacing w:after="0"/>
              <w:rPr>
                <w:sz w:val="20"/>
                <w:szCs w:val="20"/>
                <w:color w:val="auto"/>
              </w:rPr>
            </w:pPr>
            <w:r>
              <w:rPr>
                <w:rFonts w:ascii="Arial" w:cs="Arial" w:eastAsia="Arial" w:hAnsi="Arial"/>
                <w:sz w:val="16"/>
                <w:szCs w:val="16"/>
                <w:b w:val="1"/>
                <w:bCs w:val="1"/>
                <w:color w:val="auto"/>
              </w:rPr>
              <w:t>Adjustments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Revenue -</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Evidence of</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Arrangement</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4"/>
              </w:rPr>
              <w:t>Capitalized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As Previously</w:t>
            </w:r>
          </w:p>
        </w:tc>
        <w:tc>
          <w:tcPr>
            <w:tcW w:w="820" w:type="dxa"/>
            <w:vAlign w:val="bottom"/>
            <w:gridSpan w:val="3"/>
          </w:tcPr>
          <w:p>
            <w:pPr>
              <w:ind w:left="60"/>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and Other</w:t>
            </w:r>
          </w:p>
        </w:tc>
        <w:tc>
          <w:tcPr>
            <w:tcW w:w="12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2"/>
              </w:rPr>
              <w:t>Acquisitions &amp;</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Software</w:t>
            </w:r>
          </w:p>
        </w:tc>
        <w:tc>
          <w:tcPr>
            <w:tcW w:w="16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Income</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8"/>
              </w:rPr>
              <w:t>Reported **</w:t>
            </w:r>
          </w:p>
        </w:tc>
        <w:tc>
          <w:tcPr>
            <w:tcW w:w="820" w:type="dxa"/>
            <w:vAlign w:val="bottom"/>
            <w:gridSpan w:val="3"/>
          </w:tcPr>
          <w:p>
            <w:pPr>
              <w:ind w:left="40"/>
              <w:spacing w:after="0"/>
              <w:rPr>
                <w:sz w:val="20"/>
                <w:szCs w:val="20"/>
                <w:color w:val="auto"/>
              </w:rPr>
            </w:pPr>
            <w:r>
              <w:rPr>
                <w:rFonts w:ascii="Arial" w:cs="Arial" w:eastAsia="Arial" w:hAnsi="Arial"/>
                <w:sz w:val="16"/>
                <w:szCs w:val="16"/>
                <w:b w:val="1"/>
                <w:bCs w:val="1"/>
                <w:color w:val="auto"/>
              </w:rPr>
              <w:t>- Hosting</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Revenue</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Divestiture</w:t>
            </w:r>
          </w:p>
        </w:tc>
        <w:tc>
          <w:tcPr>
            <w:tcW w:w="10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5"/>
              </w:rPr>
              <w:t>and Other</w:t>
            </w:r>
          </w:p>
        </w:tc>
        <w:tc>
          <w:tcPr>
            <w:tcW w:w="16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Taxes</w:t>
            </w: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As Restated</w:t>
            </w:r>
          </w:p>
        </w:tc>
        <w:tc>
          <w:tcPr>
            <w:tcW w:w="0" w:type="dxa"/>
            <w:vAlign w:val="bottom"/>
          </w:tcPr>
          <w:p>
            <w:pPr>
              <w:spacing w:after="0"/>
              <w:rPr>
                <w:sz w:val="1"/>
                <w:szCs w:val="1"/>
                <w:color w:val="auto"/>
              </w:rPr>
            </w:pPr>
          </w:p>
        </w:tc>
      </w:tr>
      <w:tr>
        <w:trPr>
          <w:trHeight w:val="33"/>
        </w:trPr>
        <w:tc>
          <w:tcPr>
            <w:tcW w:w="4000" w:type="dxa"/>
            <w:vAlign w:val="bottom"/>
            <w:vMerge w:val="restart"/>
          </w:tcPr>
          <w:p>
            <w:pPr>
              <w:ind w:left="156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17,057</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69,435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5,274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76,882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33,398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57,430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Contingent consideration obligation</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11,860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2,833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debt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29,000</w:t>
            </w:r>
          </w:p>
        </w:tc>
        <w:tc>
          <w:tcPr>
            <w:tcW w:w="0" w:type="dxa"/>
            <w:vAlign w:val="bottom"/>
          </w:tcPr>
          <w:p>
            <w:pPr>
              <w:spacing w:after="0"/>
              <w:rPr>
                <w:sz w:val="1"/>
                <w:szCs w:val="1"/>
                <w:color w:val="auto"/>
              </w:rPr>
            </w:pPr>
          </w:p>
        </w:tc>
      </w:tr>
      <w:tr>
        <w:trPr>
          <w:trHeight w:val="217"/>
        </w:trPr>
        <w:tc>
          <w:tcPr>
            <w:tcW w:w="400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153,607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33,398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5,123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(11,416)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183,202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financing obligation - long term</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12,450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Convertible debt, net of debt issuance costs</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226,291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226,291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liability</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3,508</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Deferred revenues</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12,134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52,965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65,630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8,193</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Redeemable noncontrolling interests</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49,856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(28,813)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4,237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25,280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stock</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(95,183)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(106,631)</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575,093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3,727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571,153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(42,350)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220,453</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(86,707)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(42,821)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(19,893)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(18,158)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54,746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107,620</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657,115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(86,707)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529,797</w:t>
            </w:r>
          </w:p>
        </w:tc>
        <w:tc>
          <w:tcPr>
            <w:tcW w:w="0" w:type="dxa"/>
            <w:vAlign w:val="bottom"/>
          </w:tcPr>
          <w:p>
            <w:pPr>
              <w:spacing w:after="0"/>
              <w:rPr>
                <w:sz w:val="1"/>
                <w:szCs w:val="1"/>
                <w:color w:val="auto"/>
              </w:rPr>
            </w:pPr>
          </w:p>
        </w:tc>
      </w:tr>
      <w:tr>
        <w:trPr>
          <w:trHeight w:val="244"/>
        </w:trPr>
        <w:tc>
          <w:tcPr>
            <w:tcW w:w="4000" w:type="dxa"/>
            <w:vAlign w:val="bottom"/>
          </w:tcPr>
          <w:p>
            <w:pPr>
              <w:ind w:left="440"/>
              <w:spacing w:after="0"/>
              <w:rPr>
                <w:sz w:val="20"/>
                <w:szCs w:val="20"/>
                <w:color w:val="auto"/>
              </w:rPr>
            </w:pPr>
            <w:r>
              <w:rPr>
                <w:rFonts w:ascii="Arial" w:cs="Arial" w:eastAsia="Arial" w:hAnsi="Arial"/>
                <w:sz w:val="16"/>
                <w:szCs w:val="16"/>
                <w:color w:val="auto"/>
              </w:rPr>
              <w:t>Total liabilities &amp; stockholders'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1,164,729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(36,509)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(67,748)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(18,003)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12,226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1,054,351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amounts reflected in this column have been adjusted for retrospective application of discontinued operations.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Condensed Consolidated Statement of Operations as previously reported, restatement adjustments and the Condensed Consolidated Statement of Operations as restated for the three months ended March 31,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40"/>
              <w:spacing w:after="0" w:line="153" w:lineRule="exact"/>
              <w:rPr>
                <w:sz w:val="20"/>
                <w:szCs w:val="20"/>
                <w:color w:val="auto"/>
              </w:rPr>
            </w:pPr>
            <w:r>
              <w:rPr>
                <w:rFonts w:ascii="Arial" w:cs="Arial" w:eastAsia="Arial" w:hAnsi="Arial"/>
                <w:sz w:val="14"/>
                <w:szCs w:val="14"/>
                <w:b w:val="1"/>
                <w:bCs w:val="1"/>
                <w:color w:val="auto"/>
                <w:w w:val="92"/>
              </w:rPr>
              <w:t>Revenue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Capitalized</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04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w w:val="99"/>
              </w:rPr>
              <w:t>As Previously</w:t>
            </w:r>
          </w:p>
        </w:tc>
        <w:tc>
          <w:tcPr>
            <w:tcW w:w="120" w:type="dxa"/>
            <w:vAlign w:val="bottom"/>
          </w:tcPr>
          <w:p>
            <w:pPr>
              <w:spacing w:after="0"/>
              <w:rPr>
                <w:sz w:val="12"/>
                <w:szCs w:val="12"/>
                <w:color w:val="auto"/>
              </w:rPr>
            </w:pP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Revenue -</w:t>
            </w:r>
          </w:p>
        </w:tc>
        <w:tc>
          <w:tcPr>
            <w:tcW w:w="120" w:type="dxa"/>
            <w:vAlign w:val="bottom"/>
          </w:tcPr>
          <w:p>
            <w:pPr>
              <w:spacing w:after="0"/>
              <w:rPr>
                <w:sz w:val="12"/>
                <w:szCs w:val="12"/>
                <w:color w:val="auto"/>
              </w:rPr>
            </w:pPr>
          </w:p>
        </w:tc>
        <w:tc>
          <w:tcPr>
            <w:tcW w:w="11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Evidence of</w:t>
            </w:r>
          </w:p>
        </w:tc>
        <w:tc>
          <w:tcPr>
            <w:tcW w:w="100" w:type="dxa"/>
            <w:vAlign w:val="bottom"/>
          </w:tcPr>
          <w:p>
            <w:pPr>
              <w:spacing w:after="0"/>
              <w:rPr>
                <w:sz w:val="12"/>
                <w:szCs w:val="12"/>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Acquisitions &amp;</w:t>
            </w:r>
          </w:p>
        </w:tc>
        <w:tc>
          <w:tcPr>
            <w:tcW w:w="8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Arrangement and</w:t>
            </w: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Software</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9"/>
              </w:rPr>
              <w:t>Reported**</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2"/>
              </w:rPr>
              <w:t>Hosting</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Other Revenue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3"/>
              </w:rPr>
              <w:t>Divestiture</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and Other</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Taxes</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104,219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(18,086)</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78,246</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46,448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46,151</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4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24,097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1,730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25,827</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26,923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25,914</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Net change in contingent consideration obligation</w:t>
            </w:r>
          </w:p>
        </w:tc>
        <w:tc>
          <w:tcPr>
            <w:tcW w:w="14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charges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2,910</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24,055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22,782</w:t>
            </w:r>
          </w:p>
        </w:tc>
        <w:tc>
          <w:tcPr>
            <w:tcW w:w="0" w:type="dxa"/>
            <w:vAlign w:val="bottom"/>
          </w:tcPr>
          <w:p>
            <w:pPr>
              <w:spacing w:after="0"/>
              <w:rPr>
                <w:sz w:val="1"/>
                <w:szCs w:val="1"/>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costs and expenses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124,774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123,589</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Loss from continuing operations</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(20,555)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2,119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(18,086)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(45,343)</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(1,576)</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7"/>
        </w:trPr>
        <w:tc>
          <w:tcPr>
            <w:tcW w:w="3920" w:type="dxa"/>
            <w:vAlign w:val="bottom"/>
          </w:tcPr>
          <w:p>
            <w:pPr>
              <w:ind w:left="40"/>
              <w:spacing w:after="0"/>
              <w:rPr>
                <w:sz w:val="20"/>
                <w:szCs w:val="20"/>
                <w:color w:val="auto"/>
              </w:rPr>
            </w:pPr>
            <w:r>
              <w:rPr>
                <w:rFonts w:ascii="Arial" w:cs="Arial" w:eastAsia="Arial" w:hAnsi="Arial"/>
                <w:sz w:val="16"/>
                <w:szCs w:val="16"/>
                <w:color w:val="auto"/>
              </w:rPr>
              <w:t>Loss from continuing operations, before taxes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(22,385)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2,119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(17,583)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(8,642)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(46,670)</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for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15,520</w:t>
            </w:r>
          </w:p>
        </w:tc>
        <w:tc>
          <w:tcPr>
            <w:tcW w:w="0" w:type="dxa"/>
            <w:vAlign w:val="bottom"/>
          </w:tcPr>
          <w:p>
            <w:pPr>
              <w:spacing w:after="0"/>
              <w:rPr>
                <w:sz w:val="1"/>
                <w:szCs w:val="1"/>
                <w:color w:val="auto"/>
              </w:rPr>
            </w:pPr>
          </w:p>
        </w:tc>
      </w:tr>
      <w:tr>
        <w:trPr>
          <w:trHeight w:val="217"/>
        </w:trPr>
        <w:tc>
          <w:tcPr>
            <w:tcW w:w="3920" w:type="dxa"/>
            <w:vAlign w:val="bottom"/>
          </w:tcPr>
          <w:p>
            <w:pPr>
              <w:ind w:left="40"/>
              <w:spacing w:after="0"/>
              <w:rPr>
                <w:sz w:val="20"/>
                <w:szCs w:val="20"/>
                <w:color w:val="auto"/>
              </w:rPr>
            </w:pPr>
            <w:r>
              <w:rPr>
                <w:rFonts w:ascii="Arial" w:cs="Arial" w:eastAsia="Arial" w:hAnsi="Arial"/>
                <w:sz w:val="16"/>
                <w:szCs w:val="16"/>
                <w:color w:val="auto"/>
              </w:rPr>
              <w:t>Net loss from continuing operations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(22,024)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2,119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(17,583)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(8,642)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15,159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(31,150)</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from discontinued operations, net of</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17"/>
        </w:trPr>
        <w:tc>
          <w:tcPr>
            <w:tcW w:w="3920" w:type="dxa"/>
            <w:vAlign w:val="bottom"/>
          </w:tcPr>
          <w:p>
            <w:pPr>
              <w:ind w:left="40"/>
              <w:spacing w:after="0"/>
              <w:rPr>
                <w:sz w:val="20"/>
                <w:szCs w:val="20"/>
                <w:color w:val="auto"/>
              </w:rPr>
            </w:pPr>
            <w:r>
              <w:rPr>
                <w:rFonts w:ascii="Arial" w:cs="Arial" w:eastAsia="Arial" w:hAnsi="Arial"/>
                <w:sz w:val="16"/>
                <w:szCs w:val="16"/>
                <w:color w:val="auto"/>
              </w:rPr>
              <w:t>Net loss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(11,083)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2,119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(19,694)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(8,642)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5,143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(32,336)</w:t>
            </w: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attributable to redeemable noncontrolling</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(3,007)</w:t>
            </w:r>
          </w:p>
        </w:tc>
        <w:tc>
          <w:tcPr>
            <w:tcW w:w="0" w:type="dxa"/>
            <w:vAlign w:val="bottom"/>
          </w:tcPr>
          <w:p>
            <w:pPr>
              <w:spacing w:after="0"/>
              <w:rPr>
                <w:sz w:val="1"/>
                <w:szCs w:val="1"/>
                <w:color w:val="auto"/>
              </w:rPr>
            </w:pPr>
          </w:p>
        </w:tc>
      </w:tr>
      <w:tr>
        <w:trPr>
          <w:trHeight w:val="284"/>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attributable to Synchronoss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(7,954)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2,119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(19,694)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(8,642)</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5,143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(29,329)</w:t>
            </w:r>
          </w:p>
        </w:tc>
        <w:tc>
          <w:tcPr>
            <w:tcW w:w="0" w:type="dxa"/>
            <w:vAlign w:val="bottom"/>
          </w:tcPr>
          <w:p>
            <w:pPr>
              <w:spacing w:after="0"/>
              <w:rPr>
                <w:sz w:val="1"/>
                <w:szCs w:val="1"/>
                <w:color w:val="auto"/>
              </w:rPr>
            </w:pPr>
          </w:p>
        </w:tc>
      </w:tr>
      <w:tr>
        <w:trPr>
          <w:trHeight w:val="122"/>
        </w:trPr>
        <w:tc>
          <w:tcPr>
            <w:tcW w:w="3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b w:val="1"/>
                <w:bCs w:val="1"/>
                <w:color w:val="auto"/>
              </w:rPr>
              <w:t>Basic:</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237"/>
        </w:trPr>
        <w:tc>
          <w:tcPr>
            <w:tcW w:w="3920" w:type="dxa"/>
            <w:vAlign w:val="bottom"/>
          </w:tcPr>
          <w:p>
            <w:pPr>
              <w:ind w:left="180"/>
              <w:spacing w:after="0"/>
              <w:rPr>
                <w:sz w:val="20"/>
                <w:szCs w:val="20"/>
                <w:color w:val="auto"/>
              </w:rPr>
            </w:pPr>
            <w:r>
              <w:rPr>
                <w:rFonts w:ascii="Arial" w:cs="Arial" w:eastAsia="Arial" w:hAnsi="Arial"/>
                <w:sz w:val="16"/>
                <w:szCs w:val="16"/>
                <w:color w:val="auto"/>
              </w:rPr>
              <w:t>Discontinued operations</w:t>
            </w:r>
          </w:p>
        </w:tc>
        <w:tc>
          <w:tcPr>
            <w:tcW w:w="14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237"/>
        </w:trPr>
        <w:tc>
          <w:tcPr>
            <w:tcW w:w="3920" w:type="dxa"/>
            <w:vAlign w:val="bottom"/>
          </w:tcPr>
          <w:p>
            <w:pPr>
              <w:ind w:left="180"/>
              <w:spacing w:after="0"/>
              <w:rPr>
                <w:sz w:val="20"/>
                <w:szCs w:val="20"/>
                <w:color w:val="auto"/>
              </w:rPr>
            </w:pPr>
            <w:r>
              <w:rPr>
                <w:rFonts w:ascii="Arial" w:cs="Arial" w:eastAsia="Arial" w:hAnsi="Arial"/>
                <w:sz w:val="16"/>
                <w:szCs w:val="16"/>
                <w:color w:val="auto"/>
              </w:rPr>
              <w:t>Discontinued operations</w:t>
            </w:r>
          </w:p>
        </w:tc>
        <w:tc>
          <w:tcPr>
            <w:tcW w:w="14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Weighted-average common shares outstanding: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43,423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43,423</w:t>
            </w:r>
          </w:p>
        </w:tc>
        <w:tc>
          <w:tcPr>
            <w:tcW w:w="0" w:type="dxa"/>
            <w:vAlign w:val="bottom"/>
          </w:tcPr>
          <w:p>
            <w:pPr>
              <w:spacing w:after="0"/>
              <w:rPr>
                <w:sz w:val="1"/>
                <w:szCs w:val="1"/>
                <w:color w:val="auto"/>
              </w:rPr>
            </w:pPr>
          </w:p>
        </w:tc>
      </w:tr>
      <w:tr>
        <w:trPr>
          <w:trHeight w:val="231"/>
        </w:trPr>
        <w:tc>
          <w:tcPr>
            <w:tcW w:w="3920" w:type="dxa"/>
            <w:vAlign w:val="bottom"/>
          </w:tcPr>
          <w:p>
            <w:pPr>
              <w:ind w:left="180"/>
              <w:spacing w:after="0"/>
              <w:rPr>
                <w:sz w:val="20"/>
                <w:szCs w:val="20"/>
                <w:color w:val="auto"/>
              </w:rPr>
            </w:pPr>
            <w:r>
              <w:rPr>
                <w:rFonts w:ascii="Arial" w:cs="Arial" w:eastAsia="Arial" w:hAnsi="Arial"/>
                <w:sz w:val="16"/>
                <w:szCs w:val="16"/>
                <w:color w:val="auto"/>
              </w:rPr>
              <w:t>Diluted</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43,423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43,423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6505575</wp:posOffset>
            </wp:positionH>
            <wp:positionV relativeFrom="paragraph">
              <wp:posOffset>12700</wp:posOffset>
            </wp:positionV>
            <wp:extent cx="557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29845</wp:posOffset>
            </wp:positionV>
            <wp:extent cx="5575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12700</wp:posOffset>
            </wp:positionV>
            <wp:extent cx="6515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29845</wp:posOffset>
            </wp:positionV>
            <wp:extent cx="6515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3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Cost of services excludes depreciation and amortization which is shown separately.</w:t>
      </w:r>
    </w:p>
    <w:p>
      <w:pPr>
        <w:spacing w:after="0" w:line="1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Certain amounts reflected in this column have been adjusted for retrospective application of discontinued operations.</w:t>
      </w:r>
    </w:p>
    <w:p>
      <w:pPr>
        <w:spacing w:after="0" w:line="229"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17</w:t>
      </w:r>
    </w:p>
    <w:p>
      <w:pPr>
        <w:sectPr>
          <w:pgSz w:w="11900" w:h="16838" w:orient="portrait"/>
          <w:cols w:equalWidth="0" w:num="1">
            <w:col w:w="11160"/>
          </w:cols>
          <w:pgMar w:left="240" w:top="125" w:right="4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The following table presents the Condensed Consolidated Statement of Comprehensive Income (Loss) as previously reported, restatement adjustments and the Condensed Consolidated Statement of Comprehensive Income (Loss) as restated for the three months ended March 31, 2016:</w:t>
      </w:r>
    </w:p>
    <w:p>
      <w:pPr>
        <w:spacing w:after="0" w:line="152"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2"/>
              </w:rPr>
              <w:t>Revenue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Evidence of</w:t>
            </w:r>
          </w:p>
        </w:tc>
        <w:tc>
          <w:tcPr>
            <w:tcW w:w="120" w:type="dxa"/>
            <w:vAlign w:val="bottom"/>
          </w:tcPr>
          <w:p>
            <w:pPr>
              <w:spacing w:after="0"/>
              <w:rPr>
                <w:sz w:val="12"/>
                <w:szCs w:val="12"/>
                <w:color w:val="auto"/>
              </w:rPr>
            </w:pP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Acquisitions</w:t>
            </w:r>
          </w:p>
        </w:tc>
        <w:tc>
          <w:tcPr>
            <w:tcW w:w="9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Capitalized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As Previously</w:t>
            </w:r>
          </w:p>
        </w:tc>
        <w:tc>
          <w:tcPr>
            <w:tcW w:w="10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 -</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Arrangement</w:t>
            </w: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7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2"/>
                <w:szCs w:val="12"/>
                <w:color w:val="auto"/>
              </w:rPr>
            </w:pPr>
          </w:p>
        </w:tc>
        <w:tc>
          <w:tcPr>
            <w:tcW w:w="6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and 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&amp;</w:t>
            </w:r>
          </w:p>
        </w:tc>
        <w:tc>
          <w:tcPr>
            <w:tcW w:w="10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Software and</w:t>
            </w:r>
          </w:p>
        </w:tc>
        <w:tc>
          <w:tcPr>
            <w:tcW w:w="7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6"/>
              </w:rPr>
              <w:t>Reported**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Hosting</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Revenue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Divestiture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1"/>
              </w:rPr>
              <w:t>Restated</w:t>
            </w:r>
          </w:p>
        </w:tc>
        <w:tc>
          <w:tcPr>
            <w:tcW w:w="0" w:type="dxa"/>
            <w:vAlign w:val="bottom"/>
          </w:tcPr>
          <w:p>
            <w:pPr>
              <w:spacing w:after="0"/>
              <w:rPr>
                <w:sz w:val="1"/>
                <w:szCs w:val="1"/>
                <w:color w:val="auto"/>
              </w:rPr>
            </w:pPr>
          </w:p>
        </w:tc>
      </w:tr>
      <w:tr>
        <w:trPr>
          <w:trHeight w:val="250"/>
        </w:trPr>
        <w:tc>
          <w:tcPr>
            <w:tcW w:w="45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(11,083)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2,119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(19,694)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(8,642)</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5,143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(32,336)</w:t>
            </w:r>
          </w:p>
        </w:tc>
        <w:tc>
          <w:tcPr>
            <w:tcW w:w="0" w:type="dxa"/>
            <w:vAlign w:val="bottom"/>
          </w:tcPr>
          <w:p>
            <w:pPr>
              <w:spacing w:after="0"/>
              <w:rPr>
                <w:sz w:val="1"/>
                <w:szCs w:val="1"/>
                <w:color w:val="auto"/>
              </w:rPr>
            </w:pPr>
          </w:p>
        </w:tc>
      </w:tr>
      <w:tr>
        <w:trPr>
          <w:trHeight w:val="276"/>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560" w:type="dxa"/>
            <w:vAlign w:val="bottom"/>
          </w:tcPr>
          <w:p>
            <w:pPr>
              <w:ind w:left="160"/>
              <w:spacing w:after="0"/>
              <w:rPr>
                <w:sz w:val="20"/>
                <w:szCs w:val="20"/>
                <w:color w:val="auto"/>
              </w:rPr>
            </w:pPr>
            <w:r>
              <w:rPr>
                <w:rFonts w:ascii="Arial" w:cs="Arial" w:eastAsia="Arial" w:hAnsi="Arial"/>
                <w:sz w:val="14"/>
                <w:szCs w:val="14"/>
                <w:color w:val="auto"/>
              </w:rPr>
              <w:t>Foreign currency translation adjustments</w:t>
            </w:r>
          </w:p>
        </w:tc>
        <w:tc>
          <w:tcPr>
            <w:tcW w:w="1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9,668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9,463</w:t>
            </w:r>
          </w:p>
        </w:tc>
        <w:tc>
          <w:tcPr>
            <w:tcW w:w="0" w:type="dxa"/>
            <w:vAlign w:val="bottom"/>
          </w:tcPr>
          <w:p>
            <w:pPr>
              <w:spacing w:after="0"/>
              <w:rPr>
                <w:sz w:val="1"/>
                <w:szCs w:val="1"/>
                <w:color w:val="auto"/>
              </w:rPr>
            </w:pPr>
          </w:p>
        </w:tc>
      </w:tr>
      <w:tr>
        <w:trPr>
          <w:trHeight w:val="276"/>
        </w:trPr>
        <w:tc>
          <w:tcPr>
            <w:tcW w:w="4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Unrealized gain (loss) on available for sale securities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45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Net income (loss) on intra-entity foreign currency transactions</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50"/>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net of tax</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9,426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9,221</w:t>
            </w:r>
          </w:p>
        </w:tc>
        <w:tc>
          <w:tcPr>
            <w:tcW w:w="0" w:type="dxa"/>
            <w:vAlign w:val="bottom"/>
          </w:tcPr>
          <w:p>
            <w:pPr>
              <w:spacing w:after="0"/>
              <w:rPr>
                <w:sz w:val="1"/>
                <w:szCs w:val="1"/>
                <w:color w:val="auto"/>
              </w:rPr>
            </w:pPr>
          </w:p>
        </w:tc>
      </w:tr>
      <w:tr>
        <w:trPr>
          <w:trHeight w:val="250"/>
        </w:trPr>
        <w:tc>
          <w:tcPr>
            <w:tcW w:w="456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(1,657)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2,119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(19,918)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(8,642)</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5,143</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(23,115)</w:t>
            </w:r>
          </w:p>
        </w:tc>
        <w:tc>
          <w:tcPr>
            <w:tcW w:w="0" w:type="dxa"/>
            <w:vAlign w:val="bottom"/>
          </w:tcPr>
          <w:p>
            <w:pPr>
              <w:spacing w:after="0"/>
              <w:rPr>
                <w:sz w:val="1"/>
                <w:szCs w:val="1"/>
                <w:color w:val="auto"/>
              </w:rPr>
            </w:pPr>
          </w:p>
        </w:tc>
      </w:tr>
      <w:tr>
        <w:trPr>
          <w:trHeight w:val="16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 attributable to redeemable noncontrolling</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w:t>
            </w: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(3,129)</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(3,007)</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4"/>
                <w:szCs w:val="14"/>
                <w:color w:val="auto"/>
              </w:rPr>
              <w:t>Comprehensive income (loss) attributable to Synchronoss</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1,472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2,119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(19,918)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(8,642)</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5,143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(20,108)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Certain amounts reflected in this column have been adjusted for retrospective application of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80"/>
          </w:cols>
          <w:pgMar w:left="240" w:top="125" w:right="3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Condensed Consolidated Statement of Cash Flows as previously reported, adjustments, and the Condensed Consolidated Statement of Cash Flows as restated for the three months ended March 31, 2016: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6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As Previously</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Reported</w:t>
            </w: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Adjustments</w:t>
            </w: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w w:val="90"/>
              </w:rPr>
              <w:t>As Restated</w:t>
            </w:r>
          </w:p>
        </w:tc>
        <w:tc>
          <w:tcPr>
            <w:tcW w:w="0" w:type="dxa"/>
            <w:vAlign w:val="bottom"/>
          </w:tcPr>
          <w:p>
            <w:pPr>
              <w:spacing w:after="0"/>
              <w:rPr>
                <w:sz w:val="1"/>
                <w:szCs w:val="1"/>
                <w:color w:val="auto"/>
              </w:rPr>
            </w:pPr>
          </w:p>
        </w:tc>
      </w:tr>
      <w:tr>
        <w:trPr>
          <w:trHeight w:val="33"/>
        </w:trPr>
        <w:tc>
          <w:tcPr>
            <w:tcW w:w="7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3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from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(31,150)</w:t>
            </w:r>
          </w:p>
        </w:tc>
        <w:tc>
          <w:tcPr>
            <w:tcW w:w="0" w:type="dxa"/>
            <w:vAlign w:val="bottom"/>
          </w:tcPr>
          <w:p>
            <w:pPr>
              <w:spacing w:after="0"/>
              <w:rPr>
                <w:sz w:val="1"/>
                <w:szCs w:val="1"/>
                <w:color w:val="auto"/>
              </w:rPr>
            </w:pP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Net income (loss) from discontinued operations</w:t>
            </w: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10,941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32,802</w:t>
            </w:r>
          </w:p>
        </w:tc>
        <w:tc>
          <w:tcPr>
            <w:tcW w:w="0" w:type="dxa"/>
            <w:vAlign w:val="bottom"/>
          </w:tcPr>
          <w:p>
            <w:pPr>
              <w:spacing w:after="0"/>
              <w:rPr>
                <w:sz w:val="1"/>
                <w:szCs w:val="1"/>
                <w:color w:val="auto"/>
              </w:rPr>
            </w:pP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9,421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13,471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22,892</w:t>
            </w:r>
          </w:p>
        </w:tc>
        <w:tc>
          <w:tcPr>
            <w:tcW w:w="0" w:type="dxa"/>
            <w:vAlign w:val="bottom"/>
          </w:tcPr>
          <w:p>
            <w:pPr>
              <w:spacing w:after="0"/>
              <w:rPr>
                <w:sz w:val="1"/>
                <w:szCs w:val="1"/>
                <w:color w:val="auto"/>
              </w:rPr>
            </w:pPr>
          </w:p>
        </w:tc>
      </w:tr>
      <w:tr>
        <w:trPr>
          <w:trHeight w:val="33"/>
        </w:trPr>
        <w:tc>
          <w:tcPr>
            <w:tcW w:w="7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23,358</w:t>
            </w:r>
          </w:p>
        </w:tc>
        <w:tc>
          <w:tcPr>
            <w:tcW w:w="0" w:type="dxa"/>
            <w:vAlign w:val="bottom"/>
          </w:tcPr>
          <w:p>
            <w:pPr>
              <w:spacing w:after="0"/>
              <w:rPr>
                <w:sz w:val="1"/>
                <w:szCs w:val="1"/>
                <w:color w:val="auto"/>
              </w:rPr>
            </w:pP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(107,614)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(93,864)</w:t>
            </w:r>
          </w:p>
        </w:tc>
        <w:tc>
          <w:tcPr>
            <w:tcW w:w="0" w:type="dxa"/>
            <w:vAlign w:val="bottom"/>
          </w:tcPr>
          <w:p>
            <w:pPr>
              <w:spacing w:after="0"/>
              <w:rPr>
                <w:sz w:val="1"/>
                <w:szCs w:val="1"/>
                <w:color w:val="auto"/>
              </w:rPr>
            </w:pP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35,876</w:t>
            </w:r>
          </w:p>
        </w:tc>
        <w:tc>
          <w:tcPr>
            <w:tcW w:w="0" w:type="dxa"/>
            <w:vAlign w:val="bottom"/>
          </w:tcPr>
          <w:p>
            <w:pPr>
              <w:spacing w:after="0"/>
              <w:rPr>
                <w:sz w:val="1"/>
                <w:szCs w:val="1"/>
                <w:color w:val="auto"/>
              </w:rPr>
            </w:pPr>
          </w:p>
        </w:tc>
      </w:tr>
      <w:tr>
        <w:trPr>
          <w:trHeight w:val="237"/>
        </w:trPr>
        <w:tc>
          <w:tcPr>
            <w:tcW w:w="7360" w:type="dxa"/>
            <w:vAlign w:val="bottom"/>
          </w:tcPr>
          <w:p>
            <w:pPr>
              <w:ind w:left="280"/>
              <w:spacing w:after="0"/>
              <w:rPr>
                <w:sz w:val="20"/>
                <w:szCs w:val="20"/>
                <w:color w:val="auto"/>
              </w:rPr>
            </w:pPr>
            <w:r>
              <w:rPr>
                <w:rFonts w:ascii="Arial" w:cs="Arial" w:eastAsia="Arial" w:hAnsi="Arial"/>
                <w:sz w:val="16"/>
                <w:szCs w:val="16"/>
                <w:color w:val="auto"/>
              </w:rPr>
              <w:t>Effect of exchange rate changes on cash</w:t>
            </w: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33"/>
        </w:trPr>
        <w:tc>
          <w:tcPr>
            <w:tcW w:w="7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(34,788)</w:t>
            </w:r>
          </w:p>
        </w:tc>
        <w:tc>
          <w:tcPr>
            <w:tcW w:w="0" w:type="dxa"/>
            <w:vAlign w:val="bottom"/>
          </w:tcPr>
          <w:p>
            <w:pPr>
              <w:spacing w:after="0"/>
              <w:rPr>
                <w:sz w:val="1"/>
                <w:szCs w:val="1"/>
                <w:color w:val="auto"/>
              </w:rPr>
            </w:pPr>
          </w:p>
        </w:tc>
      </w:tr>
      <w:tr>
        <w:trPr>
          <w:trHeight w:val="217"/>
        </w:trPr>
        <w:tc>
          <w:tcPr>
            <w:tcW w:w="7360" w:type="dxa"/>
            <w:vAlign w:val="bottom"/>
          </w:tcPr>
          <w:p>
            <w:pPr>
              <w:ind w:left="40"/>
              <w:spacing w:after="0"/>
              <w:rPr>
                <w:sz w:val="20"/>
                <w:szCs w:val="20"/>
                <w:color w:val="auto"/>
              </w:rPr>
            </w:pPr>
            <w:r>
              <w:rPr>
                <w:rFonts w:ascii="Arial" w:cs="Arial" w:eastAsia="Arial" w:hAnsi="Arial"/>
                <w:sz w:val="16"/>
                <w:szCs w:val="16"/>
                <w:color w:val="auto"/>
              </w:rPr>
              <w:t>Cash, restricted cash and cash equivalents at beginning of period</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147,634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147,872</w:t>
            </w:r>
          </w:p>
        </w:tc>
        <w:tc>
          <w:tcPr>
            <w:tcW w:w="0" w:type="dxa"/>
            <w:vAlign w:val="bottom"/>
          </w:tcPr>
          <w:p>
            <w:pPr>
              <w:spacing w:after="0"/>
              <w:rPr>
                <w:sz w:val="1"/>
                <w:szCs w:val="1"/>
                <w:color w:val="auto"/>
              </w:rPr>
            </w:pPr>
          </w:p>
        </w:tc>
      </w:tr>
      <w:tr>
        <w:trPr>
          <w:trHeight w:val="33"/>
        </w:trPr>
        <w:tc>
          <w:tcPr>
            <w:tcW w:w="7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restricted cash and cash equivalents at end of period</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113,084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113,084</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60" w:type="dxa"/>
            <w:vAlign w:val="bottom"/>
          </w:tcPr>
          <w:p>
            <w:pPr>
              <w:ind w:left="280"/>
              <w:spacing w:after="0"/>
              <w:rPr>
                <w:sz w:val="20"/>
                <w:szCs w:val="20"/>
                <w:color w:val="auto"/>
              </w:rPr>
            </w:pPr>
            <w:r>
              <w:rPr>
                <w:rFonts w:ascii="Arial" w:cs="Arial" w:eastAsia="Arial" w:hAnsi="Arial"/>
                <w:sz w:val="16"/>
                <w:szCs w:val="16"/>
                <w:color w:val="auto"/>
              </w:rPr>
              <w:t>Cash and cash equivalents per the Condensed Consolidated Balance Sheet</w:t>
            </w:r>
          </w:p>
        </w:tc>
        <w:tc>
          <w:tcPr>
            <w:tcW w:w="16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113,084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(26,302)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86,782</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Restricted cash per the Condensed Consolidated Balance Sheet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26,302</w:t>
            </w:r>
          </w:p>
        </w:tc>
        <w:tc>
          <w:tcPr>
            <w:tcW w:w="0" w:type="dxa"/>
            <w:vAlign w:val="bottom"/>
          </w:tcPr>
          <w:p>
            <w:pPr>
              <w:spacing w:after="0"/>
              <w:rPr>
                <w:sz w:val="1"/>
                <w:szCs w:val="1"/>
                <w:color w:val="auto"/>
              </w:rPr>
            </w:pPr>
          </w:p>
        </w:tc>
      </w:tr>
      <w:tr>
        <w:trPr>
          <w:trHeight w:val="284"/>
        </w:trPr>
        <w:tc>
          <w:tcPr>
            <w:tcW w:w="7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cash, cash equivalents and restricted cash</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113,084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113,084</w:t>
            </w:r>
          </w:p>
        </w:tc>
        <w:tc>
          <w:tcPr>
            <w:tcW w:w="0" w:type="dxa"/>
            <w:vAlign w:val="bottom"/>
          </w:tcPr>
          <w:p>
            <w:pPr>
              <w:spacing w:after="0"/>
              <w:rPr>
                <w:sz w:val="1"/>
                <w:szCs w:val="1"/>
                <w:color w:val="auto"/>
              </w:rPr>
            </w:pPr>
          </w:p>
        </w:tc>
      </w:tr>
      <w:tr>
        <w:trPr>
          <w:trHeight w:val="311"/>
        </w:trPr>
        <w:tc>
          <w:tcPr>
            <w:tcW w:w="7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paid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1,780</w:t>
            </w:r>
          </w:p>
        </w:tc>
        <w:tc>
          <w:tcPr>
            <w:tcW w:w="0" w:type="dxa"/>
            <w:vAlign w:val="bottom"/>
          </w:tcPr>
          <w:p>
            <w:pPr>
              <w:spacing w:after="0"/>
              <w:rPr>
                <w:sz w:val="1"/>
                <w:szCs w:val="1"/>
                <w:color w:val="auto"/>
              </w:rPr>
            </w:pPr>
          </w:p>
        </w:tc>
      </w:tr>
      <w:tr>
        <w:trPr>
          <w:trHeight w:val="244"/>
        </w:trPr>
        <w:tc>
          <w:tcPr>
            <w:tcW w:w="7360" w:type="dxa"/>
            <w:vAlign w:val="bottom"/>
          </w:tcPr>
          <w:p>
            <w:pPr>
              <w:ind w:left="280"/>
              <w:spacing w:after="0"/>
              <w:rPr>
                <w:sz w:val="20"/>
                <w:szCs w:val="20"/>
                <w:color w:val="auto"/>
              </w:rPr>
            </w:pPr>
            <w:r>
              <w:rPr>
                <w:rFonts w:ascii="Arial" w:cs="Arial" w:eastAsia="Arial" w:hAnsi="Arial"/>
                <w:sz w:val="16"/>
                <w:szCs w:val="16"/>
                <w:color w:val="auto"/>
              </w:rPr>
              <w:t>Cash paid for interest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1,533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1,533</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Intralinks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On January 19, 2017, the Company purchased all outstanding shares of Intralinks Holdings, Inc. (“Intralinks”). In connection with the acquisition, the Company entered into a $900.0 million senior secured term loan (the “2017 Term Facility”), as of the date of acquisition. Intralinks is a global technology provider of Software as a service (“SaaS”) solutions for secure enterprise content collaboration within and among organizations. Intralinks’ cloud-based solutions enable organizations to securely manage, control, track, search, exchange and collaborate on sensitive information inside and outside the firewall. The total purchase price consideration consisted of the repayment of existing Intralinks indebtedness, and non-cash consideration for services rendered on unvested Intralinks equity awards that were converted into the Company equity awards on the acquisition date. The acquisition was primarily funded from the proceeds of the $900.0 million credit agreement as of the date of acquisition (See </w:t>
      </w:r>
      <w:r>
        <w:rPr>
          <w:rFonts w:ascii="Arial" w:cs="Arial" w:eastAsia="Arial" w:hAnsi="Arial"/>
          <w:sz w:val="16"/>
          <w:szCs w:val="16"/>
          <w:i w:val="1"/>
          <w:iCs w:val="1"/>
          <w:color w:val="auto"/>
        </w:rPr>
        <w:t>Note 7 - Debt</w:t>
      </w:r>
      <w:r>
        <w:rPr>
          <w:rFonts w:ascii="Arial" w:cs="Arial" w:eastAsia="Arial" w:hAnsi="Arial"/>
          <w:sz w:val="16"/>
          <w:szCs w:val="16"/>
          <w:color w:val="auto"/>
        </w:rPr>
        <w:t xml:space="preserve"> for further discussion regarding the credit agreement).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ind w:left="340"/>
              <w:spacing w:after="0"/>
              <w:rPr>
                <w:sz w:val="20"/>
                <w:szCs w:val="20"/>
                <w:color w:val="auto"/>
              </w:rPr>
            </w:pPr>
            <w:r>
              <w:rPr>
                <w:rFonts w:ascii="Arial" w:cs="Arial" w:eastAsia="Arial" w:hAnsi="Arial"/>
                <w:sz w:val="18"/>
                <w:szCs w:val="18"/>
                <w:color w:val="auto"/>
              </w:rPr>
              <w:t>The following is a summary of the components of the consideration transferred as part of the acquisition:</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0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consideration for outstanding Intralinks' common shares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746,071</w:t>
            </w:r>
          </w:p>
        </w:tc>
        <w:tc>
          <w:tcPr>
            <w:tcW w:w="0" w:type="dxa"/>
            <w:vAlign w:val="bottom"/>
          </w:tcPr>
          <w:p>
            <w:pPr>
              <w:spacing w:after="0"/>
              <w:rPr>
                <w:sz w:val="1"/>
                <w:szCs w:val="1"/>
                <w:color w:val="auto"/>
              </w:rPr>
            </w:pP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Cash consideration for accelerated equity awards to Intralinks' employees upon change in control</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7,873</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consideration for vested unexercised Intralinks' stock options</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19,838</w:t>
            </w:r>
          </w:p>
        </w:tc>
        <w:tc>
          <w:tcPr>
            <w:tcW w:w="0" w:type="dxa"/>
            <w:vAlign w:val="bottom"/>
          </w:tcPr>
          <w:p>
            <w:pPr>
              <w:spacing w:after="0"/>
              <w:rPr>
                <w:sz w:val="1"/>
                <w:szCs w:val="1"/>
                <w:color w:val="auto"/>
              </w:rPr>
            </w:pP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Cash consideration for existing Intralinks' debt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77,800</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consideration for shareholders purchase price settlement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Total cash consideration transferred</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854,376</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Fair value of replacement awards</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Total consideration transferred</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859,078</w:t>
            </w:r>
          </w:p>
        </w:tc>
        <w:tc>
          <w:tcPr>
            <w:tcW w:w="0" w:type="dxa"/>
            <w:vAlign w:val="bottom"/>
          </w:tcPr>
          <w:p>
            <w:pPr>
              <w:spacing w:after="0"/>
              <w:rPr>
                <w:sz w:val="1"/>
                <w:szCs w:val="1"/>
                <w:color w:val="auto"/>
              </w:rPr>
            </w:pPr>
          </w:p>
        </w:tc>
      </w:tr>
      <w:tr>
        <w:trPr>
          <w:trHeight w:val="20"/>
        </w:trPr>
        <w:tc>
          <w:tcPr>
            <w:tcW w:w="10060" w:type="dxa"/>
            <w:vAlign w:val="bottom"/>
            <w:vMerge w:val="restart"/>
          </w:tcPr>
          <w:p>
            <w:pPr>
              <w:ind w:left="5620"/>
              <w:spacing w:after="0"/>
              <w:rPr>
                <w:sz w:val="20"/>
                <w:szCs w:val="20"/>
                <w:color w:val="auto"/>
              </w:rPr>
            </w:pPr>
            <w:r>
              <w:rPr>
                <w:rFonts w:ascii="Arial" w:cs="Arial" w:eastAsia="Arial" w:hAnsi="Arial"/>
                <w:sz w:val="18"/>
                <w:szCs w:val="18"/>
                <w:color w:val="auto"/>
              </w:rPr>
              <w:t>20</w:t>
            </w: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00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purchase price allocation as of the date of the acquisition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180" w:type="dxa"/>
            <w:vAlign w:val="bottom"/>
          </w:tcPr>
          <w:p>
            <w:pPr>
              <w:spacing w:after="0"/>
              <w:rPr>
                <w:sz w:val="17"/>
                <w:szCs w:val="17"/>
                <w:color w:val="auto"/>
              </w:rPr>
            </w:pPr>
          </w:p>
        </w:tc>
        <w:tc>
          <w:tcPr>
            <w:tcW w:w="1300" w:type="dxa"/>
            <w:vAlign w:val="bottom"/>
          </w:tcPr>
          <w:p>
            <w:pPr>
              <w:jc w:val="right"/>
              <w:ind w:right="131"/>
              <w:spacing w:after="0"/>
              <w:rPr>
                <w:sz w:val="20"/>
                <w:szCs w:val="20"/>
                <w:color w:val="auto"/>
              </w:rPr>
            </w:pPr>
            <w:r>
              <w:rPr>
                <w:rFonts w:ascii="Arial" w:cs="Arial" w:eastAsia="Arial" w:hAnsi="Arial"/>
                <w:sz w:val="16"/>
                <w:szCs w:val="16"/>
                <w:b w:val="1"/>
                <w:bCs w:val="1"/>
                <w:color w:val="auto"/>
                <w:w w:val="91"/>
              </w:rPr>
              <w:t>Purchase Price</w:t>
            </w:r>
          </w:p>
        </w:tc>
      </w:tr>
      <w:tr>
        <w:trPr>
          <w:trHeight w:val="210"/>
        </w:trPr>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Life in Years</w:t>
            </w:r>
          </w:p>
        </w:tc>
        <w:tc>
          <w:tcPr>
            <w:tcW w:w="180" w:type="dxa"/>
            <w:vAlign w:val="bottom"/>
          </w:tcPr>
          <w:p>
            <w:pPr>
              <w:spacing w:after="0"/>
              <w:rPr>
                <w:sz w:val="18"/>
                <w:szCs w:val="18"/>
                <w:color w:val="auto"/>
              </w:rPr>
            </w:pPr>
          </w:p>
        </w:tc>
        <w:tc>
          <w:tcPr>
            <w:tcW w:w="1300" w:type="dxa"/>
            <w:vAlign w:val="bottom"/>
          </w:tcPr>
          <w:p>
            <w:pPr>
              <w:jc w:val="right"/>
              <w:ind w:right="291"/>
              <w:spacing w:after="0"/>
              <w:rPr>
                <w:sz w:val="20"/>
                <w:szCs w:val="20"/>
                <w:color w:val="auto"/>
              </w:rPr>
            </w:pPr>
            <w:r>
              <w:rPr>
                <w:rFonts w:ascii="Arial" w:cs="Arial" w:eastAsia="Arial" w:hAnsi="Arial"/>
                <w:sz w:val="16"/>
                <w:szCs w:val="16"/>
                <w:b w:val="1"/>
                <w:bCs w:val="1"/>
                <w:color w:val="auto"/>
              </w:rPr>
              <w:t>Allocation</w:t>
            </w:r>
          </w:p>
        </w:tc>
      </w:tr>
      <w:tr>
        <w:trPr>
          <w:trHeight w:val="33"/>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Cash</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39,370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Accounts receivable</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46,182</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assets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9,775</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14,075</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482,822</w:t>
            </w:r>
          </w:p>
        </w:tc>
      </w:tr>
      <w:tr>
        <w:trPr>
          <w:trHeight w:val="203"/>
        </w:trPr>
        <w:tc>
          <w:tcPr>
            <w:tcW w:w="83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70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Developed technology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79,400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Capitalized software costs</w:t>
            </w: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277</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Trade name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47,800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284,100</w:t>
            </w: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411,577</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Other assets, long-term</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3,865</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Investment in unconsolidated affiliate</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5,800</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 assets acquired</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1,013,466</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70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4,853</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21,421</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Deferred revenues, short-term</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12,449</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Deferred tax liability</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110,044</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Deferred revenues, long-term</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1,051</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liabilities, long-term</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4,570</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 liabilities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154,388</w:t>
            </w: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859,078</w:t>
            </w: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goodwill recorded in connection with this acquisition was primarily attributed to operating synergies and other benefits expected to result from the combined operations and the assembled workforce acquired. The goodwill acquired is not deductible for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Held For Sale Classification</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the second quarter of 2017, the Company received a non-binding indication of interest from Siris to acquire the Company and the Company’s Board of Directors decided to explore a broad range of strategic alternatives to a sale of the Company, which included the sale of Intralinks. With the closing of the Intralinks Transaction on November 14, 2017, and as a result of this plan of disposal, the assets and liabilities of Intralinks have been classified as held for sale in our Consolidated Condensed Balance Sheet at March 31, 2017. The Company has also presented the operations of the business as discontinued operations in the Consolidated Condensed Statement of Operations for the three months ended March 31, 2017 to provide consistent presentation with our recently filed Form 10-K for the year ended December 31, 2017 and with our subsequent filings of all of the Company’s quarterly reports on Form 10-Q in 2017, following the filing of our annual report on Form 10-K for the year ended December 31, 2017. The Company’s election to disclose such amounts as held for sale are due to continued reporting delays of this Form 10-Q as part of the Company’s restatement process.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Openwave Messaging, Inc. (“Openwave”)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1, 2016, the Company acquired all outstanding shares of Openwave for $114.5 million, net of working capital adjustments and liabilities assumed, comprised of $92.5 million paid in cash and $22.0 million paid in shares of the Company’s common stock, based upon the average market value of the common stock for the ten trading days prior to the acquisition date.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Openwave’s product portfolio includes its core complete messaging platform optimized for today’s most complex messaging requirements worldwide with a particular geographic strength in Asia-Pacific. With this acquisition and combined with Synchronoss’ current global footprint, Synchronoss will have increased direct access to subscribers around the world for the Synchronoss Personal Cloud™ platform and bolster the Company’s go-to-market efforts internationally.</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acquisition of Openwave, the Company entered into $10.0 million patent settlement agreement. The Company determined that the transaction was negotiated in the overall consideration paid for the purchase of Openwave, and as result, the proceeds were reflected as a reduction in the Company’s purchase price.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components of the consideration transferred as part of the acquisition: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4"/>
          </w:tcPr>
          <w:p>
            <w:pPr>
              <w:jc w:val="right"/>
              <w:ind w:right="320"/>
              <w:spacing w:after="0"/>
              <w:rPr>
                <w:sz w:val="20"/>
                <w:szCs w:val="20"/>
                <w:color w:val="auto"/>
              </w:rPr>
            </w:pPr>
            <w:r>
              <w:rPr>
                <w:rFonts w:ascii="Arial" w:cs="Arial" w:eastAsia="Arial" w:hAnsi="Arial"/>
                <w:sz w:val="16"/>
                <w:szCs w:val="16"/>
                <w:b w:val="1"/>
                <w:bCs w:val="1"/>
                <w:color w:val="auto"/>
                <w:w w:val="94"/>
              </w:rPr>
              <w:t>(Restated)</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consideration for outstanding common shares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102,538</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Issuance of Common Stock</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Intellectual Property Settlement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consideration transferred</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114,538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Common Stock</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Cash Consideration Transferred</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92,538</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340"/>
              <w:spacing w:after="0"/>
              <w:rPr>
                <w:sz w:val="20"/>
                <w:szCs w:val="20"/>
                <w:color w:val="auto"/>
              </w:rPr>
            </w:pPr>
            <w:r>
              <w:rPr>
                <w:rFonts w:ascii="Arial" w:cs="Arial" w:eastAsia="Arial" w:hAnsi="Arial"/>
                <w:sz w:val="18"/>
                <w:szCs w:val="18"/>
                <w:color w:val="auto"/>
              </w:rPr>
              <w:t>The Company determined the fair value of the net assets acquired as follows:</w:t>
            </w: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800" w:type="dxa"/>
            <w:vAlign w:val="bottom"/>
            <w:vMerge w:val="restart"/>
          </w:tcPr>
          <w:p>
            <w:pPr>
              <w:ind w:left="4000"/>
              <w:spacing w:after="0"/>
              <w:rPr>
                <w:sz w:val="20"/>
                <w:szCs w:val="20"/>
                <w:color w:val="auto"/>
              </w:rPr>
            </w:pPr>
            <w:r>
              <w:rPr>
                <w:rFonts w:ascii="Arial" w:cs="Arial" w:eastAsia="Arial" w:hAnsi="Arial"/>
                <w:sz w:val="18"/>
                <w:szCs w:val="18"/>
                <w:b w:val="1"/>
                <w:bCs w:val="1"/>
                <w:color w:val="auto"/>
              </w:rPr>
              <w:t>(Restated)</w:t>
            </w:r>
          </w:p>
        </w:tc>
        <w:tc>
          <w:tcPr>
            <w:tcW w:w="200" w:type="dxa"/>
            <w:vAlign w:val="bottom"/>
          </w:tcPr>
          <w:p>
            <w:pPr>
              <w:spacing w:after="0"/>
              <w:rPr>
                <w:sz w:val="24"/>
                <w:szCs w:val="24"/>
                <w:color w:val="auto"/>
              </w:rPr>
            </w:pPr>
          </w:p>
        </w:tc>
        <w:tc>
          <w:tcPr>
            <w:tcW w:w="1340" w:type="dxa"/>
            <w:vAlign w:val="bottom"/>
            <w:gridSpan w:val="2"/>
          </w:tcPr>
          <w:p>
            <w:pPr>
              <w:jc w:val="right"/>
              <w:ind w:right="130"/>
              <w:spacing w:after="0"/>
              <w:rPr>
                <w:sz w:val="20"/>
                <w:szCs w:val="20"/>
                <w:color w:val="auto"/>
              </w:rPr>
            </w:pPr>
            <w:r>
              <w:rPr>
                <w:rFonts w:ascii="Arial" w:cs="Arial" w:eastAsia="Arial" w:hAnsi="Arial"/>
                <w:sz w:val="16"/>
                <w:szCs w:val="16"/>
                <w:b w:val="1"/>
                <w:bCs w:val="1"/>
                <w:color w:val="auto"/>
                <w:w w:val="95"/>
              </w:rPr>
              <w:t>Purchase Price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90"/>
              <w:spacing w:after="0"/>
              <w:rPr>
                <w:sz w:val="20"/>
                <w:szCs w:val="20"/>
                <w:color w:val="auto"/>
              </w:rPr>
            </w:pPr>
            <w:r>
              <w:rPr>
                <w:rFonts w:ascii="Arial" w:cs="Arial" w:eastAsia="Arial" w:hAnsi="Arial"/>
                <w:sz w:val="16"/>
                <w:szCs w:val="16"/>
                <w:b w:val="1"/>
                <w:bCs w:val="1"/>
                <w:color w:val="auto"/>
              </w:rPr>
              <w:t>Allocation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3,005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&amp;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Long term assets</w:t>
            </w:r>
          </w:p>
        </w:tc>
        <w:tc>
          <w:tcPr>
            <w:tcW w:w="20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1,870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line="202" w:lineRule="exact"/>
              <w:rPr>
                <w:sz w:val="20"/>
                <w:szCs w:val="20"/>
                <w:color w:val="auto"/>
              </w:rPr>
            </w:pPr>
            <w:r>
              <w:rPr>
                <w:rFonts w:ascii="Arial" w:cs="Arial" w:eastAsia="Arial" w:hAnsi="Arial"/>
                <w:sz w:val="18"/>
                <w:szCs w:val="18"/>
                <w:color w:val="auto"/>
              </w:rPr>
              <w:t>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Wtd. Avg.</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Trade name</w:t>
            </w:r>
          </w:p>
        </w:tc>
        <w:tc>
          <w:tcPr>
            <w:tcW w:w="20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1 year</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32,100</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7 years</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29,000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10 years</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81,015</w:t>
            </w: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154,982</w:t>
            </w:r>
          </w:p>
        </w:tc>
        <w:tc>
          <w:tcPr>
            <w:tcW w:w="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17,622</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Deferred revenues</w:t>
            </w:r>
          </w:p>
        </w:tc>
        <w:tc>
          <w:tcPr>
            <w:tcW w:w="20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7,331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 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15,491</w:t>
            </w: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114,538</w:t>
            </w:r>
          </w:p>
        </w:tc>
        <w:tc>
          <w:tcPr>
            <w:tcW w:w="60" w:type="dxa"/>
            <w:vAlign w:val="bottom"/>
            <w:tcBorders>
              <w:top w:val="single" w:sz="8" w:color="auto"/>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goodwill recorded in connection with this acquisition was based on operating synergies and other benefits expected to result from the combined operations and the assembled workforce acquired. The goodwill acquired is not deductible for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Costs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Total acquisition-related costs recognized during the three months ended March 31, 2017 and 2016 including transaction costs such as legal, accounting, valuation and other professional services, were $11.8 million and $1.3 million, respectively, and are included in selling, general and administrative expense in the Condensed Consolidated Statements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SpeechCycle</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February 1, 2017 the Company completed a divestiture of its SpeechCycle business, to an unrelated third party, for consideration of $13.5 million. As part of the divestiture, the Company entered into a one year transition services agreement with the acquiring company to support various indirect activities such as customer software support, technical support services, maintenance and general administrative support services.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recorded a pre-tax gain of $4.9 million as a result of the divestiture which is included in other income (expense), net in the Condensed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Sequential Technology International, LLC (“STIN”)</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On December 16, 2016, Synchronoss completed a divestiture of a portion of its business process outsourcing (“BPO”) carrier activation business to a newly formed entity named STIN which had a total value of $140.8 million. As part of the sales arrangement, Synchronoss will retain a 30% investment in STIN. Sequential Technology International Holdings, LLC (“STIH”), an unrelated third party that was formerly named Omniglobe International LLC, will own the remaining 70% of STIN. STIH financed the purchase of these assets through cash of $27.3 million (including $10.0 million of license), a new term loan with Goldman Sachs Bank (“Goldman”), and a related party subordinated seller’s note receivable with a par value of $83.0 million issued by Synchronoss, which is secured by STIH’s interest in STIN. The sellers note was issued at a discount, with a transaction value of $69.8 million. The sellers note earns interest at a rate of </w:t>
      </w:r>
      <w:r>
        <w:rPr>
          <w:rFonts w:ascii="Arial" w:cs="Arial" w:eastAsia="Arial" w:hAnsi="Arial"/>
          <w:sz w:val="16"/>
          <w:szCs w:val="16"/>
          <w:color w:val="333333"/>
        </w:rPr>
        <w:t>LIBO</w:t>
      </w:r>
      <w:r>
        <w:rPr>
          <w:rFonts w:ascii="Arial" w:cs="Arial" w:eastAsia="Arial" w:hAnsi="Arial"/>
          <w:sz w:val="16"/>
          <w:szCs w:val="16"/>
          <w:color w:val="auto"/>
        </w:rPr>
        <w:t>R plus 1100 bps per annum and matures on June 16, 2022. On December 22, 2016, the Company entered into a non-exclusive perpetual license agreement with STIH, for the consideration of $10.0 million. The Company determined that the license agreement was negotiated with the sale, and in the overall consideration paid for the purchase of STIN, and as a result, the proceeds from sale of the perpetual license were reflected as additional consideration received from the sale of its BPO business, resulting in additional gain recognized on the sale.</w:t>
      </w:r>
    </w:p>
    <w:p>
      <w:pPr>
        <w:spacing w:after="0" w:line="16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Additionally, as part of its divestiture, the Company provided a guarantee to Goldman for $30.0 million of the $40.0 million in senior debt extended by Goldman to STIH which is referenced as the Third Party Note in </w:t>
      </w:r>
      <w:r>
        <w:rPr>
          <w:rFonts w:ascii="Arial" w:cs="Arial" w:eastAsia="Arial" w:hAnsi="Arial"/>
          <w:sz w:val="18"/>
          <w:szCs w:val="18"/>
          <w:i w:val="1"/>
          <w:iCs w:val="1"/>
          <w:color w:val="auto"/>
        </w:rPr>
        <w:t>Note 6 - Investments in Affiliates and Related Transactions.”</w:t>
      </w:r>
      <w:r>
        <w:rPr>
          <w:rFonts w:ascii="Arial" w:cs="Arial" w:eastAsia="Arial" w:hAnsi="Arial"/>
          <w:sz w:val="18"/>
          <w:szCs w:val="18"/>
          <w:color w:val="auto"/>
        </w:rPr>
        <w:t xml:space="preserve"> The Company recognized the guarantee on the date of the transaction as a reduction in the gain on sale in the amount of $0.6 million.</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and STIH agreed to a put and call option in regards to the Company’s equity interest in STIN. The Company will have the right to exercise a put option at any time to sell its interest in STIN, at the fair market value determined at the date of exercise. Additionally, STIH will have the right to exercise a call option at any time to purchase the interest in STIN at the fair market value determined at the date of exercise.</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determined that the put and call options are embedded within the host contract and do not require bifurcation and separate accounting treatment. STIN has been determined to be a VIE of which the Company is not the primary beneficiary.</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As part of the divestiture, Synchronoss entered into a three year MSA with STIN to provide for access to certain platforms, and assets necessary to perform certain tasks, as part of the exception handling process. See </w:t>
      </w:r>
      <w:r>
        <w:rPr>
          <w:rFonts w:ascii="Arial" w:cs="Arial" w:eastAsia="Arial" w:hAnsi="Arial"/>
          <w:sz w:val="18"/>
          <w:szCs w:val="18"/>
          <w:i w:val="1"/>
          <w:iCs w:val="1"/>
          <w:color w:val="auto"/>
        </w:rPr>
        <w:t>Note 6 - Investments in Affiliates and Related Transactions</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summary of the operating results of BPO which have been reflected within income from discontinued operations, net of tax:</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2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Three Months Ended</w:t>
            </w:r>
          </w:p>
        </w:tc>
      </w:tr>
      <w:tr>
        <w:trPr>
          <w:trHeight w:val="203"/>
        </w:trPr>
        <w:tc>
          <w:tcPr>
            <w:tcW w:w="9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center"/>
              <w:ind w:right="112"/>
              <w:spacing w:after="0"/>
              <w:rPr>
                <w:sz w:val="20"/>
                <w:szCs w:val="20"/>
                <w:color w:val="auto"/>
              </w:rPr>
            </w:pPr>
            <w:r>
              <w:rPr>
                <w:rFonts w:ascii="Arial" w:cs="Arial" w:eastAsia="Arial" w:hAnsi="Arial"/>
                <w:sz w:val="16"/>
                <w:szCs w:val="16"/>
                <w:b w:val="1"/>
                <w:bCs w:val="1"/>
                <w:color w:val="auto"/>
                <w:w w:val="94"/>
              </w:rPr>
              <w:t>March 31, 2016</w:t>
            </w:r>
          </w:p>
        </w:tc>
      </w:tr>
      <w:tr>
        <w:trPr>
          <w:trHeight w:val="210"/>
        </w:trPr>
        <w:tc>
          <w:tcPr>
            <w:tcW w:w="9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112"/>
              <w:spacing w:after="0"/>
              <w:rPr>
                <w:sz w:val="20"/>
                <w:szCs w:val="20"/>
                <w:color w:val="auto"/>
              </w:rPr>
            </w:pPr>
            <w:r>
              <w:rPr>
                <w:rFonts w:ascii="Arial" w:cs="Arial" w:eastAsia="Arial" w:hAnsi="Arial"/>
                <w:sz w:val="16"/>
                <w:szCs w:val="16"/>
                <w:b w:val="1"/>
                <w:bCs w:val="1"/>
                <w:color w:val="auto"/>
                <w:w w:val="91"/>
              </w:rPr>
              <w:t>(Restated)</w:t>
            </w:r>
          </w:p>
        </w:tc>
      </w:tr>
      <w:tr>
        <w:trPr>
          <w:trHeight w:val="33"/>
        </w:trPr>
        <w:tc>
          <w:tcPr>
            <w:tcW w:w="9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36,356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21,858</w:t>
            </w: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719</w:t>
            </w: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22,577</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Income from discontinued operations before taxes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13,779</w:t>
            </w: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(14,965)</w:t>
            </w:r>
          </w:p>
        </w:tc>
      </w:tr>
      <w:tr>
        <w:trPr>
          <w:trHeight w:val="237"/>
        </w:trPr>
        <w:tc>
          <w:tcPr>
            <w:tcW w:w="9820" w:type="dxa"/>
            <w:vAlign w:val="bottom"/>
          </w:tcPr>
          <w:p>
            <w:pPr>
              <w:ind w:left="180"/>
              <w:spacing w:after="0"/>
              <w:rPr>
                <w:sz w:val="20"/>
                <w:szCs w:val="20"/>
                <w:color w:val="auto"/>
              </w:rPr>
            </w:pPr>
            <w:r>
              <w:rPr>
                <w:rFonts w:ascii="Arial" w:cs="Arial" w:eastAsia="Arial" w:hAnsi="Arial"/>
                <w:sz w:val="18"/>
                <w:szCs w:val="18"/>
                <w:color w:val="auto"/>
              </w:rPr>
              <w:t>Discontinued operations, net of taxes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(1,186)</w:t>
            </w:r>
          </w:p>
        </w:tc>
      </w:tr>
      <w:tr>
        <w:trPr>
          <w:trHeight w:val="27"/>
        </w:trPr>
        <w:tc>
          <w:tcPr>
            <w:tcW w:w="9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financial results reflected above may not represent the BPO’s stand-alone operating results, as the results reported within income from discontinued operations, net of tax only include certain costs that are directly attributable to the BPO and exclude certain overhead costs that were previously allocated to the BPO for each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Mirapoint</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December 29, 2016, the Company completed the divestiture of the Company’s Mirapoint business to an unrelated third party and recorded a gain of $1.4 million on the sale, which is included in other income (expense), net in the Condensed Consolidated Statements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 - Divestiture of Intralinks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June 23, 2017, the Company received a non-binding indication of interest from Siris Capital Group, LLC (“Siris”) to acquire the Company. In light of the indication of interest, the Company’s Board of Directors decided to explore a broad range of strategic alternatives that would have the potential to unlock shareholder value. In October 2017, the Company concluded its review of strategic alternatives and determined that the best approach for the Company to achieve its goal of maximizing shareholder value was to focus on its core Telecommunication, Media and Technology (“TMT”) business, divest non-core assets and improve the Company’s balance sheet strength, cash position and potential profitability. Under the terms of certain definitive agreements, investment funds affiliated with Siris acquired all of the stock of the Company’s wholly-owned subsidiary, Intralinks for consideration of cash and an option for investment in convertible preferred equity of the Company.</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Subject to the terms and conditions set forth in the Share Purchase Agreement, dated as of October 17, 2017 (the “Share Purchase Agreement”), among Synchronoss, Intralinks and Impala Private Holdings II, LLC, an affiliate of Siris (“Impala”), a related party, due to its significant interest in common stock. Impala agreed to acquire from the Company the issued and outstanding shares of common stock of Intralinks for approximately $977.3 million in cash plus a potential contingent payment of up to $25.0 million, subject to an adjustment for cash, debt and working capital (the “Intralinks Transaction”). The total amount of funds used to complete the Intralinks Transaction and related transactions and pay related fees and expenses was approximately $1.0 billion, which was funded through a combination of equity and debt financing obtained by Impala.</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terms of the Share Purchase Agreement, the Company also provided Siris with a Siris Put Right (“Siris Put Right”), which would allow Silver to put shares held at the time, to Synchronoss at price of $14.56 per share, or $87.3 million in the aggregate. The Company determined that the Call option on the issuance of preferred and the Siris Put Right, together, represented one mandatorily redeemable financial instrument with a fair value of $33.6 million, which reduced the gain on sale of Intralinks.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the closing of the Intralinks Transaction on November 14, 2017, Impala acquired all of the issued and outstanding shares of Intralinks for approximately $991.0 million in cash, subject to post-closing adjustments for changes in cash, debt and working capital. If, in the future, Impala receives net cash proceeds in excess of $440.0 million from any sale of equity or assets of Intralinks, or a dividend or distribution in respect of the shares of Intralinks, then Impala is required to pay the Company up to an additional $25.0 million in cash or publicly traded securities. Immediately following the consummation of the Intralinks Transaction,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Company paid to Impala $5.0 million as partial reimbursement of the out-of-pocket fees and expenses incurred by Impala, Siris and their respective affiliates in connection with the execution of the Share Purchase Agreement and the Intralinks Transaction. Amounts reimbursed were recorded as a reduction to the gain on sale.</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accordance with the terms of the Share Purchase Agreement, dated as of October 17, 2017 (the “PIPE Purchase Agreement”), with Silver Private Holdings I, LLC, an affiliate of Siris (“Silver”), on February 15, 2018, we issued to Silver 185,000 shares of our newly issued Series A Convertible Participating Perpetual Preferred Stock (the “Series A Preferred Stock”), par value $0.0001 per share, with an initial liquidation preference of $1,000 per share, in exchange for $97.7 million in cash and the transfer from Silver to us of the 5,994,667 shares of our common stock held by Silver (the “Preferred Transaction”). In connection with the issuance of the Series A Preferred Stock, we (i) filed a Certificate of Designation with the State of Delaware setting forth the rights, preferences, privileges, qualifications, restrictions and limitations on the Series A Preferred Stock (the “Series A Certificate”) and (ii) entered into an Investor Rights Agreement with Silver setting forth certain registration, governance and preemptive rights of Silver with respect to us (the “Investor Rights Agreement”). See </w:t>
      </w:r>
      <w:r>
        <w:rPr>
          <w:rFonts w:ascii="Arial" w:cs="Arial" w:eastAsia="Arial" w:hAnsi="Arial"/>
          <w:sz w:val="17"/>
          <w:szCs w:val="17"/>
          <w:i w:val="1"/>
          <w:iCs w:val="1"/>
          <w:color w:val="auto"/>
        </w:rPr>
        <w:t>Note 9 - Stockholder’s Equity</w:t>
      </w:r>
      <w:r>
        <w:rPr>
          <w:rFonts w:ascii="Arial" w:cs="Arial" w:eastAsia="Arial" w:hAnsi="Arial"/>
          <w:sz w:val="17"/>
          <w:szCs w:val="17"/>
          <w:color w:val="auto"/>
        </w:rPr>
        <w:t xml:space="preserve"> for further discussion.</w:t>
      </w:r>
    </w:p>
    <w:p>
      <w:pPr>
        <w:spacing w:after="0" w:line="1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is a summary of the operating results of Intralinks during the quarter ended March 31, 2017, which have been reflected within income from discontinued operations, net of tax:</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39,259</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services</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8,756</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5,423</w:t>
            </w: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29,468</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Net change in contingent consideration obligation</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charges</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8,026</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10,138</w:t>
            </w:r>
          </w:p>
        </w:tc>
      </w:tr>
      <w:tr>
        <w:trPr>
          <w:trHeight w:val="27"/>
        </w:trPr>
        <w:tc>
          <w:tcPr>
            <w:tcW w:w="10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61,811</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Loss from discontinued operations</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(22,552)</w:t>
            </w: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Loss from discontinued operations, before taxes</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(22,282)</w:t>
            </w: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for income taxes</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6,148</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Discontinued operations, net of taxes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(16,134)</w:t>
            </w:r>
          </w:p>
        </w:tc>
      </w:tr>
      <w:tr>
        <w:trPr>
          <w:trHeight w:val="20"/>
        </w:trPr>
        <w:tc>
          <w:tcPr>
            <w:tcW w:w="10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 - SNCR, LLC</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fourth quarter of 2017, the Company entered into a termination agreement with Goldman to terminate the venture with Goldman, referred to as SNCR, LLC, and provide a perpetual, irrevocable license of the venture’s intellectual property for use in Goldman’s back-office. As part of the agreement, the Company was relieved of any future obligations to support Goldman’s use of the software. As a result, the Company recognized impairment charges of $1.0 million during the fourth quarter of 2017 upon the venture’s termination. The venture formally ended in the first quarter of 2018 resulting in the elimination of the associated redeemable noncontrolling interest balance of the first quarter of 2018, and an increase to Additional Paid In Capital balance of $12.8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 of Assets and Liabilities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 level hierarchy prioritizes the inputs used to measure fair value as follows:</w:t>
      </w:r>
    </w:p>
    <w:p>
      <w:pPr>
        <w:spacing w:after="0" w:line="18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1 - Observable inputs - quoted prices in active markets for identical assets and liabilities;</w:t>
      </w:r>
    </w:p>
    <w:p>
      <w:pPr>
        <w:spacing w:after="0" w:line="23"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spacing w:after="0" w:line="1"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3 - Unobservable inputs - includes amounts derived from valuation models where one or more significant inputs are unobservable and require the Company to develop relevant assumptions.</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assets, liabilities and redeemable noncontrolling interests and their related classifications under the fair value hierarchy: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3"/>
              </w:rPr>
              <w:t>March 31, 2017</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20"/>
                <w:szCs w:val="20"/>
                <w:color w:val="auto"/>
              </w:rPr>
            </w:pPr>
          </w:p>
        </w:tc>
        <w:tc>
          <w:tcPr>
            <w:tcW w:w="1040" w:type="dxa"/>
            <w:vAlign w:val="bottom"/>
          </w:tcPr>
          <w:p>
            <w:pPr>
              <w:jc w:val="right"/>
              <w:ind w:right="231"/>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140"/>
              <w:spacing w:after="0" w:line="270" w:lineRule="exact"/>
              <w:rPr>
                <w:sz w:val="20"/>
                <w:szCs w:val="20"/>
                <w:color w:val="auto"/>
              </w:rPr>
            </w:pPr>
            <w:r>
              <w:rPr>
                <w:rFonts w:ascii="Arial" w:cs="Arial" w:eastAsia="Arial" w:hAnsi="Arial"/>
                <w:sz w:val="18"/>
                <w:szCs w:val="18"/>
                <w:color w:val="auto"/>
              </w:rPr>
              <w:t xml:space="preserve">Cash, cash equivalents and restricted cash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240,757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240,757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tcPr>
          <w:p>
            <w:pPr>
              <w:ind w:left="140"/>
              <w:spacing w:after="0" w:line="270" w:lineRule="exact"/>
              <w:rPr>
                <w:sz w:val="20"/>
                <w:szCs w:val="20"/>
                <w:color w:val="auto"/>
              </w:rPr>
            </w:pPr>
            <w:r>
              <w:rPr>
                <w:rFonts w:ascii="Arial" w:cs="Arial" w:eastAsia="Arial" w:hAnsi="Arial"/>
                <w:sz w:val="18"/>
                <w:szCs w:val="18"/>
                <w:color w:val="auto"/>
              </w:rPr>
              <w:t xml:space="preserve">Marketable securities-short term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9,963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9,963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140"/>
              <w:spacing w:after="0" w:line="270" w:lineRule="exact"/>
              <w:rPr>
                <w:sz w:val="20"/>
                <w:szCs w:val="20"/>
                <w:color w:val="auto"/>
              </w:rPr>
            </w:pPr>
            <w:r>
              <w:rPr>
                <w:rFonts w:ascii="Arial" w:cs="Arial" w:eastAsia="Arial" w:hAnsi="Arial"/>
                <w:sz w:val="18"/>
                <w:szCs w:val="18"/>
                <w:color w:val="auto"/>
              </w:rPr>
              <w:t xml:space="preserve">Marketable securities-long term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252,400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240,757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11,643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140"/>
              <w:spacing w:after="0" w:line="270" w:lineRule="exact"/>
              <w:rPr>
                <w:sz w:val="20"/>
                <w:szCs w:val="20"/>
                <w:color w:val="auto"/>
              </w:rPr>
            </w:pPr>
            <w:r>
              <w:rPr>
                <w:rFonts w:ascii="Arial" w:cs="Arial" w:eastAsia="Arial" w:hAnsi="Arial"/>
                <w:sz w:val="18"/>
                <w:szCs w:val="18"/>
                <w:color w:val="auto"/>
              </w:rPr>
              <w:t xml:space="preserve">Contingent interest derivative </w:t>
            </w:r>
            <w:r>
              <w:rPr>
                <w:rFonts w:ascii="Arial" w:cs="Arial" w:eastAsia="Arial" w:hAnsi="Arial"/>
                <w:sz w:val="25"/>
                <w:szCs w:val="25"/>
                <w:color w:val="auto"/>
                <w:vertAlign w:val="superscript"/>
              </w:rPr>
              <w:t>(3)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Contingent consideration obligation</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3,119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Temporary Equity</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140"/>
              <w:spacing w:after="0" w:line="270" w:lineRule="exact"/>
              <w:rPr>
                <w:sz w:val="20"/>
                <w:szCs w:val="20"/>
                <w:color w:val="auto"/>
              </w:rPr>
            </w:pPr>
            <w:r>
              <w:rPr>
                <w:rFonts w:ascii="Arial" w:cs="Arial" w:eastAsia="Arial" w:hAnsi="Arial"/>
                <w:sz w:val="18"/>
                <w:szCs w:val="18"/>
                <w:color w:val="auto"/>
              </w:rPr>
              <w:t xml:space="preserve">Redeemable noncontrolling interests </w:t>
            </w:r>
            <w:r>
              <w:rPr>
                <w:rFonts w:ascii="Arial" w:cs="Arial" w:eastAsia="Arial" w:hAnsi="Arial"/>
                <w:sz w:val="25"/>
                <w:szCs w:val="25"/>
                <w:color w:val="auto"/>
                <w:vertAlign w:val="superscript"/>
              </w:rPr>
              <w:t>(4)</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25,280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25,280</w:t>
            </w: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temporary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25,280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25,280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0"/>
              </w:rPr>
              <w:t>December 31, 2016</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20"/>
                <w:szCs w:val="20"/>
                <w:color w:val="auto"/>
              </w:rPr>
            </w:pPr>
          </w:p>
        </w:tc>
        <w:tc>
          <w:tcPr>
            <w:tcW w:w="1040" w:type="dxa"/>
            <w:vAlign w:val="bottom"/>
          </w:tcPr>
          <w:p>
            <w:pPr>
              <w:jc w:val="right"/>
              <w:ind w:right="231"/>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jc w:val="center"/>
              <w:ind w:left="632"/>
              <w:spacing w:after="0"/>
              <w:rPr>
                <w:sz w:val="20"/>
                <w:szCs w:val="20"/>
                <w:color w:val="auto"/>
              </w:rPr>
            </w:pPr>
            <w:r>
              <w:rPr>
                <w:rFonts w:ascii="Arial" w:cs="Arial" w:eastAsia="Arial" w:hAnsi="Arial"/>
                <w:sz w:val="16"/>
                <w:szCs w:val="16"/>
                <w:b w:val="1"/>
                <w:bCs w:val="1"/>
                <w:color w:val="auto"/>
                <w:w w:val="89"/>
              </w:rPr>
              <w:t>(Restated)</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140"/>
              <w:spacing w:after="0" w:line="270" w:lineRule="exact"/>
              <w:rPr>
                <w:sz w:val="20"/>
                <w:szCs w:val="20"/>
                <w:color w:val="auto"/>
              </w:rPr>
            </w:pPr>
            <w:r>
              <w:rPr>
                <w:rFonts w:ascii="Arial" w:cs="Arial" w:eastAsia="Arial" w:hAnsi="Arial"/>
                <w:sz w:val="18"/>
                <w:szCs w:val="18"/>
                <w:color w:val="auto"/>
              </w:rPr>
              <w:t xml:space="preserve">Cash, cash equivalents and restricted cash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211,433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211,433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tcPr>
          <w:p>
            <w:pPr>
              <w:ind w:left="140"/>
              <w:spacing w:after="0" w:line="270" w:lineRule="exact"/>
              <w:rPr>
                <w:sz w:val="20"/>
                <w:szCs w:val="20"/>
                <w:color w:val="auto"/>
              </w:rPr>
            </w:pPr>
            <w:r>
              <w:rPr>
                <w:rFonts w:ascii="Arial" w:cs="Arial" w:eastAsia="Arial" w:hAnsi="Arial"/>
                <w:sz w:val="18"/>
                <w:szCs w:val="18"/>
                <w:color w:val="auto"/>
              </w:rPr>
              <w:t xml:space="preserve">Marketable securities-short term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12,506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12,506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140"/>
              <w:spacing w:after="0" w:line="270" w:lineRule="exact"/>
              <w:rPr>
                <w:sz w:val="20"/>
                <w:szCs w:val="20"/>
                <w:color w:val="auto"/>
              </w:rPr>
            </w:pPr>
            <w:r>
              <w:rPr>
                <w:rFonts w:ascii="Arial" w:cs="Arial" w:eastAsia="Arial" w:hAnsi="Arial"/>
                <w:sz w:val="18"/>
                <w:szCs w:val="18"/>
                <w:color w:val="auto"/>
              </w:rPr>
              <w:t xml:space="preserve">Marketable securities-long term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2,974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2,974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226,913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211,433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15,480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40"/>
              <w:spacing w:after="0"/>
              <w:rPr>
                <w:sz w:val="20"/>
                <w:szCs w:val="20"/>
                <w:color w:val="auto"/>
              </w:rPr>
            </w:pPr>
            <w:r>
              <w:rPr>
                <w:rFonts w:ascii="Arial" w:cs="Arial" w:eastAsia="Arial" w:hAnsi="Arial"/>
                <w:sz w:val="18"/>
                <w:szCs w:val="18"/>
                <w:color w:val="auto"/>
              </w:rPr>
              <w:t>Contingent consideration obligation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2,833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2,833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Temporary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140"/>
              <w:spacing w:after="0" w:line="270" w:lineRule="exact"/>
              <w:rPr>
                <w:sz w:val="20"/>
                <w:szCs w:val="20"/>
                <w:color w:val="auto"/>
              </w:rPr>
            </w:pPr>
            <w:r>
              <w:rPr>
                <w:rFonts w:ascii="Arial" w:cs="Arial" w:eastAsia="Arial" w:hAnsi="Arial"/>
                <w:sz w:val="18"/>
                <w:szCs w:val="18"/>
                <w:color w:val="auto"/>
              </w:rPr>
              <w:t xml:space="preserve">Redeemable noncontrolling interests </w:t>
            </w:r>
            <w:r>
              <w:rPr>
                <w:rFonts w:ascii="Arial" w:cs="Arial" w:eastAsia="Arial" w:hAnsi="Arial"/>
                <w:sz w:val="25"/>
                <w:szCs w:val="25"/>
                <w:color w:val="auto"/>
                <w:vertAlign w:val="superscript"/>
              </w:rPr>
              <w:t>(4)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25,280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25,280</w:t>
            </w:r>
          </w:p>
        </w:tc>
        <w:tc>
          <w:tcPr>
            <w:tcW w:w="0" w:type="dxa"/>
            <w:vAlign w:val="bottom"/>
          </w:tcPr>
          <w:p>
            <w:pPr>
              <w:spacing w:after="0"/>
              <w:rPr>
                <w:sz w:val="1"/>
                <w:szCs w:val="1"/>
                <w:color w:val="auto"/>
              </w:rPr>
            </w:pPr>
          </w:p>
        </w:tc>
      </w:tr>
      <w:tr>
        <w:trPr>
          <w:trHeight w:val="250"/>
        </w:trPr>
        <w:tc>
          <w:tcPr>
            <w:tcW w:w="6060" w:type="dxa"/>
            <w:vAlign w:val="bottom"/>
          </w:tcPr>
          <w:p>
            <w:pPr>
              <w:ind w:left="280"/>
              <w:spacing w:after="0"/>
              <w:rPr>
                <w:sz w:val="20"/>
                <w:szCs w:val="20"/>
                <w:color w:val="auto"/>
              </w:rPr>
            </w:pPr>
            <w:r>
              <w:rPr>
                <w:rFonts w:ascii="Arial" w:cs="Arial" w:eastAsia="Arial" w:hAnsi="Arial"/>
                <w:sz w:val="18"/>
                <w:szCs w:val="18"/>
                <w:color w:val="auto"/>
              </w:rPr>
              <w:t>Total temporary equity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25,280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25,280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8890</wp:posOffset>
            </wp:positionV>
            <wp:extent cx="34048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660" w:hanging="328"/>
        <w:spacing w:after="0" w:line="225"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Cash equivalents primarily included money market funds.</w:t>
      </w:r>
    </w:p>
    <w:p>
      <w:pPr>
        <w:spacing w:after="0" w:line="2" w:lineRule="exact"/>
        <w:rPr>
          <w:rFonts w:ascii="Arial" w:cs="Arial" w:eastAsia="Arial" w:hAnsi="Arial"/>
          <w:sz w:val="25"/>
          <w:szCs w:val="25"/>
          <w:color w:val="auto"/>
          <w:vertAlign w:val="superscript"/>
        </w:rPr>
      </w:pPr>
    </w:p>
    <w:p>
      <w:pPr>
        <w:ind w:left="660" w:hanging="328"/>
        <w:spacing w:after="0" w:line="186" w:lineRule="auto"/>
        <w:tabs>
          <w:tab w:leader="none" w:pos="66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Marketable securities is comprised of municipal bonds and certificates of deposit.</w:t>
      </w:r>
    </w:p>
    <w:p>
      <w:pPr>
        <w:spacing w:after="0" w:line="2" w:lineRule="exact"/>
        <w:rPr>
          <w:rFonts w:ascii="Arial" w:cs="Arial" w:eastAsia="Arial" w:hAnsi="Arial"/>
          <w:sz w:val="24"/>
          <w:szCs w:val="24"/>
          <w:color w:val="auto"/>
          <w:vertAlign w:val="superscript"/>
        </w:rPr>
      </w:pPr>
    </w:p>
    <w:p>
      <w:pPr>
        <w:ind w:left="660" w:hanging="328"/>
        <w:spacing w:after="0" w:line="186" w:lineRule="auto"/>
        <w:tabs>
          <w:tab w:leader="none" w:pos="66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 xml:space="preserve">Contingent interest derivative related to convertible debt is included in accrued expenses, for further details see </w:t>
      </w:r>
      <w:r>
        <w:rPr>
          <w:rFonts w:ascii="Arial" w:cs="Arial" w:eastAsia="Arial" w:hAnsi="Arial"/>
          <w:sz w:val="17"/>
          <w:szCs w:val="17"/>
          <w:i w:val="1"/>
          <w:iCs w:val="1"/>
          <w:color w:val="auto"/>
        </w:rPr>
        <w:t>Note 7 - Debt</w:t>
      </w:r>
      <w:r>
        <w:rPr>
          <w:rFonts w:ascii="Arial" w:cs="Arial" w:eastAsia="Arial" w:hAnsi="Arial"/>
          <w:sz w:val="17"/>
          <w:szCs w:val="17"/>
          <w:color w:val="auto"/>
        </w:rPr>
        <w:t>.</w:t>
      </w:r>
    </w:p>
    <w:p>
      <w:pPr>
        <w:spacing w:after="0" w:line="2" w:lineRule="exact"/>
        <w:rPr>
          <w:rFonts w:ascii="Arial" w:cs="Arial" w:eastAsia="Arial" w:hAnsi="Arial"/>
          <w:sz w:val="24"/>
          <w:szCs w:val="24"/>
          <w:color w:val="auto"/>
          <w:vertAlign w:val="superscript"/>
        </w:rPr>
      </w:pPr>
    </w:p>
    <w:p>
      <w:pPr>
        <w:jc w:val="both"/>
        <w:ind w:left="660" w:hanging="328"/>
        <w:spacing w:after="0" w:line="221"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Put arrangements held by the noncontrolling interests in certain of the Company’s joint ventures. During the three months ended March 31, 2017, the carrying amount of the redeemable noncontrolling interests was greater than than the fair value and accordingly no adjustment to the carrying value was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-830580</wp:posOffset>
            </wp:positionV>
            <wp:extent cx="3404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Securities</w:t>
      </w:r>
    </w:p>
    <w:p>
      <w:pPr>
        <w:spacing w:after="0" w:line="1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The market approach uses prices and other relevant information generated by market transactions involving identical or comparable assets. The Company’s marketable securities investments classified as Level 2 primarily utilize broker quotes in a non-active market for valuation of these securities. No transfers between Level 1, Level 2 and Level 3 of the fair value measurement hierarchy occurred during the three months ended March 31, 2017.</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Unrealized gains and losses are reported as a component of accumulated other comprehensive income (loss) in stockholders’ equity. There were no sales of marketable securities during the three months ended March 31, 2017 and 2016. The cost of securities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sold is based on the specific identification method. The Company evaluates investments with unrealized losses to determine if the losses are other than temporary. The Company has determined that the gross unrealized losses at March 31, 2017 and December 31, 2016 are temporary. In making this determination, the Company considered the financial condition, credit ratings and near-term prospects of the issuers, the underlying collateral of the investments, and the magnitude of the losses as compared to the cost and the length of time the investments have been in an unrealized loss position. Additionally, while the Company classifies the securities as available for sale, the Company does not currently intend to sell such investments and it is more likely than not to recover the carrying value prior to being required to sell such investments.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2017 and December 31, 2016, the estimated fair value of investments classified as available-for-sale,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6"/>
          </w:tcPr>
          <w:p>
            <w:pPr>
              <w:ind w:left="780"/>
              <w:spacing w:after="0"/>
              <w:rPr>
                <w:sz w:val="20"/>
                <w:szCs w:val="20"/>
                <w:color w:val="auto"/>
              </w:rPr>
            </w:pPr>
            <w:r>
              <w:rPr>
                <w:rFonts w:ascii="Arial" w:cs="Arial" w:eastAsia="Arial" w:hAnsi="Arial"/>
                <w:sz w:val="16"/>
                <w:szCs w:val="16"/>
                <w:b w:val="1"/>
                <w:bCs w:val="1"/>
                <w:color w:val="auto"/>
              </w:rPr>
              <w:t>March 31, 2017</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left="137"/>
              <w:spacing w:after="0"/>
              <w:rPr>
                <w:sz w:val="20"/>
                <w:szCs w:val="20"/>
                <w:color w:val="auto"/>
              </w:rPr>
            </w:pPr>
            <w:r>
              <w:rPr>
                <w:rFonts w:ascii="Arial" w:cs="Arial" w:eastAsia="Arial" w:hAnsi="Arial"/>
                <w:sz w:val="16"/>
                <w:szCs w:val="16"/>
                <w:b w:val="1"/>
                <w:bCs w:val="1"/>
                <w:color w:val="auto"/>
                <w:w w:val="86"/>
              </w:rPr>
              <w:t>Gross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Amortized</w:t>
            </w:r>
          </w:p>
        </w:tc>
        <w:tc>
          <w:tcPr>
            <w:tcW w:w="1020" w:type="dxa"/>
            <w:vAlign w:val="bottom"/>
          </w:tcPr>
          <w:p>
            <w:pPr>
              <w:jc w:val="center"/>
              <w:ind w:left="137"/>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Unrealized</w:t>
            </w:r>
          </w:p>
        </w:tc>
        <w:tc>
          <w:tcPr>
            <w:tcW w:w="280" w:type="dxa"/>
            <w:vAlign w:val="bottom"/>
          </w:tcPr>
          <w:p>
            <w:pPr>
              <w:spacing w:after="0"/>
              <w:rPr>
                <w:sz w:val="17"/>
                <w:szCs w:val="17"/>
                <w:color w:val="auto"/>
              </w:rPr>
            </w:pPr>
          </w:p>
        </w:tc>
        <w:tc>
          <w:tcPr>
            <w:tcW w:w="980" w:type="dxa"/>
            <w:vAlign w:val="bottom"/>
          </w:tcPr>
          <w:p>
            <w:pPr>
              <w:jc w:val="right"/>
              <w:ind w:right="394"/>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Cost</w:t>
            </w:r>
          </w:p>
        </w:tc>
        <w:tc>
          <w:tcPr>
            <w:tcW w:w="1020" w:type="dxa"/>
            <w:vAlign w:val="bottom"/>
          </w:tcPr>
          <w:p>
            <w:pPr>
              <w:jc w:val="center"/>
              <w:ind w:left="137"/>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Losses</w:t>
            </w:r>
          </w:p>
        </w:tc>
        <w:tc>
          <w:tcPr>
            <w:tcW w:w="280" w:type="dxa"/>
            <w:vAlign w:val="bottom"/>
          </w:tcPr>
          <w:p>
            <w:pPr>
              <w:spacing w:after="0"/>
              <w:rPr>
                <w:sz w:val="18"/>
                <w:szCs w:val="18"/>
                <w:color w:val="auto"/>
              </w:rPr>
            </w:pPr>
          </w:p>
        </w:tc>
        <w:tc>
          <w:tcPr>
            <w:tcW w:w="980" w:type="dxa"/>
            <w:vAlign w:val="bottom"/>
          </w:tcPr>
          <w:p>
            <w:pPr>
              <w:jc w:val="right"/>
              <w:ind w:right="354"/>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33"/>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Marketable securities:</w:t>
            </w: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Municipal bonds</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11,215</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11,192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11,665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11,643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 of March 31, 2017, an insignificant amount of accumulated unrealized losses related to investments that have been in a continuous unrealized loss position for 12 months or longer. The aggregate related fair value of investment with unrealized losses was approximately $8.1 million.</w:t>
      </w:r>
    </w:p>
    <w:p>
      <w:pPr>
        <w:spacing w:after="0" w:line="255"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December 31, 2016</w:t>
      </w:r>
    </w:p>
    <w:p>
      <w:pPr>
        <w:spacing w:after="0" w:line="26"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33020</wp:posOffset>
            </wp:positionV>
            <wp:extent cx="34048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Amortized</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Unrealized</w:t>
            </w:r>
          </w:p>
        </w:tc>
        <w:tc>
          <w:tcPr>
            <w:tcW w:w="280" w:type="dxa"/>
            <w:vAlign w:val="bottom"/>
          </w:tcPr>
          <w:p>
            <w:pPr>
              <w:spacing w:after="0"/>
              <w:rPr>
                <w:sz w:val="17"/>
                <w:szCs w:val="17"/>
                <w:color w:val="auto"/>
              </w:rPr>
            </w:pPr>
          </w:p>
        </w:tc>
        <w:tc>
          <w:tcPr>
            <w:tcW w:w="980" w:type="dxa"/>
            <w:vAlign w:val="bottom"/>
          </w:tcPr>
          <w:p>
            <w:pPr>
              <w:jc w:val="right"/>
              <w:ind w:right="394"/>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Cost</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Gains</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Losses</w:t>
            </w:r>
          </w:p>
        </w:tc>
        <w:tc>
          <w:tcPr>
            <w:tcW w:w="280" w:type="dxa"/>
            <w:vAlign w:val="bottom"/>
          </w:tcPr>
          <w:p>
            <w:pPr>
              <w:spacing w:after="0"/>
              <w:rPr>
                <w:sz w:val="18"/>
                <w:szCs w:val="18"/>
                <w:color w:val="auto"/>
              </w:rPr>
            </w:pPr>
          </w:p>
        </w:tc>
        <w:tc>
          <w:tcPr>
            <w:tcW w:w="980" w:type="dxa"/>
            <w:vAlign w:val="bottom"/>
          </w:tcPr>
          <w:p>
            <w:pPr>
              <w:jc w:val="right"/>
              <w:ind w:right="354"/>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33"/>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Marketable securities:</w:t>
            </w: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Municipal bonds</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15,063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15,030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15,513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15,480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 of December 31, 2016, an insignificant amount of accumulated unrealized losses related to investments that have been in a continuous unrealized loss position for 12 months or longer. The aggregate related fair value of investment with unrealized losses was approximately $13.8 million.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Contractual maturities of marketable debt securities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4"/>
          </w:tcPr>
          <w:p>
            <w:pPr>
              <w:jc w:val="right"/>
              <w:ind w:right="674"/>
              <w:spacing w:after="0"/>
              <w:rPr>
                <w:sz w:val="20"/>
                <w:szCs w:val="20"/>
                <w:color w:val="auto"/>
              </w:rPr>
            </w:pPr>
            <w:r>
              <w:rPr>
                <w:rFonts w:ascii="Arial" w:cs="Arial" w:eastAsia="Arial" w:hAnsi="Arial"/>
                <w:sz w:val="16"/>
                <w:szCs w:val="16"/>
                <w:b w:val="1"/>
                <w:bCs w:val="1"/>
                <w:color w:val="auto"/>
              </w:rPr>
              <w:t>March 31, 2017</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Amortized</w:t>
            </w:r>
          </w:p>
        </w:tc>
        <w:tc>
          <w:tcPr>
            <w:tcW w:w="280" w:type="dxa"/>
            <w:vAlign w:val="bottom"/>
          </w:tcPr>
          <w:p>
            <w:pPr>
              <w:spacing w:after="0"/>
              <w:rPr>
                <w:sz w:val="18"/>
                <w:szCs w:val="18"/>
                <w:color w:val="auto"/>
              </w:rPr>
            </w:pPr>
          </w:p>
        </w:tc>
        <w:tc>
          <w:tcPr>
            <w:tcW w:w="980" w:type="dxa"/>
            <w:vAlign w:val="bottom"/>
          </w:tcPr>
          <w:p>
            <w:pPr>
              <w:jc w:val="right"/>
              <w:ind w:right="394"/>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4"/>
              </w:rPr>
              <w:t>Cost</w:t>
            </w:r>
          </w:p>
        </w:tc>
        <w:tc>
          <w:tcPr>
            <w:tcW w:w="280" w:type="dxa"/>
            <w:vAlign w:val="bottom"/>
          </w:tcPr>
          <w:p>
            <w:pPr>
              <w:spacing w:after="0"/>
              <w:rPr>
                <w:sz w:val="18"/>
                <w:szCs w:val="18"/>
                <w:color w:val="auto"/>
              </w:rPr>
            </w:pPr>
          </w:p>
        </w:tc>
        <w:tc>
          <w:tcPr>
            <w:tcW w:w="980" w:type="dxa"/>
            <w:vAlign w:val="bottom"/>
          </w:tcPr>
          <w:p>
            <w:pPr>
              <w:jc w:val="right"/>
              <w:ind w:right="354"/>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33"/>
        </w:trPr>
        <w:tc>
          <w:tcPr>
            <w:tcW w:w="406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within one year</w:t>
            </w:r>
          </w:p>
        </w:tc>
        <w:tc>
          <w:tcPr>
            <w:tcW w:w="4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9,963</w:t>
            </w:r>
          </w:p>
        </w:tc>
        <w:tc>
          <w:tcPr>
            <w:tcW w:w="0" w:type="dxa"/>
            <w:vAlign w:val="bottom"/>
          </w:tcPr>
          <w:p>
            <w:pPr>
              <w:spacing w:after="0"/>
              <w:rPr>
                <w:sz w:val="1"/>
                <w:szCs w:val="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Due after 1 year through 5 years</w:t>
            </w:r>
          </w:p>
        </w:tc>
        <w:tc>
          <w:tcPr>
            <w:tcW w:w="4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4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11,643</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Arial" w:cs="Arial" w:eastAsia="Arial" w:hAnsi="Arial"/>
                <w:sz w:val="18"/>
                <w:szCs w:val="18"/>
                <w:color w:val="auto"/>
              </w:rPr>
              <w:t>27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6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determined the fair value of the contingent consideration related to the acquisition of Razorsight Corporation (“Razorsight”) using a real options approach which uses a risk-adjusted expected growth rate based on assessments of expected growth in revenue, adjusted by an appropriate factor. The fair value measurement is based on significant inputs not observable in the market and thus represents a Level 3 measurement. The significant unobservable inputs used in the fair value measurement of the Company’s contingent consideration obligation are the probabilities of achieving certain financial targets and contractual milestones and a risk-adjusted rate of 2.19%. Significant changes in any of those probabilities in isolation may result in a higher (lower) fair value measurement. No changes in valuation techniques occurred during the three months ended March 31, 2017.</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changes in fair value of the Company’s Level 3 contingent consideration obligation during the three months ended March 31, 2017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2016 (Restated)</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2,833</w:t>
            </w:r>
          </w:p>
        </w:tc>
      </w:tr>
      <w:tr>
        <w:trPr>
          <w:trHeight w:val="243"/>
        </w:trPr>
        <w:tc>
          <w:tcPr>
            <w:tcW w:w="10160" w:type="dxa"/>
            <w:vAlign w:val="bottom"/>
          </w:tcPr>
          <w:p>
            <w:pPr>
              <w:ind w:left="280"/>
              <w:spacing w:after="0"/>
              <w:rPr>
                <w:sz w:val="20"/>
                <w:szCs w:val="20"/>
                <w:color w:val="auto"/>
              </w:rPr>
            </w:pPr>
            <w:r>
              <w:rPr>
                <w:rFonts w:ascii="Arial" w:cs="Arial" w:eastAsia="Arial" w:hAnsi="Arial"/>
                <w:sz w:val="18"/>
                <w:szCs w:val="18"/>
                <w:color w:val="auto"/>
              </w:rPr>
              <w:t>Fair value adjustment to contingent consideration obligation included in net income</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10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2,831</w:t>
            </w:r>
          </w:p>
        </w:tc>
      </w:tr>
      <w:tr>
        <w:trPr>
          <w:trHeight w:val="20"/>
        </w:trPr>
        <w:tc>
          <w:tcPr>
            <w:tcW w:w="10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redeemable noncontrolling interests recorded at fair value are put arrangements held by the noncontrolling interests in certain of the Company’s joint ventures. The Company recognizes changes in the redemption value immediately as they occur and adjusts the carrying value of the noncontrolling interest to the greater of the estimated redemption value, which approximates fair value, at the end of each reporting period or the initial carrying amount.</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the redeemable noncontrolling interests was estimated by applying an income approach using a discounted cash flow analysis. This fair value measurement is based on significant inputs that are not observable in the market and thus represents a Level 3 measurement. Significant changes in the underlying assumptions used to value the redeemable noncontrolling interests could significantly increase or decrease the fair value estimates recorded in the Condensed Consolidated Balance Sheets.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340"/>
              <w:spacing w:after="0"/>
              <w:rPr>
                <w:sz w:val="20"/>
                <w:szCs w:val="20"/>
                <w:color w:val="auto"/>
              </w:rPr>
            </w:pPr>
            <w:r>
              <w:rPr>
                <w:rFonts w:ascii="Arial" w:cs="Arial" w:eastAsia="Arial" w:hAnsi="Arial"/>
                <w:sz w:val="18"/>
                <w:szCs w:val="18"/>
                <w:color w:val="auto"/>
              </w:rPr>
              <w:t>The changes in redeemable noncontrolling interests classified as Level 3 measurements were as follows: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35"/>
        </w:trPr>
        <w:tc>
          <w:tcPr>
            <w:tcW w:w="10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50"/>
        </w:trPr>
        <w:tc>
          <w:tcPr>
            <w:tcW w:w="101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Balance at December 31, 2016 (Restated)</w:t>
            </w: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25,280</w:t>
            </w:r>
          </w:p>
        </w:tc>
      </w:tr>
      <w:tr>
        <w:trPr>
          <w:trHeight w:val="243"/>
        </w:trPr>
        <w:tc>
          <w:tcPr>
            <w:tcW w:w="10160" w:type="dxa"/>
            <w:vAlign w:val="bottom"/>
          </w:tcPr>
          <w:p>
            <w:pPr>
              <w:ind w:left="280"/>
              <w:spacing w:after="0"/>
              <w:rPr>
                <w:sz w:val="20"/>
                <w:szCs w:val="20"/>
                <w:color w:val="auto"/>
              </w:rPr>
            </w:pPr>
            <w:r>
              <w:rPr>
                <w:rFonts w:ascii="Arial" w:cs="Arial" w:eastAsia="Arial" w:hAnsi="Arial"/>
                <w:sz w:val="18"/>
                <w:szCs w:val="18"/>
                <w:color w:val="auto"/>
              </w:rPr>
              <w:t>Fair value adjustment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2,889</w:t>
            </w:r>
          </w:p>
        </w:tc>
      </w:tr>
      <w:tr>
        <w:trPr>
          <w:trHeight w:val="27"/>
        </w:trPr>
        <w:tc>
          <w:tcPr>
            <w:tcW w:w="10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16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shd w:val="clear" w:color="auto" w:fill="BFE4FF"/>
              </w:rPr>
              <w:t>Net loss attributable to interests in subsidiaries</w:t>
            </w:r>
          </w:p>
        </w:tc>
        <w:tc>
          <w:tcPr>
            <w:tcW w:w="38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(2,889)</w:t>
            </w:r>
          </w:p>
        </w:tc>
      </w:tr>
      <w:tr>
        <w:trPr>
          <w:trHeight w:val="257"/>
        </w:trPr>
        <w:tc>
          <w:tcPr>
            <w:tcW w:w="10160" w:type="dxa"/>
            <w:vAlign w:val="bottom"/>
          </w:tcPr>
          <w:p>
            <w:pPr>
              <w:ind w:left="40"/>
              <w:spacing w:after="0"/>
              <w:rPr>
                <w:sz w:val="20"/>
                <w:szCs w:val="20"/>
                <w:color w:val="auto"/>
              </w:rPr>
            </w:pPr>
            <w:r>
              <w:rPr>
                <w:rFonts w:ascii="Arial" w:cs="Arial" w:eastAsia="Arial" w:hAnsi="Arial"/>
                <w:sz w:val="18"/>
                <w:szCs w:val="18"/>
                <w:color w:val="auto"/>
              </w:rPr>
              <w:t>Balance at March 31, 2017</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25,280</w:t>
            </w:r>
          </w:p>
        </w:tc>
      </w:tr>
      <w:tr>
        <w:trPr>
          <w:trHeight w:val="20"/>
        </w:trPr>
        <w:tc>
          <w:tcPr>
            <w:tcW w:w="10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Affiliates and Related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Sequential Technology International, LLC (“STIN”)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includes investments which are accounted for using the equity method, under the caption equity method investments on the Company’s Condensed Consolidated Balance Sheets. As of March 31, 2017, the Company’s investments in equity interests was comprised of $44.4 million related to a 30% equity interest in STIN.</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STIH, which holds a 70% equity interest in STIN, also holds a senior note issued by a Third Party (“Third-Party Note” or “Seller Note”). The Third-Party Note is secured against STIH’s equity interest in STIN and is senior to the Company’s equity interest in STIN. Under the arrangement, the recognition of cash dividends received by the Company from STIN, other than required cash distributions made for tax purposes, are deferred until the Third-Party Note is paid in full. Under the terms of the PIK note with STIH, deferred distributions are added to the amounts outstanding under the PIK note.</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concluded that STIN is a VIE as it lacks sufficient equity to finance its activities. However, the Company is not the primary beneficiary of STIN, as the Company does not have the power to direct the activities that most significantly impact STIN’s economic performance and the obligation to absorb losses or the right to receive benefits from STIN that could potentially be significant to STIN.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regularly reviews its equity investments for impairments based on criteria that include the extent to which the investment’s carrying value exceeds its related market value, the duration of the market decline, the Company’s ability to hold its investment until recovery and the investment’s financial strength and specific prospects.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Impairments of investments are reflected in “Equity method income/loss” in the Condensed Consolidated Statements of Operations and were recorded as a result of either the deteriorating financial position of the investee or due to a permanent impairment resulting from sustained losses and limited prospects for recovery.</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first three months of 2017, the Company recorded $0.7 million of equity income in the Condensed Consolidated Statement of Operations related to its investment in STIN. No impairment charges were recognized during the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Affiliates of STIN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Cloud Telephony and Support Services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divestiture of the exception handling business of the Company, Synchronoss entered into a three-year Cloud Telephony and Support services agreement to grant STIN access to certain Synchronoss software and private branch exchange (“PBX”) systems to facilitate exception handling operations required to support STIN customers. The agreement requires the Company provide the following:</w:t>
      </w:r>
    </w:p>
    <w:p>
      <w:pPr>
        <w:spacing w:after="0" w:line="166"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to use its PBX system, which acts as a digital call exchange used to process both in-bound and out-bound calls as well as any corresponding interactive voice response (“IVR”).</w:t>
      </w:r>
    </w:p>
    <w:p>
      <w:pPr>
        <w:spacing w:after="0" w:line="170" w:lineRule="exact"/>
        <w:rPr>
          <w:rFonts w:ascii="Arial" w:cs="Arial" w:eastAsia="Arial" w:hAnsi="Arial"/>
          <w:sz w:val="18"/>
          <w:szCs w:val="18"/>
          <w:color w:val="auto"/>
        </w:rPr>
      </w:pPr>
    </w:p>
    <w:p>
      <w:pPr>
        <w:jc w:val="both"/>
        <w:ind w:left="660" w:hanging="328"/>
        <w:spacing w:after="0" w:line="297"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Solution access and hosting, including Synchronoss Activation Gateway (“SAG”) and iNow virtual front office platforms (the “Solution” service) includes access to a number of order managers, call tracker and reporting (visibility) modules used to initiate and perform necessary tasks as part of the exception handling process. Access to the Solution provides a mechanism for the exception handling business, whether STIN or any other BPO customer, to process orders manually. The Company is obligated to host and maintain the related technology throughout the term. In the event additional programs arise, requiring the use of Synchronoss products, such incremental programs will be priced in negotiations at such time.</w:t>
      </w:r>
    </w:p>
    <w:p>
      <w:pPr>
        <w:spacing w:after="0" w:line="158" w:lineRule="exact"/>
        <w:rPr>
          <w:rFonts w:ascii="Arial" w:cs="Arial" w:eastAsia="Arial" w:hAnsi="Arial"/>
          <w:sz w:val="16"/>
          <w:szCs w:val="16"/>
          <w:color w:val="auto"/>
        </w:rPr>
      </w:pPr>
    </w:p>
    <w:p>
      <w:pPr>
        <w:jc w:val="both"/>
        <w:ind w:left="660" w:right="2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Technical support service, including network infrastructure support and maintenance. The Company will provide access to use and support to ensure fully operational workstations (including personal computers), including desktop, workstation and network support to the PBX systems, including firewall and anti-virus protection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did not recognize any revenue related to these services during the three months ended March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Support Services Agreement</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Additionally, the Company entered into a Support Services Agreement (“SSA”) to perform certain general and administrative support services, including billing and cash collections. The SSA is currently operating month-to-month and the Company expects to cease its support within the calendar year. Fees earned for services performed by the Company under the SSA were recorded as a reduction in the costs to perform within selling, general and administrative in the Condensed Consolidated Statements of Operations. Amounts earned under the arrangement were immaterial during all periods presented.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Seller Note</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holds a subordinated seller’s note receivable from STIH which has a carrying value of $73.0 million as of March 31, 2017, which is secured by STIH’s interest in STIN. The Company recognized $2.9 million in interest income related to this note during the first three months of 2017. The related party note receivable earns PIK interest at a rate equal to LIBOR plus 1100 basis points per annum and matures on June 16, 2022.</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PIK note related balances as of March 31,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74"/>
              <w:spacing w:after="0"/>
              <w:rPr>
                <w:sz w:val="20"/>
                <w:szCs w:val="20"/>
                <w:color w:val="auto"/>
              </w:rPr>
            </w:pPr>
            <w:r>
              <w:rPr>
                <w:rFonts w:ascii="Arial" w:cs="Arial" w:eastAsia="Arial" w:hAnsi="Arial"/>
                <w:sz w:val="16"/>
                <w:szCs w:val="16"/>
                <w:b w:val="1"/>
                <w:bCs w:val="1"/>
                <w:color w:val="auto"/>
                <w:w w:val="94"/>
              </w:rPr>
              <w:t>Unamortized</w:t>
            </w:r>
          </w:p>
        </w:tc>
        <w:tc>
          <w:tcPr>
            <w:tcW w:w="140" w:type="dxa"/>
            <w:vAlign w:val="bottom"/>
          </w:tcPr>
          <w:p>
            <w:pPr>
              <w:spacing w:after="0"/>
              <w:rPr>
                <w:sz w:val="17"/>
                <w:szCs w:val="17"/>
                <w:color w:val="auto"/>
              </w:rPr>
            </w:pPr>
          </w:p>
        </w:tc>
        <w:tc>
          <w:tcPr>
            <w:tcW w:w="1100" w:type="dxa"/>
            <w:vAlign w:val="bottom"/>
          </w:tcPr>
          <w:p>
            <w:pPr>
              <w:jc w:val="right"/>
              <w:ind w:right="14"/>
              <w:spacing w:after="0"/>
              <w:rPr>
                <w:sz w:val="20"/>
                <w:szCs w:val="20"/>
                <w:color w:val="auto"/>
              </w:rPr>
            </w:pPr>
            <w:r>
              <w:rPr>
                <w:rFonts w:ascii="Arial" w:cs="Arial" w:eastAsia="Arial" w:hAnsi="Arial"/>
                <w:sz w:val="16"/>
                <w:szCs w:val="16"/>
                <w:b w:val="1"/>
                <w:bCs w:val="1"/>
                <w:color w:val="auto"/>
                <w:w w:val="91"/>
              </w:rPr>
              <w:t>Loan Accrued</w:t>
            </w:r>
          </w:p>
        </w:tc>
        <w:tc>
          <w:tcPr>
            <w:tcW w:w="200" w:type="dxa"/>
            <w:vAlign w:val="bottom"/>
          </w:tcPr>
          <w:p>
            <w:pPr>
              <w:spacing w:after="0"/>
              <w:rPr>
                <w:sz w:val="17"/>
                <w:szCs w:val="17"/>
                <w:color w:val="auto"/>
              </w:rPr>
            </w:pPr>
          </w:p>
        </w:tc>
        <w:tc>
          <w:tcPr>
            <w:tcW w:w="1040" w:type="dxa"/>
            <w:vAlign w:val="bottom"/>
          </w:tcPr>
          <w:p>
            <w:pPr>
              <w:jc w:val="center"/>
              <w:ind w:right="34"/>
              <w:spacing w:after="0"/>
              <w:rPr>
                <w:sz w:val="20"/>
                <w:szCs w:val="20"/>
                <w:color w:val="auto"/>
              </w:rPr>
            </w:pPr>
            <w:r>
              <w:rPr>
                <w:rFonts w:ascii="Arial" w:cs="Arial" w:eastAsia="Arial" w:hAnsi="Arial"/>
                <w:sz w:val="16"/>
                <w:szCs w:val="16"/>
                <w:b w:val="1"/>
                <w:bCs w:val="1"/>
                <w:color w:val="auto"/>
                <w:w w:val="93"/>
              </w:rPr>
              <w:t>Distribution</w:t>
            </w:r>
          </w:p>
        </w:tc>
        <w:tc>
          <w:tcPr>
            <w:tcW w:w="200" w:type="dxa"/>
            <w:vAlign w:val="bottom"/>
          </w:tcPr>
          <w:p>
            <w:pPr>
              <w:spacing w:after="0"/>
              <w:rPr>
                <w:sz w:val="17"/>
                <w:szCs w:val="17"/>
                <w:color w:val="auto"/>
              </w:rPr>
            </w:pPr>
          </w:p>
        </w:tc>
        <w:tc>
          <w:tcPr>
            <w:tcW w:w="1060" w:type="dxa"/>
            <w:vAlign w:val="bottom"/>
          </w:tcPr>
          <w:p>
            <w:pPr>
              <w:jc w:val="center"/>
              <w:ind w:right="14"/>
              <w:spacing w:after="0"/>
              <w:rPr>
                <w:sz w:val="20"/>
                <w:szCs w:val="20"/>
                <w:color w:val="auto"/>
              </w:rPr>
            </w:pPr>
            <w:r>
              <w:rPr>
                <w:rFonts w:ascii="Arial" w:cs="Arial" w:eastAsia="Arial" w:hAnsi="Arial"/>
                <w:sz w:val="16"/>
                <w:szCs w:val="16"/>
                <w:b w:val="1"/>
                <w:bCs w:val="1"/>
                <w:color w:val="auto"/>
                <w:w w:val="93"/>
              </w:rPr>
              <w:t>Distribution</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6"/>
                <w:szCs w:val="16"/>
                <w:b w:val="1"/>
                <w:bCs w:val="1"/>
                <w:color w:val="auto"/>
                <w:w w:val="95"/>
              </w:rPr>
              <w:t>Seller Note</w:t>
            </w:r>
          </w:p>
        </w:tc>
        <w:tc>
          <w:tcPr>
            <w:tcW w:w="24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6"/>
                <w:szCs w:val="16"/>
                <w:b w:val="1"/>
                <w:bCs w:val="1"/>
                <w:color w:val="auto"/>
              </w:rPr>
              <w:t>Allowance</w:t>
            </w:r>
          </w:p>
        </w:tc>
        <w:tc>
          <w:tcPr>
            <w:tcW w:w="180" w:type="dxa"/>
            <w:vAlign w:val="bottom"/>
          </w:tcPr>
          <w:p>
            <w:pPr>
              <w:spacing w:after="0"/>
              <w:rPr>
                <w:sz w:val="18"/>
                <w:szCs w:val="18"/>
                <w:color w:val="auto"/>
              </w:rPr>
            </w:pPr>
          </w:p>
        </w:tc>
        <w:tc>
          <w:tcPr>
            <w:tcW w:w="1100" w:type="dxa"/>
            <w:vAlign w:val="bottom"/>
          </w:tcPr>
          <w:p>
            <w:pPr>
              <w:jc w:val="right"/>
              <w:ind w:right="214"/>
              <w:spacing w:after="0"/>
              <w:rPr>
                <w:sz w:val="20"/>
                <w:szCs w:val="20"/>
                <w:color w:val="auto"/>
              </w:rPr>
            </w:pPr>
            <w:r>
              <w:rPr>
                <w:rFonts w:ascii="Arial" w:cs="Arial" w:eastAsia="Arial" w:hAnsi="Arial"/>
                <w:sz w:val="16"/>
                <w:szCs w:val="16"/>
                <w:b w:val="1"/>
                <w:bCs w:val="1"/>
                <w:color w:val="auto"/>
              </w:rPr>
              <w:t>Discount</w:t>
            </w:r>
          </w:p>
        </w:tc>
        <w:tc>
          <w:tcPr>
            <w:tcW w:w="140" w:type="dxa"/>
            <w:vAlign w:val="bottom"/>
          </w:tcPr>
          <w:p>
            <w:pPr>
              <w:spacing w:after="0"/>
              <w:rPr>
                <w:sz w:val="18"/>
                <w:szCs w:val="18"/>
                <w:color w:val="auto"/>
              </w:rPr>
            </w:pPr>
          </w:p>
        </w:tc>
        <w:tc>
          <w:tcPr>
            <w:tcW w:w="1100" w:type="dxa"/>
            <w:vAlign w:val="bottom"/>
          </w:tcPr>
          <w:p>
            <w:pPr>
              <w:jc w:val="right"/>
              <w:ind w:right="234"/>
              <w:spacing w:after="0"/>
              <w:rPr>
                <w:sz w:val="20"/>
                <w:szCs w:val="20"/>
                <w:color w:val="auto"/>
              </w:rPr>
            </w:pPr>
            <w:r>
              <w:rPr>
                <w:rFonts w:ascii="Arial" w:cs="Arial" w:eastAsia="Arial" w:hAnsi="Arial"/>
                <w:sz w:val="16"/>
                <w:szCs w:val="16"/>
                <w:b w:val="1"/>
                <w:bCs w:val="1"/>
                <w:color w:val="auto"/>
              </w:rPr>
              <w:t>Interest</w:t>
            </w:r>
          </w:p>
        </w:tc>
        <w:tc>
          <w:tcPr>
            <w:tcW w:w="200" w:type="dxa"/>
            <w:vAlign w:val="bottom"/>
          </w:tcPr>
          <w:p>
            <w:pPr>
              <w:spacing w:after="0"/>
              <w:rPr>
                <w:sz w:val="18"/>
                <w:szCs w:val="18"/>
                <w:color w:val="auto"/>
              </w:rPr>
            </w:pPr>
          </w:p>
        </w:tc>
        <w:tc>
          <w:tcPr>
            <w:tcW w:w="1040" w:type="dxa"/>
            <w:vAlign w:val="bottom"/>
          </w:tcPr>
          <w:p>
            <w:pPr>
              <w:jc w:val="center"/>
              <w:ind w:right="34"/>
              <w:spacing w:after="0"/>
              <w:rPr>
                <w:sz w:val="20"/>
                <w:szCs w:val="20"/>
                <w:color w:val="auto"/>
              </w:rPr>
            </w:pPr>
            <w:r>
              <w:rPr>
                <w:rFonts w:ascii="Arial" w:cs="Arial" w:eastAsia="Arial" w:hAnsi="Arial"/>
                <w:sz w:val="16"/>
                <w:szCs w:val="16"/>
                <w:b w:val="1"/>
                <w:bCs w:val="1"/>
                <w:color w:val="auto"/>
                <w:w w:val="89"/>
              </w:rPr>
              <w:t>Note</w:t>
            </w:r>
          </w:p>
        </w:tc>
        <w:tc>
          <w:tcPr>
            <w:tcW w:w="200" w:type="dxa"/>
            <w:vAlign w:val="bottom"/>
          </w:tcPr>
          <w:p>
            <w:pPr>
              <w:spacing w:after="0"/>
              <w:rPr>
                <w:sz w:val="18"/>
                <w:szCs w:val="18"/>
                <w:color w:val="auto"/>
              </w:rPr>
            </w:pPr>
          </w:p>
        </w:tc>
        <w:tc>
          <w:tcPr>
            <w:tcW w:w="1060" w:type="dxa"/>
            <w:vAlign w:val="bottom"/>
          </w:tcPr>
          <w:p>
            <w:pPr>
              <w:jc w:val="center"/>
              <w:ind w:right="14"/>
              <w:spacing w:after="0"/>
              <w:rPr>
                <w:sz w:val="20"/>
                <w:szCs w:val="20"/>
                <w:color w:val="auto"/>
              </w:rPr>
            </w:pPr>
            <w:r>
              <w:rPr>
                <w:rFonts w:ascii="Arial" w:cs="Arial" w:eastAsia="Arial" w:hAnsi="Arial"/>
                <w:sz w:val="16"/>
                <w:szCs w:val="16"/>
                <w:b w:val="1"/>
                <w:bCs w:val="1"/>
                <w:color w:val="auto"/>
                <w:w w:val="89"/>
              </w:rPr>
              <w:t>interest</w:t>
            </w:r>
          </w:p>
        </w:tc>
        <w:tc>
          <w:tcPr>
            <w:tcW w:w="32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33"/>
        </w:trPr>
        <w:tc>
          <w:tcPr>
            <w:tcW w:w="2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7"/>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(Restated)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70,269</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Activity</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2,528</w:t>
            </w:r>
          </w:p>
        </w:tc>
        <w:tc>
          <w:tcPr>
            <w:tcW w:w="200" w:type="dxa"/>
            <w:vAlign w:val="bottom"/>
          </w:tcPr>
          <w:p>
            <w:pPr>
              <w:spacing w:after="0"/>
              <w:rPr>
                <w:sz w:val="21"/>
                <w:szCs w:val="21"/>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2,752</w:t>
            </w:r>
          </w:p>
        </w:tc>
      </w:tr>
      <w:tr>
        <w:trPr>
          <w:trHeight w:val="27"/>
        </w:trPr>
        <w:tc>
          <w:tcPr>
            <w:tcW w:w="2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73,021</w:t>
            </w:r>
          </w:p>
        </w:tc>
      </w:tr>
      <w:tr>
        <w:trPr>
          <w:trHeight w:val="20"/>
        </w:trPr>
        <w:tc>
          <w:tcPr>
            <w:tcW w:w="2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Related Party Balances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STIN affiliate balances and their classification in the Condensed Consolidated Balance Sheets as of March 31, 2017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gridSpan w:val="4"/>
          </w:tcPr>
          <w:p>
            <w:pPr>
              <w:jc w:val="right"/>
              <w:ind w:right="1254"/>
              <w:spacing w:after="0"/>
              <w:rPr>
                <w:sz w:val="20"/>
                <w:szCs w:val="20"/>
                <w:color w:val="auto"/>
              </w:rPr>
            </w:pPr>
            <w:r>
              <w:rPr>
                <w:rFonts w:ascii="Arial" w:cs="Arial" w:eastAsia="Arial" w:hAnsi="Arial"/>
                <w:sz w:val="16"/>
                <w:szCs w:val="16"/>
                <w:b w:val="1"/>
                <w:bCs w:val="1"/>
                <w:color w:val="auto"/>
              </w:rPr>
              <w:t>Period Ended</w:t>
            </w:r>
          </w:p>
        </w:tc>
      </w:tr>
      <w:tr>
        <w:trPr>
          <w:trHeight w:val="33"/>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2017</w:t>
            </w:r>
          </w:p>
        </w:tc>
        <w:tc>
          <w:tcPr>
            <w:tcW w:w="180" w:type="dxa"/>
            <w:vAlign w:val="bottom"/>
          </w:tcPr>
          <w:p>
            <w:pPr>
              <w:spacing w:after="0"/>
              <w:rPr>
                <w:sz w:val="20"/>
                <w:szCs w:val="20"/>
                <w:color w:val="auto"/>
              </w:rPr>
            </w:pPr>
          </w:p>
        </w:tc>
        <w:tc>
          <w:tcPr>
            <w:tcW w:w="1640" w:type="dxa"/>
            <w:vAlign w:val="bottom"/>
          </w:tcPr>
          <w:p>
            <w:pPr>
              <w:jc w:val="right"/>
              <w:ind w:right="174"/>
              <w:spacing w:after="0"/>
              <w:rPr>
                <w:sz w:val="20"/>
                <w:szCs w:val="20"/>
                <w:color w:val="auto"/>
              </w:rPr>
            </w:pPr>
            <w:r>
              <w:rPr>
                <w:rFonts w:ascii="Arial" w:cs="Arial" w:eastAsia="Arial" w:hAnsi="Arial"/>
                <w:sz w:val="16"/>
                <w:szCs w:val="16"/>
                <w:b w:val="1"/>
                <w:bCs w:val="1"/>
                <w:color w:val="auto"/>
                <w:w w:val="94"/>
              </w:rPr>
              <w:t>December 31, 2016</w:t>
            </w:r>
          </w:p>
        </w:tc>
      </w:tr>
      <w:tr>
        <w:trPr>
          <w:trHeight w:val="33"/>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474"/>
              <w:spacing w:after="0"/>
              <w:rPr>
                <w:sz w:val="20"/>
                <w:szCs w:val="20"/>
                <w:color w:val="auto"/>
              </w:rPr>
            </w:pPr>
            <w:r>
              <w:rPr>
                <w:rFonts w:ascii="Arial" w:cs="Arial" w:eastAsia="Arial" w:hAnsi="Arial"/>
                <w:sz w:val="16"/>
                <w:szCs w:val="16"/>
                <w:b w:val="1"/>
                <w:bCs w:val="1"/>
                <w:color w:val="auto"/>
              </w:rPr>
              <w:t>(Restated)</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7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Restricted cash </w:t>
            </w:r>
            <w:r>
              <w:rPr>
                <w:rFonts w:ascii="Arial" w:cs="Arial" w:eastAsia="Arial" w:hAnsi="Arial"/>
                <w:sz w:val="25"/>
                <w:szCs w:val="25"/>
                <w:color w:val="auto"/>
                <w:vertAlign w:val="superscript"/>
              </w:rPr>
              <w:t>(A)</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5,508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778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Accounts receivable </w:t>
            </w:r>
            <w:r>
              <w:rPr>
                <w:rFonts w:ascii="Arial" w:cs="Arial" w:eastAsia="Arial" w:hAnsi="Arial"/>
                <w:sz w:val="25"/>
                <w:szCs w:val="25"/>
                <w:color w:val="auto"/>
                <w:vertAlign w:val="superscript"/>
              </w:rPr>
              <w:t>(B)</w:t>
            </w:r>
          </w:p>
        </w:tc>
        <w:tc>
          <w:tcPr>
            <w:tcW w:w="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12,661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1,164</w:t>
            </w: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18,169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1,164</w:t>
            </w: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16"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Represents cash balances outstanding as of period end in which the Company collected accounts receivable from STIN customers on behalf of STIN. This amount has been classified in short term restricted cash on the Condensed Consolidated Balance Sheets.</w:t>
      </w:r>
    </w:p>
    <w:p>
      <w:pPr>
        <w:spacing w:after="0" w:line="1" w:lineRule="exact"/>
        <w:rPr>
          <w:rFonts w:ascii="Arial" w:cs="Arial" w:eastAsia="Arial" w:hAnsi="Arial"/>
          <w:sz w:val="25"/>
          <w:szCs w:val="25"/>
          <w:color w:val="auto"/>
          <w:vertAlign w:val="superscript"/>
        </w:rPr>
      </w:pPr>
    </w:p>
    <w:p>
      <w:pPr>
        <w:ind w:left="340" w:right="20" w:hanging="332"/>
        <w:spacing w:after="0" w:line="209"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These amounts principally included revenues generated from the Cloud and Telephony Support Services agreement and pass-through of vendor expenses incurred during the transition and assignment of vendor contracts.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 Seller Note</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a result of STIH’s covenant violation, in June 2017, the Company distributed approximately $6.2 million to Goldman (“Distribution Note”) under the $30 million guarantee. The remaining amounts guaranteed under the arrangement were released upon assignment of certain customer contracts. Under the terms of the PIK note with STIH, distributed amounts made by the Company to Goldman are added to the amounts outstanding under the PIK note.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debt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2017</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2016</w:t>
            </w:r>
          </w:p>
        </w:tc>
      </w:tr>
      <w:tr>
        <w:trPr>
          <w:trHeight w:val="33"/>
        </w:trPr>
        <w:tc>
          <w:tcPr>
            <w:tcW w:w="42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2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291"/>
              <w:spacing w:after="0"/>
              <w:rPr>
                <w:sz w:val="20"/>
                <w:szCs w:val="20"/>
                <w:color w:val="auto"/>
              </w:rPr>
            </w:pPr>
            <w:r>
              <w:rPr>
                <w:rFonts w:ascii="Arial" w:cs="Arial" w:eastAsia="Arial" w:hAnsi="Arial"/>
                <w:sz w:val="16"/>
                <w:szCs w:val="16"/>
                <w:b w:val="1"/>
                <w:bCs w:val="1"/>
                <w:color w:val="auto"/>
              </w:rPr>
              <w:t>(Restated)</w:t>
            </w:r>
          </w:p>
        </w:tc>
      </w:tr>
      <w:tr>
        <w:trPr>
          <w:trHeight w:val="33"/>
        </w:trPr>
        <w:tc>
          <w:tcPr>
            <w:tcW w:w="42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4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230,000</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Credit Agreement</w:t>
            </w:r>
          </w:p>
        </w:tc>
        <w:tc>
          <w:tcPr>
            <w:tcW w:w="4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29,000</w:t>
            </w:r>
          </w:p>
        </w:tc>
      </w:tr>
      <w:tr>
        <w:trPr>
          <w:trHeight w:val="27"/>
        </w:trPr>
        <w:tc>
          <w:tcPr>
            <w:tcW w:w="42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 principal amount</w:t>
            </w:r>
          </w:p>
        </w:tc>
        <w:tc>
          <w:tcPr>
            <w:tcW w:w="4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259,000</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4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(22,627)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(3,709)</w:t>
            </w:r>
          </w:p>
        </w:tc>
      </w:tr>
      <w:tr>
        <w:trPr>
          <w:trHeight w:val="27"/>
        </w:trPr>
        <w:tc>
          <w:tcPr>
            <w:tcW w:w="42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debt, carrying value</w:t>
            </w:r>
          </w:p>
        </w:tc>
        <w:tc>
          <w:tcPr>
            <w:tcW w:w="4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1,107,373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255,291</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4260" w:type="dxa"/>
            <w:vAlign w:val="bottom"/>
          </w:tcPr>
          <w:p>
            <w:pPr>
              <w:ind w:left="280"/>
              <w:spacing w:after="0"/>
              <w:rPr>
                <w:sz w:val="20"/>
                <w:szCs w:val="20"/>
                <w:color w:val="auto"/>
              </w:rPr>
            </w:pPr>
            <w:r>
              <w:rPr>
                <w:rFonts w:ascii="Arial" w:cs="Arial" w:eastAsia="Arial" w:hAnsi="Arial"/>
                <w:sz w:val="18"/>
                <w:szCs w:val="18"/>
                <w:color w:val="auto"/>
              </w:rPr>
              <w:t>Total short term debt, carrying value</w:t>
            </w:r>
          </w:p>
        </w:tc>
        <w:tc>
          <w:tcPr>
            <w:tcW w:w="4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6,051</w:t>
            </w:r>
          </w:p>
        </w:tc>
        <w:tc>
          <w:tcPr>
            <w:tcW w:w="10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29,000</w:t>
            </w:r>
          </w:p>
        </w:tc>
      </w:tr>
      <w:tr>
        <w:trPr>
          <w:trHeight w:val="27"/>
        </w:trPr>
        <w:tc>
          <w:tcPr>
            <w:tcW w:w="42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long-term debt, carrying value</w:t>
            </w:r>
          </w:p>
        </w:tc>
        <w:tc>
          <w:tcPr>
            <w:tcW w:w="4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1,101,322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226,291</w:t>
            </w:r>
          </w:p>
        </w:tc>
      </w:tr>
      <w:tr>
        <w:trPr>
          <w:trHeight w:val="675"/>
        </w:trPr>
        <w:tc>
          <w:tcPr>
            <w:tcW w:w="4260" w:type="dxa"/>
            <w:vAlign w:val="bottom"/>
          </w:tcPr>
          <w:p>
            <w:pPr>
              <w:spacing w:after="0"/>
              <w:rPr>
                <w:sz w:val="24"/>
                <w:szCs w:val="24"/>
                <w:color w:val="auto"/>
              </w:rPr>
            </w:pPr>
          </w:p>
        </w:tc>
        <w:tc>
          <w:tcPr>
            <w:tcW w:w="4080" w:type="dxa"/>
            <w:vAlign w:val="bottom"/>
          </w:tcPr>
          <w:p>
            <w:pPr>
              <w:jc w:val="right"/>
              <w:ind w:right="245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August 12, 2014, the Company issued $230.0 million aggregate principal amount of its 0.75% Convertible Senior Notes due in 2019 (the “2019 Notes”). The 2019 Notes mature on August 15, 2019, and bear interest at a rate of 0.75% per annum payable semi-annually in arrears on February 15 and August 15 of each year. The Company accounted for the $230.0 million face value of the debt as a liability and capitalized approximately $7.1 million of financing fees, related to the issuance which are presented net of the face value of the 2019 Notes on the Condensed Consolidated Balance Sheets.</w:t>
      </w:r>
    </w:p>
    <w:p>
      <w:pPr>
        <w:spacing w:after="0" w:line="15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2019 Notes are senior, unsecured obligations of the Company, and are convertible into shares of its common stock based on a conversion rate of 18.8072 shares per $1,000 principal amount of 2019 Notes which is equivalent to an initial conversion price of approximately $53.17 per share. The Company will satisfy any conversion of the 2019 Notes with shares of the Company’s common stock. The 2019 Notes are convertible at the note holders’ option prior to their maturity and if specified corporate transactions occur. The issue price of the 2019 Notes was equal to their face amount.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Holders of the 2019 Notes who convert their notes in connection with a qualifying fundamental change, as defined in the related indenture, may be entitled to a make-whole premium in the form of an increase in the conversion rate. Additionally, following the occurrence of a fundamental change, holders may require that the Company repurchase some or all of the 2019 Notes for cash at a repurchase price equal to 100% of the principal amount of the notes being repurchased, plus accrued and unpaid interest, if any. As of March 31, 2017, none of these conditions existed with respect to the 2019 Notes and as a result, the 2019 Notes are classified as long term.</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Included in the definition of a fundamental change is whether the Company’s common stock ceases to be listed or quoted on The Nasdaq Stock Market, LLC (“Nasdaq”). In May 2018, trading of the Company’s common stock has been suspended on Nasdaq, however, it has not been delisted (see </w:t>
      </w:r>
      <w:r>
        <w:rPr>
          <w:rFonts w:ascii="Arial" w:cs="Arial" w:eastAsia="Arial" w:hAnsi="Arial"/>
          <w:sz w:val="18"/>
          <w:szCs w:val="18"/>
          <w:i w:val="1"/>
          <w:iCs w:val="1"/>
          <w:color w:val="auto"/>
        </w:rPr>
        <w:t>Note 14 -</w:t>
      </w:r>
      <w:r>
        <w:rPr>
          <w:rFonts w:ascii="Arial" w:cs="Arial" w:eastAsia="Arial" w:hAnsi="Arial"/>
          <w:sz w:val="18"/>
          <w:szCs w:val="18"/>
          <w:color w:val="auto"/>
        </w:rPr>
        <w:t xml:space="preserve"> </w:t>
      </w:r>
      <w:r>
        <w:rPr>
          <w:rFonts w:ascii="Arial" w:cs="Arial" w:eastAsia="Arial" w:hAnsi="Arial"/>
          <w:sz w:val="18"/>
          <w:szCs w:val="18"/>
          <w:i w:val="1"/>
          <w:iCs w:val="1"/>
          <w:color w:val="auto"/>
        </w:rPr>
        <w:t>Subsequent Events Review)</w:t>
      </w:r>
      <w:r>
        <w:rPr>
          <w:rFonts w:ascii="Arial" w:cs="Arial" w:eastAsia="Arial" w:hAnsi="Arial"/>
          <w:sz w:val="18"/>
          <w:szCs w:val="18"/>
          <w:color w:val="auto"/>
        </w:rPr>
        <w:t>.</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2019 Notes are the Company’s direct senior unsecured obligations and rank equal in right of payment to all of the Company’s existing and future unsecured and unsubordinated indebtedness.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March 31, 2017, the carrying amount of the liability was $226.6 million and the outstanding principal of the 2019 Notes was $230.0 million, with an effective interest rate of approximately 1.38%. The fair value of the 2019 Notes was $220.1 million at March 31, 2017. The fair value of the liability of the 2019 Notes was determined using a discounted cash flow model based on current market interest rates available to the Company. These inputs are corroborated by observable market data for similar liabilities and therefore classified within Level 2 of the fair-value hierarchy.</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is required to meet all SEC filing requirements and deadlines in order to be in compliance with the 2019 Notes. In the event that the Company does not meet the filing requirements, the noteholders are entitled to receive additional interest of 0.25% up to 180 days from the date of notice of the default and 0.50% thereafter up to 360 days. The Company may agree to pay additional interest to the holders by notifying holders and the trustee within 90 days from the notice of default. If the Company decides to pay that interest, but has not remedied the event within 360 days from the notice of default, it will be in default. If the Company fails to elect to pay that additional interest, it will be in default if it does not remedy the event within the 90 days period.</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for the Company’s 2019 Notes related to the contractual interest coupon and contingent interest liability is noted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840" w:type="dxa"/>
            <w:vAlign w:val="bottom"/>
            <w:gridSpan w:val="5"/>
          </w:tcPr>
          <w:p>
            <w:pPr>
              <w:jc w:val="right"/>
              <w:ind w:right="214"/>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38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3840" w:type="dxa"/>
            <w:vAlign w:val="bottom"/>
          </w:tcPr>
          <w:p>
            <w:pPr>
              <w:spacing w:after="0"/>
              <w:rPr>
                <w:sz w:val="20"/>
                <w:szCs w:val="20"/>
                <w:color w:val="auto"/>
              </w:rPr>
            </w:pPr>
          </w:p>
        </w:tc>
        <w:tc>
          <w:tcPr>
            <w:tcW w:w="56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2016</w:t>
            </w:r>
          </w:p>
        </w:tc>
      </w:tr>
      <w:tr>
        <w:trPr>
          <w:trHeight w:val="33"/>
        </w:trPr>
        <w:tc>
          <w:tcPr>
            <w:tcW w:w="38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38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34"/>
              <w:spacing w:after="0"/>
              <w:rPr>
                <w:sz w:val="20"/>
                <w:szCs w:val="20"/>
                <w:color w:val="auto"/>
              </w:rPr>
            </w:pPr>
            <w:r>
              <w:rPr>
                <w:rFonts w:ascii="Arial" w:cs="Arial" w:eastAsia="Arial" w:hAnsi="Arial"/>
                <w:sz w:val="16"/>
                <w:szCs w:val="16"/>
                <w:b w:val="1"/>
                <w:bCs w:val="1"/>
                <w:color w:val="auto"/>
              </w:rPr>
              <w:t>(Restated)</w:t>
            </w:r>
          </w:p>
        </w:tc>
      </w:tr>
      <w:tr>
        <w:trPr>
          <w:trHeight w:val="33"/>
        </w:trPr>
        <w:tc>
          <w:tcPr>
            <w:tcW w:w="38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expense</w:t>
            </w:r>
          </w:p>
        </w:tc>
        <w:tc>
          <w:tcPr>
            <w:tcW w:w="5660" w:type="dxa"/>
            <w:vAlign w:val="bottom"/>
            <w:tcBorders>
              <w:bottom w:val="single" w:sz="8" w:color="CCEEFF"/>
            </w:tcBorders>
            <w:gridSpan w:val="2"/>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431</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Contingent interest expense</w:t>
            </w:r>
          </w:p>
        </w:tc>
        <w:tc>
          <w:tcPr>
            <w:tcW w:w="4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702"/>
        </w:trPr>
        <w:tc>
          <w:tcPr>
            <w:tcW w:w="3840" w:type="dxa"/>
            <w:vAlign w:val="bottom"/>
          </w:tcPr>
          <w:p>
            <w:pPr>
              <w:spacing w:after="0"/>
              <w:rPr>
                <w:sz w:val="24"/>
                <w:szCs w:val="24"/>
                <w:color w:val="auto"/>
              </w:rPr>
            </w:pPr>
          </w:p>
        </w:tc>
        <w:tc>
          <w:tcPr>
            <w:tcW w:w="4740" w:type="dxa"/>
            <w:vAlign w:val="bottom"/>
          </w:tcPr>
          <w:p>
            <w:pPr>
              <w:jc w:val="right"/>
              <w:ind w:right="2693"/>
              <w:spacing w:after="0"/>
              <w:rPr>
                <w:sz w:val="20"/>
                <w:szCs w:val="20"/>
                <w:color w:val="auto"/>
              </w:rPr>
            </w:pPr>
            <w:r>
              <w:rPr>
                <w:rFonts w:ascii="Arial" w:cs="Arial" w:eastAsia="Arial" w:hAnsi="Arial"/>
                <w:sz w:val="18"/>
                <w:szCs w:val="18"/>
                <w:color w:val="auto"/>
              </w:rPr>
              <w:t>31</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Convertible Senior Notes consisted of the following</w:t>
      </w:r>
      <w:r>
        <w:rPr>
          <w:rFonts w:ascii="Arial" w:cs="Arial" w:eastAsia="Arial" w:hAnsi="Arial"/>
          <w:sz w:val="18"/>
          <w:szCs w:val="18"/>
          <w:b w:val="1"/>
          <w:bCs w:val="1"/>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 2017</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20" w:type="dxa"/>
            <w:vAlign w:val="bottom"/>
            <w:gridSpan w:val="7"/>
          </w:tcPr>
          <w:p>
            <w:pPr>
              <w:jc w:val="center"/>
              <w:ind w:right="296"/>
              <w:spacing w:after="0"/>
              <w:rPr>
                <w:sz w:val="20"/>
                <w:szCs w:val="20"/>
                <w:color w:val="auto"/>
              </w:rPr>
            </w:pPr>
            <w:r>
              <w:rPr>
                <w:rFonts w:ascii="Arial" w:cs="Arial" w:eastAsia="Arial" w:hAnsi="Arial"/>
                <w:sz w:val="16"/>
                <w:szCs w:val="16"/>
                <w:b w:val="1"/>
                <w:bCs w:val="1"/>
                <w:color w:val="auto"/>
                <w:w w:val="90"/>
              </w:rPr>
              <w:t>December 31, 2016 (Restated)</w:t>
            </w:r>
          </w:p>
        </w:tc>
      </w:tr>
      <w:tr>
        <w:trPr>
          <w:trHeight w:val="33"/>
        </w:trPr>
        <w:tc>
          <w:tcPr>
            <w:tcW w:w="2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Unamortized Debt</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Net Carrying</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Unamortized Debt</w:t>
            </w:r>
          </w:p>
        </w:tc>
        <w:tc>
          <w:tcPr>
            <w:tcW w:w="160" w:type="dxa"/>
            <w:vAlign w:val="bottom"/>
          </w:tcPr>
          <w:p>
            <w:pPr>
              <w:spacing w:after="0"/>
              <w:rPr>
                <w:sz w:val="18"/>
                <w:szCs w:val="18"/>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5"/>
              </w:rPr>
              <w:t>Net Carrying</w:t>
            </w:r>
          </w:p>
        </w:tc>
      </w:tr>
      <w:tr>
        <w:trPr>
          <w:trHeight w:val="210"/>
        </w:trPr>
        <w:tc>
          <w:tcPr>
            <w:tcW w:w="2640" w:type="dxa"/>
            <w:vAlign w:val="bottom"/>
          </w:tcPr>
          <w:p>
            <w:pPr>
              <w:spacing w:after="0"/>
              <w:rPr>
                <w:sz w:val="18"/>
                <w:szCs w:val="18"/>
                <w:color w:val="auto"/>
              </w:rPr>
            </w:pPr>
          </w:p>
        </w:tc>
        <w:tc>
          <w:tcPr>
            <w:tcW w:w="1520" w:type="dxa"/>
            <w:vAlign w:val="bottom"/>
            <w:gridSpan w:val="3"/>
          </w:tcPr>
          <w:p>
            <w:pPr>
              <w:ind w:left="80"/>
              <w:spacing w:after="0"/>
              <w:rPr>
                <w:sz w:val="20"/>
                <w:szCs w:val="20"/>
                <w:color w:val="auto"/>
              </w:rPr>
            </w:pPr>
            <w:r>
              <w:rPr>
                <w:rFonts w:ascii="Arial" w:cs="Arial" w:eastAsia="Arial" w:hAnsi="Arial"/>
                <w:sz w:val="16"/>
                <w:szCs w:val="16"/>
                <w:b w:val="1"/>
                <w:bCs w:val="1"/>
                <w:color w:val="auto"/>
              </w:rPr>
              <w:t>Principal Amount</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Issuance Costs</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Value</w:t>
            </w:r>
          </w:p>
        </w:tc>
        <w:tc>
          <w:tcPr>
            <w:tcW w:w="1460" w:type="dxa"/>
            <w:vAlign w:val="bottom"/>
            <w:gridSpan w:val="3"/>
          </w:tcPr>
          <w:p>
            <w:pPr>
              <w:ind w:left="60"/>
              <w:spacing w:after="0"/>
              <w:rPr>
                <w:sz w:val="20"/>
                <w:szCs w:val="20"/>
                <w:color w:val="auto"/>
              </w:rPr>
            </w:pPr>
            <w:r>
              <w:rPr>
                <w:rFonts w:ascii="Arial" w:cs="Arial" w:eastAsia="Arial" w:hAnsi="Arial"/>
                <w:sz w:val="16"/>
                <w:szCs w:val="16"/>
                <w:b w:val="1"/>
                <w:bCs w:val="1"/>
                <w:color w:val="auto"/>
              </w:rPr>
              <w:t>Principal Amount</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Issuance Costs</w:t>
            </w:r>
          </w:p>
        </w:tc>
        <w:tc>
          <w:tcPr>
            <w:tcW w:w="160" w:type="dxa"/>
            <w:vAlign w:val="bottom"/>
          </w:tcPr>
          <w:p>
            <w:pPr>
              <w:spacing w:after="0"/>
              <w:rPr>
                <w:sz w:val="18"/>
                <w:szCs w:val="18"/>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26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3,356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226,644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3,709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226,291</w:t>
            </w:r>
          </w:p>
        </w:tc>
      </w:tr>
      <w:tr>
        <w:trPr>
          <w:trHeight w:val="27"/>
        </w:trPr>
        <w:tc>
          <w:tcPr>
            <w:tcW w:w="26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Credit Agreement</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January 19, 2017, the Company entered into a new credit agreement with the lending institutions from time to time parties thereto and Goldman Sachs as administrative agent, collateral agent, swingline lender and a letter of credit issuer (as amended from time to time, the “2017 Credit Agreement”) which was comprised of a $900.0 million term credit facility with a maturity date of January 19, 2024 (the “2017 Term Facility”) and a revolving credit facility of up to $200.0 million (the “Revolving Facility”) with a maturity date of January 19, 2022. Obligations under the 2017 Credit Agreement were guaranteed by certain of the Company’s subsidiaries and secured by substantially all of the Company’s and its subsidiaries’ assets.</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2017 Term Facility amortized at 1% per annum in equal quarterly installments with the balance payable on the maturity date. The Revolving Facility included borrowing capacity available for letters of credit and for borrowings on same-day notice under swingline loans and borrowing thereunder could be used for working capital needs and other general corporate purposes.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2017 Term Facility initially bear interest at a rate equal to, at the Company’s option, the adjusted LIBOR rate for an applicable interest period or an alternate base rate, in each case, plus an applicable margin of 2.75% or 1.75%, respectively. The Revolving Facility initially bear an interest at a rate equal to, at the Company’s option, the adjusted LIBOR rate or an alternate base rate, in each case, plus an applicable margin of 2.50% or 1.50%, respectively, subject to step-downs based on the Company’s ratio of first lien secured debt to adjusted EBITDA, as defined in the 2017 Credit Agreement. The Company paid a commitment fee in the range of 0.25% to 0.375% on the unused balance of the Revolving Facility. Interest was payable quarterly under the 2017 Credit Agreement.</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Subject to certain customary exceptions, the 2017 Term Facility was subject to mandatory prepayments in amounts equal to: (1) 100% of the net cash proceeds from any non-ordinary course sale or other disposition of assets (including as a result of casualty or condemnation) by Synchronoss or its subsidiaries subject to customary reinvestment provisions and certain other exceptions; (2) 100% of the net cash proceeds from incurrences of debt (other than permitted debt); and (3) a customary annual excess cash flow sweep at levels based on the Company’s applicable ratio of first lien secured debt to adjusted EBITDA, as defined in the 2017 Credit Agreement.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2017, the Company had $4.0 million in outstanding letters of credit issued under the Revolving Facility.</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2017 Term Facility consisted of the following</w:t>
      </w:r>
      <w:r>
        <w:rPr>
          <w:rFonts w:ascii="Arial" w:cs="Arial" w:eastAsia="Arial" w:hAnsi="Arial"/>
          <w:sz w:val="18"/>
          <w:szCs w:val="18"/>
          <w:b w:val="1"/>
          <w:bCs w:val="1"/>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 2017</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7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Unamortized Debt</w:t>
            </w:r>
          </w:p>
        </w:tc>
        <w:tc>
          <w:tcPr>
            <w:tcW w:w="160" w:type="dxa"/>
            <w:vAlign w:val="bottom"/>
          </w:tcPr>
          <w:p>
            <w:pPr>
              <w:spacing w:after="0"/>
              <w:rPr>
                <w:sz w:val="18"/>
                <w:szCs w:val="18"/>
                <w:color w:val="auto"/>
              </w:rPr>
            </w:pPr>
          </w:p>
        </w:tc>
        <w:tc>
          <w:tcPr>
            <w:tcW w:w="1200" w:type="dxa"/>
            <w:vAlign w:val="bottom"/>
          </w:tcPr>
          <w:p>
            <w:pPr>
              <w:jc w:val="right"/>
              <w:ind w:right="134"/>
              <w:spacing w:after="0"/>
              <w:rPr>
                <w:sz w:val="20"/>
                <w:szCs w:val="20"/>
                <w:color w:val="auto"/>
              </w:rPr>
            </w:pPr>
            <w:r>
              <w:rPr>
                <w:rFonts w:ascii="Arial" w:cs="Arial" w:eastAsia="Arial" w:hAnsi="Arial"/>
                <w:sz w:val="16"/>
                <w:szCs w:val="16"/>
                <w:b w:val="1"/>
                <w:bCs w:val="1"/>
                <w:color w:val="auto"/>
                <w:w w:val="99"/>
              </w:rPr>
              <w:t>Net Carrying</w:t>
            </w:r>
          </w:p>
        </w:tc>
      </w:tr>
      <w:tr>
        <w:trPr>
          <w:trHeight w:val="210"/>
        </w:trPr>
        <w:tc>
          <w:tcPr>
            <w:tcW w:w="70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Principal Amount</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Issuance Costs</w:t>
            </w:r>
          </w:p>
        </w:tc>
        <w:tc>
          <w:tcPr>
            <w:tcW w:w="160" w:type="dxa"/>
            <w:vAlign w:val="bottom"/>
          </w:tcPr>
          <w:p>
            <w:pPr>
              <w:spacing w:after="0"/>
              <w:rPr>
                <w:sz w:val="18"/>
                <w:szCs w:val="18"/>
                <w:color w:val="auto"/>
              </w:rPr>
            </w:pPr>
          </w:p>
        </w:tc>
        <w:tc>
          <w:tcPr>
            <w:tcW w:w="1200" w:type="dxa"/>
            <w:vAlign w:val="bottom"/>
          </w:tcPr>
          <w:p>
            <w:pPr>
              <w:jc w:val="right"/>
              <w:ind w:right="394"/>
              <w:spacing w:after="0"/>
              <w:rPr>
                <w:sz w:val="20"/>
                <w:szCs w:val="20"/>
                <w:color w:val="auto"/>
              </w:rPr>
            </w:pPr>
            <w:r>
              <w:rPr>
                <w:rFonts w:ascii="Arial" w:cs="Arial" w:eastAsia="Arial" w:hAnsi="Arial"/>
                <w:sz w:val="16"/>
                <w:szCs w:val="16"/>
                <w:b w:val="1"/>
                <w:bCs w:val="1"/>
                <w:color w:val="auto"/>
              </w:rPr>
              <w:t>Value</w:t>
            </w:r>
          </w:p>
        </w:tc>
      </w:tr>
      <w:tr>
        <w:trPr>
          <w:trHeight w:val="33"/>
        </w:trPr>
        <w:tc>
          <w:tcPr>
            <w:tcW w:w="7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 term portion of the 2017 Term Facility</w:t>
            </w: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6,051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Long term portion of the 2017 Term Facility</w:t>
            </w:r>
          </w:p>
        </w:tc>
        <w:tc>
          <w:tcPr>
            <w:tcW w:w="4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891,000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16,322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874,678</w:t>
            </w:r>
          </w:p>
        </w:tc>
      </w:tr>
      <w:tr>
        <w:trPr>
          <w:trHeight w:val="27"/>
        </w:trPr>
        <w:tc>
          <w:tcPr>
            <w:tcW w:w="7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2017 Term Facility</w:t>
            </w: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19,271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880,729</w:t>
            </w:r>
          </w:p>
        </w:tc>
      </w:tr>
      <w:tr>
        <w:trPr>
          <w:trHeight w:val="20"/>
        </w:trPr>
        <w:tc>
          <w:tcPr>
            <w:tcW w:w="7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2017 Credit Agreement contained a number of customary affirmative and negative covenants and events of default, which, among other things, restricted the Synchronoss’ and its subsidiaries’ ability to incur debt, allow liens on assets, make investments, pay dividends or prepay certain other debt. The 2017 Credit Agreement also required Synchronoss to comply with certain financial maintenance covenants, including a total gross leverage ratio and an interest charge coverage ratio.</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of the lenders under the 2017 Credit Agreement, or their affiliates, provided, and may in the future from time to time provide, certain commercial and investment banking, financial advisory and other services in the ordinary course of business for the registrant and its affiliates, for which they have in the past and may in the future receive customary fees and commissions.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Credit Facility</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7, 2016, the Company entered into an Amended Credit Facility with Wells Fargo Bank, National Association, as administrative agent and several lenders party thereto (the “Amended Credit Facility”). The Amended Credit Facility, was permitted to be used for general corporate purposes, was a $250.0 million unsecured revolving line of credit that was set to mature on July 7, 2021, subject to terms and conditions set forth therein. The Company paid a commitment fee in the range of 15 to 30 basis points on the unused balance of the revolving credit facility under the Amended Credit Facility. Synchronoss had the right to request an increase in the aggregate principal amount of the Amended Credit Facility up to $350.0 million. Interest on the borrowings ranged from 1.94% to 2.03%.</w:t>
      </w:r>
    </w:p>
    <w:p>
      <w:pPr>
        <w:spacing w:after="0" w:line="19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January 19, 2017, the Company repaid all outstanding obligations under the Amended Credit Facility with Wells Fargo Bank and the several lenders party thereto. The aggregate payoff amount was $29.0 million and included all accrued interest and associated prepayment penalties. The Company paid a commitment fee in the range of 15 to 30 basis points on the unused balance of the revolving credit facility under the Amended Credit Facility.</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and commitment fees under the Credit Facility and the Amended Credit Facility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840" w:type="dxa"/>
            <w:vAlign w:val="bottom"/>
            <w:gridSpan w:val="5"/>
          </w:tcPr>
          <w:p>
            <w:pPr>
              <w:jc w:val="right"/>
              <w:ind w:right="214"/>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2016</w:t>
            </w:r>
          </w:p>
        </w:tc>
      </w:tr>
      <w:tr>
        <w:trPr>
          <w:trHeight w:val="33"/>
        </w:trPr>
        <w:tc>
          <w:tcPr>
            <w:tcW w:w="8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34"/>
              <w:spacing w:after="0"/>
              <w:rPr>
                <w:sz w:val="20"/>
                <w:szCs w:val="20"/>
                <w:color w:val="auto"/>
              </w:rPr>
            </w:pPr>
            <w:r>
              <w:rPr>
                <w:rFonts w:ascii="Arial" w:cs="Arial" w:eastAsia="Arial" w:hAnsi="Arial"/>
                <w:sz w:val="16"/>
                <w:szCs w:val="16"/>
                <w:b w:val="1"/>
                <w:bCs w:val="1"/>
                <w:color w:val="auto"/>
              </w:rPr>
              <w:t>(Restated)</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 fees</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7,372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131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Credit Facility</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September 2013, the Company entered into a Credit Facility (the “Credit Facility”) with JP Morgan Chase Bank, N.A., as the administrative agent, Wells Fargo Bank, National Association, as the syndication agent and Capital One, National Association and KeyBank National Association, as co-documentation agents. The Credit Facility, which was used for general corporate purposes, was a $100.0 million unsecured revolving line of credit that was set to mature on September 27, 2018. The Company paid a commitment fee in the range of 25 to 35 basis points on the unused balance of the revolving credit facility under this credit agreement. Synchronoss had the right to request an increase in the aggregate principal amount of the Credit Facility up to $150.0 million. Interest on the borrowing was based upon LIBOR plus a 2.25 basis point margin. All outstanding balances under the Credit Facility were repaid on July 7, 2016 and the 2013 Credit Facility was terminated and replaced with the Amended Credit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- 2017 Credit Agreement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result of the Company’s restatement, it was unable to comply with covenants requiring the timely delivery of audited financial statements and interim financial information. The Company obtained waivers to extend the dates by which the Company was required to deliver such financial information to June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Waiver Agreement to 2017 Credit Agreement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30, 2017, the Company, the Lenders and the Administrative Agent entered into a Limited Waiver to Credit Agreement (the “Waiver Agreement”) pursuant to which the Lenders agreed, subject to the limitations contained in the Waiver Agreement, to temporarily waive (the “Limited Waiver”) the anticipated event of default (the “Anticipated Event of Default”) resulting from the Company’s failure to deliver its first quarter 2017 financial statements, together with related items required under the 2017 Credit Agreement on or prior to June 30, 2017. In the absence of the Limited Waiver, after the occurrence of the Anticipated Event of Default the Lenders would be permitted to exercise their rights and remedies available to them under the 2017 Credit Facility with respect to an event of default. The Limited Waiver was designed to give the Company and the Lenders additional time to negotiate in good faith and document certain amendments to the 2017 Credit Facility.</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consideration for the Limited Waiver, the Company agreed to pay a consent fee to each Lender who consented to the Waiver Agreement in an amount equal to 0.15% of the aggregate principal amount of such consenting Lender’s revolving credit commitments and term loans outstanding under the 2017 Credit Agreement, which amount was credited against any consent fee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that was required to be paid in connection with any subsequent waiver of the Anticipated Event of Default or related amendment of the 2017 Credit Agreement. In addition, the Company paid the reasonable fees and expenses of counsel and other costs and expenses requested by the Administrative Agent on behalf of the Lenders and certain other fees as set forth in the Waiver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Amendment to 2017 Credit Agreement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July 19, 2017, the Company entered into a first amendment and limited waiver to the 2017 Credit Agreement (the “First Amendment”). Pursuant to the First Amendment, the lenders and administrative agent agreed to extend the time period for delivery by the Company of its quarterly financial statements for the quarters ended March 31, 2017 and June 30, 2017 (the “2017 Quarterly Financial Statements”) and to waive the default and event of default arising from the Company’s failure to deliver the 2017 Quarterly Financial Statements within the timeframe originally required by the 2017 Credit Agreement (or, at the Company’s election, November 16, 2017, if prior to October 17, 2017 the Company pays a fee to the Lenders equal to 25 basis points on the aggregate principal amount of revolving commitments and term loans outstanding).</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First Amendment effected various other changes to the terms of the Credit Agreement, including reducing revolving credit commitments from $200.0 million to $100.0 million (with a sub-limit on usage of $50.0 million until the earliest date by which the Company has delivered the 2017 Quarterly Financial Statements, the restated financial statements for the fiscal years ended December 31, 2016 and 2015 (and the respective quarterly periods) and certain information with respect to disclosing and remedying any material weaknesses in the Company’s internal control structure related to financial reporting).</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Under the First Amendment, the Company was required to maintain a first lien secured net leverage ratio of no more than (x) 5.50 to 1 for any period ending from September 30, 2017 through March 31, 2019; (y) 5.00 to 1 for any period ending June 30, 2019 through December 31, 2019; and (z) 4.25 to 1 for any period ending March 31, 2020 and thereafter. The Company was also required to maintain a minimum interest coverage ratio of no less than 2.00 to 1.</w:t>
      </w:r>
    </w:p>
    <w:p>
      <w:pPr>
        <w:spacing w:after="0" w:line="14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Until the earlier of (A) the later of (i) December 15, 2017 and (ii) in the event that, prior to December 15, 2017, the Company has publicly announced a strategic transaction, or merger, business combination, acquisition or divestiture that would result in a change of control or a requirement to prepay the loans and terminate commitments under the Amended Credit Agreement, the date on which such transaction is consummated or abandoned (the “Initial Period End Date”) and (B) June 15, 2018, term loans under the Amended Credit Agreement bear interest at a rate equal to, at the Company’s option, the adjusted LIBOR rate for an applicable interest period or an alternate base rate (subject to a floor of 1.00% and 2.00%, respectively), in each case, plus an applicable margin of 4.50% or 3.50%, respectively. Thereafter, the applicable margins increase to 5.75% and 4.75%, respectively, if the Company’s first lien secured net leverage ratio is less than or equal to 5.00 to 1, and to 6.75% and 5.75%, respectively, if the Company’s first lien secured net leverage ratio is greater than 5.00 to 1. The foregoing applicable margins are subject to a retroactive increase of 0.25% each if the Restated Financial Statements show an amount of net revenue for any fiscal year ended December 31, 2015, December 31, 2016 and, if applicable, December 31, 2014 that varies by greater than 15% of the net revenue set forth on Consolidated Balance Sheets and related Consolidated Statements of Operations of the Company for such fiscal year that had originally been filed with the Securities and Exchange Commission.</w:t>
      </w:r>
    </w:p>
    <w:p>
      <w:pPr>
        <w:spacing w:after="0" w:line="18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Until the Initial Period End Date, revolving loans under the Amended Credit Agreement bear interest at a rate equal to, at Company’s option, the adjusted LIBOR rate or an alternate base rate (subject to a floor of 1.00% and 2.00%, respectively), in each case, plus an applicable margin of 4.50% or 3.50%, respectively. Thereafter, the applicable margins will be subject to step-downs based on the Company’s first lien secured net leverage ratio.</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Until the Initial Period End Date, term loans under the Amended Credit Agreement are subject to a prepayment premium of 1.00% solely if prepaid with proceeds of a repricing transaction. Thereafter, the term loans will be subject to (x) a 2.00% prepayment premium for any voluntary prepayments (including upon a change of control) made through the one-year anniversary of the Initial Period End Date and (y) a 1.00% prepayment premium for any voluntary prepayments (including upon a change of control) made after the one-year anniversary of the Initial Period End Date and prior to the second anniversary thereof.</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Amendment also effected various other changes to the baskets and exceptions under the negative covenants of the Credit Agreement.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effective interest rate on the term loans was approximately 4.08% prior to the First Amendment and ranged from 5.74% to 5.76% from July 19, 2017 through November 2017. During 2017, the Company paid approximately $16.8 million in fees related to obtaining waivers, amendments, and consents in relation to the 2017 Credit Agreement as a result of the delay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delivery of the 2017 Quarterly Financial Statements. These costs were recognized within the Interest expense line of the Consolidated Statements of Operations until the debt was repaid in the fourth quarter of 2017. The remaining balance was recognized within the Extinguishment of debt line item of the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Repayment of 2017 Credit Agreement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connection with the consummation of the Intralinks divestiture (See </w:t>
      </w:r>
      <w:r>
        <w:rPr>
          <w:rFonts w:ascii="Arial" w:cs="Arial" w:eastAsia="Arial" w:hAnsi="Arial"/>
          <w:sz w:val="17"/>
          <w:szCs w:val="17"/>
          <w:i w:val="1"/>
          <w:iCs w:val="1"/>
          <w:color w:val="auto"/>
        </w:rPr>
        <w:t>Note 4 - Acquisitions and Divestitures</w:t>
      </w:r>
      <w:r>
        <w:rPr>
          <w:rFonts w:ascii="Arial" w:cs="Arial" w:eastAsia="Arial" w:hAnsi="Arial"/>
          <w:sz w:val="17"/>
          <w:szCs w:val="17"/>
          <w:color w:val="auto"/>
        </w:rPr>
        <w:t>), the Company utilized a portion of the proceeds from the Intralinks divestiture to repay all outstanding obligations under the 2017 Credit Agreement. In connection therewith, the Company delivered all notices and took all other actions to facilitate and cause the termination of the 2017 Credit Agreement, the repayment in full of all obligations then outstanding thereunder and the release of any security interests in connection therewith, effective as of November 14, 2017. The aggregate payoff amount was approximately $897.5 million and included all accrued interest, fees and prepayment penalties associated therewith. The Company incurred approximately $29.4 million of a loss on the extinguishment of the 2017 Credit Agreement for the year ended December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 Convertible Senior Notes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received a notice of default from holders of more than 25% of the outstanding principal amount of the 2019 Notes on October 13, 2017. Based on the terms of the 2019 Notes, the Company will be obligated to begin paying additional interest starting January 11, 2018 (the 90th day following the Company’s receipt of the notice of default). The Company is required to record a derivative related to this contingent interest as a liability and expense in its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interest expense:</w:t>
      </w:r>
    </w:p>
    <w:p>
      <w:pPr>
        <w:spacing w:after="0" w:line="172"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33020</wp:posOffset>
            </wp:positionV>
            <wp:extent cx="18097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r>
      <w:tr>
        <w:trPr>
          <w:trHeight w:val="33"/>
        </w:trPr>
        <w:tc>
          <w:tcPr>
            <w:tcW w:w="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6"/>
                <w:szCs w:val="16"/>
                <w:b w:val="1"/>
                <w:bCs w:val="1"/>
                <w:color w:val="auto"/>
              </w:rPr>
              <w:t>(Restated)</w:t>
            </w:r>
          </w:p>
        </w:tc>
      </w:tr>
      <w:tr>
        <w:trPr>
          <w:trHeight w:val="203"/>
        </w:trPr>
        <w:tc>
          <w:tcPr>
            <w:tcW w:w="8580" w:type="dxa"/>
            <w:vAlign w:val="bottom"/>
            <w:gridSpan w:val="6"/>
          </w:tcPr>
          <w:p>
            <w:pPr>
              <w:ind w:left="40"/>
              <w:spacing w:after="0" w:line="202" w:lineRule="exact"/>
              <w:rPr>
                <w:sz w:val="20"/>
                <w:szCs w:val="20"/>
                <w:color w:val="auto"/>
              </w:rPr>
            </w:pPr>
            <w:r>
              <w:rPr>
                <w:rFonts w:ascii="Arial" w:cs="Arial" w:eastAsia="Arial" w:hAnsi="Arial"/>
                <w:sz w:val="18"/>
                <w:szCs w:val="18"/>
                <w:color w:val="auto"/>
              </w:rPr>
              <w:t>Credit Facility</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43"/>
        </w:trPr>
        <w:tc>
          <w:tcPr>
            <w:tcW w:w="40" w:type="dxa"/>
            <w:vAlign w:val="bottom"/>
          </w:tcPr>
          <w:p>
            <w:pPr>
              <w:spacing w:after="0"/>
              <w:rPr>
                <w:sz w:val="21"/>
                <w:szCs w:val="21"/>
                <w:color w:val="auto"/>
              </w:rPr>
            </w:pPr>
          </w:p>
        </w:tc>
        <w:tc>
          <w:tcPr>
            <w:tcW w:w="8540" w:type="dxa"/>
            <w:vAlign w:val="bottom"/>
            <w:gridSpan w:val="5"/>
          </w:tcPr>
          <w:p>
            <w:pPr>
              <w:ind w:left="240"/>
              <w:spacing w:after="0"/>
              <w:rPr>
                <w:sz w:val="20"/>
                <w:szCs w:val="20"/>
                <w:color w:val="auto"/>
              </w:rPr>
            </w:pPr>
            <w:r>
              <w:rPr>
                <w:rFonts w:ascii="Arial" w:cs="Arial" w:eastAsia="Arial" w:hAnsi="Arial"/>
                <w:sz w:val="18"/>
                <w:szCs w:val="18"/>
                <w:color w:val="auto"/>
              </w:rPr>
              <w:t>Commitment fee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74</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color w:val="auto"/>
              </w:rPr>
              <w:t>Interest on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r>
      <w:tr>
        <w:trPr>
          <w:trHeight w:val="203"/>
        </w:trPr>
        <w:tc>
          <w:tcPr>
            <w:tcW w:w="8580" w:type="dxa"/>
            <w:vAlign w:val="bottom"/>
            <w:gridSpan w:val="6"/>
          </w:tcPr>
          <w:p>
            <w:pPr>
              <w:ind w:left="40"/>
              <w:spacing w:after="0" w:line="202" w:lineRule="exact"/>
              <w:rPr>
                <w:sz w:val="20"/>
                <w:szCs w:val="20"/>
                <w:color w:val="auto"/>
              </w:rPr>
            </w:pPr>
            <w:r>
              <w:rPr>
                <w:rFonts w:ascii="Arial" w:cs="Arial" w:eastAsia="Arial" w:hAnsi="Arial"/>
                <w:sz w:val="18"/>
                <w:szCs w:val="18"/>
                <w:color w:val="auto"/>
              </w:rPr>
              <w:t>2017 Term Facility</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6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540" w:type="dxa"/>
            <w:vAlign w:val="bottom"/>
            <w:gridSpan w:val="5"/>
          </w:tcPr>
          <w:p>
            <w:pPr>
              <w:ind w:left="240"/>
              <w:spacing w:after="0"/>
              <w:rPr>
                <w:sz w:val="20"/>
                <w:szCs w:val="20"/>
                <w:color w:val="auto"/>
              </w:rPr>
            </w:pPr>
            <w:r>
              <w:rPr>
                <w:rFonts w:ascii="Arial" w:cs="Arial" w:eastAsia="Arial" w:hAnsi="Arial"/>
                <w:sz w:val="18"/>
                <w:szCs w:val="18"/>
                <w:color w:val="auto"/>
              </w:rPr>
              <w:t>Interest on borrowings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7,348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858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Revolving Facility</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7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8540" w:type="dxa"/>
            <w:vAlign w:val="bottom"/>
            <w:gridSpan w:val="5"/>
          </w:tcPr>
          <w:p>
            <w:pPr>
              <w:ind w:left="24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color w:val="auto"/>
              </w:rPr>
              <w:t>Commitment fee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3"/>
        </w:trPr>
        <w:tc>
          <w:tcPr>
            <w:tcW w:w="8580" w:type="dxa"/>
            <w:vAlign w:val="bottom"/>
            <w:gridSpan w:val="6"/>
          </w:tcPr>
          <w:p>
            <w:pPr>
              <w:ind w:left="40"/>
              <w:spacing w:after="0" w:line="202" w:lineRule="exact"/>
              <w:rPr>
                <w:sz w:val="20"/>
                <w:szCs w:val="20"/>
                <w:color w:val="auto"/>
              </w:rPr>
            </w:pPr>
            <w:r>
              <w:rPr>
                <w:rFonts w:ascii="Arial" w:cs="Arial" w:eastAsia="Arial" w:hAnsi="Arial"/>
                <w:sz w:val="18"/>
                <w:szCs w:val="18"/>
                <w:color w:val="auto"/>
              </w:rPr>
              <w:t>Convertible Senior Notes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6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r>
      <w:tr>
        <w:trPr>
          <w:trHeight w:val="243"/>
        </w:trPr>
        <w:tc>
          <w:tcPr>
            <w:tcW w:w="40" w:type="dxa"/>
            <w:vAlign w:val="bottom"/>
          </w:tcPr>
          <w:p>
            <w:pPr>
              <w:spacing w:after="0"/>
              <w:rPr>
                <w:sz w:val="21"/>
                <w:szCs w:val="21"/>
                <w:color w:val="auto"/>
              </w:rPr>
            </w:pPr>
          </w:p>
        </w:tc>
        <w:tc>
          <w:tcPr>
            <w:tcW w:w="8540" w:type="dxa"/>
            <w:vAlign w:val="bottom"/>
            <w:gridSpan w:val="5"/>
          </w:tcPr>
          <w:p>
            <w:pPr>
              <w:ind w:left="240"/>
              <w:spacing w:after="0"/>
              <w:rPr>
                <w:sz w:val="20"/>
                <w:szCs w:val="20"/>
                <w:color w:val="auto"/>
              </w:rPr>
            </w:pPr>
            <w:r>
              <w:rPr>
                <w:rFonts w:ascii="Arial" w:cs="Arial" w:eastAsia="Arial" w:hAnsi="Arial"/>
                <w:sz w:val="18"/>
                <w:szCs w:val="18"/>
                <w:color w:val="auto"/>
              </w:rPr>
              <w:t>Interest on borrowings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431</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color w:val="auto"/>
              </w:rPr>
              <w:t>Additional interest on default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gridSpan w:val="6"/>
          </w:tcPr>
          <w:p>
            <w:pPr>
              <w:ind w:left="40"/>
              <w:spacing w:after="0"/>
              <w:rPr>
                <w:sz w:val="20"/>
                <w:szCs w:val="20"/>
                <w:color w:val="auto"/>
              </w:rPr>
            </w:pPr>
            <w:r>
              <w:rPr>
                <w:rFonts w:ascii="Arial" w:cs="Arial" w:eastAsia="Arial" w:hAnsi="Arial"/>
                <w:sz w:val="18"/>
                <w:szCs w:val="18"/>
                <w:color w:val="auto"/>
              </w:rPr>
              <w:t>Capital leases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229</w:t>
            </w:r>
          </w:p>
        </w:tc>
      </w:tr>
      <w:tr>
        <w:trPr>
          <w:trHeight w:val="27"/>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w:t>
            </w:r>
          </w:p>
        </w:tc>
      </w:tr>
      <w:tr>
        <w:trPr>
          <w:trHeight w:val="257"/>
        </w:trPr>
        <w:tc>
          <w:tcPr>
            <w:tcW w:w="8580" w:type="dxa"/>
            <w:vAlign w:val="bottom"/>
            <w:gridSpan w:val="6"/>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10,617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1,576</w:t>
            </w:r>
          </w:p>
        </w:tc>
      </w:tr>
      <w:tr>
        <w:trPr>
          <w:trHeight w:val="20"/>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Income/(Loss)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accumulated other comprehensive (loss) during the three months ended March 31, 2017,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Net income (Loss)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on</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Intra-Entity</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Unrealized Gains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Foreign Currency</w:t>
            </w: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(Losses) on</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Translation</w:t>
            </w: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Available-for-Sale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Adjustment</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Transactions</w:t>
            </w: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Securities</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 (Restated)</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(42,350)</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3,660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3,973</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effect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 comprehensive income</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3,660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3,861</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(38,489)</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significant changes to the Company’s authorized capital stock and preferred stock during the three months ended March 31, 2017.</w:t>
      </w:r>
    </w:p>
    <w:p>
      <w:pPr>
        <w:sectPr>
          <w:pgSz w:w="11900" w:h="16838" w:orient="portrait"/>
          <w:cols w:equalWidth="0" w:num="1">
            <w:col w:w="11420"/>
          </w:cols>
          <w:pgMar w:left="240" w:top="125" w:right="239" w:bottom="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Each holder of common stock is entitled to vote on all matters and is entitled to one vote for each share held. Dividends on common stock will be paid when, and if, declared by the Company’s Board of Directors. No dividends have ever been declared or paid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There were no shares of preferred stock outstanding as of March 31, 2017 or December 31, 2016. The Board of Directors is authorized to issue preferred shares and has the discretion to determine the rights, preferences, privileges and restrictions, including voting rights, dividend rights, conversion rights, redemption privileges and liquidation preferences of preferred stock. Please see the subsequent event below regarding shares of preferred stock in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to the Company’s registration rights during the three months ended March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significant changes to the Company’s Stock Plans during the three months ended March 31, 2017, at which point there were 2.2 million shares available for grant or award under the Company’s 2015 Equity Incentive Plan (the “2015 Plan”).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The following table summarizes stock-based compensation expense related to all of the Company’s stock awards included in operating expense categories, as follows:</w:t>
      </w:r>
    </w:p>
    <w:p>
      <w:pPr>
        <w:spacing w:after="0" w:line="117"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33020</wp:posOffset>
            </wp:positionV>
            <wp:extent cx="18097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2016</w:t>
            </w:r>
          </w:p>
        </w:tc>
      </w:tr>
      <w:tr>
        <w:trPr>
          <w:trHeight w:val="33"/>
        </w:trPr>
        <w:tc>
          <w:tcPr>
            <w:tcW w:w="8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33"/>
              <w:spacing w:after="0"/>
              <w:rPr>
                <w:sz w:val="20"/>
                <w:szCs w:val="20"/>
                <w:color w:val="auto"/>
              </w:rPr>
            </w:pPr>
            <w:r>
              <w:rPr>
                <w:rFonts w:ascii="Arial" w:cs="Arial" w:eastAsia="Arial" w:hAnsi="Arial"/>
                <w:sz w:val="16"/>
                <w:szCs w:val="16"/>
                <w:b w:val="1"/>
                <w:bCs w:val="1"/>
                <w:color w:val="auto"/>
              </w:rPr>
              <w:t>(Restated)</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revenues</w:t>
            </w:r>
          </w:p>
        </w:tc>
        <w:tc>
          <w:tcPr>
            <w:tcW w:w="84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1,737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1,554</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2,028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1,779</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4,347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4,457</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8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8,112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7,790</w:t>
            </w: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stock-based compensation:</w:t>
      </w:r>
    </w:p>
    <w:p>
      <w:pPr>
        <w:spacing w:after="0" w:line="172"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33020</wp:posOffset>
            </wp:positionV>
            <wp:extent cx="18097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2016</w:t>
            </w:r>
          </w:p>
        </w:tc>
      </w:tr>
      <w:tr>
        <w:trPr>
          <w:trHeight w:val="33"/>
        </w:trPr>
        <w:tc>
          <w:tcPr>
            <w:tcW w:w="8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33"/>
              <w:spacing w:after="0"/>
              <w:rPr>
                <w:sz w:val="20"/>
                <w:szCs w:val="20"/>
                <w:color w:val="auto"/>
              </w:rPr>
            </w:pPr>
            <w:r>
              <w:rPr>
                <w:rFonts w:ascii="Arial" w:cs="Arial" w:eastAsia="Arial" w:hAnsi="Arial"/>
                <w:sz w:val="16"/>
                <w:szCs w:val="16"/>
                <w:b w:val="1"/>
                <w:bCs w:val="1"/>
                <w:color w:val="auto"/>
              </w:rPr>
              <w:t>(Restated)</w:t>
            </w:r>
          </w:p>
        </w:tc>
      </w:tr>
      <w:tr>
        <w:trPr>
          <w:trHeight w:val="33"/>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840" w:type="dxa"/>
            <w:vAlign w:val="bottom"/>
            <w:tcBorders>
              <w:bottom w:val="single" w:sz="8" w:color="CCEEFF"/>
            </w:tcBorders>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Restricted stock awards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6,395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5,777</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stock-based compensation before taxes</w:t>
            </w:r>
          </w:p>
        </w:tc>
        <w:tc>
          <w:tcPr>
            <w:tcW w:w="840" w:type="dxa"/>
            <w:vAlign w:val="bottom"/>
            <w:tcBorders>
              <w:top w:val="single" w:sz="8" w:color="auto"/>
            </w:tcBorders>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8,112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7,790</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benefit</w:t>
            </w: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1,207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2,708</w:t>
            </w:r>
          </w:p>
        </w:tc>
      </w:tr>
      <w:tr>
        <w:trPr>
          <w:trHeight w:val="27"/>
        </w:trPr>
        <w:tc>
          <w:tcPr>
            <w:tcW w:w="85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stock-based compensation cost related to unvested equity awards as of March 31, 2017 was approximately $78 million. The expense is expected to be recognized over a weighted-average period of approximately 2.4 years.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part of the work force reduction driven by corporate restructuring initiated in 2016, the Company terminated certain employees in 2017 and accelerated the vesting of certain unvested restricted stock awards and stock options for these employees. The Company accounted for the acceleration of these awards as a result of the restructuring termination as a Type III modification under ASC Topic 718 and the related expense recorded was insignificant for the three months ended March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Replacement Awards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On January 19, 2017, certain equity awards granted under the Intralinks 2010 Equity Incentive Plan and the Intralinks 2007 Stock Option and Grant Plan (together, the “Intralinks Plans”) were assumed by the Company’s 2015 Plan. The assumed awards are subject to the vesting and service conditions of the 2015 Plan. Subsequently, these were accelerated as part of the Intralinks Transaction. Please see </w:t>
      </w:r>
      <w:r>
        <w:rPr>
          <w:rFonts w:ascii="Arial" w:cs="Arial" w:eastAsia="Arial" w:hAnsi="Arial"/>
          <w:sz w:val="18"/>
          <w:szCs w:val="18"/>
          <w:i w:val="1"/>
          <w:iCs w:val="1"/>
          <w:color w:val="auto"/>
        </w:rPr>
        <w:t>Note 4 - Acquisitions and Divestitures</w:t>
      </w:r>
      <w:r>
        <w:rPr>
          <w:rFonts w:ascii="Arial" w:cs="Arial" w:eastAsia="Arial" w:hAnsi="Arial"/>
          <w:sz w:val="18"/>
          <w:szCs w:val="18"/>
          <w:color w:val="auto"/>
        </w:rPr>
        <w:t xml:space="preserve"> for more information on the transaction.</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Among the equity awards assumed were restricted stock units subject to market-based performance targets in order for them to vest. Vesting is subject to continued service requirements through the vesting date. The grant date fair value for such unvested restricted stock units was estimated using a Monte Carlo simulation that incorporates option-pricing inputs covering the period from the grant date through the end of the performance period. Stock-based compensation expense for such unvested restricted stock units is recognized on a straight-line basis over the vesting period, regardless of whether the market condition is satisfied. All of these awards were canceled in the second and third quarter of 2017 pursuant to termination of related employees.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to the Company’s Stock Option Plans during the three months ended March 31, 2017.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uses the Black-Scholes option pricing model for determining the estimated fair value for stock options. The weighted-average assumptions used in the Black-Scholes option pricing model are as follows:</w:t>
      </w:r>
    </w:p>
    <w:p>
      <w:pPr>
        <w:spacing w:after="0" w:line="117" w:lineRule="exact"/>
        <w:rPr>
          <w:sz w:val="20"/>
          <w:szCs w:val="20"/>
          <w:color w:val="auto"/>
        </w:rPr>
      </w:pPr>
    </w:p>
    <w:p>
      <w:pPr>
        <w:jc w:val="center"/>
        <w:ind w:left="844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4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33020</wp:posOffset>
            </wp:positionV>
            <wp:extent cx="19037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473"/>
              <w:spacing w:after="0"/>
              <w:rPr>
                <w:sz w:val="20"/>
                <w:szCs w:val="20"/>
                <w:color w:val="auto"/>
              </w:rPr>
            </w:pPr>
            <w:r>
              <w:rPr>
                <w:rFonts w:ascii="Arial" w:cs="Arial" w:eastAsia="Arial" w:hAnsi="Arial"/>
                <w:sz w:val="16"/>
                <w:szCs w:val="16"/>
                <w:b w:val="1"/>
                <w:bCs w:val="1"/>
                <w:color w:val="auto"/>
              </w:rPr>
              <w:t>2016</w:t>
            </w:r>
          </w:p>
        </w:tc>
      </w:tr>
      <w:tr>
        <w:trPr>
          <w:trHeight w:val="33"/>
        </w:trPr>
        <w:tc>
          <w:tcPr>
            <w:tcW w:w="84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8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73"/>
              <w:spacing w:after="0"/>
              <w:rPr>
                <w:sz w:val="20"/>
                <w:szCs w:val="20"/>
                <w:color w:val="auto"/>
              </w:rPr>
            </w:pPr>
            <w:r>
              <w:rPr>
                <w:rFonts w:ascii="Arial" w:cs="Arial" w:eastAsia="Arial" w:hAnsi="Arial"/>
                <w:sz w:val="16"/>
                <w:szCs w:val="16"/>
                <w:b w:val="1"/>
                <w:bCs w:val="1"/>
                <w:color w:val="auto"/>
              </w:rPr>
              <w:t>(Restated)</w:t>
            </w:r>
          </w:p>
        </w:tc>
      </w:tr>
      <w:tr>
        <w:trPr>
          <w:trHeight w:val="33"/>
        </w:trPr>
        <w:tc>
          <w:tcPr>
            <w:tcW w:w="8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of options (in years)</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1"/>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4.00</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8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fair value (grant date) of the options</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1"/>
              </w:rPr>
              <w:t>9.28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9.81</w:t>
            </w:r>
          </w:p>
        </w:tc>
      </w:tr>
      <w:tr>
        <w:trPr>
          <w:trHeight w:val="27"/>
        </w:trPr>
        <w:tc>
          <w:tcPr>
            <w:tcW w:w="8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stock options outstanding: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140" w:type="dxa"/>
            <w:vAlign w:val="bottom"/>
          </w:tcPr>
          <w:p>
            <w:pPr>
              <w:jc w:val="center"/>
              <w:ind w:right="134"/>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Contractual</w:t>
            </w:r>
          </w:p>
        </w:tc>
        <w:tc>
          <w:tcPr>
            <w:tcW w:w="220" w:type="dxa"/>
            <w:vAlign w:val="bottom"/>
          </w:tcPr>
          <w:p>
            <w:pPr>
              <w:spacing w:after="0"/>
              <w:rPr>
                <w:sz w:val="17"/>
                <w:szCs w:val="17"/>
                <w:color w:val="auto"/>
              </w:rPr>
            </w:pPr>
          </w:p>
        </w:tc>
        <w:tc>
          <w:tcPr>
            <w:tcW w:w="1140" w:type="dxa"/>
            <w:vAlign w:val="bottom"/>
          </w:tcPr>
          <w:p>
            <w:pPr>
              <w:jc w:val="center"/>
              <w:ind w:right="134"/>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Options</w:t>
            </w: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Options</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Exercise Price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Term (Years)</w:t>
            </w:r>
          </w:p>
        </w:tc>
        <w:tc>
          <w:tcPr>
            <w:tcW w:w="220" w:type="dxa"/>
            <w:vAlign w:val="bottom"/>
          </w:tcPr>
          <w:p>
            <w:pPr>
              <w:spacing w:after="0"/>
              <w:rPr>
                <w:sz w:val="18"/>
                <w:szCs w:val="18"/>
                <w:color w:val="auto"/>
              </w:rPr>
            </w:pPr>
          </w:p>
        </w:tc>
        <w:tc>
          <w:tcPr>
            <w:tcW w:w="1140" w:type="dxa"/>
            <w:vAlign w:val="bottom"/>
          </w:tcPr>
          <w:p>
            <w:pPr>
              <w:jc w:val="center"/>
              <w:ind w:right="134"/>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 (Restated)</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32.43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Options Granted</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Options Cancelled</w:t>
            </w:r>
          </w:p>
        </w:tc>
        <w:tc>
          <w:tcPr>
            <w:tcW w:w="138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34.81</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8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31, 2017</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2,685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31.33</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417</w:t>
            </w:r>
          </w:p>
        </w:tc>
      </w:tr>
      <w:tr>
        <w:trPr>
          <w:trHeight w:val="291"/>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Vested and expected to vest at March 31, 2017</w:t>
            </w:r>
          </w:p>
        </w:tc>
        <w:tc>
          <w:tcPr>
            <w:tcW w:w="13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2,586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31.28</w:t>
            </w:r>
          </w:p>
        </w:tc>
        <w:tc>
          <w:tcPr>
            <w:tcW w:w="10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417</w:t>
            </w:r>
          </w:p>
        </w:tc>
      </w:tr>
      <w:tr>
        <w:trPr>
          <w:trHeight w:val="251"/>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 and exercisable at March 31, 2017</w:t>
            </w:r>
          </w:p>
        </w:tc>
        <w:tc>
          <w:tcPr>
            <w:tcW w:w="13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382</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below table summarizes additional information related to the Company’s awards:</w:t>
      </w:r>
    </w:p>
    <w:p>
      <w:pPr>
        <w:spacing w:after="0" w:line="172"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6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33020</wp:posOffset>
            </wp:positionV>
            <wp:extent cx="18097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436"/>
              <w:spacing w:after="0"/>
              <w:rPr>
                <w:sz w:val="20"/>
                <w:szCs w:val="20"/>
                <w:color w:val="auto"/>
              </w:rPr>
            </w:pPr>
            <w:r>
              <w:rPr>
                <w:rFonts w:ascii="Arial" w:cs="Arial" w:eastAsia="Arial" w:hAnsi="Arial"/>
                <w:sz w:val="16"/>
                <w:szCs w:val="16"/>
                <w:b w:val="1"/>
                <w:bCs w:val="1"/>
                <w:color w:val="auto"/>
              </w:rPr>
              <w:t>2016</w:t>
            </w: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6"/>
              <w:spacing w:after="0"/>
              <w:rPr>
                <w:sz w:val="20"/>
                <w:szCs w:val="20"/>
                <w:color w:val="auto"/>
              </w:rPr>
            </w:pPr>
            <w:r>
              <w:rPr>
                <w:rFonts w:ascii="Arial" w:cs="Arial" w:eastAsia="Arial" w:hAnsi="Arial"/>
                <w:sz w:val="16"/>
                <w:szCs w:val="16"/>
                <w:b w:val="1"/>
                <w:bCs w:val="1"/>
                <w:color w:val="auto"/>
                <w:w w:val="91"/>
              </w:rPr>
              <w:t>(Restated)</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intrinsic value for stock options exercised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1,859</w:t>
            </w: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and Performance Stock</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significant changes to the Company’s restricted stock award (“Restricted Stock”) and performance stock plan during the three months ended March 31, 2017.</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the Company’s non-vested restricted stock at March 31, 2017, and changes during the three months ended March 31, 2017, is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14"/>
              <w:spacing w:after="0"/>
              <w:rPr>
                <w:sz w:val="20"/>
                <w:szCs w:val="20"/>
                <w:color w:val="auto"/>
              </w:rPr>
            </w:pPr>
            <w:r>
              <w:rPr>
                <w:rFonts w:ascii="Arial" w:cs="Arial" w:eastAsia="Arial" w:hAnsi="Arial"/>
                <w:sz w:val="16"/>
                <w:szCs w:val="16"/>
                <w:b w:val="1"/>
                <w:bCs w:val="1"/>
                <w:color w:val="auto"/>
                <w:w w:val="93"/>
              </w:rPr>
              <w:t>Weighted-</w:t>
            </w:r>
          </w:p>
        </w:tc>
      </w:tr>
      <w:tr>
        <w:trPr>
          <w:trHeight w:val="203"/>
        </w:trPr>
        <w:tc>
          <w:tcPr>
            <w:tcW w:w="8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14"/>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8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213"/>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14"/>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Non-Vested Restricted Stock</w:t>
            </w:r>
          </w:p>
        </w:tc>
        <w:tc>
          <w:tcPr>
            <w:tcW w:w="1360" w:type="dxa"/>
            <w:vAlign w:val="bottom"/>
          </w:tcPr>
          <w:p>
            <w:pPr>
              <w:jc w:val="right"/>
              <w:ind w:right="333"/>
              <w:spacing w:after="0"/>
              <w:rPr>
                <w:sz w:val="20"/>
                <w:szCs w:val="20"/>
                <w:color w:val="auto"/>
              </w:rPr>
            </w:pPr>
            <w:r>
              <w:rPr>
                <w:rFonts w:ascii="Arial" w:cs="Arial" w:eastAsia="Arial" w:hAnsi="Arial"/>
                <w:sz w:val="16"/>
                <w:szCs w:val="16"/>
                <w:b w:val="1"/>
                <w:bCs w:val="1"/>
                <w:color w:val="auto"/>
              </w:rPr>
              <w:t>Awards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14"/>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8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December 31, 2016 (Restated)</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1,645</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36.27</w:t>
            </w: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26.97</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32.73</w:t>
            </w: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33.48</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March 31, 2017</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2,550</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31.02</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Restricted stock awards are granted subject to other service conditions or service and performance conditions (“Performance-Based Awards”). Restricted stock and performance-based awards are measured at the closing stock price at the date of grant and are recognized straight line over the requisite service period. During the first quarter of 2017, the Company issued 43,413 shares of restricted stock related to the 2016 performance share objectives. Of the 2,550,481 non-vested restricted awards and units outstanding under the 2015 Plan as of March 31, 2017, 440,926 awards represents the forecasted number of awards whereby vesting is contingent on meeting certain performance conditions based on Revenue and EBITDA for the Company with an average grant date price of $31.79.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February 1, 2012, the Company established a ten-year Employee Stock Purchase Plan (“ESPP” or “the Plan”) for certain eligible employees. The Plan is administered by the Company’s Board of Directors. The total number of shares available for purchase under the Plan is 500 thousand shares of the Company’s common stock. Employees participate over a six month period through payroll withholdings and may purchase, at the end of the six month period, the Company’s common stock at the lower of 85% of the fair market value on the first day of the offering period or the fair market value on the purchase date. No participant will be granted a right to purchase common stock under the Plan if such participant would own more than 5% of the total combined voting power of the Company. In addition, no participant may purchase more than a thousand shares of common stock within any purchase period or with a value greater than $25 thousand in any calendar year. The Plan was indefinitely suspended on July 27,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On February 4, 2016, the Company announced that our Board of Directors approved a share repurchase program under which we may repurchase up to $100.0 million of our outstanding common stock for 12 to 18 months following the announcement. In 2016, the Company repurchased approximately 1.3 million shares of the Company’s common stock under this program for an aggregate repurchase price of $40.0 million. There were no repurchases during the three months ended March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 Share Purchase Agreement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October 16, 2017, investment funds affiliated with Siris owned 5,994,667 shares (the “Existing Siris Shares”) of Synchronoss’ common stock, par value $0.0001 per share (the “Common Stock”) as of such date.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17, 2017, the Company announced the entry into definitive agreements for the sale of Intralinks and the right to purchase a newly created series of preferred stock of Synchronoss to affiliates of Siris.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Subject to the terms and conditions set forth in the Share Purchase Agreement, dated as of October 17, 2017 (the “Share Purchase Agreement”), among Synchronoss, Intralinks and Impala, Impala agreed to complete the Intralinks Transaction. Please see </w:t>
      </w:r>
      <w:r>
        <w:rPr>
          <w:rFonts w:ascii="Arial" w:cs="Arial" w:eastAsia="Arial" w:hAnsi="Arial"/>
          <w:sz w:val="18"/>
          <w:szCs w:val="18"/>
          <w:i w:val="1"/>
          <w:iCs w:val="1"/>
          <w:color w:val="auto"/>
        </w:rPr>
        <w:t>Note 4 - Acquisitions and Divestitures</w:t>
      </w:r>
      <w:r>
        <w:rPr>
          <w:rFonts w:ascii="Arial" w:cs="Arial" w:eastAsia="Arial" w:hAnsi="Arial"/>
          <w:sz w:val="18"/>
          <w:szCs w:val="18"/>
          <w:color w:val="auto"/>
        </w:rPr>
        <w:t xml:space="preserve"> for more information on the transaction.</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At the closing of the Intralinks Transaction on November 14, 2017, Impala acquired all of the issued and outstanding shares of Intralinks for approximately $991.0 million in cash, subject to post-closing adjustments for changes in cash, debt and working capital. If, in the future, Impala receives net cash proceeds in excess of $440.0 million from any sale of equity or assets of Intralinks, or a dividend or distribution in respect of the shares of Intralinks, then Impala is required to pay the Company up to an additional $25.0 million in cash or publicly traded securities. Immediately following the consummation of the Intralinks Transaction, the Company paid to Impala $5.0 million as partial reimbursement of the out-of-pocket fees and expenses incurred by Impala, Siris and their respective affiliates in connection with the execution of the Share Purchase Agreement and the Intralinks Transaction.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November 14, 2017, investment funds affiliated with Siris owned 5,994,667 shares of the Company’s common stock as of such date.</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subject to the terms and conditions set forth in the PIPE Purchase Agreement, between Synchronoss and Silver, Synchronoss agreed to issue an option to sell to Silver 185,000 shares of Series A Preferred Stock in the Preferred Transaction. Prior to or contemporaneously with the consummation of the Preferred Transaction, Synchronoss agreed to file the Series A Certificate and enter into the Investor Rights Agreement with Silver setting forth certain registration, governance and preemptive rights of Silver with respect to Synchronoss discussed below.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 Stock Plans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During 2017, the Company’s Board of Directors approved the issuance of market-based restricted stock to certain executives which are eligible to vest if the volume-weighted average closing price over 20 consecutive trading days equals or exceeds certain stock prices during the specific performance period from July 2017 to July 2019. The Company utilized the Monte Carlo simulation to estimate the fair value of the restricted stock on its grant date.</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appointment a new Chief Executive Officer in November 2017, the Company entered into an employment agreement which provided for the grant of restricted stock awards, stock options and performance stock awards. These awards were approved by the Compensation Committee of Synchronoss’ Board of Directors and granted as an inducement equity award outside the 2015 Plan in accordance with the Nasdaq Listing Rule 5635(c)(4) (the “Inducement Rule”).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 Shares of Preferred Stock</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accordance with the terms of the PIPE Purchase Agreement, with Silver, on February 15, 2018, the Company exercised its option to complete the Preferred Transaction. In connection with the issuance of the Series A Preferred Stock, the Company (i) filed the Series A Certificate and (ii) entered into the Investor Rights Agreement. Pursuant to the PIPE Purchase Agreement, at the closing, the Company paid to Siris $5.0 million as a reimbursement of Silver’s reasonable costs and expenses incurred in connection with the Preferred Transaction.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A Preferred Stock</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on each share of Series A Preferred Stock on a quarterly basis, an amount equal to the dividend rate of 14.5% divided by four and multiplied by the then-applicable Liquidation Preference (as defined in the Series A Certificate) per share of Series A Preferred Stock (collectively, the “Preferred Dividends”). The Preferred Dividends are due on January 1, April 1, July 1 and October 1 of each year (each, a “Series A Dividend Payment Date”). The Company may choose to pay the Preferred Dividends in cash or in additional shares of Series A Preferred Stock. In the event the Company does not declare and pay a dividend in-kind or in cash on any Series A Dividend Payment Date, the unpaid amount of the Preferred Dividend will be added to the Liquidation Preference. In addition, the Series A Preferred Stock participates in dividends declared and paid on shares of the Company’s common stock.</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 Conversion Rate is subject to equitable proportionate adjustment in the event of stock splits, recapitalizations and other events set forth in the Series A Certificate.</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and after the fifth anniversary of February 15, 2018, holders of shares of Series A Preferred Stock have the right to cause the Company to redeem each share of Series A Preferred Stock for cash in an amount equal to the sum of the current liquidation preference and any accrued dividends. Each share of Series A Preferred Stock is also redeemable at the option of the holder upon the occurrence of a “Fundamental Change” (as that term is defined in the Series A Certificate) at a specified premium. In addition, the Company is also permitted to redeem all outstanding shares of the Series A Preferred Stock at any time</w:t>
      </w:r>
    </w:p>
    <w:p>
      <w:pPr>
        <w:spacing w:after="0" w:line="2" w:lineRule="exact"/>
        <w:rPr>
          <w:sz w:val="20"/>
          <w:szCs w:val="20"/>
          <w:color w:val="auto"/>
        </w:rPr>
      </w:pPr>
    </w:p>
    <w:p>
      <w:pPr>
        <w:jc w:val="both"/>
        <w:ind w:firstLine="8"/>
        <w:spacing w:after="0" w:line="255" w:lineRule="auto"/>
        <w:tabs>
          <w:tab w:leader="none" w:pos="2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within the first 30 months of the date of issuance for the sum of the then-applicable Liquidation Preference, accrued but unpaid dividends and a make whole amount and (ii) following the 30-month anniversary of the date of issuance for the sum of the then-applicable Liquidation Preference and the accrued but unpaid dividends.</w:t>
      </w:r>
    </w:p>
    <w:p>
      <w:pPr>
        <w:spacing w:after="0" w:line="1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holders of a majority of the Series A Preferred Stock, voting separately as a class, are entitled at each of the Company’s annual meetings of stockholders or at any special meeting called for the purpose of electing directors (or by written consent signed by the holders of a majority of the then-outstanding shares of Series A Preferred Stock in lieu of such a meeting): (i) to nominate and elect two members of the Company’s Board of Directors for so long as the Preferred Percentage (as defined in the Series A Certificate) is equal to or greater than 10%; and (ii) to nominate and elect one member of the Company’s Board of Directors for so long as the Preferred Percentage is equal to or greater than 5% but less than 10%.</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For so long as the holders of shares of Series A Preferred Stock have the right to nominate at least one director, the Company is required to obtain the prior approval of Silver prior to taking certain actions, including: (i) certain dividends, repayments and redemptions; (ii) any amendment to the Company’s certificate of incorporation that adversely effects the rights, preferences, privileges or voting powers of the Series A Preferred Stock; (iii) issuances of stock ranking senior or equivalent to shares of Series A Preferred Stock (including additional shares of Series A Preferred Stock) in the priority of payment of dividends or in the distribution of assets upon any liquidation, dissolution or winding up of us; (iv) changes in the size of the Company’s Board of Directors;</w:t>
      </w:r>
    </w:p>
    <w:p>
      <w:pPr>
        <w:spacing w:after="0" w:line="2" w:lineRule="exact"/>
        <w:rPr>
          <w:sz w:val="20"/>
          <w:szCs w:val="20"/>
          <w:color w:val="auto"/>
        </w:rPr>
      </w:pPr>
    </w:p>
    <w:p>
      <w:pPr>
        <w:jc w:val="both"/>
        <w:ind w:firstLine="8"/>
        <w:spacing w:after="0" w:line="252" w:lineRule="auto"/>
        <w:tabs>
          <w:tab w:leader="none" w:pos="2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amendment, alteration, modification or repeal of the charter of the Company’s Nominating and Corporate Governance Committee of the Board of Directors and related documents; and (vi) any change in the Company’s principal business or the entry into any line of business outside of the Company’s existing lines of businesses. In addition, in the event that the Company is in EBITDA Non-Compliance (as defined in the Series A Certificate) or the undertaking of certain actions would result in the Company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19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 provided for in the Series A Certificate or by the General Corporation Law of the State of Delaware, the holders of shares of the Series A Preferred Stock are entitled to vote with the holders of shares of common stock (and any other class or series that may similarly be entitled to vote on an as-converted basis with the holders of common stock) on all matters submitted to a vote or to the consent of the stockholders of the Company (including the election of directors) as one class.</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Under the Series A Certificate, if Silver and certain of its affiliates have elected to effect a conversion of some or all of their shares of Series A Preferred Stock and if the sum, without duplication, of (i) the aggregate number of shares of the Company’s common stock issued to such holders upon such conversion and any shares of the Company’s common stock previously issued to such holders upon conversion of Series A Preferred Stock and then held by such holders, plus (ii) the number of shares of the Company’s common stock underlying shares of Series A Preferred Stock that would be held at such time by such holders (after giving effect to such conversion), would exceed the 19.9% of the issued and outstanding shares of the Company’s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 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the Company’s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the Company’s common stock under the applicable listing standards.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of Investor Rights Agreement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Concurrently with the closing of the Preferred Transaction, Synchronoss and Silver entered into an Investor Rights Agreement. Under the terms of the Investor Rights Agreement, Silver and Synchronoss have agreed that, effective as of the 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 and elected by the holders of shares of Series A Preferred Stock; (ii) four directors who meet the independence criteria set forth 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 shall be the current chairman of the Board of Directors of Synchronoss as of the date of execution of the Investors Rights Agreement. Following the closing of the Preferred Transaction, so long as the holders of Series A Preferred Stock have the right to nominate at least one director to the Board of Directors of Synchronoss pursuant to the Series A Certificate, Silver will have the right to designate two members of the Nominating and Corporate Governance Committee of the Board of Directors.</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 affiliates will directly or indirectly purchase or acquire any debt or equity securities of Synchronoss (including equity-linked derivative securities) if such purchase or acquisition would result in Silver’s Standstill Percentage (as defined in the Investor 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 distributions thereon. Silver will also have preemptive rights with respect to issuances of securities of Synchronoss in order to maintain its ownership percentage.</w:t>
      </w:r>
    </w:p>
    <w:p>
      <w:pPr>
        <w:spacing w:after="0" w:line="18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 - Common Stock</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November 15, 2017, the Company received a letter from the Staff of the Nasdaq notifying the Company that since it remains delinquent in filing its Quarterly Reports on Form 10-Q for the quarterly periods ended March 31, 2017, June 30, 2017 and September 30, 2017, it has not regained compliance with the Rule, which requires timely filing of periodic reports with the Securities and Exchange Commission (the “SEC”). Previously, Nasdaq granted the Company an extension until November 13, 2017 to file all delinquent periodic reports. As described in the letter, as a result of the continued delinquency, the Company’s common stock is subject to delisting unless the Company timely requests a hearing before a Nasdaq Hearings Panel (the “Panel”).</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6, 2017, the Company received a letter from the Hearings Department of the Nasdaq granting the Company’s request to extend the stay of suspension pending a hearing before the Panel, in late January 2018, and issuance of a final Panel decision.</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February 6, 2018, the Company received a notification letter from a Hearings Advisor from the Nasdaq Office of General Counsel informing the Company that the Nasdaq Hearings Panel (the “Panel”) granted the Company’s request for an extension until May 10, 2018 to become current with its filings with the SEC. Additionally, the extension was subject to the Company providing the Panel with periodic updates regarding its ongoing restatement of its financial statements and providing the Panel with an update issued to investors on or before March 31, 2018. The Panel granted the Company the maximum possible extension until the expiration of the Panel’s discretion to allow continued listing while the Company remained out of compliance with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Nasdaq’s continued listing requirements. To comply with the Nasdaq extension requirements, the Company issued an update to investors on March 28, 2018.</w:t>
      </w:r>
    </w:p>
    <w:p>
      <w:pPr>
        <w:spacing w:after="0" w:line="2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May 4, 2018, the Company informed the Panel of its determination that it would be unable to satisfy the May 10, 2018 deadline. On May 11, 2018, the Company received a notification letter from the Panel indicating that trading in the Company’s common stock was suspended effective at the open of business on May 14, 2018. The Panel also determined to delist the Company’s shares from Nasdaq after applicable appeal periods have lapsed. The Company has appealed the decision to the Nasdaq Listing and Hearing Review Council. During the appeal process, the Company’s stock remains listed however trading in the Company’s common stock on Nasdaq remains suspended. While the Company’s common stock is suspended from trading on Nasdaq, the Company’s shares are currently quoted on the OTC Markets under the trading symbol SNCR.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Restructuring</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March 2016 and December 2016, the Company initiated a work-force reduction as part of a corporate restructuring, with reductions occurring across all levels and departments within the Company, primarily in an effort to reduce costs subsequent to an acquisition or divestiture. These measures were intended to reduce costs and to align the Company’s resources with its key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strategic priorities. The Company authorized additional work force reduction initiatives throughout 2017. As of March 31, 2017, there were $2.6 million of accrued restructuring charges on the Condensed Consolidated Balance Sheets.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Company’s restructuring accrual at March 31, 2017 and changes during the three months ended March 31, 2017, are presented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Balance at</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Balance at March</w:t>
            </w:r>
          </w:p>
        </w:tc>
      </w:tr>
      <w:tr>
        <w:trPr>
          <w:trHeight w:val="261"/>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2016 (Restated)</w:t>
            </w:r>
          </w:p>
        </w:tc>
        <w:tc>
          <w:tcPr>
            <w:tcW w:w="26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Charges</w:t>
            </w:r>
          </w:p>
        </w:tc>
        <w:tc>
          <w:tcPr>
            <w:tcW w:w="220" w:type="dxa"/>
            <w:vAlign w:val="bottom"/>
          </w:tcPr>
          <w:p>
            <w:pPr>
              <w:spacing w:after="0"/>
              <w:rPr>
                <w:sz w:val="22"/>
                <w:szCs w:val="22"/>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Payments</w:t>
            </w:r>
          </w:p>
        </w:tc>
        <w:tc>
          <w:tcPr>
            <w:tcW w:w="200" w:type="dxa"/>
            <w:vAlign w:val="bottom"/>
          </w:tcPr>
          <w:p>
            <w:pPr>
              <w:spacing w:after="0"/>
              <w:rPr>
                <w:sz w:val="22"/>
                <w:szCs w:val="22"/>
                <w:color w:val="auto"/>
              </w:rPr>
            </w:pPr>
          </w:p>
        </w:tc>
        <w:tc>
          <w:tcPr>
            <w:tcW w:w="1480" w:type="dxa"/>
            <w:vAlign w:val="bottom"/>
            <w:gridSpan w:val="2"/>
          </w:tcPr>
          <w:p>
            <w:pPr>
              <w:jc w:val="center"/>
              <w:ind w:right="320"/>
              <w:spacing w:after="0" w:line="262" w:lineRule="exact"/>
              <w:rPr>
                <w:sz w:val="20"/>
                <w:szCs w:val="20"/>
                <w:color w:val="auto"/>
              </w:rPr>
            </w:pPr>
            <w:r>
              <w:rPr>
                <w:rFonts w:ascii="Arial" w:cs="Arial" w:eastAsia="Arial" w:hAnsi="Arial"/>
                <w:sz w:val="18"/>
                <w:szCs w:val="18"/>
                <w:b w:val="1"/>
                <w:bCs w:val="1"/>
                <w:color w:val="auto"/>
                <w:w w:val="87"/>
              </w:rPr>
              <w:t>Adjustments</w:t>
            </w:r>
            <w:r>
              <w:rPr>
                <w:rFonts w:ascii="Arial" w:cs="Arial" w:eastAsia="Arial" w:hAnsi="Arial"/>
                <w:sz w:val="25"/>
                <w:szCs w:val="25"/>
                <w:b w:val="1"/>
                <w:bCs w:val="1"/>
                <w:color w:val="auto"/>
                <w:w w:val="87"/>
                <w:vertAlign w:val="superscript"/>
              </w:rPr>
              <w:t>1</w:t>
            </w:r>
          </w:p>
        </w:tc>
        <w:tc>
          <w:tcPr>
            <w:tcW w:w="260" w:type="dxa"/>
            <w:vAlign w:val="bottom"/>
          </w:tcPr>
          <w:p>
            <w:pPr>
              <w:spacing w:after="0"/>
              <w:rPr>
                <w:sz w:val="22"/>
                <w:szCs w:val="22"/>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31, 2017</w:t>
            </w:r>
          </w:p>
        </w:tc>
      </w:tr>
      <w:tr>
        <w:trPr>
          <w:trHeight w:val="244"/>
        </w:trPr>
        <w:tc>
          <w:tcPr>
            <w:tcW w:w="33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Employment termination costs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2,533</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Facilities consolidation</w:t>
            </w: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36</w:t>
            </w: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2,569</w:t>
            </w: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Includes non-cash adjustments.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recognized approximately $8.7 million and $15.5 million in related income tax benefit during the three months ended March 31, 2017 and 2016, respectively. The effective tax rate was approximately 16.1% for the three months ended March 31, 2017 which was lower than our U.S. federal statutory rate primarily due to the impact of losses in foreign jurisdictions which have lower tax rates than the U.S. Our effective tax rate was approximately 33.3% for the three months ended March 31, 2016, which was slightly lower than our U.S. federal statutory rate primarily due to the impact of losses in foreign jurisdictions which have lower tax rates than the U.S. We review the expected annual effective income tax rate and make changes on a quarterly basis as necessary based on certain factors such as changes in forecasted annual operating income, changes to the actual and forecasted permanent book-to-tax differences, and changes resulting from the impact of tax law changes.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Common Share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 reconciliation of the numerator and denominator used in computing basic and diluted net income attributable to common stockholders per common share from continued and discontinued operations.</w:t>
      </w:r>
    </w:p>
    <w:p>
      <w:pPr>
        <w:spacing w:after="0" w:line="117"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33020</wp:posOffset>
            </wp:positionV>
            <wp:extent cx="18008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b w:val="1"/>
                <w:bCs w:val="1"/>
                <w:color w:val="auto"/>
              </w:rPr>
              <w:t>(Restated)</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Numerator - Basic: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Net loss from continuing operations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(45,452)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(31,150)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 attributable to redeemable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(3,007)</w:t>
            </w:r>
          </w:p>
        </w:tc>
        <w:tc>
          <w:tcPr>
            <w:tcW w:w="0" w:type="dxa"/>
            <w:vAlign w:val="bottom"/>
          </w:tcPr>
          <w:p>
            <w:pPr>
              <w:spacing w:after="0"/>
              <w:rPr>
                <w:sz w:val="1"/>
                <w:szCs w:val="1"/>
                <w:color w:val="auto"/>
              </w:rPr>
            </w:pP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Net loss from continuing operations attributable to Synchronoss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(42,563)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(28,143)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Income from discontinued operations, net of taxes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Synchronoss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(29,329)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Numerator - Diluted: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Net loss from continuing operations attributable to Synchronoss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(42,563)</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(28,143)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effect for interest on convertible debt,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Net loss from continuing operations adjusted for the convertible debt</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(42,563)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(28,143)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Income from discontinued operations, net of taxes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Synchronoss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(29,329)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Denominator: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Weighted average common shares outstanding — basic</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44,212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43,423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Dilutive effect of:</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580" w:type="dxa"/>
            <w:vAlign w:val="bottom"/>
          </w:tcPr>
          <w:p>
            <w:pPr>
              <w:ind w:left="280"/>
              <w:spacing w:after="0"/>
              <w:rPr>
                <w:sz w:val="20"/>
                <w:szCs w:val="20"/>
                <w:color w:val="auto"/>
              </w:rPr>
            </w:pPr>
            <w:r>
              <w:rPr>
                <w:rFonts w:ascii="Arial" w:cs="Arial" w:eastAsia="Arial" w:hAnsi="Arial"/>
                <w:sz w:val="16"/>
                <w:szCs w:val="16"/>
                <w:color w:val="auto"/>
              </w:rPr>
              <w:t xml:space="preserve">Shares from assumed conversion of convertible debt </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Options and unvested restricted shares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3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44,212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43,423</w:t>
            </w:r>
          </w:p>
        </w:tc>
        <w:tc>
          <w:tcPr>
            <w:tcW w:w="0" w:type="dxa"/>
            <w:vAlign w:val="bottom"/>
          </w:tcPr>
          <w:p>
            <w:pPr>
              <w:spacing w:after="0"/>
              <w:rPr>
                <w:sz w:val="1"/>
                <w:szCs w:val="1"/>
                <w:color w:val="auto"/>
              </w:rPr>
            </w:pPr>
          </w:p>
        </w:tc>
      </w:tr>
      <w:tr>
        <w:trPr>
          <w:trHeight w:val="311"/>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Basic EPS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Continuing operations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Discontinued operations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Diluted EPS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5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Continuing operations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Discontinued operations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Anti-dilutive stock options excluded: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1,917</w:t>
            </w:r>
          </w:p>
        </w:tc>
        <w:tc>
          <w:tcPr>
            <w:tcW w:w="0" w:type="dxa"/>
            <w:vAlign w:val="bottom"/>
          </w:tcPr>
          <w:p>
            <w:pPr>
              <w:spacing w:after="0"/>
              <w:rPr>
                <w:sz w:val="1"/>
                <w:szCs w:val="1"/>
                <w:color w:val="auto"/>
              </w:rPr>
            </w:pPr>
          </w:p>
        </w:tc>
      </w:tr>
      <w:tr>
        <w:trPr>
          <w:trHeight w:val="244"/>
        </w:trPr>
        <w:tc>
          <w:tcPr>
            <w:tcW w:w="8580" w:type="dxa"/>
            <w:vAlign w:val="bottom"/>
          </w:tcPr>
          <w:p>
            <w:pPr>
              <w:ind w:left="180"/>
              <w:spacing w:after="0"/>
              <w:rPr>
                <w:sz w:val="20"/>
                <w:szCs w:val="20"/>
                <w:color w:val="auto"/>
              </w:rPr>
            </w:pPr>
            <w:r>
              <w:rPr>
                <w:rFonts w:ascii="Arial" w:cs="Arial" w:eastAsia="Arial" w:hAnsi="Arial"/>
                <w:sz w:val="16"/>
                <w:szCs w:val="16"/>
                <w:color w:val="auto"/>
              </w:rPr>
              <w:t>Non-vested shares of restricted stock awards and restricted stock units excluded</w:t>
            </w: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2,550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1,607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340" w:hanging="332"/>
        <w:spacing w:after="0" w:line="216" w:lineRule="auto"/>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The calculation for each period does not include the effect of assumed conversion of convertible debt of 4,325,646 shares, which is based on 18.8072 shares per $1,000 principal amount of the 2019 Notes, because the effect would have been anti-dilutive.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Contingencies and Other</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As part of its divestiture of its activation exception handling business in 2016, the Company provided a guarantee to Goldman for $30 million of the $40 million in senior debt extended by Goldman to STIH which is referenced as the Third Party Note in </w:t>
      </w:r>
      <w:r>
        <w:rPr>
          <w:rFonts w:ascii="Arial" w:cs="Arial" w:eastAsia="Arial" w:hAnsi="Arial"/>
          <w:sz w:val="17"/>
          <w:szCs w:val="17"/>
          <w:i w:val="1"/>
          <w:iCs w:val="1"/>
          <w:color w:val="auto"/>
        </w:rPr>
        <w:t>Note 6 - Investments in Affiliates and Related</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w:t>
      </w:r>
      <w:r>
        <w:rPr>
          <w:rFonts w:ascii="Arial" w:cs="Arial" w:eastAsia="Arial" w:hAnsi="Arial"/>
          <w:sz w:val="17"/>
          <w:szCs w:val="17"/>
          <w:color w:val="auto"/>
        </w:rPr>
        <w:t>. At March 31, 2017, STIH missed its minimum earnings before interest, tax, depreciation and amortization (“EBITDA”) target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Goldman loan. As of March 31, 2017, the Company had $6.2 million in obligations to guarantee the debt outstanding to Goldman.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October 7, 2014, the Company filed an amended complaint in the United States District Court for the District of New Jersey (Civ Act. No. 3:14-cv-06220) against F-Secure Corporation and F-Secure, Inc. (collectively, “F-Secure”), claiming that F-Secure has infringed, and continues to infringe, several of the Company’s patents. In February 2015, the Company entered into a patent license and settlement agreement with F-Secure Corporation and F-Secure, Inc. whereby the Company granted each of these companies (but not their subsidiaries or affiliates) a limited license to our patents. As a result of entering into the patent license and settlement agreement, the parties filed a joint stipulation to dismiss the above complaint.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 Legal Matters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May 1, 2017, May 2, 2017, June 8, 2017 and June 14, 2017, four putative class actions were filed against the Company and certain of its officers and directors in the United States District Court for the District of New Jersey (the “Securities Law Action”). After these cases were consolidated, the court appointed as lead plaintiff Employees’ Retirement System of the State of Hawaii, which filed, on November 20, 2017, a consolidated amended complaint purportedly on behalf of purchasers of our common stock between February 3, 2016 and June 13, 2017. The consolidated amended complaint asserts claims under Sections 10(b) and 20(a) of the Securities Exchange Act of 1934, and it alleges, among other things, that the defendants made false and misleading statements of material information concerning the Company’s financial results, business operations, and prospects. The plaintiff seeks unspecified damages, fees, interest, and costs. On February 2, 2018, the defendants filed a motion to dismiss the consolidated amended complaint in its entirety, with prejudice, which remains pending. We believe that the asserted claims lack merit, and we intend to defend against all of the claims vigorously. Due to the inherent uncertainties of litigation, we cannot predict the outcome of the actions at this time, and we can give no assurance that the asserted claims will not have a material adverse effect on our financial position or results of operations.</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September 15, 2017, October 24, 2017, October 27, 2017 and October 30, 2017, Synchronoss shareholders filed derivative lawsuits against certain of the Company’s officers and directors and the Company (as nominal defendant) in the United States District Court for the District of New Jersey (the “Derivative Suits”). These lawsuits purport to allege claims related to breaches of fiduciary duties and unjust enrichment. The allegations in the Derivative Suits relate to substantially the same facts as those underlying the Securities Law Action described above. The plaintiffs seek unspecified damages and for the Company to take steps to improve its corporate governance and internal procedures. The plaintiffs in the Derivative Suits in which service of the complaints was effectuated have agreed to stay proceedings pending the court’s decision on the defendants’ motion to dismiss in the Securities Laws Action. The Company believes that the asserted claims lack merit, and we intend to defend against all of the claims vigorously. Due to the inherent uncertainties of litigation, the Company cannot predict the outcome of the Derivative Suits at this time, and the Company can give no assurance that the asserted claims will not have a material adverse effect on the Company’s financial position or results of operations.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2011 acquisition agreement with Miyowa SA (“Miyowa”) provided that former shareholders of Miyowa would be eligible for earn-out payments to the extent specified business milestones were achieved following the acquisition. In December 2013, Eurowebfund and Bakamar, two former shareholders of Miyowa filed a complaint against the Company in the Commercial Court of Paris, France claiming that they are entitled to certain earn-out payments under the acquisition agreement. The Company was served with a copy of this complaint in January 2014. On December 3, 2015, the Court dismissed all claims in the complaint against the Company. On December 19, 2015, the former shareholders of Miyowa filed an appeal with the Court of Appeal of Paris, France, appealing the Court’s decision. On January 11, 2018, the Court of Appeal of Paris, France, dismissed the appeal. The plaintiffs have informed us that they will not be appealing this decision.</w:t>
      </w:r>
    </w:p>
    <w:p>
      <w:pPr>
        <w:spacing w:after="0" w:line="18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July 11, 2017, Shareholder Representative Services LLC, on behalf of the persons entitled to receive merger consideration (the “Sellers”) in connection with our acquisition of Razorsight, commenced arbitration against us with respect to a dispute over the amount due to the Sellers as additional consideration. Under the Razorsight purchase agreement, the Sellers are entitled to a percentage of any revenue recognized by us generated from the sale or licensing of Razorsight products in 2016 after a specific revenue threshold is obtained. The parties disagreed over the determination of the amount of revenue we recognized in 2016. The parties entered into an agreement resolving the arbitration in May 2018.</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Except as set forth above, the Company is not currently subject to any legal proceedings that could have a material adverse effect on its operations; however, it may from time to time become a party to various legal proceedings arising in the ordinary course of its business. The Company is currently the plaintiff in several patent infringement cases. The defendants in several of these cases have filed counterclaims. Although the Company cannot predict the outcome of the cases at this time due to the inherent uncertainties of litigation, the Company continues to pursue its claims and believes that the counterclaims are without merit, and the Company intends to defend all of such counterclaims.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 Guarantee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STIH’s covenant violation, in June 2017, the Company distributed approximately $6.2 million to Goldman as previously defined, the Distribution Note. The remaining amounts guaranteed under the arrangement were released upon assignment of certain customer contracts. Under the terms of the PIK note with STIH, distributed amounts made by the Company to Goldman are added to the amounts outstanding under the PIK note. As of June 30, 2017, the Company has no further obligations to guarantee the debt outstanding to Goldman.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 Review</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further information about the Company’s significant events subsequent to the period ended March 31, 2017, refer to the consolidated financial statements and footnotes thereto included in the Company’s Annual Report on Form 10-K for the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Divestitures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4 - Acquisitions and Divestitures</w:t>
      </w:r>
      <w:r>
        <w:rPr>
          <w:rFonts w:ascii="Arial" w:cs="Arial" w:eastAsia="Arial" w:hAnsi="Arial"/>
          <w:sz w:val="18"/>
          <w:szCs w:val="18"/>
          <w:color w:val="auto"/>
        </w:rPr>
        <w:t xml:space="preserve"> sub-section, “Subsequent Events - Divestiture of Intralinks”, for a description of subsequent events regarding the Intralinks divestiture during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7 - Debt</w:t>
      </w:r>
      <w:r>
        <w:rPr>
          <w:rFonts w:ascii="Arial" w:cs="Arial" w:eastAsia="Arial" w:hAnsi="Arial"/>
          <w:sz w:val="18"/>
          <w:szCs w:val="18"/>
          <w:color w:val="auto"/>
        </w:rPr>
        <w:t xml:space="preserve"> for a description of the first amendment to the 2017 Credit Agreement, which became effective July 19, 2017 and the repayment of all outstanding obligations under the 2017 Credit Agreement on November 14,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Compliance and Common Stock</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May 16, 2017, the Company received notice (the “Notice”) from the Listing Qualifications Department of The Nasdaq Stock Market (“Nasdaq”) indicating that the Company was not in compliance with Nasdaq Listing Rule 5250(c)(1) because the Company had not yet filed its Quarterly Report on Form 10-Q for the period ended March 31, 2017 (the “Form 10-Q”). The Notice indicated that the Company had until July 17, 2017 to submit a plan to regain compliance with Nasdaq’s continued listing requirements. On July 17, 2017, the Company timely submitted its plan to Nasdaq detailing how the Company plans to regain compliance with Nasdaq’s continued listing requirements (the “Compliance Plan”). Nasdaq accepted the Compliance Plan and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granted the Company an extension of up to 180 calendar days from the Form 10-Q’s due date, or until November 6, 2017, to regain compliance.</w:t>
      </w:r>
    </w:p>
    <w:p>
      <w:pPr>
        <w:spacing w:after="0" w:line="2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26, 2017, the Nasdaq granted the Company an exception from its continued listing requirements until November 13, 2017 to file all delinquent periodic reports, including its delinquent Quarterly Report on Form 10-Q for the period ended March 31, 2017. In connection with its delinquency in filing its Quarterly Report on Form 10-Q for the period ended June 30, 2017, Nasdaq has requested an update to the Company’s original plan to regain compliance with Nasdaq’s continued listing requirements.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August 16, 2017, the Company received notice from the Nasdaq indicating that the Company was not in compliance with the Rule because the Company has not yet filed its Quarterly Report on Form 10-Q for the period ended June 30, 2017.</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November 15, 2017, the Company received a letter from the Staff of the Nasdaq notifying the Company that since it remains delinquent in filing its Quarterly Reports on Form 10-Q for the quarterly periods ended March 31, 2017, June 30, 2017 and September 30, 2017, it has not regained compliance with the Rule, which requires timely filing of periodic reports with the Securities and Exchange Commission (the “SEC”). Previously, Nasdaq granted the Company an extension until November 13, 2017 to file all delinquent periodic reports. As described in the letter, as a result of the continued delinquency, the Company’s common stock is subject to delisting unless the Company timely requests a hearing before a Nasdaq Hearings Panel (the “Panel”).</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6, 2017, the Company received a letter from the Hearings Department of the Nasdaq granting the Company’s request to extend the stay of suspension pending a hearing before the Panel, in late January 2018, and issuance of a final Panel decision.</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February 6, 2018, the Company received a notification letter from a Hearings Advisor from the Nasdaq Office of General Counsel informing the Company that the Panel granted the Company’s request for an extension until May 10, 2018 to become current with its filings with the SEC. Additionally, the extension was subject to the Company providing the Panel with periodic updates regarding its ongoing restatement of its financial statements and providing the Panel with an update issued to investors on or before March 31, 2018. The Panel granted the Company the maximum possible extension until the expiration of the Panel’s discretion to allow continued listing while the Company remained out of compliance with Nasdaq’s continued listing requirements. To comply with the Nasdaq extension requirements, the Company issued an update to investors on March 28, 2018.</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May 4, 2018, the Company informed the Panel of its determination that it would be unable to satisfy the May 10, 2018 deadline. On May 11, 2018, the Company received a notification letter from the Panel indicating that trading in the Company’s common stock was suspended effective at the open of business on May 14, 2018. The Panel also determined to delist the Company’s shares from Nasdaq after applicable appeal periods have lapsed. The Company has appealed the decision to the Nasdaq Listing and Hearing Review Council. During the appeal process, the Company’s stock remains listed however trading in the Company’s common stock on Nasdaq remains suspended. While the Company’s common stock is suspended from trading on Nasdaq, the Company’s shares are currently quoted on the OTC Markets under the trading symbol SNCR.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13 - Commitments and Contingencies and Other</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6 - Investments in Affiliates and Related Transactions</w:t>
      </w:r>
      <w:r>
        <w:rPr>
          <w:rFonts w:ascii="Arial" w:cs="Arial" w:eastAsia="Arial" w:hAnsi="Arial"/>
          <w:sz w:val="18"/>
          <w:szCs w:val="18"/>
          <w:color w:val="auto"/>
        </w:rPr>
        <w:t xml:space="preserve"> for a description of the missed STIH minimum EBITDA target under the Goldman loan and the resulting STIH covenant violation.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Purchase Agreement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9 - Stockholder’s Equity</w:t>
      </w:r>
      <w:r>
        <w:rPr>
          <w:rFonts w:ascii="Arial" w:cs="Arial" w:eastAsia="Arial" w:hAnsi="Arial"/>
          <w:sz w:val="18"/>
          <w:szCs w:val="18"/>
          <w:color w:val="auto"/>
        </w:rPr>
        <w:t xml:space="preserve"> sub-section “Subsequent Event - Share Purchase Agreement” for a description of subsequent events regarding the Share Purchase Agreement that resulted in the Intralinks divestiture during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Preferred Stock</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9 - Stockholder’s Equity</w:t>
      </w:r>
      <w:r>
        <w:rPr>
          <w:rFonts w:ascii="Arial" w:cs="Arial" w:eastAsia="Arial" w:hAnsi="Arial"/>
          <w:sz w:val="18"/>
          <w:szCs w:val="18"/>
          <w:color w:val="auto"/>
        </w:rPr>
        <w:t xml:space="preserve"> sub-section “Subsequent Events - Shares of Preferred Stock” for a description of the terms of the PIPE Purchase Agreement with Silver on February 15, 2018, in which the Company issued Series A Preferred Stock.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honeybee</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May 2018, the Company completed the acquisition of the honeybee software business, a provider of digital solutions targeted at optimizing the customer experience from Dixons Carphone plc. honeybee offers a digital transformation platform that makes it easier for companies to design and launch omni-channel customer journeys. The Company paid cash consideration of approximately $10.7 million. Customers of the honeybee platform, such as mobile operators and other communication service providers, can rapidly create and adapt digital sales processes for contact centers, retail stores, and online channels. This reduces complexity for the end-user as well as internal employees, while delivering a single customer experience at all touch-points and improved business outcomes such as reduced cost and increased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Notes Notice</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June 13, 2018, The Bank of New York Mellon, in its capacity as trustee (the “Trustee”) under the indenture dated as of August 12, 2014 (the “Indenture”) governing the Company’s 0.75% Convertible Senior Notes due in 2019 (the “2019 Notes”), filed a verified complaint with the Court of Chancery of the State of Delaware, captioned The Bank of New York Mellon, as Indenture Trustee v. Synchronoss Technologies, Inc. (the “BNY Action”). The BNY Action complaint alleges that as a result of our common stock ceasing to be listed or quoted on Nasdaq and that an Event of Default under the Indenture has occurred as a result of our failure to provide a notice of such Fundamental Change, which, if true, following notice from holders of more than 25% of the outstanding principal under the Notes would trigger the acceleration of the principal and interest outstanding under the 2019 Notes. The complaint seeks a declaratory judgment that (i) a Fundamental Change occurred, (ii) the Company improperly failed to issue a Fundamental Change Company Notice (as defined in the Indenture), (iii) an Event of Default has occurred (as defined in the Indenture), (iv) the Notes have been accelerated, (v) outstanding principal and outstanding unpaid interest on the Notes became immediately due and payable as of June 11, 2018 and (vi) post-judgment interest shall accrue at the statutory rate from the date of declaratory judgment. The Company does not believe that a Fundamental Change has occurred under the Indenture. Therefore, the Company does not believe that any Event of Default, as defined in the Indenture, has occurred or is continuing and does not believe that the Trustee or any holders have a right to declare obligations under the Indenture due and payable. As such, the Company believes that the asserted claims lack merit, and the Company intends to defend against all of the claims vigorously. Due to the inherent uncertainties of litigation, the Company cannot predict the outcome of the BNY Action at this time, and the Company can give no assurance that the asserted claims will not have a material adverse effect on the Company’s financial position or results of operations.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discussions give effect to the restatement adjustments made to the previously reported Consolidated Financial Statements for the years ended December 31, 2016 and December 31, 2015. For additional information and a detailed discussion of the restatement, see “Note 3 - Restatement of Previously Issued Consolidated Financial Statements” of the Notes to Condensed Consolidated Financial Statements in Item 1 of this Form 10-Q. The following discussion and analysis should be read in conjunction with our Condensed Consolidated Financial Statements and the related notes included in Item 1 “Financial Information” of this Form 10-Q.</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The words “Synchronoss,” “we,” “our,” “ours,” “us,” and the “Company” refer to Synchronoss Technologies, Inc. and its consolidated subsidiaries. This quarterly report contains “forward-looking statements” within the meaning of the Private Securities Litigation Reform Act of 1995. These forward-looking statements are subject to risks and uncertainties and are based on the beliefs and assumptions of our management based on information currently available to our management. Use of words such as “believes,” “expects,” “anticipates,” “intends,” “plans,” “hopes,” “should,” “continues,” “seeks,” “likely” or similar expressions, indicate a forward-looking statement. Forward-looking statements are not guarantees of future performance and involve risks, uncertainties and assumptions. Actual results may differ materially from the forward-looking statements we make. We caution investors not to place substantial reliance on the forward-looking statements included in this quarterly report. These statements speak only as of the date of this quarterly report, and we undertake no obligation to update or revise the statements in light of future developments. All numbers are expressed in thousands unless otherwise stated.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Previously Issued Consolidated Financial Statements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Management’s Discussion and Analysis of Financial Condition and Results of Operations have been updated to reflect the effects of the restatement described in </w:t>
      </w:r>
      <w:r>
        <w:rPr>
          <w:rFonts w:ascii="Arial" w:cs="Arial" w:eastAsia="Arial" w:hAnsi="Arial"/>
          <w:sz w:val="18"/>
          <w:szCs w:val="18"/>
          <w:i w:val="1"/>
          <w:iCs w:val="1"/>
          <w:color w:val="auto"/>
        </w:rPr>
        <w:t>Note 3 - Restatement of Previously Issued Consolidated Financial Statements</w:t>
      </w:r>
      <w:r>
        <w:rPr>
          <w:rFonts w:ascii="Arial" w:cs="Arial" w:eastAsia="Arial" w:hAnsi="Arial"/>
          <w:sz w:val="18"/>
          <w:szCs w:val="18"/>
          <w:color w:val="auto"/>
        </w:rPr>
        <w:t xml:space="preserve"> of the Notes to Condensed Consolidated Financial Statements in Item 1 of this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Synchronoss Technologies, Inc. (“Synchronoss” or the “Company”) is a global software and services company that provides essential technologies for the mobile transformation of business. The Company’s portfolio, which is targeted at the Consumer and Enterprise markets, contains offerings such as personal cloud, secure-mobility, identity management and scalable messaging platforms, products and solutions. These essential technologies create a better way of delivering the transformative mobile experiences that service providers and enterprises need to help them stay ahead of the curve in competition, innovation, productivity, growth and operational efficiency.</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Synchronoss’ products and platforms are designed to be carrier-grade, flexible and scalable, enabling multiple converged communication services to be managed across a range of distribution channels including e-commerce, m-commerce, telesales, customer stores, indirect and other retail outlets. This business model allows the Company to meet the rapidly changing converged services and connected devices offered by their customers. Synchronoss’ products, platforms and solutions enable its enterprise and service provider customers to acquire, retain and service subscribers and employees quickly, reliably and cost-effectively with white label and custom-branded solutions. Synchronoss customers can simplify the processes associated with managing the customer experience for procuring, activating, connecting, backing-up, synchronizing and sharing/collaboration with connected devices and contents from these devices and associated services. The extensibility, scalability, reliability and relevance of the Company’s platforms enable new revenue streams and retention opportunities for their customers through new subscriber acquisitions, sale of new devices, accessories and new value-added service offerings in the Cloud. By using the Company’s technologies, Synchronoss customers can optimize their cost of operations while enhancing their customer experience.</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currently operates in and markets their solutions and services directly through their sales organizations in North America, Europe, the Middle East and Africa (“EMEA”), and the Asia-Pacific region. Synchronoss delivers essential technologies for mobile transformation to two primary types of customers: service provider and enterprise customers in regulated verticals and use cases.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analysis performed by management throughout this section is depicted on a continuing operations basis. Variances due to discontinued operations are excluded from the discussion. The Company has shown the operations of Intralinks and our BPO business, as discussed in further detail below, within discontinued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 a majority of our revenues on a per transaction or subscription basis, which is derived from contracts that extend up to 60 months from execution which provide various services including cloud-based solutions, activation solutions, messaging solutions and analytics.</w:t>
      </w:r>
    </w:p>
    <w:p>
      <w:pPr>
        <w:spacing w:after="0" w:line="170"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future success of our business depends on the continued growth of B2B and Business to Business to Consumer driving customer transactions, and continued expansion of our platforms into the TMT market globally through Digital Transformation, Messaging, Cloud and IoT markets. As such, the volume of transactions and our ability to expand our footprint in TMT and globally may result in revenue fluctuations on a quarterly basis.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Most of our revenues are recorded in U.S. dollars but as we continue to expand our footprint with telecommunication and mobile carriers around the globe, we will become subject to currency translation that could affect our future net sales as reported in U.S. dollars.</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top five customers accounted for 76% of net revenues for the three months ended March 31, 2017. Contracts with these customers typically run for three to five years. Of these customers, Verizon accounted for more than 10% of our revenues in 2017. The loss of Verizon as a customer would have a material negative impact on our company. However, we believe that Verizon would encounter substantial costs in replacing Synchronoss’ solution.</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Intralinks Acquisition and Divestiture</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January 19, 2017, we completed the acquisition of Intralinks. In connection with the acquisition, we entered into a $900 million credit agreement with the lending institutions from time to time parties thereto and Goldman Sachs Bank USA (“Goldman”), as administrative agent, collateral agent, swingline lender and a letter of credit issuer (the “2017 Credit Agreement”). Intralinks is a global technology provider of SaaS solutions for secure enterprise content collaboration within and among organizations. Intralinks’ cloud-based solutions enable organizations to securely manage, control, track, search, exchange and collaborate on sensitive information inside and outside the firewall. The total purchase price consideration consisted of the repayment of existing Intralinks indebtedness, and non-cash consideration for services rendered on unvested Intralinks equity awards that were converted into Synchronoss equity awards on the acquisition date. The acquisition was primarily funded from the proceeds of the 2017 Credit Agreement entered into on the date of acquisition.</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23, 2017, we received a non-binding indication of interest from Siris to acquire the Company. In light of the indication of interest, our Board of Directors decided to explore a broad range of strategic alternatives that would have the potential to unlock shareholder value. In October 2017, we concluded our review of strategic alternatives and determined that the best approach for us to achieve our goal of maximizing shareholder value was to focus on our core TMT business, divest non-core assets and improve our balance sheet strength, cash position and potential profitability. Under the terms of certain definitive agreements, investment funds affiliated with Siris acquired all of the stock of our wholly-owned subsidiary, Intralinks, for consideration of cash and an investment in convertible preferred equity of the Company.</w:t>
      </w:r>
    </w:p>
    <w:p>
      <w:pPr>
        <w:spacing w:after="0" w:line="19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October 17, 2017, we announced our entry into definitive agreements for the sale of Intralinks, and the right to purchase a newly created series of preferred stock of Synchronoss to affiliates of Siris. Subject to the terms and conditions set forth in a share purchase agreement, dated as of October 17, 2017 (the “Share Purchase Agreement”), among Synchronoss, Intralinks and Impala Private Holdings II, LLC, an affiliate of Siris (“Impala”), Impala agreed to acquire from us the issued and outstanding shares of common stock of Intralinks for approximately $977.3 million in cash plus a potential contingent payment of up to $25.0 million, subject to an adjustment for cash, debt and working capital (the “Intralinks Transaction”). The total amount of funds used to complete the Intralinks Transaction and related transactions and pay related fees and expenses was approximately $1.0 billion, which was funded through a combination of equity and debt financing obtained by Impala.</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November 14, 2017, we completed the sale of Intralinks and on February 15, 2018, we completed the issuance of shares of a newly created series of preferred stock of Synchronoss to affiliates of Siris. In connection with the consummation of the Intralinks divestiture, we utilized a portion of the proceeds from the Intralinks divestiture to repay all outstanding obligations under our previously existing 2017 Credit Agreement, effective as of November 14, 2017. The aggregate payoff amount was approximately $898 million and included all accrued interest, fees and prepayment penalties. The operations of Intralinks were presented as discontinued operations in 2017.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further details, see </w:t>
      </w:r>
      <w:r>
        <w:rPr>
          <w:rFonts w:ascii="Arial" w:cs="Arial" w:eastAsia="Arial" w:hAnsi="Arial"/>
          <w:sz w:val="16"/>
          <w:szCs w:val="16"/>
          <w:i w:val="1"/>
          <w:iCs w:val="1"/>
          <w:color w:val="auto"/>
        </w:rPr>
        <w:t>Note 4 - Acquisitions and Divestitures</w:t>
      </w:r>
      <w:r>
        <w:rPr>
          <w:rFonts w:ascii="Arial" w:cs="Arial" w:eastAsia="Arial" w:hAnsi="Arial"/>
          <w:sz w:val="16"/>
          <w:szCs w:val="16"/>
          <w:color w:val="auto"/>
        </w:rPr>
        <w:t xml:space="preserve"> of the Notes to Condensed Consolidated Financial Statements in Item 1 of this Form 10-Q.</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Recent Acquisitions and Investments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1, 2016, we acquired all outstanding shares of Openwave for $114.5 million, net of working capital adjustments and liabilities assumed, comprised of $92.5 million paid in cash and $22.0 million paid in shares of our common stock, based upon the average market value of the common stock for the ten trading days prior to the acquisition date. Openwave’s product portfolio includes its core complete messaging platform optimized for today’s most complex messaging requirements worldwide with a particular geographic strength in Asia Pacific. With this acquisition and combined with our current global footprint, we increased direct access to subscribers around the world for the Synchronoss Personal Cloud platform and bolstered our go-to-market efforts internationally.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Recent Divestitures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1, 2017, we completed the divestiture of our SpeechCycle business for consideration of $13.5 million to an unrelated third party. As part of the divestiture, we entered into a one-year transition services agreement with the acquirer to support various indirect activities such as customer software support, technical support services and maintenance and support services. We recorded a pre-tax gain of $4.9 million as a result of the divestiture which is included in other income (expense), net in the Condensed Consolidated Statement of Operations.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29, 2016, we completed the divestiture of our Mirapoint business to an unrelated third party and recorded a gain of $1.4 million on the sale.</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December 16, 2016, we divested of a portion of our carrier activation business (“BPO”) to a newly formed entity named STIN with a total value of $140.8 million. In accordance with the arrangement we retained a 30% interest in STIN; the remaining 70% interest in STIN is owned by STIH, an unrelated third party formerly named Omniglobe. STIH financed the purchase of STIN with cash of $27.3 million (including $10.0 million attributable to a license), a new term loan, and a related party subordinated seller’s note receivable in the amount of $69.8 million issued by the Company, which is secured by STIH’s interest in STIN. The related party note receivable earns paid-in-kind (“PIK”) interest at a rate equal to LIBOR plus 1100 basis points per annum and matures on June 16, 2022. The operations of BPO were presented as discontinued operations in 2017.</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further details, see </w:t>
      </w:r>
      <w:r>
        <w:rPr>
          <w:rFonts w:ascii="Arial" w:cs="Arial" w:eastAsia="Arial" w:hAnsi="Arial"/>
          <w:sz w:val="16"/>
          <w:szCs w:val="16"/>
          <w:i w:val="1"/>
          <w:iCs w:val="1"/>
          <w:color w:val="auto"/>
        </w:rPr>
        <w:t>Note 4 - Acquisitions and Divestitures</w:t>
      </w:r>
      <w:r>
        <w:rPr>
          <w:rFonts w:ascii="Arial" w:cs="Arial" w:eastAsia="Arial" w:hAnsi="Arial"/>
          <w:sz w:val="16"/>
          <w:szCs w:val="16"/>
          <w:color w:val="auto"/>
        </w:rPr>
        <w:t xml:space="preserve"> of the Notes to Condensed Consolidated Financial Statements in Item 1 of this Form 10-Q.</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Affecting Our Results of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essential needs and subscriber expectations. Such devices include smartphones, connected cars, personal health and wellness devices and connected home devices. The need for the contents of these devices to be stored in a common cloud are also expected to be drivers of our business in the longer term.</w:t>
      </w:r>
    </w:p>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Business from our traditional Synchronoss Messaging business (Email) has been driven by a resurgence in the need for white label secure messaging platforms that favor the MNO’s business objectives and are not beholden to the objectives of a sponsoring OTT platform. Messaging drives higher subscriber engagement than any other application in the market today and holds the potential to stimulate new revenue from traditional services and third party brands. OTT global success has driven MNO’S to look at opportunities to preempt and compete with the OTT’S which has potential opportunity for Synchronoss. Future growth will be driven by the need of TMT companies including (and especially) MNO’s to embrace Messaging as a Platform (“MaaP”) to converse with subscribers in an efficient, automated way (streamlining the costs and increasing the effectiveness of self-care, as well as the yield of cross sell upsell of service plans, devices, bundles, etc.). The Synchronoss Advanced Messaging Platform provides state of the art RCS-driven features including the ability to support advanced Peer to Peer communications and introduce new revenue streams driven by commerce and advertising via Application to Person capabilities.</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Companies in the TMT market all face the dilemma of attempting to pivot their businesses to digital execution in order to create experiences that meet the expectations of their subscribers, generate new revenues and streamline costs creating healthier margins at a faster time to market than they have ever operated before. Their challenges feature the lack of skill set to conceptualize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run day to day digital operations and the lack of resources to integrate their legacy back end systems to enact digital experiences that achieve their business objectives. The growth of Synchronoss Digital Platforms will be driven from the ability to assuage TMT companies’ desire to obtain digital growth as quickly as possible while educating themselves on the ability to operate a digital business with growing efficiency. Our Platform as a Service (PaaS) model provides a desirable alternative to heavy CAPEX spending options often tried internally. And the ability for our platforms to create low/no code, new customer digital journeys, virtually on the fly, give TMT Companies the ability to operate new experiences and businesses without investing heavily in development resources.</w:t>
      </w:r>
    </w:p>
    <w:p>
      <w:pPr>
        <w:spacing w:after="0" w:line="19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Synchronoss Advanced Messaging, Cloud and Digital Platforms are poised to bring Internet of Things initiatives to life across MNO and TMT companies creating new use cases that will help stimulate the commercial growth of the robust potential of the IoT market. As new devices and sensors come on line in connected cities, Synchronoss, partnering with AT&amp;T, has technology to unify and harness data from legacy systems, provide analytic insights that fuel automated communications, via our Advanced Messaging Platform between sensors, devices and people and create a common storage reservoir with our secure cloud. There is opportunity in many areas of the IoT ecosystem for Synchronoss to support utilizing our Activation, Cloud and Analytics tools.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support our growth, which will be driven by these favorable industry trends mentioned above and we will leverage modular components from our existing software platforms to build new products. We believe that these opportunities will continue to provide future benefits and position us for future revenue growth. We are also making investments in new research and development of new products designed to enable us to grow rapidly in the mobile wireless market. Our purchase of capital assets and equipment may also increase based on aggressive deployment, subscriber growth and promotional offers for free or bundled storage by our major Tier 1 carrier customers.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continue to expand our platforms into the converging TMT, MNO, Digital and IoT space to enable connected devices to do more things across multiple networks, brands and communities. Our initiatives with AT&amp;T, Verizon, Sprint, British Telecom, Softbank and other CSPs continue to grow both with regard to our current businesses as well as our new product offerings. We are also exploring additional opportunities through merger and acquisition activities to support our customer, product and geographic diversification strategies.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2017 compared to the three months ended March 31, 2016</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an overview of our results of operations for the three months ended March 31, 2017 and 2016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center"/>
              <w:ind w:left="652"/>
              <w:spacing w:after="0"/>
              <w:rPr>
                <w:sz w:val="20"/>
                <w:szCs w:val="20"/>
                <w:color w:val="auto"/>
              </w:rPr>
            </w:pPr>
            <w:r>
              <w:rPr>
                <w:rFonts w:ascii="Arial" w:cs="Arial" w:eastAsia="Arial" w:hAnsi="Arial"/>
                <w:sz w:val="16"/>
                <w:szCs w:val="16"/>
                <w:b w:val="1"/>
                <w:bCs w:val="1"/>
                <w:color w:val="auto"/>
                <w:w w:val="92"/>
              </w:rPr>
              <w:t>Three months ended March 31,</w:t>
            </w:r>
          </w:p>
        </w:tc>
        <w:tc>
          <w:tcPr>
            <w:tcW w:w="1040" w:type="dxa"/>
            <w:vAlign w:val="bottom"/>
          </w:tcPr>
          <w:p>
            <w:pPr>
              <w:spacing w:after="0"/>
              <w:rPr>
                <w:sz w:val="18"/>
                <w:szCs w:val="18"/>
                <w:color w:val="auto"/>
              </w:rPr>
            </w:pPr>
          </w:p>
        </w:tc>
      </w:tr>
      <w:tr>
        <w:trPr>
          <w:trHeight w:val="33"/>
        </w:trPr>
        <w:tc>
          <w:tcPr>
            <w:tcW w:w="7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center"/>
              <w:ind w:right="132"/>
              <w:spacing w:after="0"/>
              <w:rPr>
                <w:sz w:val="20"/>
                <w:szCs w:val="20"/>
                <w:color w:val="auto"/>
              </w:rPr>
            </w:pPr>
            <w:r>
              <w:rPr>
                <w:rFonts w:ascii="Arial" w:cs="Arial" w:eastAsia="Arial" w:hAnsi="Arial"/>
                <w:sz w:val="16"/>
                <w:szCs w:val="16"/>
                <w:b w:val="1"/>
                <w:bCs w:val="1"/>
                <w:color w:val="auto"/>
                <w:w w:val="95"/>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271"/>
              <w:spacing w:after="0"/>
              <w:rPr>
                <w:sz w:val="20"/>
                <w:szCs w:val="20"/>
                <w:color w:val="auto"/>
              </w:rPr>
            </w:pPr>
            <w:r>
              <w:rPr>
                <w:rFonts w:ascii="Arial" w:cs="Arial" w:eastAsia="Arial" w:hAnsi="Arial"/>
                <w:sz w:val="16"/>
                <w:szCs w:val="16"/>
                <w:b w:val="1"/>
                <w:bCs w:val="1"/>
                <w:color w:val="auto"/>
                <w:w w:val="91"/>
              </w:rPr>
              <w:t>$ Change</w:t>
            </w:r>
          </w:p>
        </w:tc>
      </w:tr>
      <w:tr>
        <w:trPr>
          <w:trHeight w:val="33"/>
        </w:trPr>
        <w:tc>
          <w:tcPr>
            <w:tcW w:w="7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(Restated)</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86,097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78,246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7,851</w:t>
            </w:r>
          </w:p>
        </w:tc>
      </w:tr>
      <w:tr>
        <w:trPr>
          <w:trHeight w:val="237"/>
        </w:trPr>
        <w:tc>
          <w:tcPr>
            <w:tcW w:w="7040" w:type="dxa"/>
            <w:vAlign w:val="bottom"/>
          </w:tcPr>
          <w:p>
            <w:pPr>
              <w:ind w:left="280"/>
              <w:spacing w:after="0"/>
              <w:rPr>
                <w:sz w:val="20"/>
                <w:szCs w:val="20"/>
                <w:color w:val="auto"/>
              </w:rPr>
            </w:pPr>
            <w:r>
              <w:rPr>
                <w:rFonts w:ascii="Arial" w:cs="Arial" w:eastAsia="Arial" w:hAnsi="Arial"/>
                <w:sz w:val="18"/>
                <w:szCs w:val="18"/>
                <w:color w:val="auto"/>
              </w:rPr>
              <w:t>Cost of revenues*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46,055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46,151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43"/>
        </w:trPr>
        <w:tc>
          <w:tcPr>
            <w:tcW w:w="704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38,815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25,914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12,901</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contingent consideration obligation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040" w:type="dxa"/>
            <w:vAlign w:val="bottom"/>
          </w:tcPr>
          <w:p>
            <w:pPr>
              <w:ind w:left="280"/>
              <w:spacing w:after="0"/>
              <w:rPr>
                <w:sz w:val="20"/>
                <w:szCs w:val="20"/>
                <w:color w:val="auto"/>
              </w:rPr>
            </w:pPr>
            <w:r>
              <w:rPr>
                <w:rFonts w:ascii="Arial" w:cs="Arial" w:eastAsia="Arial" w:hAnsi="Arial"/>
                <w:sz w:val="18"/>
                <w:szCs w:val="18"/>
                <w:color w:val="auto"/>
              </w:rPr>
              <w:t>Restructuring charges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88</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24,087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22,782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1,305</w:t>
            </w: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137,444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123,589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13,855</w:t>
            </w:r>
          </w:p>
        </w:tc>
      </w:tr>
      <w:tr>
        <w:trPr>
          <w:trHeight w:val="27"/>
        </w:trPr>
        <w:tc>
          <w:tcPr>
            <w:tcW w:w="7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from continuing operations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(6,004)</w:t>
            </w:r>
          </w:p>
        </w:tc>
      </w:tr>
      <w:tr>
        <w:trPr>
          <w:trHeight w:val="27"/>
        </w:trPr>
        <w:tc>
          <w:tcPr>
            <w:tcW w:w="7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8572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141" w:lineRule="exact"/>
        <w:rPr>
          <w:sz w:val="20"/>
          <w:szCs w:val="20"/>
          <w:color w:val="auto"/>
        </w:rPr>
      </w:pPr>
    </w:p>
    <w:p>
      <w:pPr>
        <w:ind w:left="320" w:hanging="285"/>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of revenues excludes depreciation and amortization which is shown separately.</w:t>
      </w:r>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increased $7.9 million to $86.1 million for the three months ended March 31, 2017, compared to the same period in 2016 primarily due to</w:t>
      </w:r>
      <w:r>
        <w:rPr>
          <w:rFonts w:ascii="Arial" w:cs="Arial" w:eastAsia="Arial" w:hAnsi="Arial"/>
          <w:sz w:val="18"/>
          <w:szCs w:val="18"/>
          <w:b w:val="1"/>
          <w:bCs w:val="1"/>
          <w:color w:val="auto"/>
        </w:rPr>
        <w:t xml:space="preserve"> </w:t>
      </w:r>
      <w:r>
        <w:rPr>
          <w:rFonts w:ascii="Arial" w:cs="Arial" w:eastAsia="Arial" w:hAnsi="Arial"/>
          <w:sz w:val="18"/>
          <w:szCs w:val="18"/>
          <w:color w:val="auto"/>
        </w:rPr>
        <w:t>an $11.7 million increase in Cloud revenue primarily attributable to the deferral in the first quarter of 2016 of revenue to future periods until the delivery of services was completed for revenue recognition, offset partially by a strategic decision to focus on tier 1 customer opportunities, a reduction in professional fees and the termination of a contract with an international carrier; a $4.6 million increase in Messaging revenue from new sales in the Japanese market; this was partially offset by a $8.5 million decrease in Digital Transformation revenue resulting from the deferral in the first quarter of 2017 of revenue to future periods where the collectability was not reasonably assured, a reduction in transaction and professional services and the divestiture of the SpeechCycle business.</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b w:val="1"/>
          <w:bCs w:val="1"/>
          <w:color w:val="auto"/>
        </w:rPr>
        <w:t xml:space="preserve">Cost of revenues </w:t>
      </w:r>
      <w:r>
        <w:rPr>
          <w:rFonts w:ascii="Arial" w:cs="Arial" w:eastAsia="Arial" w:hAnsi="Arial"/>
          <w:sz w:val="18"/>
          <w:szCs w:val="18"/>
          <w:color w:val="auto"/>
        </w:rPr>
        <w:t>decreased $0.1 million to 46.1 million for the three months ended March 31, 2017, compared to the same period in 2016 due cost</w:t>
      </w:r>
      <w:r>
        <w:rPr>
          <w:rFonts w:ascii="Arial" w:cs="Arial" w:eastAsia="Arial" w:hAnsi="Arial"/>
          <w:sz w:val="18"/>
          <w:szCs w:val="18"/>
          <w:b w:val="1"/>
          <w:bCs w:val="1"/>
          <w:color w:val="auto"/>
        </w:rPr>
        <w:t xml:space="preserve"> </w:t>
      </w:r>
      <w:r>
        <w:rPr>
          <w:rFonts w:ascii="Arial" w:cs="Arial" w:eastAsia="Arial" w:hAnsi="Arial"/>
          <w:sz w:val="18"/>
          <w:szCs w:val="18"/>
          <w:color w:val="auto"/>
        </w:rPr>
        <w:t>cutting initiatives which reduced customer related hosting fees and telecommunications costs by $4.3 million. This was primarily offset by a $2.4 million increase in outside consulting costs and a $1.7 million increase in hardware and software maintenance costs.</w:t>
      </w:r>
    </w:p>
    <w:p>
      <w:pPr>
        <w:spacing w:after="0" w:line="176"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Research and development </w:t>
      </w:r>
      <w:r>
        <w:rPr>
          <w:rFonts w:ascii="Arial" w:cs="Arial" w:eastAsia="Arial" w:hAnsi="Arial"/>
          <w:sz w:val="16"/>
          <w:szCs w:val="16"/>
          <w:color w:val="auto"/>
        </w:rPr>
        <w:t>expense decreased $0.3 million to $25.5 million for the three months ended March 31, 2017, compared to the same period</w:t>
      </w:r>
      <w:r>
        <w:rPr>
          <w:rFonts w:ascii="Arial" w:cs="Arial" w:eastAsia="Arial" w:hAnsi="Arial"/>
          <w:sz w:val="16"/>
          <w:szCs w:val="16"/>
          <w:b w:val="1"/>
          <w:bCs w:val="1"/>
          <w:color w:val="auto"/>
        </w:rPr>
        <w:t xml:space="preserve"> </w:t>
      </w:r>
      <w:r>
        <w:rPr>
          <w:rFonts w:ascii="Arial" w:cs="Arial" w:eastAsia="Arial" w:hAnsi="Arial"/>
          <w:sz w:val="16"/>
          <w:szCs w:val="16"/>
          <w:color w:val="auto"/>
        </w:rPr>
        <w:t>in 2016 primarily due to decreased outside consulting costs in the current year related to the 2016 launch of our Enterprise solution. This was partially offset by a full quarter of expenses incurred from Openwave operations, which was primarily attributable to $1.1 million of personnel related costs.</w:t>
      </w:r>
    </w:p>
    <w:p>
      <w:pPr>
        <w:spacing w:after="0" w:line="14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Selling, general and administrative </w:t>
      </w:r>
      <w:r>
        <w:rPr>
          <w:rFonts w:ascii="Arial" w:cs="Arial" w:eastAsia="Arial" w:hAnsi="Arial"/>
          <w:sz w:val="18"/>
          <w:szCs w:val="18"/>
          <w:color w:val="auto"/>
        </w:rPr>
        <w:t>expense increased $12.9 million to $38.8 million for the three months ended March 31, 2017, compared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2016. The increase was primarily driven by a $10.5 million increase in acquisition and divestiture related activities and a $1.9 million increase in professional fees.</w:t>
      </w:r>
    </w:p>
    <w:p>
      <w:pPr>
        <w:spacing w:after="0" w:line="17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Net change in contingent consideration obligation </w:t>
      </w:r>
      <w:r>
        <w:rPr>
          <w:rFonts w:ascii="Arial" w:cs="Arial" w:eastAsia="Arial" w:hAnsi="Arial"/>
          <w:sz w:val="18"/>
          <w:szCs w:val="18"/>
          <w:color w:val="auto"/>
        </w:rPr>
        <w:t>resulted in a slight decrease for the three months ended March 31, 2017, as compared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2016 related to the fair value increase of the Razorsight earn-out in the prior year period.</w:t>
      </w:r>
    </w:p>
    <w:p>
      <w:pPr>
        <w:spacing w:after="0" w:line="16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Restructuring charges </w:t>
      </w:r>
      <w:r>
        <w:rPr>
          <w:rFonts w:ascii="Arial" w:cs="Arial" w:eastAsia="Arial" w:hAnsi="Arial"/>
          <w:sz w:val="18"/>
          <w:szCs w:val="18"/>
          <w:color w:val="auto"/>
        </w:rPr>
        <w:t>were $3.0 million for the three months ended March 31, 2017 related to employment termination costs as a result of the work-force reduction plan started in March 2017 to reduce costs and align our resources with our key strategic priorities. Material cash outlays for restructuring occur in the quarter in which the plan is initiated or the subsequent quarter.</w:t>
      </w:r>
    </w:p>
    <w:p>
      <w:pPr>
        <w:sectPr>
          <w:pgSz w:w="11900" w:h="16838" w:orient="portrait"/>
          <w:cols w:equalWidth="0" w:num="1">
            <w:col w:w="11420"/>
          </w:cols>
          <w:pgMar w:left="240" w:top="125" w:right="239" w:bottom="122" w:gutter="0" w:footer="0" w:header="0"/>
        </w:sectPr>
      </w:pPr>
    </w:p>
    <w:bookmarkStart w:id="53" w:name="page54"/>
    <w:bookmarkEnd w:id="53"/>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expense increased $1.3 million to $24.1 million for the three months ended March 31, 2017, compared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2016. This was primarily related to the incremental amortization related to acquired intangible assets.</w:t>
      </w:r>
    </w:p>
    <w:p>
      <w:pPr>
        <w:spacing w:after="0" w:line="162" w:lineRule="exact"/>
        <w:rPr>
          <w:sz w:val="20"/>
          <w:szCs w:val="20"/>
          <w:color w:val="auto"/>
        </w:rPr>
      </w:pPr>
    </w:p>
    <w:p>
      <w:pPr>
        <w:jc w:val="both"/>
        <w:ind w:firstLine="324"/>
        <w:spacing w:after="0" w:line="313" w:lineRule="auto"/>
        <w:rPr>
          <w:sz w:val="20"/>
          <w:szCs w:val="20"/>
          <w:color w:val="auto"/>
        </w:rPr>
      </w:pPr>
      <w:r>
        <w:rPr>
          <w:rFonts w:ascii="Arial" w:cs="Arial" w:eastAsia="Arial" w:hAnsi="Arial"/>
          <w:sz w:val="17"/>
          <w:szCs w:val="17"/>
          <w:b w:val="1"/>
          <w:bCs w:val="1"/>
          <w:color w:val="auto"/>
        </w:rPr>
        <w:t xml:space="preserve">Interest income </w:t>
      </w:r>
      <w:r>
        <w:rPr>
          <w:rFonts w:ascii="Arial" w:cs="Arial" w:eastAsia="Arial" w:hAnsi="Arial"/>
          <w:sz w:val="17"/>
          <w:szCs w:val="17"/>
          <w:color w:val="auto"/>
        </w:rPr>
        <w:t>increased $2.2 million to $2.9 million for the three months ended March 31, 2017, compared to the same period in 2016. Interest income</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primarily due to interest earned on our related party PIK note extended in connection with the sale of our BPO business.</w:t>
      </w:r>
    </w:p>
    <w:p>
      <w:pPr>
        <w:spacing w:after="0" w:line="13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increased $9.0 million to $10.6 million for the three months ended March 31, 2017, compared to the same period in 2016 due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to a $8.3 million increase related to an increase in borrowings outstanding from a $900.0 million senior secured term loan (the “2017 Term Facility”), which was raised to fund the purchase of Intralinks, as well as $0.7 million related to the write off of unamortized debt issuance costs due to the decrease in the borrowing capacity of our revolving credit facility of up to $200.0 million (the “Revolving Facility”).</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b w:val="1"/>
          <w:bCs w:val="1"/>
          <w:color w:val="auto"/>
        </w:rPr>
        <w:t xml:space="preserve">Other income (expense), net </w:t>
      </w:r>
      <w:r>
        <w:rPr>
          <w:rFonts w:ascii="Arial" w:cs="Arial" w:eastAsia="Arial" w:hAnsi="Arial"/>
          <w:sz w:val="18"/>
          <w:szCs w:val="18"/>
          <w:color w:val="auto"/>
        </w:rPr>
        <w:t>increased $4.6 million to a net other income of $4.2 million for the three months ended March 31, 2017, compared to a net</w:t>
      </w:r>
      <w:r>
        <w:rPr>
          <w:rFonts w:ascii="Arial" w:cs="Arial" w:eastAsia="Arial" w:hAnsi="Arial"/>
          <w:sz w:val="18"/>
          <w:szCs w:val="18"/>
          <w:b w:val="1"/>
          <w:bCs w:val="1"/>
          <w:color w:val="auto"/>
        </w:rPr>
        <w:t xml:space="preserve"> </w:t>
      </w:r>
      <w:r>
        <w:rPr>
          <w:rFonts w:ascii="Arial" w:cs="Arial" w:eastAsia="Arial" w:hAnsi="Arial"/>
          <w:sz w:val="18"/>
          <w:szCs w:val="18"/>
          <w:color w:val="auto"/>
        </w:rPr>
        <w:t>other expense of $0.4 million in the same period in 2016. Other net income increased primarily due to the $4.9 million pre-tax gain recognized on the divestiture of our SpeechCycle business and to foreign currency exchange rate fluctuations.</w:t>
      </w:r>
    </w:p>
    <w:p>
      <w:pPr>
        <w:spacing w:after="0" w:line="17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Equity method investment earnings </w:t>
      </w:r>
      <w:r>
        <w:rPr>
          <w:rFonts w:ascii="Arial" w:cs="Arial" w:eastAsia="Arial" w:hAnsi="Arial"/>
          <w:sz w:val="18"/>
          <w:szCs w:val="18"/>
          <w:color w:val="auto"/>
        </w:rPr>
        <w:t>were $0.7 million for the three months ended March 31, 2017, compared to nil for the same period in 2016. The</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in 2017 related to our investment in STIN.</w:t>
      </w:r>
    </w:p>
    <w:p>
      <w:pPr>
        <w:spacing w:after="0" w:line="16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Income tax </w:t>
      </w:r>
      <w:r>
        <w:rPr>
          <w:rFonts w:ascii="Arial" w:cs="Arial" w:eastAsia="Arial" w:hAnsi="Arial"/>
          <w:sz w:val="18"/>
          <w:szCs w:val="18"/>
          <w:color w:val="auto"/>
        </w:rPr>
        <w:t>benefit of approximately $8.7 million and $15.5 million were recognized for the three months ended March 31, 2017 and 2016, respectively.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Our effective tax rate was approximately 16.1% for the three months ended March 31, 2017, which was lower than our U.S. federal statutory rate primarily due to the impact of losses in foreign jurisdictions which have lower tax rates than the U.S.</w:t>
      </w:r>
    </w:p>
    <w:p>
      <w:pPr>
        <w:spacing w:after="0" w:line="180"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Our effective tax rate was approximately 33.3% for the three months ended March 31, 2016, which was slightly lower than our U.S. federal statutory rate primarily due to the impact of losses in foreign jurisdictions which have lower tax rates than the U.S. We review the expected annual effective income tax rate and make changes on a quarterly basis as necessary based on certain factors such as changes in forecasted annual operating income, changes to the actual and forecasted permanent book-to-tax differences, and changes resulting from the impact of tax law changes.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As of March 31, 2017, our principal sources of liquidity have been cash provided by operations and proceeds from divestitures. Our cash, cash equivalents, marketable securities and restricted cash balance was $252.4 million at March 31, 2017. We anticipate that our principal uses of cash in the future will be to fund the expansion of our business through both organic growth and acquisition activities and the expansion of our customer base. Uses of cash will also include facility and technology expansion, significant integration and restructuring activities, capital expenditures, and working capital.</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March 31, 2017, our non-U.S. subsidiaries held approximately $40.1 million of cash and cash equivalents that are available for use by all of our operations around the world. At this time, we believe the funds held by all non-U.S. subsidiaries will be permanently reinvested outside of the U.S. However, if these funds were repatriated to the U.S. or used for U.S. operations, certain amounts could be subject to U.S. tax for the incremental amount in excess of the foreign tax paid. Due to the timing and circumstances of repatriation of these earnings, if any, it is not practical to determine the unrecognized deferred tax liability related to the amount.</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our existing cash, cash equivalents, marketable securities, expected positive cash flows generated from operations will be sufficient to fund our operations for the next twelve months based on our current business plans. Our liquidity plans are subject to a number of risks and uncertainties, including those described in the "Forward-Looking Statements" section of this MD&amp;A and Part I, Item 1A. “Risk Factors”, some of which are outside of our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Credit Agreement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19, 2017, we completed the acquisition of Intralinks. In connection with the acquisition, we entered into the 2017 Credit Agreement which is comprised of the 2017 Term Facility with a maturity date of January 19, 2024 (the “2017 Term Facility”) and the Revolving Facility with a maturity date of January 19, 2022 (the “Revolving Facility”), (together, the “2017 Credit Agreement”). Obligations under the 2017 Credit Agreement were guaranteed by certain of our subsidiaries and secured by substantially all of the Company’s and its subsidiaries’ assets.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2017 Term Facility amortized at 1% per annum in equal quarterly installments with the balance payable on the maturity date. The proceeds of the 2017 Term Facility were used to finance a portion of the cash consideration in the offer and the merger to purchase all of the outstanding shares of Intralinks common stock, to refinance certain of our existing indebtedness, including the Amended Credit Agreement (the “Amended Credit Agreement”) with Wells Fargo Bank, National Association, as administrative agent (the “Administrative Agent”) and the several lenders party thereto dated July 7, 2016, the indebtedness of Intralinks (or our subsidiaries) and to pay related fees and expenses. The Revolving Facility included borrowing capacity available for letters of credit and for borrowings on same-day notice under swingline loans and borrowing thereunder could be used for working capital needs and other general corporate purposes.</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2017 Term Facility bears interest at a rate equal to, at our option, the adjusted LIBOR rate for an applicable interest period or an alternate base rate, in each case, plus an applicable margin of 2.75% or 1.75%, respectively. The Revolving Facility initially bears interest at a rate equal to, at our option, the adjusted LIBOR rate or an alternate base rate, in each case, plus an applicable margin of 2.50% or 1.50%, respectively, subject to step-downs based on our ratio of first lien secured debt to adjusted earnings before interest, tax, depreciation and amortization (“EBITDA”), as defined in the 2017 Credit Agreement. We pay a commitment fee in the range of 0.25% to 0.375% on the unused balance of the Revolving Facility. Interest is payable quarterly under the 2017 Credit Agreement.</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Subject to certain customary exceptions, the 2017 Term Facility was subject to mandatory prepayments in amounts equal to: (1) 100% of the net cash proceeds from any non-ordinary course sale or other disposition of assets (including as a result of casualty or condemnation) by Synchronoss or its subsidiaries subject to customary reinvestment provisions and certain other exceptions; (2) 100% of the net cash proceeds from incurrences of debt (other than permitted debt); and (3) a customary annual excess cash flow sweep at levels based on our applicable ratio of first lien secured debt to adjusted EBITDA, as defined in the 2017 Credit Agreement.</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2017 Credit Agreement contains a number of customary affirmative and negative covenants and events of default, which, among other things, restrict our ability to incur debt, allow liens on assets, make investments, pay dividends or prepay certain other debt. The 2017 Credit Agreement also requires us to comply with certain financial maintenance covenants, including a total gross leverage ratio and an interest charge coverage ratio.</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of the lenders under the 2017 Credit Agreement, or their affiliates, have provided, and may in the future from time to time provide, certain commercial and investment banking, financial advisory and other services in the ordinary course of business for the registrant and its affiliates, for which they have in the past and may in the future receive customary fees and commissions.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Credit Facility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7, 2016, we entered into an Amended Credit Facility, with the Administrative Agent and several lenders party thereto, which was permitted to be used for general corporate purposes was a $250 million unsecured revolving line of credit that was set to mature on July 7, 2021 (“Amended Credit Facility”), subject to terms and conditions set forth therein. We paid a commitment fee in the range of 15 to 30 basis points on the unused balance of the revolving credit facility under the Amended Credit Facility. We had the right to request an increase in the aggregate principal amount of the Amended Credit Facility up to $350 million. Interest on the borrowings ranged from 1.94% to 2.03%.</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On January 19, 2017, the Company repaid all outstanding obligations under the Amended Credit Facility with Wells Fargo Bank and the several lenders party thereto. The aggregate payoff amount was $29.0 million and included all accrued interest and associated prepayment penalties. For further details, see </w:t>
      </w:r>
      <w:r>
        <w:rPr>
          <w:rFonts w:ascii="Arial" w:cs="Arial" w:eastAsia="Arial" w:hAnsi="Arial"/>
          <w:sz w:val="18"/>
          <w:szCs w:val="18"/>
          <w:i w:val="1"/>
          <w:iCs w:val="1"/>
          <w:color w:val="auto"/>
        </w:rPr>
        <w:t xml:space="preserve">Note 7 - Debt </w:t>
      </w:r>
      <w:r>
        <w:rPr>
          <w:rFonts w:ascii="Arial" w:cs="Arial" w:eastAsia="Arial" w:hAnsi="Arial"/>
          <w:sz w:val="18"/>
          <w:szCs w:val="18"/>
          <w:color w:val="auto"/>
        </w:rPr>
        <w:t>of the Notes to Condensed Consolidated Financial Statements in Item 1 of this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On August 12, 2014, we issued the 2019 Notes. The 2019 Notes mature on August 15, 2019, and bear interest at a rate of 0.75% per annum payable semi-annually in arrears on February 15 and August 15 of each year. We accounted for the $230.0 million face value of the debt as a liability and capitalized approximately $7.1 million of financing fees, related to the issuance. At March 31, 2017, the carrying amount of the liability was $226.6 million and the outstanding principal of the 2019 Notes was $230.0 million, with an effective interest rate of approximately 1.38%. For further details, see </w:t>
      </w:r>
      <w:r>
        <w:rPr>
          <w:rFonts w:ascii="Arial" w:cs="Arial" w:eastAsia="Arial" w:hAnsi="Arial"/>
          <w:sz w:val="17"/>
          <w:szCs w:val="17"/>
          <w:i w:val="1"/>
          <w:iCs w:val="1"/>
          <w:color w:val="auto"/>
        </w:rPr>
        <w:t>Note 7 - Debt</w:t>
      </w:r>
      <w:r>
        <w:rPr>
          <w:rFonts w:ascii="Arial" w:cs="Arial" w:eastAsia="Arial" w:hAnsi="Arial"/>
          <w:sz w:val="17"/>
          <w:szCs w:val="17"/>
          <w:color w:val="auto"/>
        </w:rPr>
        <w:t xml:space="preserve"> of the Notes to Condensed Consolidated Financial Statements in Item 1 of this Form 10-Q.</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Credit Facility</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September 2013, we entered into a Credit Facility (the “Credit Facility”) with JP Morgan Chase Bank, N.A., as the administrative agent, Wells Fargo Bank, National Association, as the syndication agent and Capital One, National Association and KeyBank National Association, as co-documentation agents. The Credit Facility, which was used for general corporate purposes, was a $100 million unsecured revolving line of credit that was set to mature on September 27, 2018. We paid a commitment fee in the range of 25 to 35 basis points on the unused balance of the revolving credit facility under this credit agreement. We had the right to request an increase in the aggregate principal amount of the Credit Facility up to $150 million.</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on the borrowing was based upon LIBOR plus a 2.25 basis point margin. All outstanding balances under the Credit Facility were repaid on July 7, 2016 and the 2013 Credit Facility was terminated and replaced with the Amended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February 4, 2016, we announced that our Board of Directors approved a share repurchase program under which we may repurchase up to $100 million of our outstanding common stock for 12 to 18 months following the announcement. In 2016, the Company repurchased approximately 1.3 million shares of the Company’s common stock under this program for an aggregate repurchase price of $40.0 million. There were no repurchases in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Subsequent to March 31, 2017, the Company amended its 2017 Credit agreement and ultimately paid all outstanding amounts in full. Additionally, the Company received notice from Nasdaq with regards to noncompliance and issued certain equity instruments in 2017 and in the first quarter of 2018. Such transactions are described in detail in </w:t>
      </w:r>
      <w:r>
        <w:rPr>
          <w:rFonts w:ascii="Arial" w:cs="Arial" w:eastAsia="Arial" w:hAnsi="Arial"/>
          <w:sz w:val="17"/>
          <w:szCs w:val="17"/>
          <w:i w:val="1"/>
          <w:iCs w:val="1"/>
          <w:color w:val="auto"/>
        </w:rPr>
        <w:t>Note 7 - Debt, Note 9 - Stockholder’s Equity</w:t>
      </w:r>
      <w:r>
        <w:rPr>
          <w:rFonts w:ascii="Arial" w:cs="Arial" w:eastAsia="Arial" w:hAnsi="Arial"/>
          <w:sz w:val="17"/>
          <w:szCs w:val="17"/>
          <w:color w:val="auto"/>
        </w:rPr>
        <w:t xml:space="preserve"> and in </w:t>
      </w:r>
      <w:r>
        <w:rPr>
          <w:rFonts w:ascii="Arial" w:cs="Arial" w:eastAsia="Arial" w:hAnsi="Arial"/>
          <w:sz w:val="17"/>
          <w:szCs w:val="17"/>
          <w:i w:val="1"/>
          <w:iCs w:val="1"/>
          <w:color w:val="auto"/>
        </w:rPr>
        <w:t>Note 14 - Subsequent Events Review</w:t>
      </w:r>
      <w:r>
        <w:rPr>
          <w:rFonts w:ascii="Arial" w:cs="Arial" w:eastAsia="Arial" w:hAnsi="Arial"/>
          <w:sz w:val="17"/>
          <w:szCs w:val="17"/>
          <w:color w:val="auto"/>
        </w:rPr>
        <w:t>,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line="4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net cash flows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400" w:type="dxa"/>
            <w:vAlign w:val="bottom"/>
            <w:gridSpan w:val="5"/>
          </w:tcPr>
          <w:p>
            <w:pPr>
              <w:jc w:val="right"/>
              <w:spacing w:after="0"/>
              <w:rPr>
                <w:sz w:val="20"/>
                <w:szCs w:val="20"/>
                <w:color w:val="auto"/>
              </w:rPr>
            </w:pPr>
            <w:r>
              <w:rPr>
                <w:rFonts w:ascii="Arial" w:cs="Arial" w:eastAsia="Arial" w:hAnsi="Arial"/>
                <w:sz w:val="16"/>
                <w:szCs w:val="16"/>
                <w:b w:val="1"/>
                <w:bCs w:val="1"/>
                <w:color w:val="auto"/>
                <w:w w:val="97"/>
              </w:rPr>
              <w:t>Three Months Ended March 31,</w:t>
            </w: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9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9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(Restated)</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(12,599)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23,358</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(807,267)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(93,864)</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850,210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35,876</w:t>
            </w: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 Other sources of cash are proceeds from the exercise of employee stock options. Other uses of cash include our stock repurchase program, merger and acquisition costs and purchases of property and equipment.</w:t>
      </w:r>
    </w:p>
    <w:p>
      <w:pPr>
        <w:spacing w:after="0" w:line="18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Cash flows used in operating activities </w:t>
      </w:r>
      <w:r>
        <w:rPr>
          <w:rFonts w:ascii="Arial" w:cs="Arial" w:eastAsia="Arial" w:hAnsi="Arial"/>
          <w:sz w:val="18"/>
          <w:szCs w:val="18"/>
          <w:color w:val="auto"/>
        </w:rPr>
        <w:t>for the three months ended March 31, 2017 decreased by $36.0 million in comparison to the same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2016 due to a $4.8 million decrease in cash earnings primarily driven lower revenues and higher interest expense, and a $31.2 million decrease in cash provided by changes in working capital.</w:t>
      </w:r>
    </w:p>
    <w:p>
      <w:pPr>
        <w:spacing w:after="0" w:line="17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Cash flows used investing activities </w:t>
      </w:r>
      <w:r>
        <w:rPr>
          <w:rFonts w:ascii="Arial" w:cs="Arial" w:eastAsia="Arial" w:hAnsi="Arial"/>
          <w:sz w:val="18"/>
          <w:szCs w:val="18"/>
          <w:color w:val="auto"/>
        </w:rPr>
        <w:t>for the three months ended March 31, 2017 increased by $713.4 million in comparison to the same period in 2016</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the purchase of Intralinks in 2017.</w:t>
      </w:r>
    </w:p>
    <w:p>
      <w:pPr>
        <w:spacing w:after="0" w:line="16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Cash flows from financing activities </w:t>
      </w:r>
      <w:r>
        <w:rPr>
          <w:rFonts w:ascii="Arial" w:cs="Arial" w:eastAsia="Arial" w:hAnsi="Arial"/>
          <w:sz w:val="18"/>
          <w:szCs w:val="18"/>
          <w:color w:val="auto"/>
        </w:rPr>
        <w:t>for the three months ended March 31, 2017 increased by $814.3 million in comparison to the same period in 2016</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$900.0 million in proceeds from the issuance of debt related to our purchase of Intralinks, partially offset by reduced borrowing from our revolving line of credit compared to the prior year’s quarter and repayments in the current quarter.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Although inflation generally affects us by increasing our cost of labor and equipment, we do not believe that inflation has had any material effect on our results of operations for the three months ended March 31, 2017 and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Our contractual obligations consist of principal and interest related to our Convertible Senior Notes and 2017 Term Facility, contingent consideration, non-cancelable capital leases, operating leases or long-term agreements for office space, automobiles, office equipment and colocation services and contractual commitments under third-party hosting, software licenses and maintenance agreements. The following table summarizes our long</w:t>
      </w:r>
      <w:r>
        <w:rPr>
          <w:rFonts w:ascii="MS PGothic" w:cs="MS PGothic" w:eastAsia="MS PGothic" w:hAnsi="MS PGothic"/>
          <w:sz w:val="18"/>
          <w:szCs w:val="18"/>
          <w:color w:val="auto"/>
        </w:rPr>
        <w:t>‑</w:t>
      </w:r>
      <w:r>
        <w:rPr>
          <w:rFonts w:ascii="Arial" w:cs="Arial" w:eastAsia="Arial" w:hAnsi="Arial"/>
          <w:sz w:val="18"/>
          <w:szCs w:val="18"/>
          <w:color w:val="auto"/>
        </w:rPr>
        <w:t>term contractual obligations as of March 31, 2017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ind w:left="160"/>
              <w:spacing w:after="0"/>
              <w:rPr>
                <w:sz w:val="20"/>
                <w:szCs w:val="20"/>
                <w:color w:val="auto"/>
              </w:rPr>
            </w:pPr>
            <w:r>
              <w:rPr>
                <w:rFonts w:ascii="Arial" w:cs="Arial" w:eastAsia="Arial" w:hAnsi="Arial"/>
                <w:sz w:val="16"/>
                <w:szCs w:val="16"/>
                <w:b w:val="1"/>
                <w:bCs w:val="1"/>
                <w:color w:val="auto"/>
              </w:rPr>
              <w:t>Payments Due by Period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47"/>
        </w:trPr>
        <w:tc>
          <w:tcPr>
            <w:tcW w:w="33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09"/>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Remainder of</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2019 - 2020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2021 - 2022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auto"/>
              </w:rPr>
              <w:t>Thereafter</w:t>
            </w:r>
          </w:p>
        </w:tc>
      </w:tr>
      <w:tr>
        <w:trPr>
          <w:trHeight w:val="33"/>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Capital lease obligations </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17,097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4,347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5,874</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Convertible Senior Notes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Interest </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4,097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1,294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Contingent consideration obligation</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Operating lease obligations </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92,512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7,173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9,743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19,996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17,908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37,692</w:t>
            </w:r>
          </w:p>
        </w:tc>
      </w:tr>
      <w:tr>
        <w:trPr>
          <w:trHeight w:val="270"/>
        </w:trPr>
        <w:tc>
          <w:tcPr>
            <w:tcW w:w="3340" w:type="dxa"/>
            <w:vAlign w:val="bottom"/>
          </w:tcPr>
          <w:p>
            <w:pPr>
              <w:ind w:left="40"/>
              <w:spacing w:after="0"/>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21"/>
                <w:szCs w:val="21"/>
                <w:color w:val="auto"/>
                <w:vertAlign w:val="superscript"/>
              </w:rPr>
              <w:t>(4)</w:t>
            </w: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29,756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12,881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7,888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8,987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Other long-term liabilities </w:t>
            </w:r>
            <w:r>
              <w:rPr>
                <w:rFonts w:ascii="Arial" w:cs="Arial" w:eastAsia="Arial" w:hAnsi="Arial"/>
                <w:sz w:val="21"/>
                <w:szCs w:val="21"/>
                <w:color w:val="auto"/>
                <w:vertAlign w:val="superscript"/>
              </w:rPr>
              <w:t>(5)</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4,542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3,466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334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380,835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26,027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25,287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265,484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20,471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43,566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12700</wp:posOffset>
            </wp:positionV>
            <wp:extent cx="51371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-130175</wp:posOffset>
            </wp:positionV>
            <wp:extent cx="51371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94"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Amount includes the Pennsylvania facility lease and the VCHS data center.</w:t>
      </w:r>
    </w:p>
    <w:p>
      <w:pPr>
        <w:spacing w:after="0" w:line="1" w:lineRule="exact"/>
        <w:rPr>
          <w:rFonts w:ascii="Arial" w:cs="Arial" w:eastAsia="Arial" w:hAnsi="Arial"/>
          <w:sz w:val="25"/>
          <w:szCs w:val="25"/>
          <w:color w:val="auto"/>
          <w:vertAlign w:val="superscript"/>
        </w:rPr>
      </w:pPr>
    </w:p>
    <w:p>
      <w:pPr>
        <w:ind w:left="220" w:hanging="212"/>
        <w:spacing w:after="0" w:line="186" w:lineRule="auto"/>
        <w:tabs>
          <w:tab w:leader="none" w:pos="22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Represents the interest on the Convertible Senior Notes.</w:t>
      </w:r>
    </w:p>
    <w:p>
      <w:pPr>
        <w:spacing w:after="0" w:line="2" w:lineRule="exact"/>
        <w:rPr>
          <w:rFonts w:ascii="Arial" w:cs="Arial" w:eastAsia="Arial" w:hAnsi="Arial"/>
          <w:sz w:val="24"/>
          <w:szCs w:val="24"/>
          <w:color w:val="auto"/>
          <w:vertAlign w:val="superscript"/>
        </w:rPr>
      </w:pPr>
    </w:p>
    <w:p>
      <w:pPr>
        <w:ind w:left="420" w:hanging="412"/>
        <w:spacing w:after="0" w:line="256" w:lineRule="auto"/>
        <w:tabs>
          <w:tab w:leader="none" w:pos="177"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Amount represents the fair value of the contingent consideration obligation of our Razorsight acquisition and is based on actual achievements of financial targets and milestones as of March 31, 2017.</w:t>
      </w:r>
    </w:p>
    <w:p>
      <w:pPr>
        <w:spacing w:after="0" w:line="1" w:lineRule="exact"/>
        <w:rPr>
          <w:rFonts w:ascii="Arial" w:cs="Arial" w:eastAsia="Arial" w:hAnsi="Arial"/>
          <w:sz w:val="20"/>
          <w:szCs w:val="20"/>
          <w:color w:val="auto"/>
          <w:vertAlign w:val="superscript"/>
        </w:rPr>
      </w:pPr>
    </w:p>
    <w:p>
      <w:pPr>
        <w:ind w:left="240" w:hanging="232"/>
        <w:spacing w:after="0" w:line="180" w:lineRule="auto"/>
        <w:tabs>
          <w:tab w:leader="none" w:pos="2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Amount represents obligations associated with colocation agreements and other customer delivery related purchase obligations.</w:t>
      </w:r>
    </w:p>
    <w:p>
      <w:pPr>
        <w:spacing w:after="0" w:line="2" w:lineRule="exact"/>
        <w:rPr>
          <w:rFonts w:ascii="Arial" w:cs="Arial" w:eastAsia="Arial" w:hAnsi="Arial"/>
          <w:sz w:val="25"/>
          <w:szCs w:val="25"/>
          <w:color w:val="auto"/>
          <w:vertAlign w:val="superscript"/>
        </w:rPr>
      </w:pPr>
    </w:p>
    <w:p>
      <w:pPr>
        <w:ind w:left="460" w:hanging="452"/>
        <w:spacing w:after="0" w:line="208" w:lineRule="auto"/>
        <w:tabs>
          <w:tab w:leader="none" w:pos="217"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Amount represents unrecognized tax positions recorded in our balance sheet. Although the timing of the settlement is uncertain, we believe this amount will be settled within 3 years.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 We have discussed the selection and development of the critical accounting policies with the Audit Committee, and the Audit Committee has reviewed our related disclosures in this Form 10-Q. Although we believe that our judgments and estimates are appropriate, correct and reasonable under the circumstances, actual results may differ from those estimates. If actual results or events differ materially from those contemplated by us in making these estimates, our reported financial condition</w:t>
      </w:r>
    </w:p>
    <w:p>
      <w:pPr>
        <w:sectPr>
          <w:pgSz w:w="11900" w:h="16879" w:orient="portrait"/>
          <w:cols w:equalWidth="0" w:num="1">
            <w:col w:w="11420"/>
          </w:cols>
          <w:pgMar w:left="240" w:top="125" w:right="239" w:bottom="0" w:gutter="0" w:footer="0" w:header="0"/>
        </w:sectPr>
      </w:pPr>
    </w:p>
    <w:bookmarkStart w:id="57" w:name="page58"/>
    <w:bookmarkEnd w:id="57"/>
    <w:p>
      <w:pPr>
        <w:jc w:val="both"/>
        <w:ind w:right="20"/>
        <w:spacing w:after="0" w:line="277" w:lineRule="auto"/>
        <w:rPr>
          <w:sz w:val="20"/>
          <w:szCs w:val="20"/>
          <w:color w:val="auto"/>
        </w:rPr>
      </w:pPr>
      <w:r>
        <w:rPr>
          <w:rFonts w:ascii="Arial" w:cs="Arial" w:eastAsia="Arial" w:hAnsi="Arial"/>
          <w:sz w:val="18"/>
          <w:szCs w:val="18"/>
          <w:color w:val="auto"/>
        </w:rPr>
        <w:t>and results of operations for future periods could be materially affected. See Part II, “Item 1A. Risk Factors” in this Form 10-Q for certain matters bearing risks on our future results of operations.</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There were no significant changes in our critical accounting policies and estimates discussed in our Form 10-K during the three months ended March 31, 2017. Please refer to Management’s Discussion and Analysis of Financial Condition and Results of Operations contained in Part II, Item 7 of our Annual Report on Form 10-K for the year ended December 31, 2017 for a more complete discussion of our critical accounting policies and estimates.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For a discussion of recently issued accounting standards see </w:t>
      </w:r>
      <w:r>
        <w:rPr>
          <w:rFonts w:ascii="Arial" w:cs="Arial" w:eastAsia="Arial" w:hAnsi="Arial"/>
          <w:sz w:val="18"/>
          <w:szCs w:val="18"/>
          <w:i w:val="1"/>
          <w:iCs w:val="1"/>
          <w:color w:val="auto"/>
        </w:rPr>
        <w:t>Note 2 - Basis of Presentation and Consolidation</w:t>
      </w:r>
      <w:r>
        <w:rPr>
          <w:rFonts w:ascii="Arial" w:cs="Arial" w:eastAsia="Arial" w:hAnsi="Arial"/>
          <w:sz w:val="18"/>
          <w:szCs w:val="18"/>
          <w:color w:val="auto"/>
        </w:rPr>
        <w:t xml:space="preserve"> included in Part I, Item 1. “Notes to Condensed Consolidated Financial Statements (unaudited)” of this Quarterly Report on Form 10-Q.</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had no off-balance sheet arrangements as of March 31, 2017 and December 31, 2016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cash equivalents and marketable securities at March 31, 2017 and December 31, 2016 were invested in liquid money market accounts, certificates of deposit and government securities. All market-risk sensitive instruments were entered into for non-trading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to the risk of interest rate fluctuations on the interest income earned on our cash and cash equivalents. A hypothetical 100 basis point movement in interest rates applicable to our cash and cash equivalents outstanding at March 31, 2017 would increase interest income by less than $0.2 million on an annual basis.</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Borrowings under our 2017 Credit Agreement, are at variable rates of interest and expose us to interest rate risk. As such, our net income is sensitive to movements in interest rates. If interest rates increase, our debt obligations on the variable rate indebtedness would increase even though the amount borrowed remained the same, and our net income would decrease. Such increases in interest rates could have a material adverse effect on our cash flow and financial condition. We do not hold any derivative instruments and do not engage in any hedging activities to mitigate interest rate risk.</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our outstanding borrowings at March 31, 2017, a one-percentage point change in interest rates would have affected interest expense on the debt by $9.0 million on an annualized basis.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preparation of the Company’s Form 10-Q for the first quarter of 2017 and a related internal investigation commenced by the Audit Committee, certain adjustments related to the Company’s accounting treatment for software license revenue were identified. The Company subsequently completed additional accounting review procedures and identified other adjustments.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accounting adjustments referenced above resulted from certain material weaknesses in our internal control over financial reporting. These material weaknesses were identified after the Company’s filing of its Form 10-K for the year ended December 31, 2016. Management determined these material weaknesses and other control deficiencies were primarily the result of an ineffective control environment. As a result, the Company lacked effective control activities necessary to prepare accurate financial statements and ensure compliance with regulatory filing requirements applicable to public companies. These material weaknesses are further described in subsection “Evaluation of Disclosure Controls and Procedures” in Part II, Item 9A of our Annual Report on Form 10-K for the year ended December 31, 2017.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For a discussion of our material pending legal proceedings that could impact our results of operations, financial condition or cash flows see </w:t>
      </w:r>
      <w:r>
        <w:rPr>
          <w:rFonts w:ascii="Arial" w:cs="Arial" w:eastAsia="Arial" w:hAnsi="Arial"/>
          <w:sz w:val="18"/>
          <w:szCs w:val="18"/>
          <w:i w:val="1"/>
          <w:iCs w:val="1"/>
          <w:color w:val="auto"/>
        </w:rPr>
        <w:t>Note 13 -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Commitments, Contingencies and Other </w:t>
      </w:r>
      <w:r>
        <w:rPr>
          <w:rFonts w:ascii="Arial" w:cs="Arial" w:eastAsia="Arial" w:hAnsi="Arial"/>
          <w:sz w:val="18"/>
          <w:szCs w:val="18"/>
          <w:color w:val="auto"/>
        </w:rPr>
        <w:t>included in Part I, Item 1. “Notes to Condensed Consolidated Financial Statements (unaudited)” of this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2017,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or results of operations could be adversely affected. In that case, the trading price of our stock could decline, and our stockholders may lose part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6"/>
                <w:szCs w:val="16"/>
                <w:color w:val="auto"/>
              </w:rPr>
            </w:pPr>
          </w:p>
        </w:tc>
        <w:tc>
          <w:tcPr>
            <w:tcW w:w="10020" w:type="dxa"/>
            <w:vAlign w:val="bottom"/>
            <w:gridSpan w:val="15"/>
          </w:tcPr>
          <w:p>
            <w:pPr>
              <w:spacing w:after="0"/>
              <w:rPr>
                <w:sz w:val="20"/>
                <w:szCs w:val="20"/>
                <w:color w:val="auto"/>
              </w:rPr>
            </w:pPr>
            <w:r>
              <w:rPr>
                <w:rFonts w:ascii="Arial" w:cs="Arial" w:eastAsia="Arial" w:hAnsi="Arial"/>
                <w:sz w:val="14"/>
                <w:szCs w:val="14"/>
                <w:b w:val="1"/>
                <w:bCs w:val="1"/>
                <w:color w:val="auto"/>
              </w:rPr>
              <w:t>Description</w:t>
            </w:r>
          </w:p>
        </w:tc>
      </w:tr>
      <w:tr>
        <w:trPr>
          <w:trHeight w:val="80"/>
        </w:trPr>
        <w:tc>
          <w:tcPr>
            <w:tcW w:w="12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5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156"/>
        </w:trPr>
        <w:tc>
          <w:tcPr>
            <w:tcW w:w="12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780" w:type="dxa"/>
            <w:vAlign w:val="bottom"/>
            <w:tcBorders>
              <w:bottom w:val="single" w:sz="8" w:color="0000FF"/>
            </w:tcBorders>
            <w:gridSpan w:val="11"/>
          </w:tcPr>
          <w:p>
            <w:pPr>
              <w:spacing w:after="0" w:line="155" w:lineRule="exact"/>
              <w:rPr>
                <w:rFonts w:ascii="Arial" w:cs="Arial" w:eastAsia="Arial" w:hAnsi="Arial"/>
                <w:sz w:val="14"/>
                <w:szCs w:val="14"/>
                <w:color w:val="0000FF"/>
                <w:w w:val="93"/>
              </w:rPr>
            </w:pPr>
            <w:hyperlink r:id="rId37">
              <w:r>
                <w:rPr>
                  <w:rFonts w:ascii="Arial" w:cs="Arial" w:eastAsia="Arial" w:hAnsi="Arial"/>
                  <w:sz w:val="14"/>
                  <w:szCs w:val="14"/>
                  <w:color w:val="0000FF"/>
                  <w:w w:val="93"/>
                </w:rPr>
                <w:t>Restated Certificate of Incorporation of the Registrant, incorporated by reference to Registrant’s Registration Statement on Form S</w:t>
              </w:r>
              <w:r>
                <w:rPr>
                  <w:rFonts w:ascii="MS PGothic" w:cs="MS PGothic" w:eastAsia="MS PGothic" w:hAnsi="MS PGothic"/>
                  <w:sz w:val="14"/>
                  <w:szCs w:val="14"/>
                  <w:color w:val="0000FF"/>
                  <w:w w:val="93"/>
                </w:rPr>
                <w:t>‑</w:t>
              </w:r>
              <w:r>
                <w:rPr>
                  <w:rFonts w:ascii="Arial" w:cs="Arial" w:eastAsia="Arial" w:hAnsi="Arial"/>
                  <w:sz w:val="14"/>
                  <w:szCs w:val="14"/>
                  <w:color w:val="0000FF"/>
                  <w:w w:val="93"/>
                </w:rPr>
                <w:t>1 (Commission File No. 333</w:t>
              </w:r>
              <w:r>
                <w:rPr>
                  <w:rFonts w:ascii="MS PGothic" w:cs="MS PGothic" w:eastAsia="MS PGothic" w:hAnsi="MS PGothic"/>
                  <w:sz w:val="14"/>
                  <w:szCs w:val="14"/>
                  <w:color w:val="0000FF"/>
                  <w:w w:val="93"/>
                </w:rPr>
                <w:t>‑</w:t>
              </w:r>
              <w:r>
                <w:rPr>
                  <w:rFonts w:ascii="Arial" w:cs="Arial" w:eastAsia="Arial" w:hAnsi="Arial"/>
                  <w:sz w:val="14"/>
                  <w:szCs w:val="14"/>
                  <w:color w:val="0000FF"/>
                  <w:w w:val="93"/>
                </w:rPr>
                <w:t>132080).</w:t>
              </w:r>
            </w:hyperlink>
          </w:p>
        </w:tc>
        <w:tc>
          <w:tcPr>
            <w:tcW w:w="240" w:type="dxa"/>
            <w:vAlign w:val="bottom"/>
            <w:gridSpan w:val="4"/>
          </w:tcPr>
          <w:p>
            <w:pPr>
              <w:spacing w:after="0"/>
              <w:rPr>
                <w:sz w:val="13"/>
                <w:szCs w:val="13"/>
                <w:color w:val="auto"/>
              </w:rPr>
            </w:pPr>
          </w:p>
        </w:tc>
      </w:tr>
      <w:tr>
        <w:trPr>
          <w:trHeight w:val="237"/>
        </w:trPr>
        <w:tc>
          <w:tcPr>
            <w:tcW w:w="128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20" w:type="dxa"/>
            <w:vAlign w:val="bottom"/>
            <w:gridSpan w:val="15"/>
          </w:tcPr>
          <w:p>
            <w:pPr>
              <w:spacing w:after="0" w:line="161" w:lineRule="exact"/>
              <w:rPr>
                <w:rFonts w:ascii="Arial" w:cs="Arial" w:eastAsia="Arial" w:hAnsi="Arial"/>
                <w:sz w:val="14"/>
                <w:szCs w:val="14"/>
                <w:color w:val="0000FF"/>
                <w:w w:val="98"/>
              </w:rPr>
            </w:pPr>
            <w:hyperlink r:id="rId38">
              <w:r>
                <w:rPr>
                  <w:rFonts w:ascii="Arial" w:cs="Arial" w:eastAsia="Arial" w:hAnsi="Arial"/>
                  <w:sz w:val="14"/>
                  <w:szCs w:val="14"/>
                  <w:color w:val="0000FF"/>
                  <w:w w:val="98"/>
                </w:rPr>
                <w:t>Amended and Restated Bylaws of the Registrant, incorporated by reference to Registrant’s Registration Statement on Form S</w:t>
              </w:r>
              <w:r>
                <w:rPr>
                  <w:rFonts w:ascii="MS PGothic" w:cs="MS PGothic" w:eastAsia="MS PGothic" w:hAnsi="MS PGothic"/>
                  <w:sz w:val="14"/>
                  <w:szCs w:val="14"/>
                  <w:color w:val="0000FF"/>
                  <w:w w:val="98"/>
                </w:rPr>
                <w:t>‑</w:t>
              </w:r>
              <w:r>
                <w:rPr>
                  <w:rFonts w:ascii="Arial" w:cs="Arial" w:eastAsia="Arial" w:hAnsi="Arial"/>
                  <w:sz w:val="14"/>
                  <w:szCs w:val="14"/>
                  <w:color w:val="0000FF"/>
                  <w:w w:val="98"/>
                </w:rPr>
                <w:t>1 (Commission File No. 333</w:t>
              </w:r>
              <w:r>
                <w:rPr>
                  <w:rFonts w:ascii="MS PGothic" w:cs="MS PGothic" w:eastAsia="MS PGothic" w:hAnsi="MS PGothic"/>
                  <w:sz w:val="14"/>
                  <w:szCs w:val="14"/>
                  <w:color w:val="0000FF"/>
                  <w:w w:val="98"/>
                </w:rPr>
                <w:t>‑</w:t>
              </w:r>
              <w:r>
                <w:rPr>
                  <w:rFonts w:ascii="Arial" w:cs="Arial" w:eastAsia="Arial" w:hAnsi="Arial"/>
                  <w:sz w:val="14"/>
                  <w:szCs w:val="14"/>
                  <w:color w:val="0000FF"/>
                  <w:w w:val="98"/>
                </w:rPr>
                <w:t>132080).</w:t>
              </w:r>
            </w:hyperlink>
          </w:p>
        </w:tc>
      </w:tr>
      <w:tr>
        <w:trPr>
          <w:trHeight w:val="250"/>
        </w:trPr>
        <w:tc>
          <w:tcPr>
            <w:tcW w:w="128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40" w:type="dxa"/>
            <w:vAlign w:val="bottom"/>
            <w:tcBorders>
              <w:top w:val="single" w:sz="8" w:color="0000FF"/>
              <w:bottom w:val="single" w:sz="8" w:color="0000FF"/>
            </w:tcBorders>
            <w:gridSpan w:val="4"/>
          </w:tcPr>
          <w:p>
            <w:pPr>
              <w:spacing w:after="0"/>
              <w:rPr>
                <w:rFonts w:ascii="Arial" w:cs="Arial" w:eastAsia="Arial" w:hAnsi="Arial"/>
                <w:sz w:val="14"/>
                <w:szCs w:val="14"/>
                <w:color w:val="0000FF"/>
                <w:w w:val="91"/>
              </w:rPr>
            </w:pPr>
            <w:hyperlink r:id="rId37">
              <w:r>
                <w:rPr>
                  <w:rFonts w:ascii="Arial" w:cs="Arial" w:eastAsia="Arial" w:hAnsi="Arial"/>
                  <w:sz w:val="14"/>
                  <w:szCs w:val="14"/>
                  <w:color w:val="0000FF"/>
                  <w:w w:val="91"/>
                </w:rPr>
                <w:t>Reference is made to Exhibits 3.1 and 3.2.</w:t>
              </w:r>
            </w:hyperlink>
          </w:p>
        </w:tc>
        <w:tc>
          <w:tcPr>
            <w:tcW w:w="7020" w:type="dxa"/>
            <w:vAlign w:val="bottom"/>
            <w:tcBorders>
              <w:top w:val="single" w:sz="8" w:color="0000FF"/>
            </w:tcBorders>
            <w:gridSpan w:val="5"/>
          </w:tcPr>
          <w:p>
            <w:pPr>
              <w:spacing w:after="0"/>
              <w:rPr>
                <w:sz w:val="21"/>
                <w:szCs w:val="21"/>
                <w:color w:val="auto"/>
              </w:rPr>
            </w:pPr>
          </w:p>
        </w:tc>
        <w:tc>
          <w:tcPr>
            <w:tcW w:w="560" w:type="dxa"/>
            <w:vAlign w:val="bottom"/>
            <w:gridSpan w:val="6"/>
          </w:tcPr>
          <w:p>
            <w:pPr>
              <w:spacing w:after="0"/>
              <w:rPr>
                <w:sz w:val="21"/>
                <w:szCs w:val="21"/>
                <w:color w:val="auto"/>
              </w:rPr>
            </w:pPr>
          </w:p>
        </w:tc>
      </w:tr>
      <w:tr>
        <w:trPr>
          <w:trHeight w:val="250"/>
        </w:trPr>
        <w:tc>
          <w:tcPr>
            <w:tcW w:w="128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20" w:type="dxa"/>
            <w:vAlign w:val="bottom"/>
            <w:gridSpan w:val="15"/>
          </w:tcPr>
          <w:p>
            <w:pPr>
              <w:spacing w:after="0"/>
              <w:rPr>
                <w:rFonts w:ascii="Arial" w:cs="Arial" w:eastAsia="Arial" w:hAnsi="Arial"/>
                <w:sz w:val="14"/>
                <w:szCs w:val="14"/>
                <w:color w:val="0000FF"/>
              </w:rPr>
            </w:pPr>
            <w:hyperlink r:id="rId39">
              <w:r>
                <w:rPr>
                  <w:rFonts w:ascii="Arial" w:cs="Arial" w:eastAsia="Arial" w:hAnsi="Arial"/>
                  <w:sz w:val="14"/>
                  <w:szCs w:val="14"/>
                  <w:color w:val="0000FF"/>
                </w:rPr>
                <w:t>Form of Common Stock Certificate, incorporated by reference to Registrant’s Registration Statement on Form S-1 (Commission File No. 333-132080)</w:t>
              </w:r>
            </w:hyperlink>
            <w:r>
              <w:rPr>
                <w:rFonts w:ascii="Arial" w:cs="Arial" w:eastAsia="Arial" w:hAnsi="Arial"/>
                <w:sz w:val="14"/>
                <w:szCs w:val="14"/>
                <w:color w:val="000000"/>
              </w:rPr>
              <w:t>.</w:t>
            </w: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51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20" w:type="dxa"/>
            <w:vAlign w:val="bottom"/>
            <w:gridSpan w:val="15"/>
          </w:tcPr>
          <w:p>
            <w:pPr>
              <w:spacing w:after="0"/>
              <w:rPr>
                <w:rFonts w:ascii="Arial" w:cs="Arial" w:eastAsia="Arial" w:hAnsi="Arial"/>
                <w:sz w:val="14"/>
                <w:szCs w:val="14"/>
                <w:color w:val="0000FF"/>
                <w:w w:val="99"/>
              </w:rPr>
            </w:pPr>
            <w:hyperlink r:id="rId40">
              <w:r>
                <w:rPr>
                  <w:rFonts w:ascii="Arial" w:cs="Arial" w:eastAsia="Arial" w:hAnsi="Arial"/>
                  <w:sz w:val="14"/>
                  <w:szCs w:val="14"/>
                  <w:color w:val="0000FF"/>
                  <w:w w:val="99"/>
                </w:rPr>
                <w:t>Form of Indenture for Convertible Senior Notes, incorporated by reference to Registrant’s Registration Statement on Form S-3 (Commission File No. 333-197871)</w:t>
              </w:r>
            </w:hyperlink>
            <w:r>
              <w:rPr>
                <w:rFonts w:ascii="Arial" w:cs="Arial" w:eastAsia="Arial" w:hAnsi="Arial"/>
                <w:sz w:val="14"/>
                <w:szCs w:val="14"/>
                <w:color w:val="000000"/>
                <w:w w:val="99"/>
              </w:rPr>
              <w:t>.</w:t>
            </w:r>
          </w:p>
        </w:tc>
      </w:tr>
      <w:tr>
        <w:trPr>
          <w:trHeight w:val="20"/>
        </w:trPr>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58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10.1†</w:t>
            </w:r>
          </w:p>
        </w:tc>
        <w:tc>
          <w:tcPr>
            <w:tcW w:w="40" w:type="dxa"/>
            <w:vAlign w:val="bottom"/>
          </w:tcPr>
          <w:p>
            <w:pPr>
              <w:spacing w:after="0"/>
              <w:rPr>
                <w:sz w:val="21"/>
                <w:szCs w:val="21"/>
                <w:color w:val="auto"/>
              </w:rPr>
            </w:pPr>
          </w:p>
        </w:tc>
        <w:tc>
          <w:tcPr>
            <w:tcW w:w="10020" w:type="dxa"/>
            <w:vAlign w:val="bottom"/>
            <w:gridSpan w:val="15"/>
          </w:tcPr>
          <w:p>
            <w:pPr>
              <w:spacing w:after="0"/>
              <w:rPr>
                <w:rFonts w:ascii="Arial" w:cs="Arial" w:eastAsia="Arial" w:hAnsi="Arial"/>
                <w:sz w:val="14"/>
                <w:szCs w:val="14"/>
                <w:color w:val="0000FF"/>
                <w:w w:val="94"/>
              </w:rPr>
            </w:pPr>
            <w:hyperlink w:anchor="page65">
              <w:r>
                <w:rPr>
                  <w:rFonts w:ascii="Arial" w:cs="Arial" w:eastAsia="Arial" w:hAnsi="Arial"/>
                  <w:sz w:val="14"/>
                  <w:szCs w:val="14"/>
                  <w:color w:val="0000FF"/>
                  <w:w w:val="94"/>
                </w:rPr>
                <w:t>Employment Agreement dated as of January 1, 2017 between the Registrant and Stephen G. Waldis, incorporated by reference to Exhibit 10.16 to the Registrant’s Annual</w:t>
              </w:r>
            </w:hyperlink>
          </w:p>
        </w:tc>
      </w:tr>
      <w:tr>
        <w:trPr>
          <w:trHeight w:val="129"/>
        </w:trPr>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960" w:type="dxa"/>
            <w:vAlign w:val="bottom"/>
            <w:tcBorders>
              <w:top w:val="single" w:sz="8" w:color="0000FF"/>
            </w:tcBorders>
            <w:gridSpan w:val="12"/>
          </w:tcPr>
          <w:p>
            <w:pPr>
              <w:spacing w:after="0" w:line="129" w:lineRule="exact"/>
              <w:rPr>
                <w:rFonts w:ascii="Arial" w:cs="Arial" w:eastAsia="Arial" w:hAnsi="Arial"/>
                <w:sz w:val="14"/>
                <w:szCs w:val="14"/>
                <w:color w:val="0000FF"/>
              </w:rPr>
            </w:pPr>
            <w:hyperlink w:anchor="page65">
              <w:r>
                <w:rPr>
                  <w:rFonts w:ascii="Arial" w:cs="Arial" w:eastAsia="Arial" w:hAnsi="Arial"/>
                  <w:sz w:val="14"/>
                  <w:szCs w:val="14"/>
                  <w:color w:val="0000FF"/>
                </w:rPr>
                <w:t>Report on Form 10-K for the year ended December 31, 2017.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10.2†</w:t>
            </w:r>
          </w:p>
        </w:tc>
        <w:tc>
          <w:tcPr>
            <w:tcW w:w="40" w:type="dxa"/>
            <w:vAlign w:val="bottom"/>
          </w:tcPr>
          <w:p>
            <w:pPr>
              <w:spacing w:after="0"/>
              <w:rPr>
                <w:sz w:val="15"/>
                <w:szCs w:val="15"/>
                <w:color w:val="auto"/>
              </w:rPr>
            </w:pPr>
          </w:p>
        </w:tc>
        <w:tc>
          <w:tcPr>
            <w:tcW w:w="10020" w:type="dxa"/>
            <w:vAlign w:val="bottom"/>
            <w:gridSpan w:val="15"/>
          </w:tcPr>
          <w:p>
            <w:pPr>
              <w:spacing w:after="0"/>
              <w:rPr>
                <w:rFonts w:ascii="Arial" w:cs="Arial" w:eastAsia="Arial" w:hAnsi="Arial"/>
                <w:sz w:val="14"/>
                <w:szCs w:val="14"/>
                <w:color w:val="0000FF"/>
                <w:w w:val="96"/>
              </w:rPr>
            </w:pPr>
            <w:hyperlink w:anchor="page78">
              <w:r>
                <w:rPr>
                  <w:rFonts w:ascii="Arial" w:cs="Arial" w:eastAsia="Arial" w:hAnsi="Arial"/>
                  <w:sz w:val="14"/>
                  <w:szCs w:val="14"/>
                  <w:color w:val="0000FF"/>
                  <w:w w:val="96"/>
                </w:rPr>
                <w:t>Tier One Executive Employment Plan effective March 24, 2017, incorporated by reference to Exhibit 10.17 to the Registrant’s Annual Report on Form 10-K for the year</w:t>
              </w:r>
            </w:hyperlink>
          </w:p>
        </w:tc>
      </w:tr>
      <w:tr>
        <w:trPr>
          <w:trHeight w:val="129"/>
        </w:trPr>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89"/>
              </w:rPr>
            </w:pPr>
            <w:hyperlink w:anchor="page78">
              <w:r>
                <w:rPr>
                  <w:rFonts w:ascii="Arial" w:cs="Arial" w:eastAsia="Arial" w:hAnsi="Arial"/>
                  <w:sz w:val="14"/>
                  <w:szCs w:val="14"/>
                  <w:color w:val="0000FF"/>
                  <w:w w:val="89"/>
                </w:rPr>
                <w:t>ended December 31, 2017.</w:t>
              </w:r>
            </w:hyperlink>
          </w:p>
        </w:tc>
        <w:tc>
          <w:tcPr>
            <w:tcW w:w="8180" w:type="dxa"/>
            <w:vAlign w:val="bottom"/>
            <w:tcBorders>
              <w:top w:val="single" w:sz="8" w:color="0000FF"/>
            </w:tcBorders>
            <w:gridSpan w:val="9"/>
          </w:tcPr>
          <w:p>
            <w:pPr>
              <w:spacing w:after="0"/>
              <w:rPr>
                <w:sz w:val="11"/>
                <w:szCs w:val="11"/>
                <w:color w:val="auto"/>
              </w:rPr>
            </w:pPr>
          </w:p>
        </w:tc>
        <w:tc>
          <w:tcPr>
            <w:tcW w:w="2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3"/>
        </w:trPr>
        <w:tc>
          <w:tcPr>
            <w:tcW w:w="1280" w:type="dxa"/>
            <w:vAlign w:val="bottom"/>
          </w:tcPr>
          <w:p>
            <w:pPr>
              <w:jc w:val="right"/>
              <w:ind w:right="48"/>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0" w:type="dxa"/>
            <w:vAlign w:val="bottom"/>
            <w:tcBorders>
              <w:bottom w:val="single" w:sz="8" w:color="0000FF"/>
            </w:tcBorders>
            <w:gridSpan w:val="8"/>
          </w:tcPr>
          <w:p>
            <w:pPr>
              <w:spacing w:after="0" w:line="161" w:lineRule="exact"/>
              <w:rPr>
                <w:rFonts w:ascii="Arial" w:cs="Arial" w:eastAsia="Arial" w:hAnsi="Arial"/>
                <w:sz w:val="14"/>
                <w:szCs w:val="14"/>
                <w:color w:val="0000FF"/>
                <w:w w:val="93"/>
              </w:rPr>
            </w:pPr>
            <w:hyperlink w:anchor="page90">
              <w:r>
                <w:rPr>
                  <w:rFonts w:ascii="Arial" w:cs="Arial" w:eastAsia="Arial" w:hAnsi="Arial"/>
                  <w:sz w:val="14"/>
                  <w:szCs w:val="14"/>
                  <w:color w:val="0000FF"/>
                  <w:w w:val="93"/>
                </w:rPr>
                <w:t>Certification of Principal Executive Officer pursuant to Rule 13a</w:t>
              </w:r>
              <w:r>
                <w:rPr>
                  <w:rFonts w:ascii="MS PGothic" w:cs="MS PGothic" w:eastAsia="MS PGothic" w:hAnsi="MS PGothic"/>
                  <w:sz w:val="14"/>
                  <w:szCs w:val="14"/>
                  <w:color w:val="0000FF"/>
                  <w:w w:val="93"/>
                </w:rPr>
                <w:t>‑</w:t>
              </w:r>
              <w:r>
                <w:rPr>
                  <w:rFonts w:ascii="Arial" w:cs="Arial" w:eastAsia="Arial" w:hAnsi="Arial"/>
                  <w:sz w:val="14"/>
                  <w:szCs w:val="14"/>
                  <w:color w:val="0000FF"/>
                  <w:w w:val="93"/>
                </w:rPr>
                <w:t>14(a) of the Exchange Act, as adopted pursuant to section 302 of the Sarbanes</w:t>
              </w:r>
              <w:r>
                <w:rPr>
                  <w:rFonts w:ascii="MS PGothic" w:cs="MS PGothic" w:eastAsia="MS PGothic" w:hAnsi="MS PGothic"/>
                  <w:sz w:val="14"/>
                  <w:szCs w:val="14"/>
                  <w:color w:val="0000FF"/>
                  <w:w w:val="93"/>
                </w:rPr>
                <w:t>‑</w:t>
              </w:r>
              <w:r>
                <w:rPr>
                  <w:rFonts w:ascii="Arial" w:cs="Arial" w:eastAsia="Arial" w:hAnsi="Arial"/>
                  <w:sz w:val="14"/>
                  <w:szCs w:val="14"/>
                  <w:color w:val="0000FF"/>
                  <w:w w:val="93"/>
                </w:rPr>
                <w:t>Oxley Act of 2002</w:t>
              </w:r>
            </w:hyperlink>
          </w:p>
        </w:tc>
        <w:tc>
          <w:tcPr>
            <w:tcW w:w="620" w:type="dxa"/>
            <w:vAlign w:val="bottom"/>
            <w:gridSpan w:val="7"/>
          </w:tcPr>
          <w:p>
            <w:pPr>
              <w:spacing w:after="0"/>
              <w:rPr>
                <w:sz w:val="15"/>
                <w:szCs w:val="15"/>
                <w:color w:val="auto"/>
              </w:rPr>
            </w:pPr>
          </w:p>
        </w:tc>
      </w:tr>
      <w:tr>
        <w:trPr>
          <w:trHeight w:val="250"/>
        </w:trPr>
        <w:tc>
          <w:tcPr>
            <w:tcW w:w="1280" w:type="dxa"/>
            <w:vAlign w:val="bottom"/>
          </w:tcPr>
          <w:p>
            <w:pPr>
              <w:jc w:val="right"/>
              <w:ind w:right="48"/>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380" w:type="dxa"/>
            <w:vAlign w:val="bottom"/>
            <w:tcBorders>
              <w:bottom w:val="single" w:sz="8" w:color="0000FF"/>
            </w:tcBorders>
            <w:gridSpan w:val="7"/>
          </w:tcPr>
          <w:p>
            <w:pPr>
              <w:spacing w:after="0" w:line="161" w:lineRule="exact"/>
              <w:rPr>
                <w:rFonts w:ascii="Arial" w:cs="Arial" w:eastAsia="Arial" w:hAnsi="Arial"/>
                <w:sz w:val="14"/>
                <w:szCs w:val="14"/>
                <w:color w:val="0000FF"/>
                <w:w w:val="93"/>
              </w:rPr>
            </w:pPr>
            <w:hyperlink w:anchor="page91">
              <w:r>
                <w:rPr>
                  <w:rFonts w:ascii="Arial" w:cs="Arial" w:eastAsia="Arial" w:hAnsi="Arial"/>
                  <w:sz w:val="14"/>
                  <w:szCs w:val="14"/>
                  <w:color w:val="0000FF"/>
                  <w:w w:val="93"/>
                </w:rPr>
                <w:t>Certification of Principal Financial Officer pursuant to Rule 13a</w:t>
              </w:r>
              <w:r>
                <w:rPr>
                  <w:rFonts w:ascii="MS PGothic" w:cs="MS PGothic" w:eastAsia="MS PGothic" w:hAnsi="MS PGothic"/>
                  <w:sz w:val="14"/>
                  <w:szCs w:val="14"/>
                  <w:color w:val="0000FF"/>
                  <w:w w:val="93"/>
                </w:rPr>
                <w:t>‑</w:t>
              </w:r>
              <w:r>
                <w:rPr>
                  <w:rFonts w:ascii="Arial" w:cs="Arial" w:eastAsia="Arial" w:hAnsi="Arial"/>
                  <w:sz w:val="14"/>
                  <w:szCs w:val="14"/>
                  <w:color w:val="0000FF"/>
                  <w:w w:val="93"/>
                </w:rPr>
                <w:t>14(a) of the Exchange Act, as adopted pursuant to section 302 of the Sarbanes</w:t>
              </w:r>
              <w:r>
                <w:rPr>
                  <w:rFonts w:ascii="MS PGothic" w:cs="MS PGothic" w:eastAsia="MS PGothic" w:hAnsi="MS PGothic"/>
                  <w:sz w:val="14"/>
                  <w:szCs w:val="14"/>
                  <w:color w:val="0000FF"/>
                  <w:w w:val="93"/>
                </w:rPr>
                <w:t>‑</w:t>
              </w:r>
              <w:r>
                <w:rPr>
                  <w:rFonts w:ascii="Arial" w:cs="Arial" w:eastAsia="Arial" w:hAnsi="Arial"/>
                  <w:sz w:val="14"/>
                  <w:szCs w:val="14"/>
                  <w:color w:val="0000FF"/>
                  <w:w w:val="93"/>
                </w:rPr>
                <w:t>Oxley Act of 2002</w:t>
              </w:r>
            </w:hyperlink>
          </w:p>
        </w:tc>
        <w:tc>
          <w:tcPr>
            <w:tcW w:w="640" w:type="dxa"/>
            <w:vAlign w:val="bottom"/>
            <w:gridSpan w:val="8"/>
          </w:tcPr>
          <w:p>
            <w:pPr>
              <w:spacing w:after="0"/>
              <w:rPr>
                <w:sz w:val="21"/>
                <w:szCs w:val="21"/>
                <w:color w:val="auto"/>
              </w:rPr>
            </w:pPr>
          </w:p>
        </w:tc>
      </w:tr>
      <w:tr>
        <w:trPr>
          <w:trHeight w:val="250"/>
        </w:trPr>
        <w:tc>
          <w:tcPr>
            <w:tcW w:w="1280" w:type="dxa"/>
            <w:vAlign w:val="bottom"/>
          </w:tcPr>
          <w:p>
            <w:pPr>
              <w:jc w:val="right"/>
              <w:ind w:right="48"/>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20" w:type="dxa"/>
            <w:vAlign w:val="bottom"/>
            <w:gridSpan w:val="15"/>
          </w:tcPr>
          <w:p>
            <w:pPr>
              <w:spacing w:after="0" w:line="161" w:lineRule="exact"/>
              <w:rPr>
                <w:rFonts w:ascii="Arial" w:cs="Arial" w:eastAsia="Arial" w:hAnsi="Arial"/>
                <w:sz w:val="14"/>
                <w:szCs w:val="14"/>
                <w:color w:val="0000FF"/>
                <w:w w:val="95"/>
              </w:rPr>
            </w:pPr>
            <w:hyperlink w:anchor="page92">
              <w:r>
                <w:rPr>
                  <w:rFonts w:ascii="Arial" w:cs="Arial" w:eastAsia="Arial" w:hAnsi="Arial"/>
                  <w:sz w:val="14"/>
                  <w:szCs w:val="14"/>
                  <w:color w:val="0000FF"/>
                  <w:w w:val="95"/>
                </w:rPr>
                <w:t>Certification of Principal Executive Officer pursuant to Rule 13a</w:t>
              </w:r>
              <w:r>
                <w:rPr>
                  <w:rFonts w:ascii="MS PGothic" w:cs="MS PGothic" w:eastAsia="MS PGothic" w:hAnsi="MS PGothic"/>
                  <w:sz w:val="14"/>
                  <w:szCs w:val="14"/>
                  <w:color w:val="0000FF"/>
                  <w:w w:val="95"/>
                </w:rPr>
                <w:t>‑</w:t>
              </w:r>
              <w:r>
                <w:rPr>
                  <w:rFonts w:ascii="Arial" w:cs="Arial" w:eastAsia="Arial" w:hAnsi="Arial"/>
                  <w:sz w:val="14"/>
                  <w:szCs w:val="14"/>
                  <w:color w:val="0000FF"/>
                  <w:w w:val="95"/>
                </w:rPr>
                <w:t>14(b) of the Exchange Act and section 18 U.S.C. Section 1350, as adopted pursuant to section 906 of the</w:t>
              </w:r>
            </w:hyperlink>
          </w:p>
        </w:tc>
      </w:tr>
      <w:tr>
        <w:trPr>
          <w:trHeight w:val="129"/>
        </w:trPr>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6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w w:val="93"/>
              </w:rPr>
            </w:pPr>
            <w:hyperlink w:anchor="page92">
              <w:r>
                <w:rPr>
                  <w:rFonts w:ascii="Arial" w:cs="Arial" w:eastAsia="Arial" w:hAnsi="Arial"/>
                  <w:sz w:val="14"/>
                  <w:szCs w:val="14"/>
                  <w:color w:val="0000FF"/>
                  <w:w w:val="93"/>
                </w:rPr>
                <w:t>Sarbanes</w:t>
              </w:r>
              <w:r>
                <w:rPr>
                  <w:rFonts w:ascii="MS PGothic" w:cs="MS PGothic" w:eastAsia="MS PGothic" w:hAnsi="MS PGothic"/>
                  <w:sz w:val="14"/>
                  <w:szCs w:val="14"/>
                  <w:color w:val="0000FF"/>
                  <w:w w:val="93"/>
                </w:rPr>
                <w:t>‑</w:t>
              </w:r>
              <w:r>
                <w:rPr>
                  <w:rFonts w:ascii="Arial" w:cs="Arial" w:eastAsia="Arial" w:hAnsi="Arial"/>
                  <w:sz w:val="14"/>
                  <w:szCs w:val="14"/>
                  <w:color w:val="0000FF"/>
                  <w:w w:val="93"/>
                </w:rPr>
                <w:t>Oxley Act of 2002</w:t>
              </w:r>
            </w:hyperlink>
          </w:p>
        </w:tc>
        <w:tc>
          <w:tcPr>
            <w:tcW w:w="8320" w:type="dxa"/>
            <w:vAlign w:val="bottom"/>
            <w:tcBorders>
              <w:top w:val="single" w:sz="8" w:color="0000FF"/>
            </w:tcBorders>
            <w:gridSpan w:val="1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3"/>
        </w:trPr>
        <w:tc>
          <w:tcPr>
            <w:tcW w:w="1280" w:type="dxa"/>
            <w:vAlign w:val="bottom"/>
          </w:tcPr>
          <w:p>
            <w:pPr>
              <w:jc w:val="right"/>
              <w:ind w:right="4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20" w:type="dxa"/>
            <w:vAlign w:val="bottom"/>
            <w:gridSpan w:val="15"/>
          </w:tcPr>
          <w:p>
            <w:pPr>
              <w:spacing w:after="0" w:line="161" w:lineRule="exact"/>
              <w:rPr>
                <w:rFonts w:ascii="Arial" w:cs="Arial" w:eastAsia="Arial" w:hAnsi="Arial"/>
                <w:sz w:val="14"/>
                <w:szCs w:val="14"/>
                <w:color w:val="0000FF"/>
                <w:w w:val="95"/>
              </w:rPr>
            </w:pPr>
            <w:hyperlink w:anchor="page93">
              <w:r>
                <w:rPr>
                  <w:rFonts w:ascii="Arial" w:cs="Arial" w:eastAsia="Arial" w:hAnsi="Arial"/>
                  <w:sz w:val="14"/>
                  <w:szCs w:val="14"/>
                  <w:color w:val="0000FF"/>
                  <w:w w:val="95"/>
                </w:rPr>
                <w:t>Certification of Principal Financial Officer pursuant to Rule 13a</w:t>
              </w:r>
              <w:r>
                <w:rPr>
                  <w:rFonts w:ascii="MS PGothic" w:cs="MS PGothic" w:eastAsia="MS PGothic" w:hAnsi="MS PGothic"/>
                  <w:sz w:val="14"/>
                  <w:szCs w:val="14"/>
                  <w:color w:val="0000FF"/>
                  <w:w w:val="95"/>
                </w:rPr>
                <w:t>‑</w:t>
              </w:r>
              <w:r>
                <w:rPr>
                  <w:rFonts w:ascii="Arial" w:cs="Arial" w:eastAsia="Arial" w:hAnsi="Arial"/>
                  <w:sz w:val="14"/>
                  <w:szCs w:val="14"/>
                  <w:color w:val="0000FF"/>
                  <w:w w:val="95"/>
                </w:rPr>
                <w:t>14(b) of the Exchange Act and section 18 U.S.C. Section 1350, as adopted pursuant to section 906 of the</w:t>
              </w:r>
            </w:hyperlink>
          </w:p>
        </w:tc>
      </w:tr>
      <w:tr>
        <w:trPr>
          <w:trHeight w:val="129"/>
        </w:trPr>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92"/>
              </w:rPr>
            </w:pPr>
            <w:hyperlink w:anchor="page93">
              <w:r>
                <w:rPr>
                  <w:rFonts w:ascii="Arial" w:cs="Arial" w:eastAsia="Arial" w:hAnsi="Arial"/>
                  <w:sz w:val="14"/>
                  <w:szCs w:val="14"/>
                  <w:color w:val="0000FF"/>
                  <w:w w:val="92"/>
                </w:rPr>
                <w:t>Sarbanes</w:t>
              </w:r>
              <w:r>
                <w:rPr>
                  <w:rFonts w:ascii="MS PGothic" w:cs="MS PGothic" w:eastAsia="MS PGothic" w:hAnsi="MS PGothic"/>
                  <w:sz w:val="14"/>
                  <w:szCs w:val="14"/>
                  <w:color w:val="0000FF"/>
                  <w:w w:val="92"/>
                </w:rPr>
                <w:t>‑</w:t>
              </w:r>
              <w:r>
                <w:rPr>
                  <w:rFonts w:ascii="Arial" w:cs="Arial" w:eastAsia="Arial" w:hAnsi="Arial"/>
                  <w:sz w:val="14"/>
                  <w:szCs w:val="14"/>
                  <w:color w:val="0000FF"/>
                  <w:w w:val="92"/>
                </w:rPr>
                <w:t>Oxley Act of 2002</w:t>
              </w:r>
            </w:hyperlink>
          </w:p>
        </w:tc>
        <w:tc>
          <w:tcPr>
            <w:tcW w:w="8360" w:type="dxa"/>
            <w:vAlign w:val="bottom"/>
            <w:tcBorders>
              <w:top w:val="single" w:sz="8" w:color="0000FF"/>
            </w:tcBorders>
            <w:gridSpan w:val="12"/>
          </w:tcPr>
          <w:p>
            <w:pPr>
              <w:spacing w:after="0"/>
              <w:rPr>
                <w:sz w:val="11"/>
                <w:szCs w:val="11"/>
                <w:color w:val="auto"/>
              </w:rPr>
            </w:pPr>
          </w:p>
        </w:tc>
        <w:tc>
          <w:tcPr>
            <w:tcW w:w="20" w:type="dxa"/>
            <w:vAlign w:val="bottom"/>
          </w:tcPr>
          <w:p>
            <w:pPr>
              <w:spacing w:after="0"/>
              <w:rPr>
                <w:sz w:val="11"/>
                <w:szCs w:val="11"/>
                <w:color w:val="auto"/>
              </w:rPr>
            </w:pPr>
          </w:p>
        </w:tc>
      </w:tr>
      <w:tr>
        <w:trPr>
          <w:trHeight w:val="211"/>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101.INS</w:t>
            </w:r>
          </w:p>
        </w:tc>
        <w:tc>
          <w:tcPr>
            <w:tcW w:w="40" w:type="dxa"/>
            <w:vAlign w:val="bottom"/>
          </w:tcPr>
          <w:p>
            <w:pPr>
              <w:spacing w:after="0"/>
              <w:rPr>
                <w:sz w:val="18"/>
                <w:szCs w:val="18"/>
                <w:color w:val="auto"/>
              </w:rPr>
            </w:pPr>
          </w:p>
        </w:tc>
        <w:tc>
          <w:tcPr>
            <w:tcW w:w="10020" w:type="dxa"/>
            <w:vAlign w:val="bottom"/>
            <w:gridSpan w:val="15"/>
          </w:tcPr>
          <w:p>
            <w:pPr>
              <w:spacing w:after="0"/>
              <w:rPr>
                <w:sz w:val="20"/>
                <w:szCs w:val="20"/>
                <w:color w:val="auto"/>
              </w:rPr>
            </w:pPr>
            <w:r>
              <w:rPr>
                <w:rFonts w:ascii="Arial" w:cs="Arial" w:eastAsia="Arial" w:hAnsi="Arial"/>
                <w:sz w:val="14"/>
                <w:szCs w:val="14"/>
                <w:color w:val="auto"/>
              </w:rPr>
              <w:t>XBRL Instance Document</w:t>
            </w:r>
          </w:p>
        </w:tc>
      </w:tr>
      <w:tr>
        <w:trPr>
          <w:trHeight w:val="270"/>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101.SCH</w:t>
            </w:r>
          </w:p>
        </w:tc>
        <w:tc>
          <w:tcPr>
            <w:tcW w:w="40" w:type="dxa"/>
            <w:vAlign w:val="bottom"/>
          </w:tcPr>
          <w:p>
            <w:pPr>
              <w:spacing w:after="0"/>
              <w:rPr>
                <w:sz w:val="23"/>
                <w:szCs w:val="23"/>
                <w:color w:val="auto"/>
              </w:rPr>
            </w:pPr>
          </w:p>
        </w:tc>
        <w:tc>
          <w:tcPr>
            <w:tcW w:w="10020" w:type="dxa"/>
            <w:vAlign w:val="bottom"/>
            <w:gridSpan w:val="15"/>
          </w:tcPr>
          <w:p>
            <w:pPr>
              <w:spacing w:after="0"/>
              <w:rPr>
                <w:sz w:val="20"/>
                <w:szCs w:val="20"/>
                <w:color w:val="auto"/>
              </w:rPr>
            </w:pPr>
            <w:r>
              <w:rPr>
                <w:rFonts w:ascii="Arial" w:cs="Arial" w:eastAsia="Arial" w:hAnsi="Arial"/>
                <w:sz w:val="14"/>
                <w:szCs w:val="14"/>
                <w:color w:val="auto"/>
              </w:rPr>
              <w:t>XBRL Schema Document</w:t>
            </w:r>
          </w:p>
        </w:tc>
      </w:tr>
      <w:tr>
        <w:trPr>
          <w:trHeight w:val="270"/>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101.CAL</w:t>
            </w:r>
          </w:p>
        </w:tc>
        <w:tc>
          <w:tcPr>
            <w:tcW w:w="40" w:type="dxa"/>
            <w:vAlign w:val="bottom"/>
          </w:tcPr>
          <w:p>
            <w:pPr>
              <w:spacing w:after="0"/>
              <w:rPr>
                <w:sz w:val="23"/>
                <w:szCs w:val="23"/>
                <w:color w:val="auto"/>
              </w:rPr>
            </w:pPr>
          </w:p>
        </w:tc>
        <w:tc>
          <w:tcPr>
            <w:tcW w:w="10020" w:type="dxa"/>
            <w:vAlign w:val="bottom"/>
            <w:gridSpan w:val="15"/>
          </w:tcPr>
          <w:p>
            <w:pPr>
              <w:spacing w:after="0"/>
              <w:rPr>
                <w:sz w:val="20"/>
                <w:szCs w:val="20"/>
                <w:color w:val="auto"/>
              </w:rPr>
            </w:pPr>
            <w:r>
              <w:rPr>
                <w:rFonts w:ascii="Arial" w:cs="Arial" w:eastAsia="Arial" w:hAnsi="Arial"/>
                <w:sz w:val="14"/>
                <w:szCs w:val="14"/>
                <w:color w:val="auto"/>
              </w:rPr>
              <w:t>XBRL Calculation Linkbase Document</w:t>
            </w:r>
          </w:p>
        </w:tc>
      </w:tr>
      <w:tr>
        <w:trPr>
          <w:trHeight w:val="270"/>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101.DEF</w:t>
            </w:r>
          </w:p>
        </w:tc>
        <w:tc>
          <w:tcPr>
            <w:tcW w:w="40" w:type="dxa"/>
            <w:vAlign w:val="bottom"/>
          </w:tcPr>
          <w:p>
            <w:pPr>
              <w:spacing w:after="0"/>
              <w:rPr>
                <w:sz w:val="23"/>
                <w:szCs w:val="23"/>
                <w:color w:val="auto"/>
              </w:rPr>
            </w:pPr>
          </w:p>
        </w:tc>
        <w:tc>
          <w:tcPr>
            <w:tcW w:w="10020" w:type="dxa"/>
            <w:vAlign w:val="bottom"/>
            <w:gridSpan w:val="15"/>
          </w:tcPr>
          <w:p>
            <w:pPr>
              <w:spacing w:after="0"/>
              <w:rPr>
                <w:sz w:val="20"/>
                <w:szCs w:val="20"/>
                <w:color w:val="auto"/>
              </w:rPr>
            </w:pPr>
            <w:r>
              <w:rPr>
                <w:rFonts w:ascii="Arial" w:cs="Arial" w:eastAsia="Arial" w:hAnsi="Arial"/>
                <w:sz w:val="14"/>
                <w:szCs w:val="14"/>
                <w:color w:val="auto"/>
              </w:rPr>
              <w:t>XBRL Taxonomy Extension Definition Linkbase</w:t>
            </w:r>
          </w:p>
        </w:tc>
      </w:tr>
      <w:tr>
        <w:trPr>
          <w:trHeight w:val="270"/>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101.LAB</w:t>
            </w:r>
          </w:p>
        </w:tc>
        <w:tc>
          <w:tcPr>
            <w:tcW w:w="40" w:type="dxa"/>
            <w:vAlign w:val="bottom"/>
          </w:tcPr>
          <w:p>
            <w:pPr>
              <w:spacing w:after="0"/>
              <w:rPr>
                <w:sz w:val="23"/>
                <w:szCs w:val="23"/>
                <w:color w:val="auto"/>
              </w:rPr>
            </w:pPr>
          </w:p>
        </w:tc>
        <w:tc>
          <w:tcPr>
            <w:tcW w:w="10020" w:type="dxa"/>
            <w:vAlign w:val="bottom"/>
            <w:gridSpan w:val="15"/>
          </w:tcPr>
          <w:p>
            <w:pPr>
              <w:spacing w:after="0"/>
              <w:rPr>
                <w:sz w:val="20"/>
                <w:szCs w:val="20"/>
                <w:color w:val="auto"/>
              </w:rPr>
            </w:pPr>
            <w:r>
              <w:rPr>
                <w:rFonts w:ascii="Arial" w:cs="Arial" w:eastAsia="Arial" w:hAnsi="Arial"/>
                <w:sz w:val="14"/>
                <w:szCs w:val="14"/>
                <w:color w:val="auto"/>
              </w:rPr>
              <w:t>XBRL Labels Linkbase Document</w:t>
            </w:r>
          </w:p>
        </w:tc>
      </w:tr>
      <w:tr>
        <w:trPr>
          <w:trHeight w:val="270"/>
        </w:trPr>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101.PRE</w:t>
            </w:r>
          </w:p>
        </w:tc>
        <w:tc>
          <w:tcPr>
            <w:tcW w:w="40" w:type="dxa"/>
            <w:vAlign w:val="bottom"/>
          </w:tcPr>
          <w:p>
            <w:pPr>
              <w:spacing w:after="0"/>
              <w:rPr>
                <w:sz w:val="23"/>
                <w:szCs w:val="23"/>
                <w:color w:val="auto"/>
              </w:rPr>
            </w:pPr>
          </w:p>
        </w:tc>
        <w:tc>
          <w:tcPr>
            <w:tcW w:w="10020" w:type="dxa"/>
            <w:vAlign w:val="bottom"/>
            <w:gridSpan w:val="15"/>
          </w:tcPr>
          <w:p>
            <w:pPr>
              <w:spacing w:after="0"/>
              <w:rPr>
                <w:sz w:val="20"/>
                <w:szCs w:val="20"/>
                <w:color w:val="auto"/>
              </w:rPr>
            </w:pPr>
            <w:r>
              <w:rPr>
                <w:rFonts w:ascii="Arial" w:cs="Arial" w:eastAsia="Arial" w:hAnsi="Arial"/>
                <w:sz w:val="14"/>
                <w:szCs w:val="14"/>
                <w:color w:val="auto"/>
              </w:rPr>
              <w:t>XBRL Presentation Linkbase Document</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22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Compensation Arrangement.</w:t>
      </w:r>
    </w:p>
    <w:p>
      <w:pPr>
        <w:spacing w:after="0" w:line="212" w:lineRule="exact"/>
        <w:rPr>
          <w:sz w:val="20"/>
          <w:szCs w:val="20"/>
          <w:color w:val="auto"/>
        </w:rPr>
      </w:pPr>
    </w:p>
    <w:p>
      <w:pPr>
        <w:jc w:val="both"/>
        <w:ind w:left="340" w:right="18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Synchronoss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31750</wp:posOffset>
            </wp:positionV>
            <wp:extent cx="39103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Glenn Lurie</w:t>
      </w:r>
    </w:p>
    <w:p>
      <w:pPr>
        <w:spacing w:after="0" w:line="6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Chief Executive Officer</w:t>
      </w:r>
    </w:p>
    <w:p>
      <w:pPr>
        <w:spacing w:after="0" w:line="6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Lawrence R.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31750</wp:posOffset>
            </wp:positionV>
            <wp:extent cx="39103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Lawrence R. Irving</w:t>
      </w:r>
    </w:p>
    <w:p>
      <w:pPr>
        <w:spacing w:after="0" w:line="6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Chief Financial Officer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July 6,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38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636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725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6787515" cy="8972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9460230</wp:posOffset>
            </wp:positionV>
            <wp:extent cx="678751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678751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Glenn Lurie,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March 31, 2017;</w:t>
      </w:r>
    </w:p>
    <w:p>
      <w:pPr>
        <w:spacing w:after="0" w:line="184"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July 6, 2018</w:t>
      </w:r>
    </w:p>
    <w:p>
      <w:pPr>
        <w:spacing w:after="0" w:line="200" w:lineRule="exact"/>
        <w:rPr>
          <w:sz w:val="20"/>
          <w:szCs w:val="20"/>
          <w:color w:val="auto"/>
        </w:rPr>
      </w:pPr>
    </w:p>
    <w:p>
      <w:pPr>
        <w:spacing w:after="0" w:line="26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31750</wp:posOffset>
            </wp:positionV>
            <wp:extent cx="30270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Glenn Lurie</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Lawrence R. Irving, certify that:</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March 31, 2017;</w:t>
      </w:r>
    </w:p>
    <w:p>
      <w:pPr>
        <w:spacing w:after="0" w:line="184"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July 6, 2018</w:t>
      </w:r>
    </w:p>
    <w:p>
      <w:pPr>
        <w:spacing w:after="0" w:line="200" w:lineRule="exact"/>
        <w:rPr>
          <w:sz w:val="20"/>
          <w:szCs w:val="20"/>
          <w:color w:val="auto"/>
        </w:rPr>
      </w:pPr>
    </w:p>
    <w:p>
      <w:pPr>
        <w:spacing w:after="0" w:line="26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Lawrence R.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26670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Lawrence R. Irving</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Chief Financial Officer &amp; Treasurer</w:t>
      </w:r>
    </w:p>
    <w:p>
      <w:pPr>
        <w:sectPr>
          <w:pgSz w:w="11900" w:h="16838" w:orient="portrait"/>
          <w:cols w:equalWidth="0" w:num="1">
            <w:col w:w="11420"/>
          </w:cols>
          <w:pgMar w:left="240" w:top="580"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on Form 10-Q of Synchronoss Technologies, Inc. (the “Company”) for the quarter ended March 31, 2017, as filed with the Securities and Exchange Commission on the date hereof (the “Report”), I, Glenn Lurie, the Chief Executive Officer of the Company, hereby certify, pursuant to 18 U.S.C. 1350, as adopted pursuant to Section 906 of the Sarbanes-Oxley Act of 2002, to the best of my knowledge and belief that:</w:t>
      </w:r>
    </w:p>
    <w:p>
      <w:pPr>
        <w:spacing w:after="0" w:line="21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July 6, 2018</w:t>
      </w:r>
    </w:p>
    <w:p>
      <w:pPr>
        <w:spacing w:after="0" w:line="200" w:lineRule="exact"/>
        <w:rPr>
          <w:sz w:val="20"/>
          <w:szCs w:val="20"/>
          <w:color w:val="auto"/>
        </w:rPr>
      </w:pPr>
    </w:p>
    <w:p>
      <w:pPr>
        <w:spacing w:after="0" w:line="3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31750</wp:posOffset>
            </wp:positionV>
            <wp:extent cx="30441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Glenn Lurie</w:t>
      </w:r>
    </w:p>
    <w:p>
      <w:pPr>
        <w:spacing w:after="0" w:line="6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on Form 10-Q of Synchronoss Technologies, Inc. (the “Company”) for the quarter ended March 31, 2017, as filed with the Securities and Exchange Commission on the date hereof (the “Report”), I, Lawrence R. Irving, the Chief Financial Officer of the Company, hereby certify, pursuant to 18 U.S.C. 1350, as adopted pursuant to Section 906 of the Sarbanes-Oxley Act of 2002, to the best of my knowledge and belief that:</w:t>
      </w:r>
    </w:p>
    <w:p>
      <w:pPr>
        <w:spacing w:after="0" w:line="21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July 6, 2018</w:t>
      </w:r>
    </w:p>
    <w:p>
      <w:pPr>
        <w:spacing w:after="0" w:line="200" w:lineRule="exact"/>
        <w:rPr>
          <w:sz w:val="20"/>
          <w:szCs w:val="20"/>
          <w:color w:val="auto"/>
        </w:rPr>
      </w:pPr>
    </w:p>
    <w:p>
      <w:pPr>
        <w:spacing w:after="0" w:line="37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Lawrence R. Irving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31750</wp:posOffset>
            </wp:positionV>
            <wp:extent cx="25901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Lawrence R. Irving</w:t>
      </w:r>
    </w:p>
    <w:p>
      <w:pPr>
        <w:spacing w:after="0" w:line="6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Chief Financial Officer &amp; Treasurer</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upperLetter"/>
      <w:start w:val="1"/>
    </w:lvl>
  </w:abstractNum>
  <w:abstractNum w:abstractNumId="13">
    <w:nsid w:val="257130A3"/>
    <w:multiLevelType w:val="hybridMultilevel"/>
    <w:lvl w:ilvl="0">
      <w:lvlJc w:val="left"/>
      <w:lvlText w:val="(%1)"/>
      <w:numFmt w:val="lowerRoman"/>
      <w:start w:val="1"/>
    </w:lvl>
  </w:abstractNum>
  <w:abstractNum w:abstractNumId="14">
    <w:nsid w:val="62BBD95A"/>
    <w:multiLevelType w:val="hybridMultilevel"/>
    <w:lvl w:ilvl="0">
      <w:lvlJc w:val="left"/>
      <w:lvlText w:val="(%1)"/>
      <w:numFmt w:val="lowerRoman"/>
      <w:start w:val="5"/>
    </w:lvl>
  </w:abstractNum>
  <w:abstractNum w:abstractNumId="15">
    <w:nsid w:val="436C6125"/>
    <w:multiLevelType w:val="hybridMultilevel"/>
    <w:lvl w:ilvl="0">
      <w:lvlJc w:val="left"/>
      <w:lvlText w:val="1"/>
      <w:numFmt w:val="bullet"/>
      <w:start w:val="1"/>
    </w:lvl>
  </w:abstractNum>
  <w:abstractNum w:abstractNumId="16">
    <w:nsid w:val="628C895D"/>
    <w:multiLevelType w:val="hybridMultilevel"/>
    <w:lvl w:ilvl="0">
      <w:lvlJc w:val="left"/>
      <w:lvlText w:val="1"/>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37" Type="http://schemas.openxmlformats.org/officeDocument/2006/relationships/hyperlink" Target="http://www.sec.gov/Archives/edgar/data/1131554/000095012306002345/y15440exv3w1.txt" TargetMode="External"/><Relationship Id="rId38" Type="http://schemas.openxmlformats.org/officeDocument/2006/relationships/hyperlink" Target="http://www.sec.gov/Archives/edgar/data/1131554/000095012306002345/y15440exv3w3.txt" TargetMode="External"/><Relationship Id="rId39" Type="http://schemas.openxmlformats.org/officeDocument/2006/relationships/hyperlink" Target="http://www.sec.gov/Archives/edgar/data/1131554/000095012306007587/y15440a4exv4w2.htm" TargetMode="External"/><Relationship Id="rId40" Type="http://schemas.openxmlformats.org/officeDocument/2006/relationships/hyperlink" Target="http://www.sec.gov/Archives/edgar/data/1131554/000104746914006661/a2221016zex-4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2019-12-28T21:24:41Z</dcterms:created>
  <dcterms:modified xsi:type="dcterms:W3CDTF">2019-12-28T21:24:41Z</dcterms:modified>
</cp:coreProperties>
</file>