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Washington, D.C. 20549</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2" w:type="dxa"/>
        <w:jc w:val="center"/>
        <w:tblInd w:w="0" w:type="dxa"/>
        <w:tblCellMar>
          <w:top w:w="28" w:type="dxa"/>
          <w:left w:w="28" w:type="dxa"/>
          <w:bottom w:w="28" w:type="dxa"/>
          <w:right w:w="28" w:type="dxa"/>
        </w:tblCellMar>
      </w:tblPr>
      <w:tblGrid>
        <w:gridCol w:w="124"/>
        <w:gridCol w:w="109"/>
        <w:gridCol w:w="109"/>
        <w:gridCol w:w="2758"/>
        <w:gridCol w:w="2758"/>
        <w:gridCol w:w="39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39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2" w:type="dxa"/>
        <w:jc w:val="center"/>
        <w:tblInd w:w="0" w:type="dxa"/>
        <w:tblCellMar>
          <w:top w:w="28" w:type="dxa"/>
          <w:left w:w="28" w:type="dxa"/>
          <w:bottom w:w="28" w:type="dxa"/>
          <w:right w:w="28" w:type="dxa"/>
        </w:tblCellMar>
      </w:tblPr>
      <w:tblGrid>
        <w:gridCol w:w="124"/>
        <w:gridCol w:w="109"/>
        <w:gridCol w:w="109"/>
        <w:gridCol w:w="2758"/>
        <w:gridCol w:w="2758"/>
        <w:gridCol w:w="39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39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001-40574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SYNCHRONOSS TECHNOLOGIES,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380" w:type="dxa"/>
        <w:jc w:val="center"/>
        <w:tblInd w:w="0" w:type="dxa"/>
        <w:tblCellMar>
          <w:top w:w="28" w:type="dxa"/>
          <w:left w:w="28" w:type="dxa"/>
          <w:bottom w:w="28" w:type="dxa"/>
          <w:right w:w="28" w:type="dxa"/>
        </w:tblCellMar>
      </w:tblPr>
      <w:tblGrid>
        <w:gridCol w:w="1056"/>
        <w:gridCol w:w="931"/>
        <w:gridCol w:w="938"/>
        <w:gridCol w:w="424"/>
        <w:gridCol w:w="424"/>
        <w:gridCol w:w="607"/>
      </w:tblGrid>
      <w:tr>
        <w:trPr/>
        <w:tc>
          <w:tcPr>
            <w:tcW w:w="105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06-1594540</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200 Crossing Boulevard, 3rd Floor</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Bridgewater, New Jersey</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08807</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(866) 620-3940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14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or a non-accelerated filer. See definition of “accelerated filer and large accelerated filer” in Rule 12b-2 of the Exchange Act. (Check one):</w:t>
      </w:r>
    </w:p>
    <w:tbl>
      <w:tblPr>
        <w:tblW w:w="5210"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709"/>
        <w:gridCol w:w="709"/>
        <w:gridCol w:w="712"/>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6"/>
        </w:rPr>
        <w:t>x</w:t>
      </w:r>
    </w:p>
    <w:p>
      <w:pPr>
        <w:pStyle w:val="TextBody"/>
        <w:spacing w:lineRule="auto" w:line="288" w:before="120" w:after="12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287" w:type="dxa"/>
        <w:jc w:val="left"/>
        <w:tblInd w:w="0" w:type="dxa"/>
        <w:tblCellMar>
          <w:top w:w="28" w:type="dxa"/>
          <w:left w:w="28" w:type="dxa"/>
          <w:bottom w:w="28" w:type="dxa"/>
          <w:right w:w="28" w:type="dxa"/>
        </w:tblCellMar>
      </w:tblPr>
      <w:tblGrid>
        <w:gridCol w:w="903"/>
        <w:gridCol w:w="795"/>
        <w:gridCol w:w="806"/>
        <w:gridCol w:w="504"/>
        <w:gridCol w:w="504"/>
        <w:gridCol w:w="506"/>
        <w:gridCol w:w="956"/>
        <w:gridCol w:w="956"/>
        <w:gridCol w:w="1357"/>
      </w:tblGrid>
      <w:tr>
        <w:trPr/>
        <w:tc>
          <w:tcPr>
            <w:tcW w:w="90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w:t>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8.375% Senior Notes due 2026 </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SNCRL</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spacing w:lineRule="auto" w:line="288" w:before="0" w:after="0"/>
        <w:jc w:val="both"/>
        <w:rPr/>
      </w:pPr>
      <w:r>
        <w:rPr>
          <w:rFonts w:ascii="Times New Roman;sans-serif" w:hAnsi="Times New Roman;sans-serif"/>
          <w:b w:val="false"/>
          <w:color w:val="000000"/>
          <w:sz w:val="18"/>
        </w:rPr>
        <w:t>As of May 08, 2023, there were 93,490,629 s</w:t>
      </w:r>
      <w:r>
        <w:rPr>
          <w:rFonts w:ascii="Times New Roman;sans-serif" w:hAnsi="Times New Roman;sans-serif"/>
          <w:b w:val="false"/>
          <w:color w:val="000000"/>
          <w:sz w:val="18"/>
          <w:highlight w:val="white"/>
        </w:rPr>
        <w:t xml:space="preserve">hares of common stock issued </w:t>
      </w:r>
      <w:r>
        <w:rPr>
          <w:rFonts w:ascii="Times New Roman;sans-serif" w:hAnsi="Times New Roman;sans-serif"/>
          <w:b w:val="false"/>
          <w:color w:val="000000"/>
          <w:sz w:val="18"/>
        </w:rPr>
        <w:t>and outstanding.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9060" w:type="dxa"/>
        <w:jc w:val="center"/>
        <w:tblInd w:w="0" w:type="dxa"/>
        <w:tblCellMar>
          <w:top w:w="28" w:type="dxa"/>
          <w:left w:w="28" w:type="dxa"/>
          <w:bottom w:w="28" w:type="dxa"/>
          <w:right w:w="28" w:type="dxa"/>
        </w:tblCellMar>
      </w:tblPr>
      <w:tblGrid>
        <w:gridCol w:w="299"/>
        <w:gridCol w:w="262"/>
        <w:gridCol w:w="264"/>
        <w:gridCol w:w="2454"/>
        <w:gridCol w:w="2454"/>
        <w:gridCol w:w="2457"/>
        <w:gridCol w:w="254"/>
        <w:gridCol w:w="254"/>
        <w:gridCol w:w="362"/>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3">
              <w:r>
                <w:rPr>
                  <w:rStyle w:val="InternetLink"/>
                  <w:rFonts w:ascii="Times New Roman;sans-serif" w:hAnsi="Times New Roman;sans-serif"/>
                  <w:b w:val="false"/>
                  <w:color w:val="0000FF"/>
                  <w:sz w:val="20"/>
                  <w:u w:val="single"/>
                </w:rPr>
                <w:t>PART I.</w:t>
              </w:r>
            </w:hyperlink>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3">
              <w:r>
                <w:rPr>
                  <w:rStyle w:val="InternetLink"/>
                  <w:rFonts w:ascii="Times New Roman;sans-serif" w:hAnsi="Times New Roman;sans-serif"/>
                  <w:b w:val="false"/>
                  <w:color w:val="0000FF"/>
                  <w:sz w:val="20"/>
                  <w:u w:val="single"/>
                </w:rPr>
                <w:t>FINANCIAL INFORMATION</w:t>
              </w:r>
            </w:hyperlink>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5f2bc1e6dfd2435b91c4ff05de847e56_13">
              <w:r>
                <w:rPr>
                  <w:rStyle w:val="InternetLink"/>
                  <w:rFonts w:ascii="Times New Roman;sans-serif" w:hAnsi="Times New Roman;sans-serif"/>
                  <w:b w:val="false"/>
                  <w:color w:val="0000FF"/>
                  <w:sz w:val="20"/>
                  <w:u w:val="single"/>
                </w:rPr>
                <w:t>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6">
              <w:r>
                <w:rPr>
                  <w:rStyle w:val="InternetLink"/>
                  <w:rFonts w:ascii="Times New Roman;sans-serif" w:hAnsi="Times New Roman;sans-serif"/>
                  <w:b w:val="false"/>
                  <w:color w:val="0000FF"/>
                  <w:sz w:val="20"/>
                  <w:u w:val="single"/>
                </w:rPr>
                <w:t>Item 1. </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6">
              <w:r>
                <w:rPr>
                  <w:rStyle w:val="InternetLink"/>
                  <w:rFonts w:ascii="Times New Roman;sans-serif" w:hAnsi="Times New Roman;sans-serif"/>
                  <w:b w:val="false"/>
                  <w:color w:val="0000FF"/>
                  <w:sz w:val="20"/>
                  <w:u w:val="single"/>
                </w:rPr>
                <w:t>Condensed Consolidated Financial Statements and Notes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6">
              <w:r>
                <w:rPr>
                  <w:rStyle w:val="InternetLink"/>
                  <w:rFonts w:ascii="Times New Roman;sans-serif" w:hAnsi="Times New Roman;sans-serif"/>
                  <w:b w:val="false"/>
                  <w:color w:val="0000FF"/>
                  <w:sz w:val="20"/>
                  <w:u w:val="single"/>
                </w:rPr>
                <w:t>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
              <w:r>
                <w:rPr>
                  <w:rStyle w:val="InternetLink"/>
                  <w:rFonts w:ascii="Times New Roman;sans-serif" w:hAnsi="Times New Roman;sans-serif"/>
                  <w:b w:val="false"/>
                  <w:color w:val="0000FF"/>
                  <w:sz w:val="20"/>
                  <w:u w:val="single"/>
                </w:rPr>
                <w:t>Condensed Consolidated Balance Sheets (unaudited)</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9">
              <w:r>
                <w:rPr>
                  <w:rStyle w:val="InternetLink"/>
                  <w:rFonts w:ascii="Times New Roman;sans-serif" w:hAnsi="Times New Roman;sans-serif"/>
                  <w:b w:val="false"/>
                  <w:color w:val="0000FF"/>
                  <w:sz w:val="20"/>
                  <w:u w:val="single"/>
                </w:rPr>
                <w:t>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2">
              <w:r>
                <w:rPr>
                  <w:rStyle w:val="InternetLink"/>
                  <w:rFonts w:ascii="Times New Roman;sans-serif" w:hAnsi="Times New Roman;sans-serif"/>
                  <w:b w:val="false"/>
                  <w:color w:val="0000FF"/>
                  <w:sz w:val="20"/>
                  <w:u w:val="single"/>
                </w:rPr>
                <w:t>Condensed Consolidated Statements of Operations (unaudited)</w:t>
              </w:r>
            </w:hyperlink>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2">
              <w:r>
                <w:rPr>
                  <w:rStyle w:val="InternetLink"/>
                  <w:rFonts w:ascii="Times New Roman;sans-serif" w:hAnsi="Times New Roman;sans-serif"/>
                  <w:b w:val="false"/>
                  <w:color w:val="0000FF"/>
                  <w:sz w:val="20"/>
                  <w:u w:val="single"/>
                </w:rPr>
                <w:t>4</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5">
              <w:r>
                <w:rPr>
                  <w:rStyle w:val="InternetLink"/>
                  <w:rFonts w:ascii="Times New Roman;sans-serif" w:hAnsi="Times New Roman;sans-serif"/>
                  <w:b w:val="false"/>
                  <w:color w:val="0000FF"/>
                  <w:sz w:val="20"/>
                  <w:u w:val="single"/>
                </w:rPr>
                <w:t>Condensed Consolidated Statements of Comprehensive (Loss) Income (unaudited) </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5">
              <w:r>
                <w:rPr>
                  <w:rStyle w:val="InternetLink"/>
                  <w:rFonts w:ascii="Times New Roman;sans-serif" w:hAnsi="Times New Roman;sans-serif"/>
                  <w:b w:val="false"/>
                  <w:color w:val="0000FF"/>
                  <w:sz w:val="20"/>
                  <w:u w:val="single"/>
                </w:rPr>
                <w:t>5</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8">
              <w:r>
                <w:rPr>
                  <w:rStyle w:val="InternetLink"/>
                  <w:rFonts w:ascii="Times New Roman;sans-serif" w:hAnsi="Times New Roman;sans-serif"/>
                  <w:b w:val="false"/>
                  <w:color w:val="0000FF"/>
                  <w:sz w:val="20"/>
                  <w:u w:val="single"/>
                </w:rPr>
                <w:t>Condensed Consolidated Statements of Stockholders’ Equity (unaudited)</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8">
              <w:r>
                <w:rPr>
                  <w:rStyle w:val="InternetLink"/>
                  <w:rFonts w:ascii="Times New Roman;sans-serif" w:hAnsi="Times New Roman;sans-serif"/>
                  <w:b w:val="false"/>
                  <w:color w:val="0000FF"/>
                  <w:sz w:val="20"/>
                  <w:u w:val="single"/>
                </w:rPr>
                <w:t>6</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31">
              <w:r>
                <w:rPr>
                  <w:rStyle w:val="InternetLink"/>
                  <w:rFonts w:ascii="Times New Roman;sans-serif" w:hAnsi="Times New Roman;sans-serif"/>
                  <w:b w:val="false"/>
                  <w:color w:val="0000FF"/>
                  <w:sz w:val="20"/>
                  <w:u w:val="single"/>
                </w:rPr>
                <w:t>Condensed Consolidated Statements of Cash Flows (unaudited)</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31">
              <w:r>
                <w:rPr>
                  <w:rStyle w:val="InternetLink"/>
                  <w:rFonts w:ascii="Times New Roman;sans-serif" w:hAnsi="Times New Roman;sans-serif"/>
                  <w:b w:val="false"/>
                  <w:color w:val="0000FF"/>
                  <w:sz w:val="20"/>
                  <w:u w:val="single"/>
                </w:rPr>
                <w:t>7</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34">
              <w:r>
                <w:rPr>
                  <w:rStyle w:val="InternetLink"/>
                  <w:rFonts w:ascii="Times New Roman;sans-serif" w:hAnsi="Times New Roman;sans-serif"/>
                  <w:b w:val="false"/>
                  <w:color w:val="0000FF"/>
                  <w:sz w:val="20"/>
                  <w:u w:val="single"/>
                </w:rPr>
                <w:t>Notes to Condensed Consolidated Financial Statements (unaudited)</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34">
              <w:r>
                <w:rPr>
                  <w:rStyle w:val="InternetLink"/>
                  <w:rFonts w:ascii="Times New Roman;sans-serif" w:hAnsi="Times New Roman;sans-serif"/>
                  <w:b w:val="false"/>
                  <w:color w:val="0000FF"/>
                  <w:sz w:val="20"/>
                  <w:u w:val="single"/>
                </w:rPr>
                <w:t>8</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00">
              <w:r>
                <w:rPr>
                  <w:rStyle w:val="InternetLink"/>
                  <w:rFonts w:ascii="Times New Roman;sans-serif" w:hAnsi="Times New Roman;sans-serif"/>
                  <w:b w:val="false"/>
                  <w:color w:val="0000FF"/>
                  <w:sz w:val="20"/>
                  <w:u w:val="single"/>
                </w:rPr>
                <w:t>Item 2.</w:t>
              </w:r>
            </w:hyperlink>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00">
              <w:r>
                <w:rPr>
                  <w:rStyle w:val="InternetLink"/>
                  <w:rFonts w:ascii="Times New Roman;sans-serif" w:hAnsi="Times New Roman;sans-serif"/>
                  <w:b w:val="false"/>
                  <w:color w:val="0000FF"/>
                  <w:sz w:val="20"/>
                  <w:u w:val="single"/>
                </w:rPr>
                <w:t>26</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1">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1">
              <w:r>
                <w:rPr>
                  <w:rStyle w:val="InternetLink"/>
                  <w:rFonts w:ascii="Times New Roman;sans-serif" w:hAnsi="Times New Roman;sans-serif"/>
                  <w:b w:val="false"/>
                  <w:color w:val="0000FF"/>
                  <w:sz w:val="20"/>
                  <w:u w:val="single"/>
                </w:rPr>
                <w:t>Quantitative and Qualitative Disclosures About Market Risk</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81">
              <w:r>
                <w:rPr>
                  <w:rStyle w:val="InternetLink"/>
                  <w:rFonts w:ascii="Times New Roman;sans-serif" w:hAnsi="Times New Roman;sans-serif"/>
                  <w:b w:val="false"/>
                  <w:color w:val="0000FF"/>
                  <w:sz w:val="20"/>
                  <w:u w:val="single"/>
                </w:rPr>
                <w:t>31</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4">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4">
              <w:r>
                <w:rPr>
                  <w:rStyle w:val="InternetLink"/>
                  <w:rFonts w:ascii="Times New Roman;sans-serif" w:hAnsi="Times New Roman;sans-serif"/>
                  <w:b w:val="false"/>
                  <w:color w:val="0000FF"/>
                  <w:sz w:val="20"/>
                  <w:u w:val="single"/>
                </w:rPr>
                <w:t>Controls and Procedures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84">
              <w:r>
                <w:rPr>
                  <w:rStyle w:val="InternetLink"/>
                  <w:rFonts w:ascii="Times New Roman;sans-serif" w:hAnsi="Times New Roman;sans-serif"/>
                  <w:b w:val="false"/>
                  <w:color w:val="0000FF"/>
                  <w:sz w:val="20"/>
                  <w:u w:val="single"/>
                </w:rPr>
                <w:t>32</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7">
              <w:r>
                <w:rPr>
                  <w:rStyle w:val="InternetLink"/>
                  <w:rFonts w:ascii="Times New Roman;sans-serif" w:hAnsi="Times New Roman;sans-serif"/>
                  <w:b w:val="false"/>
                  <w:color w:val="0000FF"/>
                  <w:sz w:val="20"/>
                  <w:u w:val="single"/>
                </w:rPr>
                <w:t>PART II.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87">
              <w:r>
                <w:rPr>
                  <w:rStyle w:val="InternetLink"/>
                  <w:rFonts w:ascii="Times New Roman;sans-serif" w:hAnsi="Times New Roman;sans-serif"/>
                  <w:b w:val="false"/>
                  <w:color w:val="0000FF"/>
                  <w:sz w:val="20"/>
                  <w:u w:val="single"/>
                </w:rPr>
                <w:t>OTHER INFORMATION</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87">
              <w:r>
                <w:rPr>
                  <w:rStyle w:val="InternetLink"/>
                  <w:rFonts w:ascii="Times New Roman;sans-serif" w:hAnsi="Times New Roman;sans-serif"/>
                  <w:b w:val="false"/>
                  <w:color w:val="0000FF"/>
                  <w:sz w:val="20"/>
                  <w:u w:val="single"/>
                </w:rPr>
                <w:t>33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0">
              <w:r>
                <w:rPr>
                  <w:rStyle w:val="InternetLink"/>
                  <w:rFonts w:ascii="Times New Roman;sans-serif" w:hAnsi="Times New Roman;sans-serif"/>
                  <w:b w:val="false"/>
                  <w:color w:val="0000FF"/>
                  <w:sz w:val="20"/>
                  <w:u w:val="singl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0">
              <w:r>
                <w:rPr>
                  <w:rStyle w:val="InternetLink"/>
                  <w:rFonts w:ascii="Times New Roman;sans-serif" w:hAnsi="Times New Roman;sans-serif"/>
                  <w:b w:val="false"/>
                  <w:color w:val="0000FF"/>
                  <w:sz w:val="20"/>
                  <w:u w:val="single"/>
                </w:rPr>
                <w:t>Legal Proceedings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90">
              <w:r>
                <w:rPr>
                  <w:rStyle w:val="InternetLink"/>
                  <w:rFonts w:ascii="Times New Roman;sans-serif" w:hAnsi="Times New Roman;sans-serif"/>
                  <w:b w:val="false"/>
                  <w:color w:val="0000FF"/>
                  <w:sz w:val="20"/>
                  <w:u w:val="single"/>
                </w:rPr>
                <w:t>33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3">
              <w:r>
                <w:rPr>
                  <w:rStyle w:val="InternetLink"/>
                  <w:rFonts w:ascii="Times New Roman;sans-serif" w:hAnsi="Times New Roman;sans-serif"/>
                  <w:b w:val="false"/>
                  <w:color w:val="0000FF"/>
                  <w:sz w:val="20"/>
                  <w:u w:val="singl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3">
              <w:r>
                <w:rPr>
                  <w:rStyle w:val="InternetLink"/>
                  <w:rFonts w:ascii="Times New Roman;sans-serif" w:hAnsi="Times New Roman;sans-serif"/>
                  <w:b w:val="false"/>
                  <w:color w:val="0000FF"/>
                  <w:sz w:val="20"/>
                  <w:u w:val="single"/>
                </w:rPr>
                <w:t>Risk Factors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93">
              <w:r>
                <w:rPr>
                  <w:rStyle w:val="InternetLink"/>
                  <w:rFonts w:ascii="Times New Roman;sans-serif" w:hAnsi="Times New Roman;sans-serif"/>
                  <w:b w:val="false"/>
                  <w:color w:val="0000FF"/>
                  <w:sz w:val="20"/>
                  <w:u w:val="single"/>
                </w:rPr>
                <w:t>33</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6">
              <w:r>
                <w:rPr>
                  <w:rStyle w:val="InternetLink"/>
                  <w:rFonts w:ascii="Times New Roman;sans-serif" w:hAnsi="Times New Roman;sans-serif"/>
                  <w:b w:val="false"/>
                  <w:color w:val="0000FF"/>
                  <w:sz w:val="20"/>
                  <w:u w:val="singl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6">
              <w:r>
                <w:rPr>
                  <w:rStyle w:val="InternetLink"/>
                  <w:rFonts w:ascii="Times New Roman;sans-serif" w:hAnsi="Times New Roman;sans-serif"/>
                  <w:b w:val="false"/>
                  <w:color w:val="0000FF"/>
                  <w:sz w:val="20"/>
                  <w:u w:val="single"/>
                </w:rPr>
                <w:t>Unregistered Sales of Equity Securities and Use of Proceeds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96">
              <w:r>
                <w:rPr>
                  <w:rStyle w:val="InternetLink"/>
                  <w:rFonts w:ascii="Times New Roman;sans-serif" w:hAnsi="Times New Roman;sans-serif"/>
                  <w:b w:val="false"/>
                  <w:color w:val="0000FF"/>
                  <w:sz w:val="20"/>
                  <w:u w:val="single"/>
                </w:rPr>
                <w:t>34</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9">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199">
              <w:r>
                <w:rPr>
                  <w:rStyle w:val="InternetLink"/>
                  <w:rFonts w:ascii="Times New Roman;sans-serif" w:hAnsi="Times New Roman;sans-serif"/>
                  <w:b w:val="false"/>
                  <w:color w:val="0000FF"/>
                  <w:sz w:val="20"/>
                  <w:u w:val="single"/>
                </w:rPr>
                <w:t>Defaults Upon Senior Securities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199">
              <w:r>
                <w:rPr>
                  <w:rStyle w:val="InternetLink"/>
                  <w:rFonts w:ascii="Times New Roman;sans-serif" w:hAnsi="Times New Roman;sans-serif"/>
                  <w:b w:val="false"/>
                  <w:color w:val="0000FF"/>
                  <w:sz w:val="20"/>
                  <w:u w:val="single"/>
                </w:rPr>
                <w:t>34</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2">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2">
              <w:r>
                <w:rPr>
                  <w:rStyle w:val="InternetLink"/>
                  <w:rFonts w:ascii="Times New Roman;sans-serif" w:hAnsi="Times New Roman;sans-serif"/>
                  <w:b w:val="false"/>
                  <w:color w:val="0000FF"/>
                  <w:sz w:val="20"/>
                  <w:u w:val="single"/>
                </w:rPr>
                <w:t>Mine Safety Disclosures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02">
              <w:r>
                <w:rPr>
                  <w:rStyle w:val="InternetLink"/>
                  <w:rFonts w:ascii="Times New Roman;sans-serif" w:hAnsi="Times New Roman;sans-serif"/>
                  <w:b w:val="false"/>
                  <w:color w:val="0000FF"/>
                  <w:sz w:val="20"/>
                  <w:u w:val="single"/>
                </w:rPr>
                <w:t>34</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5">
              <w:r>
                <w:rPr>
                  <w:rStyle w:val="InternetLink"/>
                  <w:rFonts w:ascii="Times New Roman;sans-serif" w:hAnsi="Times New Roman;sans-serif"/>
                  <w:b w:val="false"/>
                  <w:color w:val="0000FF"/>
                  <w:sz w:val="20"/>
                  <w:u w:val="singl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5">
              <w:r>
                <w:rPr>
                  <w:rStyle w:val="InternetLink"/>
                  <w:rFonts w:ascii="Times New Roman;sans-serif" w:hAnsi="Times New Roman;sans-serif"/>
                  <w:b w:val="false"/>
                  <w:color w:val="0000FF"/>
                  <w:sz w:val="20"/>
                  <w:u w:val="single"/>
                </w:rPr>
                <w:t>Other Information</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05">
              <w:r>
                <w:rPr>
                  <w:rStyle w:val="InternetLink"/>
                  <w:rFonts w:ascii="Times New Roman;sans-serif" w:hAnsi="Times New Roman;sans-serif"/>
                  <w:b w:val="false"/>
                  <w:color w:val="0000FF"/>
                  <w:sz w:val="20"/>
                  <w:u w:val="single"/>
                </w:rPr>
                <w:t>34</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8">
              <w:r>
                <w:rPr>
                  <w:rStyle w:val="InternetLink"/>
                  <w:rFonts w:ascii="Times New Roman;sans-serif" w:hAnsi="Times New Roman;sans-serif"/>
                  <w:b w:val="false"/>
                  <w:color w:val="0000FF"/>
                  <w:sz w:val="20"/>
                  <w:u w:val="singl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08">
              <w:r>
                <w:rPr>
                  <w:rStyle w:val="InternetLink"/>
                  <w:rFonts w:ascii="Times New Roman;sans-serif" w:hAnsi="Times New Roman;sans-serif"/>
                  <w:b w:val="false"/>
                  <w:color w:val="0000FF"/>
                  <w:sz w:val="20"/>
                  <w:u w:val="single"/>
                </w:rPr>
                <w:t>Exhibits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08">
              <w:r>
                <w:rPr>
                  <w:rStyle w:val="InternetLink"/>
                  <w:rFonts w:ascii="Times New Roman;sans-serif" w:hAnsi="Times New Roman;sans-serif"/>
                  <w:b w:val="false"/>
                  <w:color w:val="0000FF"/>
                  <w:sz w:val="20"/>
                  <w:u w:val="single"/>
                </w:rPr>
                <w:t>35</w:t>
              </w:r>
            </w:hyperlink>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9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2bc1e6dfd2435b91c4ff05de847e56_211">
              <w:r>
                <w:rPr>
                  <w:rStyle w:val="InternetLink"/>
                  <w:rFonts w:ascii="Times New Roman;sans-serif" w:hAnsi="Times New Roman;sans-serif"/>
                  <w:b w:val="false"/>
                  <w:color w:val="0000FF"/>
                  <w:sz w:val="20"/>
                  <w:u w:val="single"/>
                </w:rPr>
                <w:t>SIGNATURES</w:t>
              </w:r>
            </w:hyperlink>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5f2bc1e6dfd2435b91c4ff05de847e56_211">
              <w:r>
                <w:rPr>
                  <w:rStyle w:val="InternetLink"/>
                  <w:rFonts w:ascii="Times New Roman;sans-serif" w:hAnsi="Times New Roman;sans-serif"/>
                  <w:b w:val="false"/>
                  <w:color w:val="0000FF"/>
                  <w:sz w:val="20"/>
                  <w:u w:val="single"/>
                </w:rPr>
                <w:t>36</w:t>
              </w:r>
            </w:hyperlink>
          </w:p>
        </w:tc>
      </w:tr>
    </w:tbl>
    <w:p>
      <w:pPr>
        <w:pStyle w:val="TextBody"/>
        <w:spacing w:before="0" w:after="60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lineRule="auto" w:line="288" w:before="0" w:after="0"/>
        <w:ind w:left="0" w:right="0" w:firstLine="72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AND NOTES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539" w:type="dxa"/>
        <w:jc w:val="center"/>
        <w:tblInd w:w="0" w:type="dxa"/>
        <w:tblCellMar>
          <w:top w:w="28" w:type="dxa"/>
          <w:left w:w="28" w:type="dxa"/>
          <w:bottom w:w="28" w:type="dxa"/>
          <w:right w:w="28" w:type="dxa"/>
        </w:tblCellMar>
      </w:tblPr>
      <w:tblGrid>
        <w:gridCol w:w="2840"/>
        <w:gridCol w:w="2287"/>
        <w:gridCol w:w="2203"/>
        <w:gridCol w:w="109"/>
        <w:gridCol w:w="109"/>
        <w:gridCol w:w="109"/>
        <w:gridCol w:w="215"/>
        <w:gridCol w:w="808"/>
        <w:gridCol w:w="119"/>
        <w:gridCol w:w="109"/>
        <w:gridCol w:w="109"/>
        <w:gridCol w:w="109"/>
        <w:gridCol w:w="236"/>
        <w:gridCol w:w="888"/>
        <w:gridCol w:w="131"/>
        <w:gridCol w:w="158"/>
      </w:tblGrid>
      <w:tr>
        <w:trPr/>
        <w:tc>
          <w:tcPr>
            <w:tcW w:w="2840"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&amp;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212,170 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292,785 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 Non-Convertible Perpetual Preferred Stock, $0.0001 par value; 150 shares authorized, 71 and 71 shares issued and outstanding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150,000 shares authorized, 93,547 and 90,853 issued and outstanding at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487,673 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488,848 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(387,546)</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(376,629)</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398,072 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p>
      <w:pPr>
        <w:pStyle w:val="TextBody"/>
        <w:spacing w:before="0" w:after="0"/>
        <w:jc w:val="center"/>
        <w:rPr/>
      </w:pPr>
      <w:r>
        <w:rPr/>
      </w:r>
    </w:p>
    <w:tbl>
      <w:tblPr>
        <w:tblW w:w="10454" w:type="dxa"/>
        <w:jc w:val="center"/>
        <w:tblInd w:w="0" w:type="dxa"/>
        <w:tblCellMar>
          <w:top w:w="28" w:type="dxa"/>
          <w:left w:w="28" w:type="dxa"/>
          <w:bottom w:w="28" w:type="dxa"/>
          <w:right w:w="28" w:type="dxa"/>
        </w:tblCellMar>
      </w:tblPr>
      <w:tblGrid>
        <w:gridCol w:w="2061"/>
        <w:gridCol w:w="1816"/>
        <w:gridCol w:w="1823"/>
        <w:gridCol w:w="109"/>
        <w:gridCol w:w="109"/>
        <w:gridCol w:w="109"/>
        <w:gridCol w:w="109"/>
        <w:gridCol w:w="109"/>
        <w:gridCol w:w="210"/>
        <w:gridCol w:w="210"/>
        <w:gridCol w:w="408"/>
        <w:gridCol w:w="1540"/>
        <w:gridCol w:w="210"/>
        <w:gridCol w:w="109"/>
        <w:gridCol w:w="109"/>
        <w:gridCol w:w="109"/>
        <w:gridCol w:w="211"/>
        <w:gridCol w:w="721"/>
        <w:gridCol w:w="109"/>
        <w:gridCol w:w="109"/>
        <w:gridCol w:w="154"/>
      </w:tblGrid>
      <w:tr>
        <w:trPr/>
        <w:tc>
          <w:tcPr>
            <w:tcW w:w="2061"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5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before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Synchronoss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86,501 </w:t>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spacing w:before="0" w:after="0"/>
        <w:ind w:left="0" w:right="0" w:hanging="360"/>
        <w:jc w:val="both"/>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spacing w:before="0" w:after="0"/>
        <w:jc w:val="center"/>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p>
      <w:pPr>
        <w:pStyle w:val="TextBody"/>
        <w:spacing w:before="0" w:after="0"/>
        <w:ind w:left="0" w:right="0" w:firstLine="720"/>
        <w:jc w:val="center"/>
        <w:rPr/>
      </w:pPr>
      <w:r>
        <w:rPr/>
      </w:r>
    </w:p>
    <w:tbl>
      <w:tblPr>
        <w:tblW w:w="10509" w:type="dxa"/>
        <w:jc w:val="center"/>
        <w:tblInd w:w="0" w:type="dxa"/>
        <w:tblCellMar>
          <w:top w:w="28" w:type="dxa"/>
          <w:left w:w="28" w:type="dxa"/>
          <w:bottom w:w="28" w:type="dxa"/>
          <w:right w:w="28" w:type="dxa"/>
        </w:tblCellMar>
      </w:tblPr>
      <w:tblGrid>
        <w:gridCol w:w="2421"/>
        <w:gridCol w:w="2115"/>
        <w:gridCol w:w="2154"/>
        <w:gridCol w:w="109"/>
        <w:gridCol w:w="109"/>
        <w:gridCol w:w="109"/>
        <w:gridCol w:w="221"/>
        <w:gridCol w:w="837"/>
        <w:gridCol w:w="114"/>
        <w:gridCol w:w="114"/>
        <w:gridCol w:w="114"/>
        <w:gridCol w:w="114"/>
        <w:gridCol w:w="221"/>
        <w:gridCol w:w="726"/>
        <w:gridCol w:w="114"/>
        <w:gridCol w:w="109"/>
        <w:gridCol w:w="109"/>
        <w:gridCol w:w="109"/>
        <w:gridCol w:w="109"/>
        <w:gridCol w:w="109"/>
        <w:gridCol w:w="109"/>
        <w:gridCol w:w="109"/>
        <w:gridCol w:w="154"/>
      </w:tblGrid>
      <w:tr>
        <w:trPr/>
        <w:tc>
          <w:tcPr>
            <w:tcW w:w="2421"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6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on inter-company foreign currency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Synchronoss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967"/>
        <w:gridCol w:w="576"/>
        <w:gridCol w:w="578"/>
        <w:gridCol w:w="323"/>
        <w:gridCol w:w="323"/>
        <w:gridCol w:w="171"/>
        <w:gridCol w:w="109"/>
        <w:gridCol w:w="109"/>
        <w:gridCol w:w="109"/>
        <w:gridCol w:w="207"/>
        <w:gridCol w:w="255"/>
        <w:gridCol w:w="115"/>
        <w:gridCol w:w="109"/>
        <w:gridCol w:w="109"/>
        <w:gridCol w:w="109"/>
        <w:gridCol w:w="109"/>
        <w:gridCol w:w="109"/>
        <w:gridCol w:w="109"/>
        <w:gridCol w:w="109"/>
        <w:gridCol w:w="224"/>
        <w:gridCol w:w="842"/>
        <w:gridCol w:w="124"/>
        <w:gridCol w:w="109"/>
        <w:gridCol w:w="109"/>
        <w:gridCol w:w="109"/>
        <w:gridCol w:w="283"/>
        <w:gridCol w:w="1040"/>
        <w:gridCol w:w="157"/>
        <w:gridCol w:w="109"/>
        <w:gridCol w:w="109"/>
        <w:gridCol w:w="109"/>
        <w:gridCol w:w="202"/>
        <w:gridCol w:w="790"/>
        <w:gridCol w:w="112"/>
        <w:gridCol w:w="109"/>
        <w:gridCol w:w="109"/>
        <w:gridCol w:w="109"/>
        <w:gridCol w:w="230"/>
        <w:gridCol w:w="759"/>
        <w:gridCol w:w="190"/>
      </w:tblGrid>
      <w:tr>
        <w:trPr/>
        <w:tc>
          <w:tcPr>
            <w:tcW w:w="967"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1"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2937" w:type="dxa"/>
            <w:gridSpan w:val="12"/>
            <w:tcBorders/>
            <w:shd w:fill="auto" w:val="clear"/>
          </w:tcPr>
          <w:p>
            <w:pPr>
              <w:pStyle w:val="TableContents"/>
              <w:spacing w:before="0" w:after="283"/>
              <w:rPr>
                <w:sz w:val="4"/>
                <w:szCs w:val="4"/>
              </w:rPr>
            </w:pPr>
            <w:r>
              <w:rPr>
                <w:sz w:val="4"/>
                <w:szCs w:val="4"/>
              </w:rPr>
            </w:r>
          </w:p>
        </w:tc>
      </w:tr>
      <w:tr>
        <w:trPr/>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6"/>
            <w:tcBorders/>
            <w:shd w:fill="auto" w:val="clear"/>
          </w:tcPr>
          <w:p>
            <w:pPr>
              <w:pStyle w:val="TableContents"/>
              <w:spacing w:before="0" w:after="283"/>
              <w:rPr>
                <w:sz w:val="4"/>
                <w:szCs w:val="4"/>
              </w:rPr>
            </w:pPr>
            <w:r>
              <w:rPr>
                <w:sz w:val="4"/>
                <w:szCs w:val="4"/>
              </w:rPr>
            </w:r>
          </w:p>
        </w:tc>
      </w:tr>
      <w:tr>
        <w:trPr/>
        <w:tc>
          <w:tcPr>
            <w:tcW w:w="2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2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68,097 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Synchronoss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(10,931)</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93,547 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(39,561)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(387,546)</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49"/>
        <w:gridCol w:w="498"/>
        <w:gridCol w:w="499"/>
        <w:gridCol w:w="323"/>
        <w:gridCol w:w="323"/>
        <w:gridCol w:w="171"/>
        <w:gridCol w:w="109"/>
        <w:gridCol w:w="109"/>
        <w:gridCol w:w="109"/>
        <w:gridCol w:w="211"/>
        <w:gridCol w:w="260"/>
        <w:gridCol w:w="117"/>
        <w:gridCol w:w="109"/>
        <w:gridCol w:w="109"/>
        <w:gridCol w:w="109"/>
        <w:gridCol w:w="109"/>
        <w:gridCol w:w="109"/>
        <w:gridCol w:w="109"/>
        <w:gridCol w:w="109"/>
        <w:gridCol w:w="233"/>
        <w:gridCol w:w="876"/>
        <w:gridCol w:w="129"/>
        <w:gridCol w:w="109"/>
        <w:gridCol w:w="109"/>
        <w:gridCol w:w="109"/>
        <w:gridCol w:w="311"/>
        <w:gridCol w:w="1142"/>
        <w:gridCol w:w="173"/>
        <w:gridCol w:w="109"/>
        <w:gridCol w:w="109"/>
        <w:gridCol w:w="109"/>
        <w:gridCol w:w="204"/>
        <w:gridCol w:w="803"/>
        <w:gridCol w:w="113"/>
        <w:gridCol w:w="109"/>
        <w:gridCol w:w="109"/>
        <w:gridCol w:w="109"/>
        <w:gridCol w:w="241"/>
        <w:gridCol w:w="795"/>
        <w:gridCol w:w="197"/>
      </w:tblGrid>
      <w:tr>
        <w:trPr/>
        <w:tc>
          <w:tcPr>
            <w:tcW w:w="84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6"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007" w:type="dxa"/>
            <w:gridSpan w:val="12"/>
            <w:tcBorders/>
            <w:shd w:fill="auto" w:val="clea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6"/>
            <w:tcBorders/>
            <w:shd w:fill="auto" w:val="clea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492,512 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(368,713)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90,823 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Synchronoss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(3,141)</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88,244 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491,966 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(36,126)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(371,865)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83,984 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spacing w:before="0" w:after="0"/>
        <w:jc w:val="center"/>
        <w:rPr/>
      </w:pPr>
      <w:r>
        <w:rPr/>
      </w:r>
    </w:p>
    <w:tbl>
      <w:tblPr>
        <w:tblW w:w="9062" w:type="dxa"/>
        <w:jc w:val="center"/>
        <w:tblInd w:w="0" w:type="dxa"/>
        <w:tblCellMar>
          <w:top w:w="28" w:type="dxa"/>
          <w:left w:w="28" w:type="dxa"/>
          <w:bottom w:w="28" w:type="dxa"/>
          <w:right w:w="28" w:type="dxa"/>
        </w:tblCellMar>
      </w:tblPr>
      <w:tblGrid>
        <w:gridCol w:w="2133"/>
        <w:gridCol w:w="1877"/>
        <w:gridCol w:w="1884"/>
        <w:gridCol w:w="109"/>
        <w:gridCol w:w="109"/>
        <w:gridCol w:w="109"/>
        <w:gridCol w:w="219"/>
        <w:gridCol w:w="807"/>
        <w:gridCol w:w="122"/>
        <w:gridCol w:w="122"/>
        <w:gridCol w:w="122"/>
        <w:gridCol w:w="122"/>
        <w:gridCol w:w="219"/>
        <w:gridCol w:w="723"/>
        <w:gridCol w:w="122"/>
        <w:gridCol w:w="109"/>
        <w:gridCol w:w="154"/>
      </w:tblGrid>
      <w:tr>
        <w:trPr/>
        <w:tc>
          <w:tcPr>
            <w:tcW w:w="2133"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disposals of fixed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bond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impairment,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capitalized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on withholding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 Preferred dividend paid in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8"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center"/>
        <w:rPr>
          <w:color w:val="000000"/>
        </w:rPr>
      </w:pPr>
      <w:r>
        <w:rPr>
          <w:color w:val="000000"/>
        </w:rPr>
        <w:t> </w:t>
      </w:r>
    </w:p>
    <w:p>
      <w:pPr>
        <w:pStyle w:val="TextBody"/>
        <w:spacing w:lineRule="auto" w:line="288" w:before="0" w:after="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 Technologies, Inc. (“Synchronoss” or the “Company”) is a leading provider of white label cloud, messaging, digital and network management solutions that enable our customers to keep subscribers, systems, networks and content in sync.</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 Our Synchronoss Personal CloudTM platform is specifically designed to support smartphones, tablets, desktops computers, laptops, wearables for health and wellness, cameras, TVs, security cameras, routers, as well as connected automobiles and homes.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 Messaging platform powers mobile messaging and mailboxes for hundreds of millions of telecommunication subscribers. Our Advanced Messaging platform is a powerful, secure,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Synchronoss NetworkX (formerly Digital) products provide operators with the tools and software to design their physical network, streamline their infrastructure purchases, and manage and optimize comprehensive network expenses for leading top tier carriers around the globe.</w:t>
      </w:r>
    </w:p>
    <w:p>
      <w:pPr>
        <w:pStyle w:val="TextBody"/>
        <w:spacing w:before="0" w:after="0"/>
        <w:rPr/>
      </w:pPr>
      <w:r>
        <w:rPr/>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2</w:t>
      </w:r>
      <w:r>
        <w:rPr>
          <w:rFonts w:ascii="Times New Roman;sans-serif" w:hAnsi="Times New Roman;sans-serif"/>
          <w:b/>
          <w:i/>
          <w:color w:val="000000"/>
          <w:sz w:val="20"/>
        </w:rPr>
        <w:t>.</w:t>
      </w:r>
      <w:r>
        <w:rPr>
          <w:color w:val="000000"/>
        </w:rPr>
        <w:t> </w:t>
      </w:r>
      <w:r>
        <w:rPr>
          <w:rFonts w:ascii="Times New Roman;sans-serif" w:hAnsi="Times New Roman;sans-serif"/>
          <w:b/>
          <w:color w:val="000000"/>
          <w:sz w:val="20"/>
        </w:rPr>
        <w:t xml:space="preserve">Basis of Presentation and Consolidation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2022. The results of operations for the three months ended March 31, 2023 are not necessarily indicative of the results to be expected for the year ending December 31, 2023.</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2022.</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 accounting pronouncements adopted</w:t>
      </w:r>
    </w:p>
    <w:tbl>
      <w:tblPr>
        <w:tblW w:w="10539" w:type="dxa"/>
        <w:jc w:val="center"/>
        <w:tblInd w:w="0" w:type="dxa"/>
        <w:tblCellMar>
          <w:top w:w="28" w:type="dxa"/>
          <w:left w:w="28" w:type="dxa"/>
          <w:bottom w:w="28" w:type="dxa"/>
          <w:right w:w="28" w:type="dxa"/>
        </w:tblCellMar>
      </w:tblPr>
      <w:tblGrid>
        <w:gridCol w:w="584"/>
        <w:gridCol w:w="515"/>
        <w:gridCol w:w="518"/>
        <w:gridCol w:w="109"/>
        <w:gridCol w:w="109"/>
        <w:gridCol w:w="109"/>
        <w:gridCol w:w="1914"/>
        <w:gridCol w:w="1914"/>
        <w:gridCol w:w="1935"/>
        <w:gridCol w:w="109"/>
        <w:gridCol w:w="109"/>
        <w:gridCol w:w="109"/>
        <w:gridCol w:w="750"/>
        <w:gridCol w:w="723"/>
        <w:gridCol w:w="1032"/>
      </w:tblGrid>
      <w:tr>
        <w:trPr/>
        <w:tc>
          <w:tcPr>
            <w:tcW w:w="58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4" w:type="dxa"/>
            <w:tcBorders/>
            <w:shd w:fill="auto" w:val="clear"/>
            <w:vAlign w:val="center"/>
          </w:tcPr>
          <w:p>
            <w:pPr>
              <w:pStyle w:val="TableContents"/>
              <w:spacing w:before="0" w:after="283"/>
              <w:rPr>
                <w:sz w:val="4"/>
                <w:szCs w:val="4"/>
              </w:rPr>
            </w:pPr>
            <w:r>
              <w:rPr>
                <w:sz w:val="4"/>
                <w:szCs w:val="4"/>
              </w:rPr>
            </w:r>
          </w:p>
        </w:tc>
        <w:tc>
          <w:tcPr>
            <w:tcW w:w="1914"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r>
      <w:tr>
        <w:trPr/>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on the financial statements</w:t>
            </w:r>
          </w:p>
        </w:tc>
      </w:tr>
      <w:tr>
        <w:trPr/>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Update 2022-04 - Liabilities—Supplier Finance Programs</w:t>
              <w:br/>
              <w:t>(Subtopic 405-50). Disclosure of Supplier Finance Program Obligations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amendments in this Update apply to all entities that use supplier finance programs in connection with the purchase of goods and services (herein described as buyer parties). Supplier finance programs, which also may be referred to as reverse factoring, payables finance, or structured payables arrangements, allow a buyer to offer its suppliers the option for access to payment in advance of an invoice due date, which is paid by a third-party finance provider or intermediary on the basis of invoices that the buyer has confirmed as valid. </w:t>
              <w:br/>
              <w:t>The amendments in this Update require that a buyer in a supplier finance program disclose sufficient information about the program to allow a user of financial statements to understand the program’s nature, activity during the period, changes from period to period, and potential magnitude. To achieve that objective, the buyer should disclose qualitative and quantitative information about its supplier finance programs.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evaluated these changes and determined that they have no material impact on the Company’s consolidated financial position or results of operations upon adoption.</w:t>
            </w:r>
          </w:p>
        </w:tc>
      </w:tr>
      <w:tr>
        <w:trPr/>
        <w:tc>
          <w:tcPr>
            <w:tcW w:w="16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of adoption: January 1, 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76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5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Digital Experience Platform and Activation Solutions Sale</w:t>
      </w:r>
    </w:p>
    <w:p>
      <w:pPr>
        <w:pStyle w:val="TextBody"/>
        <w:spacing w:before="0" w:after="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was recorded into other current assets. This consideration is not contingent on any further actions.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earn-out provision was $3.6 million of which $3.0 million was recorded as an other current asset and the remaining portion was recorded as non-current other asset. In the fourth quarter of fiscal 2022, iQmetrix and the Company agreed that the required performance conditions were not met. This resulted in a write-off of the asset recorded within the Selling, general and administrative expenses line item on the income statement.</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year ended December 31, 2022. </w:t>
      </w:r>
    </w:p>
    <w:p>
      <w:pPr>
        <w:pStyle w:val="TextBody"/>
        <w:spacing w:before="0" w:after="0"/>
        <w:ind w:left="0" w:right="0" w:firstLine="36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 Securitization Facility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2022 (the “Closing Date”), the Company and certain of its subsidiaries (together with the Company, the “Company Group”) entered into a $15 million accounts receivable securitization facility (the “A/R Facility”) with Norddeutsche Landesbank Girozentrale.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color w:val="000000"/>
        </w:rPr>
      </w:pPr>
      <w:r>
        <w:rPr>
          <w:color w:val="000000"/>
        </w:rPr>
        <w:t>“</w:t>
      </w:r>
      <w:r>
        <w:rPr>
          <w:rFonts w:ascii="Times New Roman;sans-serif" w:hAnsi="Times New Roman;sans-serif"/>
          <w:b w:val="false"/>
          <w:color w:val="000000"/>
          <w:sz w:val="20"/>
        </w:rPr>
        <w:t>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 pays a commitment fee that shall equal 0.85% per annum on the average daily unused outstanding capital. Pursuant to the Performance Guaranty, the Company guarantees the performance of the Originators of their obligations under the Purchase and Sale Agreements.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earlier terminated or subsequently extended pursuant to the terms of the Receivables Purchase Agreement, the A/R Facility will expire on June 23, 2025.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drawn on the A/R Facility as of March 31, 2023.</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3. Revenue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pStyle w:val="TextBody"/>
        <w:spacing w:before="0" w:after="0"/>
        <w:ind w:left="0" w:right="0" w:firstLine="360"/>
        <w:jc w:val="both"/>
        <w:rPr/>
      </w:pPr>
      <w:r>
        <w:rPr/>
      </w:r>
    </w:p>
    <w:tbl>
      <w:tblPr>
        <w:tblW w:w="10783" w:type="dxa"/>
        <w:jc w:val="left"/>
        <w:tblInd w:w="0" w:type="dxa"/>
        <w:tblCellMar>
          <w:top w:w="28" w:type="dxa"/>
          <w:left w:w="28" w:type="dxa"/>
          <w:bottom w:w="28" w:type="dxa"/>
          <w:right w:w="28" w:type="dxa"/>
        </w:tblCellMar>
      </w:tblPr>
      <w:tblGrid>
        <w:gridCol w:w="398"/>
        <w:gridCol w:w="311"/>
        <w:gridCol w:w="312"/>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39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Cloud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NetworkX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Messaging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Cloud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NetworkX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Messaging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Total</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Geography:</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APAC</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Service Line:</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Services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 Services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Trade Accounts Receivable and Contract balances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March 31, 2023 is</w:t>
      </w:r>
      <w:r>
        <w:rPr>
          <w:color w:val="000000"/>
          <w:highlight w:val="white"/>
        </w:rPr>
        <w:t xml:space="preserve"> </w:t>
      </w:r>
      <w:r>
        <w:rPr>
          <w:rFonts w:ascii="Times New Roman;sans-serif" w:hAnsi="Times New Roman;sans-serif"/>
          <w:b w:val="false"/>
          <w:color w:val="000000"/>
          <w:sz w:val="20"/>
          <w:highlight w:val="white"/>
        </w:rPr>
        <w:t xml:space="preserve">$13.8 million.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and liabilities are reported in a net position on a customer basis at the end of each reporting period.</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changes in the contract liabilities balance (current and non-current) during the period are as follows: </w:t>
      </w:r>
    </w:p>
    <w:tbl>
      <w:tblPr>
        <w:tblW w:w="5853" w:type="dxa"/>
        <w:jc w:val="left"/>
        <w:tblInd w:w="0" w:type="dxa"/>
        <w:tblCellMar>
          <w:top w:w="28" w:type="dxa"/>
          <w:left w:w="28" w:type="dxa"/>
          <w:bottom w:w="28" w:type="dxa"/>
          <w:right w:w="28" w:type="dxa"/>
        </w:tblCellMar>
      </w:tblPr>
      <w:tblGrid>
        <w:gridCol w:w="1397"/>
        <w:gridCol w:w="1224"/>
        <w:gridCol w:w="1234"/>
        <w:gridCol w:w="109"/>
        <w:gridCol w:w="365"/>
        <w:gridCol w:w="1254"/>
        <w:gridCol w:w="270"/>
      </w:tblGrid>
      <w:tr>
        <w:trPr/>
        <w:tc>
          <w:tcPr>
            <w:tcW w:w="1397"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Contract Liabilities</w:t>
            </w:r>
            <w:r>
              <w:rPr>
                <w:rFonts w:ascii="Times New Roman;sans-serif" w:hAnsi="Times New Roman;sans-serif"/>
                <w:b/>
                <w:color w:val="000000"/>
                <w:sz w:val="13"/>
              </w:rPr>
              <w:t>1</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1, 2023</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w:t>
            </w:r>
          </w:p>
        </w:tc>
        <w:tc>
          <w:tcPr>
            <w:tcW w:w="109"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(57,628)</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billed but not recognized as revenue</w:t>
            </w:r>
          </w:p>
        </w:tc>
        <w:tc>
          <w:tcPr>
            <w:tcW w:w="109" w:type="dxa"/>
            <w:tcBorders/>
            <w:shd w:fill="auto" w:val="clear"/>
            <w:vAlign w:val="center"/>
          </w:tcPr>
          <w:p>
            <w:pPr>
              <w:pStyle w:val="TableContents"/>
              <w:spacing w:before="0" w:after="283"/>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59,105 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2023</w:t>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Comprised of Deferred Revenue. </w:t>
      </w:r>
      <w:r>
        <w:rPr>
          <w:rFonts w:ascii="Times New Roman;sans-serif" w:hAnsi="Times New Roman;sans-serif"/>
          <w:b w:val="false"/>
          <w:color w:val="000000"/>
          <w:sz w:val="18"/>
          <w:highlight w:val="white"/>
        </w:rPr>
        <w:t>$10.8 million</w:t>
      </w:r>
      <w:r>
        <w:rPr>
          <w:color w:val="000000"/>
        </w:rPr>
        <w:t xml:space="preserve"> </w:t>
      </w:r>
      <w:r>
        <w:rPr>
          <w:rFonts w:ascii="Times New Roman;sans-serif" w:hAnsi="Times New Roman;sans-serif"/>
          <w:b w:val="false"/>
          <w:color w:val="000000"/>
          <w:sz w:val="18"/>
        </w:rPr>
        <w:t>of revenue recognized in the period was included in the contract liability balance at the beginning of the period.</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the remaining performance obligations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Topic 606 requires that the Company disclose the aggregate amount of transaction price that is allocated to performance obligations that have not yet been satisfied as of March 31, 2023. The Company has elected not to disclose transaction price allocated to remaining performance obligations for:</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1.Contracts with an original duration of one year or less, including contracts that can be terminated for convenience without a substantive penalty;</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2.Contracts for which the Company recognizes revenues based on the right to invoice for services performed;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future transactions, above any contractual minimums</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consideration for success-based transactions contingent on third party data</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credits for failure to meet future service level requirements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aggregate amount of transaction price allocated to remaining performance obligations, other than those meeting the exclusion criteria above, was $104.5 million, of which approximately 95.0 percent is expected to be recognized as revenues within 2 years, and the remainder thereafter. </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Level 1 - Observable inputs - quoted prices in active markets for identical assets and liabilities;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 includes amounts derived from valuation models where one or more significant inputs are unobservable and require the Company to develop relevant assumptions.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assets, liabilities and redeemable noncontrolling interests and their related classifications under the fair value hierarchy: </w:t>
      </w:r>
    </w:p>
    <w:tbl>
      <w:tblPr>
        <w:tblW w:w="8197" w:type="dxa"/>
        <w:jc w:val="left"/>
        <w:tblInd w:w="0" w:type="dxa"/>
        <w:tblCellMar>
          <w:top w:w="28" w:type="dxa"/>
          <w:left w:w="28" w:type="dxa"/>
          <w:bottom w:w="28" w:type="dxa"/>
          <w:right w:w="28" w:type="dxa"/>
        </w:tblCellMar>
      </w:tblPr>
      <w:tblGrid>
        <w:gridCol w:w="1154"/>
        <w:gridCol w:w="1016"/>
        <w:gridCol w:w="1024"/>
        <w:gridCol w:w="211"/>
        <w:gridCol w:w="721"/>
        <w:gridCol w:w="109"/>
        <w:gridCol w:w="109"/>
        <w:gridCol w:w="109"/>
        <w:gridCol w:w="109"/>
        <w:gridCol w:w="211"/>
        <w:gridCol w:w="721"/>
        <w:gridCol w:w="109"/>
        <w:gridCol w:w="109"/>
        <w:gridCol w:w="109"/>
        <w:gridCol w:w="109"/>
        <w:gridCol w:w="248"/>
        <w:gridCol w:w="478"/>
        <w:gridCol w:w="128"/>
        <w:gridCol w:w="109"/>
        <w:gridCol w:w="109"/>
        <w:gridCol w:w="109"/>
        <w:gridCol w:w="211"/>
        <w:gridCol w:w="721"/>
        <w:gridCol w:w="154"/>
      </w:tblGrid>
      <w:tr>
        <w:trPr/>
        <w:tc>
          <w:tcPr>
            <w:tcW w:w="115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Temporary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Redeemable noncontrolling interests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temporary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97" w:type="dxa"/>
        <w:jc w:val="center"/>
        <w:tblInd w:w="0" w:type="dxa"/>
        <w:tblCellMar>
          <w:top w:w="28" w:type="dxa"/>
          <w:left w:w="28" w:type="dxa"/>
          <w:bottom w:w="28" w:type="dxa"/>
          <w:right w:w="28" w:type="dxa"/>
        </w:tblCellMar>
      </w:tblPr>
      <w:tblGrid>
        <w:gridCol w:w="1154"/>
        <w:gridCol w:w="1016"/>
        <w:gridCol w:w="1024"/>
        <w:gridCol w:w="211"/>
        <w:gridCol w:w="721"/>
        <w:gridCol w:w="109"/>
        <w:gridCol w:w="109"/>
        <w:gridCol w:w="109"/>
        <w:gridCol w:w="109"/>
        <w:gridCol w:w="211"/>
        <w:gridCol w:w="721"/>
        <w:gridCol w:w="109"/>
        <w:gridCol w:w="109"/>
        <w:gridCol w:w="109"/>
        <w:gridCol w:w="109"/>
        <w:gridCol w:w="248"/>
        <w:gridCol w:w="478"/>
        <w:gridCol w:w="128"/>
        <w:gridCol w:w="109"/>
        <w:gridCol w:w="109"/>
        <w:gridCol w:w="109"/>
        <w:gridCol w:w="211"/>
        <w:gridCol w:w="721"/>
        <w:gridCol w:w="154"/>
      </w:tblGrid>
      <w:tr>
        <w:trPr/>
        <w:tc>
          <w:tcPr>
            <w:tcW w:w="115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Temporary Equity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Redeemable noncontrolling interests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temporary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Put arrangements held by the noncontrolling interests in certain of the Company’s joint venture.</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certain sublease arrangements, primarily related to the Company’s real estate leases, where it acts as the lessee and intermediate lessor.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reflects finance leases as a component of Leases, non-current on the Condensed Consolidated Balance Sheet. The finance leases were not material for the period ended March 31, 2023.</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Right of Use (ROU) assets and lease liabilities:</w:t>
      </w:r>
    </w:p>
    <w:p>
      <w:pPr>
        <w:pStyle w:val="TextBody"/>
        <w:spacing w:before="0" w:after="0"/>
        <w:ind w:left="0" w:right="0" w:firstLine="360"/>
        <w:jc w:val="both"/>
        <w:rPr/>
      </w:pPr>
      <w:r>
        <w:rPr/>
      </w:r>
    </w:p>
    <w:tbl>
      <w:tblPr>
        <w:tblW w:w="6863" w:type="dxa"/>
        <w:jc w:val="left"/>
        <w:tblInd w:w="0" w:type="dxa"/>
        <w:tblCellMar>
          <w:top w:w="28" w:type="dxa"/>
          <w:left w:w="28" w:type="dxa"/>
          <w:bottom w:w="28" w:type="dxa"/>
          <w:right w:w="28" w:type="dxa"/>
        </w:tblCellMar>
      </w:tblPr>
      <w:tblGrid>
        <w:gridCol w:w="1203"/>
        <w:gridCol w:w="1054"/>
        <w:gridCol w:w="1072"/>
        <w:gridCol w:w="109"/>
        <w:gridCol w:w="109"/>
        <w:gridCol w:w="109"/>
        <w:gridCol w:w="261"/>
        <w:gridCol w:w="894"/>
        <w:gridCol w:w="135"/>
        <w:gridCol w:w="109"/>
        <w:gridCol w:w="109"/>
        <w:gridCol w:w="109"/>
        <w:gridCol w:w="309"/>
        <w:gridCol w:w="1056"/>
        <w:gridCol w:w="225"/>
      </w:tblGrid>
      <w:tr>
        <w:trPr/>
        <w:tc>
          <w:tcPr>
            <w:tcW w:w="1203"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ROU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operating lease liabilities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Amounts are included in Accrued Expenses on the Condensed Consolidated Balance Sheet.</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lease expense and sublease income:</w:t>
      </w:r>
    </w:p>
    <w:tbl>
      <w:tblPr>
        <w:tblW w:w="5899" w:type="dxa"/>
        <w:jc w:val="left"/>
        <w:tblInd w:w="0" w:type="dxa"/>
        <w:tblCellMar>
          <w:top w:w="28" w:type="dxa"/>
          <w:left w:w="28" w:type="dxa"/>
          <w:bottom w:w="28" w:type="dxa"/>
          <w:right w:w="28" w:type="dxa"/>
        </w:tblCellMar>
      </w:tblPr>
      <w:tblGrid>
        <w:gridCol w:w="1031"/>
        <w:gridCol w:w="906"/>
        <w:gridCol w:w="913"/>
        <w:gridCol w:w="267"/>
        <w:gridCol w:w="781"/>
        <w:gridCol w:w="138"/>
        <w:gridCol w:w="138"/>
        <w:gridCol w:w="138"/>
        <w:gridCol w:w="138"/>
        <w:gridCol w:w="267"/>
        <w:gridCol w:w="781"/>
        <w:gridCol w:w="138"/>
        <w:gridCol w:w="109"/>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and income:</w:t>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Variable lease costs</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impairments, net</w:t>
            </w:r>
            <w:r>
              <w:rPr>
                <w:rFonts w:ascii="Times New Roman;sans-serif" w:hAnsi="Times New Roman;sans-serif"/>
                <w:b w:val="false"/>
                <w:color w:val="000000"/>
                <w:sz w:val="13"/>
              </w:rPr>
              <w:t>1</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Sublease income</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lease cost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 xml:space="preserve">Amounts are included in Cost of revenues, Selling, general and administrative and/or Research and development based on the function that the underlying leased asset supports which are reflected in the Condensed Consolidated Statements of </w:t>
      </w:r>
      <w:r>
        <w:rPr>
          <w:rFonts w:ascii="Times New Roman;sans-serif" w:hAnsi="Times New Roman;sans-serif"/>
          <w:b w:val="false"/>
          <w:color w:val="000000"/>
          <w:sz w:val="18"/>
          <w:highlight w:val="white"/>
        </w:rPr>
        <w:t>Operations.</w:t>
      </w:r>
    </w:p>
    <w:p>
      <w:pPr>
        <w:pStyle w:val="TextBody"/>
        <w:spacing w:before="0" w:after="0"/>
        <w:ind w:left="0" w:right="0" w:hanging="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undiscounted amount of future cash flows included in our lease liabilities at March 31, 2023 for each of the five years subsequent to December 31, 2022 and thereafter, as well as a reconciliation of such undiscounted cash flows to our lease liabilities at March 31, 2023:</w:t>
      </w:r>
    </w:p>
    <w:tbl>
      <w:tblPr>
        <w:tblW w:w="6295" w:type="dxa"/>
        <w:jc w:val="left"/>
        <w:tblInd w:w="0" w:type="dxa"/>
        <w:tblCellMar>
          <w:top w:w="28" w:type="dxa"/>
          <w:left w:w="28" w:type="dxa"/>
          <w:bottom w:w="28" w:type="dxa"/>
          <w:right w:w="28" w:type="dxa"/>
        </w:tblCellMar>
      </w:tblPr>
      <w:tblGrid>
        <w:gridCol w:w="1611"/>
        <w:gridCol w:w="1422"/>
        <w:gridCol w:w="1451"/>
        <w:gridCol w:w="109"/>
        <w:gridCol w:w="109"/>
        <w:gridCol w:w="109"/>
        <w:gridCol w:w="288"/>
        <w:gridCol w:w="986"/>
        <w:gridCol w:w="210"/>
      </w:tblGrid>
      <w:tr>
        <w:trPr/>
        <w:tc>
          <w:tcPr>
            <w:tcW w:w="1611"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remaining lease term and weighted-average discount rates for our leases:</w:t>
      </w:r>
    </w:p>
    <w:p>
      <w:pPr>
        <w:pStyle w:val="TextBody"/>
        <w:spacing w:before="0" w:after="0"/>
        <w:ind w:left="0" w:right="0" w:firstLine="360"/>
        <w:jc w:val="both"/>
        <w:rPr/>
      </w:pPr>
      <w:r>
        <w:rPr/>
      </w:r>
    </w:p>
    <w:tbl>
      <w:tblPr>
        <w:tblW w:w="10539" w:type="dxa"/>
        <w:jc w:val="center"/>
        <w:tblInd w:w="0" w:type="dxa"/>
        <w:tblCellMar>
          <w:top w:w="28" w:type="dxa"/>
          <w:left w:w="28" w:type="dxa"/>
          <w:bottom w:w="28" w:type="dxa"/>
          <w:right w:w="28" w:type="dxa"/>
        </w:tblCellMar>
      </w:tblPr>
      <w:tblGrid>
        <w:gridCol w:w="2734"/>
        <w:gridCol w:w="2400"/>
        <w:gridCol w:w="2423"/>
        <w:gridCol w:w="391"/>
        <w:gridCol w:w="391"/>
        <w:gridCol w:w="393"/>
        <w:gridCol w:w="109"/>
        <w:gridCol w:w="109"/>
        <w:gridCol w:w="109"/>
        <w:gridCol w:w="431"/>
        <w:gridCol w:w="431"/>
        <w:gridCol w:w="618"/>
      </w:tblGrid>
      <w:tr>
        <w:trPr/>
        <w:tc>
          <w:tcPr>
            <w:tcW w:w="2734"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2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7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5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weighted based on lease liability balances</w:t>
            </w:r>
          </w:p>
        </w:tc>
        <w:tc>
          <w:tcPr>
            <w:tcW w:w="11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r>
      <w:tr>
        <w:trPr/>
        <w:tc>
          <w:tcPr>
            <w:tcW w:w="75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(percentages), weighted based on the remaining balance of lease payments</w:t>
            </w:r>
          </w:p>
        </w:tc>
        <w:tc>
          <w:tcPr>
            <w:tcW w:w="11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cash flow and supplemental noncash information related to our lease liabilities:</w:t>
      </w:r>
    </w:p>
    <w:p>
      <w:pPr>
        <w:pStyle w:val="TextBody"/>
        <w:spacing w:before="0" w:after="0"/>
        <w:ind w:left="0" w:right="0" w:firstLine="360"/>
        <w:jc w:val="both"/>
        <w:rPr/>
      </w:pPr>
      <w:r>
        <w:rPr/>
      </w:r>
    </w:p>
    <w:tbl>
      <w:tblPr>
        <w:tblW w:w="8634" w:type="dxa"/>
        <w:jc w:val="center"/>
        <w:tblInd w:w="0" w:type="dxa"/>
        <w:tblCellMar>
          <w:top w:w="28" w:type="dxa"/>
          <w:left w:w="28" w:type="dxa"/>
          <w:bottom w:w="28" w:type="dxa"/>
          <w:right w:w="28" w:type="dxa"/>
        </w:tblCellMar>
      </w:tblPr>
      <w:tblGrid>
        <w:gridCol w:w="2101"/>
        <w:gridCol w:w="1846"/>
        <w:gridCol w:w="1857"/>
        <w:gridCol w:w="266"/>
        <w:gridCol w:w="778"/>
        <w:gridCol w:w="137"/>
        <w:gridCol w:w="137"/>
        <w:gridCol w:w="137"/>
        <w:gridCol w:w="137"/>
        <w:gridCol w:w="266"/>
        <w:gridCol w:w="778"/>
        <w:gridCol w:w="194"/>
      </w:tblGrid>
      <w:tr>
        <w:trPr/>
        <w:tc>
          <w:tcPr>
            <w:tcW w:w="2101"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Loan Receivable </w:t>
      </w:r>
    </w:p>
    <w:p>
      <w:pPr>
        <w:pStyle w:val="TextBody"/>
        <w:spacing w:before="0" w:after="0"/>
        <w:ind w:left="0" w:right="0" w:firstLine="1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Sequential Technology International, LLC</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highlight w:val="white"/>
        </w:rPr>
        <w:t xml:space="preserve">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the maturity date is April 27, 2025. As of </w:t>
      </w:r>
      <w:r>
        <w:rPr>
          <w:rFonts w:ascii="Times New Roman;sans-serif" w:hAnsi="Times New Roman;sans-serif"/>
          <w:b w:val="false"/>
          <w:color w:val="000000"/>
          <w:sz w:val="20"/>
        </w:rPr>
        <w:t>March 31, 2023 and December 31, 2022, th</w:t>
      </w:r>
      <w:r>
        <w:rPr>
          <w:rFonts w:ascii="Times New Roman;sans-serif" w:hAnsi="Times New Roman;sans-serif"/>
          <w:b w:val="false"/>
          <w:color w:val="000000"/>
          <w:sz w:val="20"/>
          <w:highlight w:val="white"/>
        </w:rPr>
        <w:t xml:space="preserve">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agreement, STIN has made the required payments to the Company as of March 31, 2023.</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7. Debt </w:t>
      </w:r>
    </w:p>
    <w:p>
      <w:pPr>
        <w:pStyle w:val="TextBody"/>
        <w:spacing w:before="0" w:after="0"/>
        <w:ind w:left="0" w:right="0" w:firstLine="18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Offering of Senior Notes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redeemed any of the Senior Notes as of March 31, 2023.</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highlight w:val="white"/>
        </w:rPr>
        <w:t xml:space="preserve">During the fourth quarter of 2021, the Company sold an additional $16.1 million aggregate principal amount of Senior Notes pursuant to the Sales Agreement. </w:t>
      </w:r>
      <w:r>
        <w:rPr>
          <w:rFonts w:ascii="Times New Roman;sans-serif" w:hAnsi="Times New Roman;sans-serif"/>
          <w:b w:val="false"/>
          <w:color w:val="000000"/>
          <w:sz w:val="20"/>
        </w:rPr>
        <w:t xml:space="preserve">The additional Senior Notes sold have terms identical to the initial Senior Notes and are fungible and vote together with, the initial Senior Notes. The Senior Notes are listed and trade on The Nasdaq Global Market under the symbol “SNCRL.”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borrowings were as follows:</w:t>
      </w:r>
    </w:p>
    <w:tbl>
      <w:tblPr>
        <w:tblW w:w="7386" w:type="dxa"/>
        <w:jc w:val="left"/>
        <w:tblInd w:w="0" w:type="dxa"/>
        <w:tblCellMar>
          <w:top w:w="28" w:type="dxa"/>
          <w:left w:w="28" w:type="dxa"/>
          <w:bottom w:w="28" w:type="dxa"/>
          <w:right w:w="28" w:type="dxa"/>
        </w:tblCellMar>
      </w:tblPr>
      <w:tblGrid>
        <w:gridCol w:w="1396"/>
        <w:gridCol w:w="1227"/>
        <w:gridCol w:w="1231"/>
        <w:gridCol w:w="109"/>
        <w:gridCol w:w="109"/>
        <w:gridCol w:w="109"/>
        <w:gridCol w:w="237"/>
        <w:gridCol w:w="930"/>
        <w:gridCol w:w="122"/>
        <w:gridCol w:w="109"/>
        <w:gridCol w:w="109"/>
        <w:gridCol w:w="109"/>
        <w:gridCol w:w="281"/>
        <w:gridCol w:w="1103"/>
        <w:gridCol w:w="205"/>
      </w:tblGrid>
      <w:tr>
        <w:trPr/>
        <w:tc>
          <w:tcPr>
            <w:tcW w:w="1396"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8.375% Senior Notes due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Unamortized discount and debt issuance cost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Debt issuance costs are deferred and amortized into interest expense using the effective interest method.</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highlight w:val="white"/>
        </w:rPr>
        <w:t>The total fair value of the outstanding Senior Notes was $97.8 million as of March 31, 2023. T</w:t>
      </w:r>
      <w:r>
        <w:rPr>
          <w:rFonts w:ascii="Times New Roman;sans-serif" w:hAnsi="Times New Roman;sans-serif"/>
          <w:b w:val="false"/>
          <w:color w:val="000000"/>
          <w:sz w:val="20"/>
        </w:rPr>
        <w:t>he Company is in compliance with its debt covenants as of March 31, 2023.</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interest expense:</w:t>
      </w:r>
    </w:p>
    <w:tbl>
      <w:tblPr>
        <w:tblW w:w="7734" w:type="dxa"/>
        <w:jc w:val="left"/>
        <w:tblInd w:w="0" w:type="dxa"/>
        <w:tblCellMar>
          <w:top w:w="28" w:type="dxa"/>
          <w:left w:w="28" w:type="dxa"/>
          <w:bottom w:w="28" w:type="dxa"/>
          <w:right w:w="28" w:type="dxa"/>
        </w:tblCellMar>
      </w:tblPr>
      <w:tblGrid>
        <w:gridCol w:w="1419"/>
        <w:gridCol w:w="1247"/>
        <w:gridCol w:w="1249"/>
        <w:gridCol w:w="109"/>
        <w:gridCol w:w="109"/>
        <w:gridCol w:w="109"/>
        <w:gridCol w:w="247"/>
        <w:gridCol w:w="723"/>
        <w:gridCol w:w="127"/>
        <w:gridCol w:w="127"/>
        <w:gridCol w:w="127"/>
        <w:gridCol w:w="127"/>
        <w:gridCol w:w="247"/>
        <w:gridCol w:w="723"/>
        <w:gridCol w:w="127"/>
        <w:gridCol w:w="109"/>
        <w:gridCol w:w="109"/>
        <w:gridCol w:w="109"/>
        <w:gridCol w:w="109"/>
        <w:gridCol w:w="109"/>
        <w:gridCol w:w="109"/>
        <w:gridCol w:w="109"/>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Non-Convertible Senior Notes due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 ASC 740/FIN 48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8. Accumulated Other Comprehensive (Loss) / Income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(loss) income during the three months ended March 31, 2023 were as follows:</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1376"/>
        <w:gridCol w:w="1194"/>
        <w:gridCol w:w="1132"/>
        <w:gridCol w:w="360"/>
        <w:gridCol w:w="1337"/>
        <w:gridCol w:w="186"/>
        <w:gridCol w:w="109"/>
        <w:gridCol w:w="109"/>
        <w:gridCol w:w="109"/>
        <w:gridCol w:w="430"/>
        <w:gridCol w:w="1262"/>
        <w:gridCol w:w="224"/>
        <w:gridCol w:w="109"/>
        <w:gridCol w:w="109"/>
        <w:gridCol w:w="109"/>
        <w:gridCol w:w="234"/>
        <w:gridCol w:w="450"/>
        <w:gridCol w:w="120"/>
        <w:gridCol w:w="109"/>
        <w:gridCol w:w="109"/>
        <w:gridCol w:w="109"/>
        <w:gridCol w:w="230"/>
        <w:gridCol w:w="847"/>
        <w:gridCol w:w="176"/>
      </w:tblGrid>
      <w:tr>
        <w:trPr/>
        <w:tc>
          <w:tcPr>
            <w:tcW w:w="1376"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effect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Balance at </w:t>
              <w:br/>
              <w:t>March 31, 2023</w:t>
            </w:r>
          </w:p>
        </w:tc>
      </w:tr>
      <w:tr>
        <w:trPr/>
        <w:tc>
          <w:tcPr>
            <w:tcW w:w="3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intercompany foreign currency transactions</w:t>
            </w:r>
          </w:p>
        </w:tc>
        <w:tc>
          <w:tcPr>
            <w:tcW w:w="1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2" w:type="dxa"/>
            <w:gridSpan w:val="3"/>
            <w:tcBorders/>
            <w:shd w:fill="auto" w:val="clear"/>
            <w:vAlign w:val="center"/>
          </w:tcPr>
          <w:p>
            <w:pPr>
              <w:pStyle w:val="TableContents"/>
              <w:spacing w:before="0" w:after="283"/>
              <w:rPr>
                <w:sz w:val="4"/>
                <w:szCs w:val="4"/>
              </w:rPr>
            </w:pPr>
            <w:r>
              <w:rPr>
                <w:sz w:val="4"/>
                <w:szCs w:val="4"/>
              </w:rPr>
            </w:r>
          </w:p>
        </w:tc>
        <w:tc>
          <w:tcPr>
            <w:tcW w:w="18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(39,561)</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9. Capital Structure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common stock is entitled to vote on all matters and is entitled to one vote for each share held. Dividends on common stock will be paid when, and if, declared by the Company’s Board of Directors. No dividends have ever been declared or paid by the Company.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Shelf Registration Statement</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On August 19, 2020, the Company filed a universal shelf registration statement with the SEC for the issuance of common stock, preferred stock, debt securities, guarantees of debt securities, warrants and units up to an aggregate amount of </w:t>
      </w:r>
      <w:r>
        <w:rPr>
          <w:rFonts w:ascii="Times New Roman;sans-serif" w:hAnsi="Times New Roman;sans-serif"/>
          <w:b w:val="false"/>
          <w:color w:val="000000"/>
          <w:sz w:val="20"/>
          <w:highlight w:val="white"/>
        </w:rPr>
        <w:t>$250.0 million (“the 2020 Shelf Registration Statement”). On August 28, 2020, the 2020 Shelf Registration Statement was declared effectiv</w:t>
      </w:r>
      <w:r>
        <w:rPr>
          <w:rFonts w:ascii="Times New Roman;sans-serif" w:hAnsi="Times New Roman;sans-serif"/>
          <w:b w:val="false"/>
          <w:color w:val="000000"/>
          <w:sz w:val="20"/>
        </w:rPr>
        <w:t>e by the SEC. As of March 31, 2023, except for the Common Stock offering and the issuance of Senior Notes, the Company has not raised additional capital using the 2020 Shelf Registration Statement.</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Series B Non-Convertible Preferred Stock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Certificate of Designation of the Series B Preferred Stock</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March 31, 2023, the Liquidation Value and Redemption Value of the Series B Preferred</w:t>
      </w:r>
      <w:r>
        <w:rPr>
          <w:color w:val="000000"/>
          <w:highlight w:val="white"/>
        </w:rPr>
        <w:t xml:space="preserve"> </w:t>
      </w:r>
      <w:r>
        <w:rPr>
          <w:rFonts w:ascii="Times New Roman;sans-serif" w:hAnsi="Times New Roman;sans-serif"/>
          <w:b w:val="false"/>
          <w:color w:val="000000"/>
          <w:sz w:val="20"/>
          <w:highlight w:val="white"/>
        </w:rPr>
        <w:t xml:space="preserve">Shares was </w:t>
      </w:r>
      <w:r>
        <w:rPr>
          <w:rFonts w:ascii="Times New Roman;sans-serif" w:hAnsi="Times New Roman;sans-serif"/>
          <w:b w:val="false"/>
          <w:color w:val="000000"/>
          <w:sz w:val="20"/>
        </w:rPr>
        <w:t>$73.2 million</w:t>
      </w:r>
      <w:r>
        <w:rPr>
          <w:rFonts w:ascii="Times New Roman;sans-serif" w:hAnsi="Times New Roman;sans-serif"/>
          <w:b w:val="false"/>
          <w:color w:val="000000"/>
          <w:sz w:val="20"/>
          <w:highlight w:val="white"/>
        </w:rPr>
        <w: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Investor Rights Agreement</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pStyle w:val="TextBody"/>
        <w:spacing w:before="0" w:after="0"/>
        <w:rPr/>
      </w:pPr>
      <w:r>
        <w:rPr/>
      </w:r>
    </w:p>
    <w:p>
      <w:pPr>
        <w:pStyle w:val="TextBody"/>
        <w:spacing w:lineRule="auto" w:line="288" w:before="0" w:after="0"/>
        <w:ind w:left="0" w:right="0" w:firstLine="27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the Company’s Series B Perpetual Non-Convertible Preferred Stock balance at March 31, 2023 and changes during the three months ended March 31, 2023, are presented below:</w:t>
      </w:r>
    </w:p>
    <w:tbl>
      <w:tblPr>
        <w:tblW w:w="6318" w:type="dxa"/>
        <w:jc w:val="left"/>
        <w:tblInd w:w="0" w:type="dxa"/>
        <w:tblCellMar>
          <w:top w:w="28" w:type="dxa"/>
          <w:left w:w="28" w:type="dxa"/>
          <w:bottom w:w="28" w:type="dxa"/>
          <w:right w:w="28" w:type="dxa"/>
        </w:tblCellMar>
      </w:tblPr>
      <w:tblGrid>
        <w:gridCol w:w="1390"/>
        <w:gridCol w:w="1221"/>
        <w:gridCol w:w="1229"/>
        <w:gridCol w:w="225"/>
        <w:gridCol w:w="225"/>
        <w:gridCol w:w="226"/>
        <w:gridCol w:w="139"/>
        <w:gridCol w:w="139"/>
        <w:gridCol w:w="139"/>
        <w:gridCol w:w="269"/>
        <w:gridCol w:w="920"/>
        <w:gridCol w:w="196"/>
      </w:tblGrid>
      <w:tr>
        <w:trPr/>
        <w:tc>
          <w:tcPr>
            <w:tcW w:w="1390"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B Preferred Stock</w:t>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preferred stock issuance costs</w:t>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PIK dividend</w:t>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Series B preferred shares</w:t>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Balance at March 31, 2023</w:t>
            </w:r>
            <w:r>
              <w:rPr>
                <w:rFonts w:ascii="Times New Roman;sans-serif" w:hAnsi="Times New Roman;sans-serif"/>
                <w:b w:val="false"/>
                <w:color w:val="000000"/>
                <w:sz w:val="13"/>
              </w:rPr>
              <w:t>1</w:t>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Series B preferred stock net principal balance of $68.3 million is presented as gross principal balance of $70.7 million net of $2.35 million unamortized issuance costs.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the Company paid the accrued Series B Perpetual Non-Convertible Preferred Stock dividend of $2.30 million in form of cash. On April 3, 2023 the Company paid the accrued Series B Perpetual Non-Convertible Preferred Stock dividend of $2.47 million in form of cash.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Stock Plans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March 31, 2023, there were 4.1 million shares available for the grant or award under the Company’s 2015 Equity Incentive Plan and 1.1 million shares available for the grant or award under the Company’s 2017 New Hire Equity Incentive Plan.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 Company’s performance cash awards granted to executives under the Long Term Incentive (“LTI”) Pla</w:t>
      </w:r>
      <w:r>
        <w:rPr>
          <w:rFonts w:ascii="Times New Roman;sans-serif" w:hAnsi="Times New Roman;sans-serif"/>
          <w:b w:val="false"/>
          <w:color w:val="000000"/>
          <w:sz w:val="20"/>
          <w:highlight w:val="white"/>
        </w:rPr>
        <w:t>ns have been accounted for</w:t>
      </w:r>
      <w:r>
        <w:rPr>
          <w:color w:val="000000"/>
        </w:rPr>
        <w:t xml:space="preserve"> </w:t>
      </w:r>
      <w:r>
        <w:rPr>
          <w:rFonts w:ascii="Times New Roman;sans-serif" w:hAnsi="Times New Roman;sans-serif"/>
          <w:b w:val="false"/>
          <w:color w:val="000000"/>
          <w:sz w:val="20"/>
        </w:rPr>
        <w:t>as liability awards, due to the Company’s intent and the ability to settle such awards in cash upon vesting and the Company has reflected such awards in accrued expenses. As of March 31, 2023, the liability for such awards is approximately $0.8 million.</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stock-based compensation expense related to all of the Company’s stock awards included by operating expense categories, as follows:</w:t>
      </w:r>
    </w:p>
    <w:tbl>
      <w:tblPr>
        <w:tblW w:w="6941" w:type="dxa"/>
        <w:jc w:val="left"/>
        <w:tblInd w:w="0" w:type="dxa"/>
        <w:tblCellMar>
          <w:top w:w="28" w:type="dxa"/>
          <w:left w:w="28" w:type="dxa"/>
          <w:bottom w:w="28" w:type="dxa"/>
          <w:right w:w="28" w:type="dxa"/>
        </w:tblCellMar>
      </w:tblPr>
      <w:tblGrid>
        <w:gridCol w:w="1247"/>
        <w:gridCol w:w="1099"/>
        <w:gridCol w:w="1103"/>
        <w:gridCol w:w="247"/>
        <w:gridCol w:w="723"/>
        <w:gridCol w:w="127"/>
        <w:gridCol w:w="127"/>
        <w:gridCol w:w="127"/>
        <w:gridCol w:w="127"/>
        <w:gridCol w:w="247"/>
        <w:gridCol w:w="723"/>
        <w:gridCol w:w="127"/>
        <w:gridCol w:w="109"/>
        <w:gridCol w:w="109"/>
        <w:gridCol w:w="109"/>
        <w:gridCol w:w="109"/>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related to all of the Company’s stock awards included by award type, as follows:</w:t>
      </w:r>
    </w:p>
    <w:tbl>
      <w:tblPr>
        <w:tblW w:w="7257" w:type="dxa"/>
        <w:jc w:val="left"/>
        <w:tblInd w:w="0" w:type="dxa"/>
        <w:tblCellMar>
          <w:top w:w="28" w:type="dxa"/>
          <w:left w:w="28" w:type="dxa"/>
          <w:bottom w:w="28" w:type="dxa"/>
          <w:right w:w="28" w:type="dxa"/>
        </w:tblCellMar>
      </w:tblPr>
      <w:tblGrid>
        <w:gridCol w:w="1361"/>
        <w:gridCol w:w="1197"/>
        <w:gridCol w:w="1207"/>
        <w:gridCol w:w="247"/>
        <w:gridCol w:w="723"/>
        <w:gridCol w:w="127"/>
        <w:gridCol w:w="127"/>
        <w:gridCol w:w="127"/>
        <w:gridCol w:w="127"/>
        <w:gridCol w:w="247"/>
        <w:gridCol w:w="723"/>
        <w:gridCol w:w="127"/>
        <w:gridCol w:w="109"/>
        <w:gridCol w:w="109"/>
        <w:gridCol w:w="109"/>
        <w:gridCol w:w="109"/>
        <w:gridCol w:w="109"/>
        <w:gridCol w:w="109"/>
        <w:gridCol w:w="109"/>
        <w:gridCol w:w="154"/>
      </w:tblGrid>
      <w:tr>
        <w:trPr/>
        <w:tc>
          <w:tcPr>
            <w:tcW w:w="1361"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Based Cash Units</w:t>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before taxes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benefit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27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total stock-based compensation cost related to unvested equity awards as of March 31, 2023 was approximately $9.2 million. The expense is expected to be recognized over a weighted-average period of approximately 2.1 years.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total stock-based compensation cost related to unvested performance based cash units as of March 31, 2023 was approximately $1.1 million. The expense is expected to be recognized over a weighted-average period of approximately 2.2 years.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for determining the estimated fair value for stock options. The weighted-average assumptions used in the Black-Scholes option pricing model are as follows: </w:t>
      </w:r>
    </w:p>
    <w:p>
      <w:pPr>
        <w:pStyle w:val="TextBody"/>
        <w:spacing w:before="0" w:after="0"/>
        <w:ind w:left="0" w:right="0" w:firstLine="360"/>
        <w:jc w:val="both"/>
        <w:rPr/>
      </w:pPr>
      <w:r>
        <w:rPr/>
      </w:r>
    </w:p>
    <w:tbl>
      <w:tblPr>
        <w:tblW w:w="7915" w:type="dxa"/>
        <w:jc w:val="center"/>
        <w:tblInd w:w="0" w:type="dxa"/>
        <w:tblCellMar>
          <w:top w:w="28" w:type="dxa"/>
          <w:left w:w="28" w:type="dxa"/>
          <w:bottom w:w="28" w:type="dxa"/>
          <w:right w:w="28" w:type="dxa"/>
        </w:tblCellMar>
      </w:tblPr>
      <w:tblGrid>
        <w:gridCol w:w="1483"/>
        <w:gridCol w:w="1303"/>
        <w:gridCol w:w="1308"/>
        <w:gridCol w:w="109"/>
        <w:gridCol w:w="109"/>
        <w:gridCol w:w="109"/>
        <w:gridCol w:w="235"/>
        <w:gridCol w:w="570"/>
        <w:gridCol w:w="302"/>
        <w:gridCol w:w="121"/>
        <w:gridCol w:w="121"/>
        <w:gridCol w:w="121"/>
        <w:gridCol w:w="235"/>
        <w:gridCol w:w="570"/>
        <w:gridCol w:w="302"/>
        <w:gridCol w:w="109"/>
        <w:gridCol w:w="109"/>
        <w:gridCol w:w="109"/>
        <w:gridCol w:w="109"/>
        <w:gridCol w:w="109"/>
        <w:gridCol w:w="109"/>
        <w:gridCol w:w="109"/>
        <w:gridCol w:w="154"/>
      </w:tblGrid>
      <w:tr>
        <w:trPr/>
        <w:tc>
          <w:tcPr>
            <w:tcW w:w="1483"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(PSV) of the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stock options outstanding as of March 31, 2023:</w:t>
      </w:r>
    </w:p>
    <w:tbl>
      <w:tblPr>
        <w:tblW w:w="9757" w:type="dxa"/>
        <w:jc w:val="left"/>
        <w:tblInd w:w="0" w:type="dxa"/>
        <w:tblCellMar>
          <w:top w:w="28" w:type="dxa"/>
          <w:left w:w="28" w:type="dxa"/>
          <w:bottom w:w="28" w:type="dxa"/>
          <w:right w:w="28" w:type="dxa"/>
        </w:tblCellMar>
      </w:tblPr>
      <w:tblGrid>
        <w:gridCol w:w="1272"/>
        <w:gridCol w:w="1113"/>
        <w:gridCol w:w="1125"/>
        <w:gridCol w:w="109"/>
        <w:gridCol w:w="109"/>
        <w:gridCol w:w="109"/>
        <w:gridCol w:w="315"/>
        <w:gridCol w:w="315"/>
        <w:gridCol w:w="316"/>
        <w:gridCol w:w="109"/>
        <w:gridCol w:w="109"/>
        <w:gridCol w:w="109"/>
        <w:gridCol w:w="388"/>
        <w:gridCol w:w="941"/>
        <w:gridCol w:w="202"/>
        <w:gridCol w:w="109"/>
        <w:gridCol w:w="109"/>
        <w:gridCol w:w="109"/>
        <w:gridCol w:w="510"/>
        <w:gridCol w:w="510"/>
        <w:gridCol w:w="511"/>
        <w:gridCol w:w="109"/>
        <w:gridCol w:w="109"/>
        <w:gridCol w:w="109"/>
        <w:gridCol w:w="254"/>
        <w:gridCol w:w="490"/>
        <w:gridCol w:w="187"/>
      </w:tblGrid>
      <w:tr>
        <w:trPr/>
        <w:tc>
          <w:tcPr>
            <w:tcW w:w="1272"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Remaining</w:t>
              <w:br/>
              <w:t>Contractual</w:t>
              <w:br/>
              <w:t>Term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stock options exercisable was nil at March 31, 2023 and 2022, respectively. The total intrinsic value of stock options exercised was nil and nil during the three months ended March 31, 2023 and 2022, respectively. </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Awards of Restricted Stock and Performance Stock</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unvested restricted stock at March 31, 2023, and changes during the three months ended March 31, 2023, is presented below:</w:t>
      </w:r>
    </w:p>
    <w:tbl>
      <w:tblPr>
        <w:tblW w:w="6142" w:type="dxa"/>
        <w:jc w:val="left"/>
        <w:tblInd w:w="0" w:type="dxa"/>
        <w:tblCellMar>
          <w:top w:w="28" w:type="dxa"/>
          <w:left w:w="28" w:type="dxa"/>
          <w:bottom w:w="28" w:type="dxa"/>
          <w:right w:w="28" w:type="dxa"/>
        </w:tblCellMar>
      </w:tblPr>
      <w:tblGrid>
        <w:gridCol w:w="977"/>
        <w:gridCol w:w="860"/>
        <w:gridCol w:w="863"/>
        <w:gridCol w:w="109"/>
        <w:gridCol w:w="109"/>
        <w:gridCol w:w="109"/>
        <w:gridCol w:w="334"/>
        <w:gridCol w:w="334"/>
        <w:gridCol w:w="336"/>
        <w:gridCol w:w="109"/>
        <w:gridCol w:w="109"/>
        <w:gridCol w:w="109"/>
        <w:gridCol w:w="428"/>
        <w:gridCol w:w="1040"/>
        <w:gridCol w:w="316"/>
      </w:tblGrid>
      <w:tr>
        <w:trPr/>
        <w:tc>
          <w:tcPr>
            <w:tcW w:w="9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Unvested 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w:t>
              <w:br/>
              <w:t>Fair Value</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 adjustment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Unvested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performance based cash units grants that vested and were paid out in form of shares of stock during the period and changes in unvested performance based restricted stock awards due to performance adjustments.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awards are granted subject to service conditions or service and performance conditions. Restricted stock awards (“RSA”) and performance based restricted stock awards (“PRSA”) are measured at the closing stock price at the date of grant and the expense is recognized straight line over the requisite service period.</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Based Cash Units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Performance based cash units (“PBCU”) generally vest at the end of a three-year period based on service and achievement of certain performance objectives determined by the Company’s Board of Directors.</w:t>
      </w:r>
      <w:r>
        <w:rPr>
          <w:color w:val="000000"/>
        </w:rPr>
        <w:t xml:space="preserve">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outstanding performance based cash units at March 31, 2023 and changes during the three months ended March 31, 2023, is presented below:</w:t>
      </w:r>
    </w:p>
    <w:tbl>
      <w:tblPr>
        <w:tblW w:w="6667" w:type="dxa"/>
        <w:jc w:val="left"/>
        <w:tblInd w:w="0" w:type="dxa"/>
        <w:tblCellMar>
          <w:top w:w="28" w:type="dxa"/>
          <w:left w:w="28" w:type="dxa"/>
          <w:bottom w:w="28" w:type="dxa"/>
          <w:right w:w="28" w:type="dxa"/>
        </w:tblCellMar>
      </w:tblPr>
      <w:tblGrid>
        <w:gridCol w:w="1066"/>
        <w:gridCol w:w="935"/>
        <w:gridCol w:w="938"/>
        <w:gridCol w:w="109"/>
        <w:gridCol w:w="109"/>
        <w:gridCol w:w="109"/>
        <w:gridCol w:w="334"/>
        <w:gridCol w:w="334"/>
        <w:gridCol w:w="336"/>
        <w:gridCol w:w="109"/>
        <w:gridCol w:w="109"/>
        <w:gridCol w:w="109"/>
        <w:gridCol w:w="498"/>
        <w:gridCol w:w="1208"/>
        <w:gridCol w:w="364"/>
      </w:tblGrid>
      <w:tr>
        <w:trPr/>
        <w:tc>
          <w:tcPr>
            <w:tcW w:w="106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Outstanding Cash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 End Fair Value</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 adjustment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 and distributed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36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Includes changes in the outstanding performance based cash units due to performance adjustments.</w:t>
      </w:r>
    </w:p>
    <w:p>
      <w:pPr>
        <w:pStyle w:val="TextBody"/>
        <w:spacing w:lineRule="auto" w:line="288" w:before="0" w:after="0"/>
        <w:ind w:left="0" w:right="0" w:hanging="360"/>
        <w:rPr/>
      </w:pPr>
      <w:r>
        <w:rPr>
          <w:rFonts w:ascii="Times New Roman;sans-serif" w:hAnsi="Times New Roman;sans-serif"/>
          <w:b w:val="false"/>
          <w:color w:val="000000"/>
          <w:sz w:val="12"/>
        </w:rPr>
        <w:t>2    </w:t>
      </w:r>
      <w:r>
        <w:rPr>
          <w:rFonts w:ascii="Times New Roman;sans-serif" w:hAnsi="Times New Roman;sans-serif"/>
          <w:b w:val="false"/>
          <w:color w:val="000000"/>
          <w:sz w:val="18"/>
        </w:rPr>
        <w:t>Includes earned PBCU that vested and were distributed to participants during the period.</w:t>
      </w:r>
    </w:p>
    <w:p>
      <w:pPr>
        <w:pStyle w:val="TextBody"/>
        <w:spacing w:before="0" w:after="0"/>
        <w:rPr/>
      </w:pPr>
      <w:r>
        <w:rPr/>
      </w:r>
    </w:p>
    <w:p>
      <w:pPr>
        <w:pStyle w:val="TextBody"/>
        <w:spacing w:lineRule="auto" w:line="276" w:before="0" w:after="0"/>
        <w:ind w:left="0" w:right="0" w:firstLine="360"/>
        <w:jc w:val="both"/>
        <w:rPr/>
      </w:pPr>
      <w:r>
        <w:rPr>
          <w:rFonts w:ascii="Times New Roman;sans-serif" w:hAnsi="Times New Roman;sans-serif"/>
          <w:b w:val="false"/>
          <w:color w:val="000000"/>
          <w:sz w:val="20"/>
        </w:rPr>
        <w:t>Performance based cash units are measured at the closing stock price at the reporting period end date and the expense is recognized straight line over the requisite service period. The expense for the period will increase or decrease based on updated fair values of these units at each reporting da</w:t>
      </w:r>
      <w:r>
        <w:rPr>
          <w:rFonts w:ascii="Times New Roman;sans-serif" w:hAnsi="Times New Roman;sans-serif"/>
          <w:b w:val="false"/>
          <w:color w:val="000000"/>
          <w:sz w:val="20"/>
          <w:highlight w:val="white"/>
        </w:rPr>
        <w:t>te. Unvested units’ fluctuations are shown as adjustments to units granted in the table above. These fluctuations are based on the percentage achievement of the performance metrics at the end of each reporting period.</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10. Income Taxes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highlight w:val="white"/>
        </w:rPr>
        <w:t>The Company recognized an income tax expense of approximatel</w:t>
      </w:r>
      <w:r>
        <w:rPr>
          <w:rFonts w:ascii="Times New Roman;sans-serif" w:hAnsi="Times New Roman;sans-serif"/>
          <w:b w:val="false"/>
          <w:color w:val="000000"/>
          <w:sz w:val="20"/>
        </w:rPr>
        <w:t xml:space="preserve">y $1.1 million and $0.1 million during the three months ended March 31, 2023 and 2022, respectively. The effective tax rate was approximately (10.7)% for the three months ended March 31, 2023, which was lower than the U.S. federal statutory rate primarily due to pre-tax losses in jurisdictions where full valuation allowances have been recorded and certain jurisdictions projecting current income tax expense. The Company’s income tax expense for the period is mainly driven by the enacted Section 174 rules that require the Company to amortize qualifying research and development expenses over five years in the U.S. and fifteen years in foreign jurisdictions. The Company’s effective tax rate was approximately (4.4)% for the three months ended March 31, 2022, which was lower than the U.S. federal statutory rate primarily due to pre-tax losses in jurisdictions where full valuation allowances have been recorded and certain foreign jurisdictions projecting current income tax expense. This decrease was partially offset by a discrete income tax benefit recorded in the period associated with the release of certain reserves for uncertain tax benefits. </w:t>
      </w:r>
      <w:r>
        <w:rPr>
          <w:rFonts w:ascii="Times New Roman;sans-serif" w:hAnsi="Times New Roman;sans-serif"/>
          <w:b w:val="false"/>
          <w:color w:val="000000"/>
          <w:sz w:val="20"/>
          <w:highlight w:val="white"/>
        </w:rPr>
        <w:t>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2023.</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August 16, 2022, the Inflation Reduction Act of 2022 ("IRA") was signed into law. This legislation includes significant changes relating to tax, climate change, energy and health care. Among other provisions, the IRA introduces a corporate alternative minimum tax assessed on financial statement income of certain large corporations and an excise tax on share repurchases. The IRA does not have a material impact on the Company’s financial statements in the period ending March 31, 2023.</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2021 the Internal Revenue Service commenced an audit of certain of the Company’s prior year U.S. federal income tax filings, including the 2013 through 2020 tax years. The audit is currently ongoing and the while receipt of the associated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refunds would materially improve its financial position, the Company does not believe that the results of this audit will have a material effect on its results of operations.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$4.3 million in federal tax refunds in the second quarter of 2022. There is no change to the Company’s position on the remaining tax refunds.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11. Restructuring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execute certain restructurings to identify workforce optimization opportunities to better align the Company’s resources with its key strategic priorities. A summary of the Company’s restructuring accrual at March 31, 2023 and changes during the three months ended March 31, 2023, are presented below:</w:t>
      </w:r>
    </w:p>
    <w:tbl>
      <w:tblPr>
        <w:tblW w:w="10539" w:type="dxa"/>
        <w:jc w:val="left"/>
        <w:tblInd w:w="0" w:type="dxa"/>
        <w:tblCellMar>
          <w:top w:w="28" w:type="dxa"/>
          <w:left w:w="28" w:type="dxa"/>
          <w:bottom w:w="28" w:type="dxa"/>
          <w:right w:w="28" w:type="dxa"/>
        </w:tblCellMar>
      </w:tblPr>
      <w:tblGrid>
        <w:gridCol w:w="757"/>
        <w:gridCol w:w="666"/>
        <w:gridCol w:w="667"/>
        <w:gridCol w:w="549"/>
        <w:gridCol w:w="1216"/>
        <w:gridCol w:w="288"/>
        <w:gridCol w:w="109"/>
        <w:gridCol w:w="109"/>
        <w:gridCol w:w="109"/>
        <w:gridCol w:w="217"/>
        <w:gridCol w:w="480"/>
        <w:gridCol w:w="114"/>
        <w:gridCol w:w="109"/>
        <w:gridCol w:w="109"/>
        <w:gridCol w:w="109"/>
        <w:gridCol w:w="245"/>
        <w:gridCol w:w="559"/>
        <w:gridCol w:w="127"/>
        <w:gridCol w:w="109"/>
        <w:gridCol w:w="109"/>
        <w:gridCol w:w="109"/>
        <w:gridCol w:w="430"/>
        <w:gridCol w:w="830"/>
        <w:gridCol w:w="223"/>
        <w:gridCol w:w="109"/>
        <w:gridCol w:w="109"/>
        <w:gridCol w:w="109"/>
        <w:gridCol w:w="470"/>
        <w:gridCol w:w="1040"/>
        <w:gridCol w:w="353"/>
      </w:tblGrid>
      <w:tr>
        <w:trPr/>
        <w:tc>
          <w:tcPr>
            <w:tcW w:w="757"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2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March 31, 2023</w:t>
            </w:r>
          </w:p>
        </w:tc>
      </w:tr>
      <w:tr>
        <w:trPr/>
        <w:tc>
          <w:tcPr>
            <w:tcW w:w="2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termination costs</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0" w:type="dxa"/>
            <w:gridSpan w:val="3"/>
            <w:tcBorders/>
            <w:shd w:fill="auto" w:val="clear"/>
            <w:vAlign w:val="center"/>
          </w:tcPr>
          <w:p>
            <w:pPr>
              <w:pStyle w:val="TableContents"/>
              <w:spacing w:before="0" w:after="283"/>
              <w:rPr>
                <w:sz w:val="4"/>
                <w:szCs w:val="4"/>
              </w:rPr>
            </w:pPr>
            <w:r>
              <w:rPr>
                <w:sz w:val="4"/>
                <w:szCs w:val="4"/>
              </w:rPr>
            </w:r>
          </w:p>
        </w:tc>
        <w:tc>
          <w:tcPr>
            <w:tcW w:w="2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3" w:type="dxa"/>
            <w:gridSpan w:val="3"/>
            <w:tcBorders/>
            <w:shd w:fill="auto" w:val="clear"/>
            <w:vAlign w:val="center"/>
          </w:tcPr>
          <w:p>
            <w:pPr>
              <w:pStyle w:val="TableContents"/>
              <w:spacing w:before="0" w:after="283"/>
              <w:rPr>
                <w:sz w:val="4"/>
                <w:szCs w:val="4"/>
              </w:rPr>
            </w:pPr>
            <w:r>
              <w:rPr>
                <w:sz w:val="4"/>
                <w:szCs w:val="4"/>
              </w:rPr>
            </w:r>
          </w:p>
        </w:tc>
      </w:tr>
      <w:tr>
        <w:trPr/>
        <w:tc>
          <w:tcPr>
            <w:tcW w:w="2090" w:type="dxa"/>
            <w:gridSpan w:val="3"/>
            <w:tcBorders/>
            <w:shd w:fill="auto" w:val="clear"/>
            <w:vAlign w:val="center"/>
          </w:tcPr>
          <w:p>
            <w:pPr>
              <w:pStyle w:val="TableContents"/>
              <w:spacing w:before="0" w:after="283"/>
              <w:rPr>
                <w:sz w:val="4"/>
                <w:szCs w:val="4"/>
              </w:rPr>
            </w:pPr>
            <w:r>
              <w:rPr>
                <w:sz w:val="4"/>
                <w:szCs w:val="4"/>
              </w:rPr>
            </w:r>
          </w:p>
        </w:tc>
        <w:tc>
          <w:tcPr>
            <w:tcW w:w="2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12. Earnings per Common Share (“EPS”)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numerator and denominator used in computing basic and diluted net income attributable to common stockholders per common share from operations.</w:t>
      </w:r>
    </w:p>
    <w:p>
      <w:pPr>
        <w:pStyle w:val="TextBody"/>
        <w:spacing w:before="0" w:after="0"/>
        <w:ind w:left="0" w:right="0" w:firstLine="360"/>
        <w:jc w:val="both"/>
        <w:rPr/>
      </w:pPr>
      <w:r>
        <w:rPr/>
      </w:r>
    </w:p>
    <w:tbl>
      <w:tblPr>
        <w:tblW w:w="10539" w:type="dxa"/>
        <w:jc w:val="center"/>
        <w:tblInd w:w="0" w:type="dxa"/>
        <w:tblCellMar>
          <w:top w:w="28" w:type="dxa"/>
          <w:left w:w="28" w:type="dxa"/>
          <w:bottom w:w="28" w:type="dxa"/>
          <w:right w:w="28" w:type="dxa"/>
        </w:tblCellMar>
      </w:tblPr>
      <w:tblGrid>
        <w:gridCol w:w="1962"/>
        <w:gridCol w:w="1611"/>
        <w:gridCol w:w="1614"/>
        <w:gridCol w:w="109"/>
        <w:gridCol w:w="109"/>
        <w:gridCol w:w="773"/>
        <w:gridCol w:w="773"/>
        <w:gridCol w:w="775"/>
        <w:gridCol w:w="109"/>
        <w:gridCol w:w="211"/>
        <w:gridCol w:w="787"/>
        <w:gridCol w:w="109"/>
        <w:gridCol w:w="109"/>
        <w:gridCol w:w="109"/>
        <w:gridCol w:w="109"/>
        <w:gridCol w:w="211"/>
        <w:gridCol w:w="682"/>
        <w:gridCol w:w="109"/>
        <w:gridCol w:w="109"/>
        <w:gridCol w:w="159"/>
      </w:tblGrid>
      <w:tr>
        <w:trPr/>
        <w:tc>
          <w:tcPr>
            <w:tcW w:w="1962"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813" w:type="dxa"/>
            <w:gridSpan w:val="12"/>
            <w:tcBorders/>
            <w:shd w:fill="auto" w:val="clear"/>
          </w:tcPr>
          <w:p>
            <w:pPr>
              <w:pStyle w:val="TableContents"/>
              <w:spacing w:before="0" w:after="283"/>
              <w:rPr>
                <w:sz w:val="4"/>
                <w:szCs w:val="4"/>
              </w:rPr>
            </w:pPr>
            <w:r>
              <w:rPr>
                <w:sz w:val="4"/>
                <w:szCs w:val="4"/>
              </w:rPr>
            </w:r>
          </w:p>
        </w:tc>
      </w:tr>
      <w:tr>
        <w:trPr/>
        <w:tc>
          <w:tcPr>
            <w:tcW w:w="5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Synchronoss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Synchronoss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Synchronoss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excluded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shares of 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13. Commitments, Contingencies and Other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Non-cancelable agreements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Company has various non-cancelable arrangements such as services for hosting, support, and software that expire at various dates, with the latest expiration </w:t>
      </w:r>
      <w:r>
        <w:rPr>
          <w:rFonts w:ascii="Times New Roman;sans-serif" w:hAnsi="Times New Roman;sans-serif"/>
          <w:b w:val="false"/>
          <w:color w:val="000000"/>
          <w:sz w:val="20"/>
          <w:highlight w:val="white"/>
        </w:rPr>
        <w:t>in 2025.</w:t>
      </w:r>
    </w:p>
    <w:p>
      <w:pPr>
        <w:pStyle w:val="TextBody"/>
        <w:spacing w:before="0" w:after="0"/>
        <w:ind w:left="0" w:right="0" w:firstLine="360"/>
        <w:jc w:val="both"/>
        <w:rPr/>
      </w:pPr>
      <w:r>
        <w:rPr/>
      </w:r>
    </w:p>
    <w:p>
      <w:pPr>
        <w:pStyle w:val="TextBody"/>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Aggregate annual future minimum payments under non-cancelable agreements as of March 31, 2023 are as follows:</w:t>
      </w:r>
    </w:p>
    <w:tbl>
      <w:tblPr>
        <w:tblW w:w="3838" w:type="dxa"/>
        <w:jc w:val="left"/>
        <w:tblInd w:w="0" w:type="dxa"/>
        <w:tblCellMar>
          <w:top w:w="28" w:type="dxa"/>
          <w:left w:w="28" w:type="dxa"/>
          <w:bottom w:w="28" w:type="dxa"/>
          <w:right w:w="28" w:type="dxa"/>
        </w:tblCellMar>
      </w:tblPr>
      <w:tblGrid>
        <w:gridCol w:w="217"/>
        <w:gridCol w:w="190"/>
        <w:gridCol w:w="193"/>
        <w:gridCol w:w="109"/>
        <w:gridCol w:w="109"/>
        <w:gridCol w:w="109"/>
        <w:gridCol w:w="491"/>
        <w:gridCol w:w="1683"/>
        <w:gridCol w:w="256"/>
        <w:gridCol w:w="109"/>
        <w:gridCol w:w="109"/>
        <w:gridCol w:w="109"/>
        <w:gridCol w:w="154"/>
      </w:tblGrid>
      <w:tr>
        <w:trPr/>
        <w:tc>
          <w:tcPr>
            <w:tcW w:w="21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Non-cancelable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Legal Matters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is regularly subject to various claims, suits, regulatory inquiries and investigations. The Company records a liability for specific legal matters when it determines that the likelihood of an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SYNCHRONOSS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tables in thousands, except for per share data or unless otherwise noted)</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Due to the inherent uncertainty of litigation, the Company cannot predict the outcome of the litigation and can give no assurance that the asserted claims will not have a material adverse effect on its financial position, prospects, or results of operations. In addition, failure to comply with the provisions of the SEC Order could result in further actions by one or both governmental agencies which could have a material adverse effect on the Company’s results of operations.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 </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14. Additional Financial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Other Income (expense), net included in the Condensed Consolidated Statements of Operations:</w:t>
      </w:r>
    </w:p>
    <w:tbl>
      <w:tblPr>
        <w:tblW w:w="5162" w:type="dxa"/>
        <w:jc w:val="left"/>
        <w:tblInd w:w="0" w:type="dxa"/>
        <w:tblCellMar>
          <w:top w:w="28" w:type="dxa"/>
          <w:left w:w="28" w:type="dxa"/>
          <w:bottom w:w="28" w:type="dxa"/>
          <w:right w:w="28" w:type="dxa"/>
        </w:tblCellMar>
      </w:tblPr>
      <w:tblGrid>
        <w:gridCol w:w="565"/>
        <w:gridCol w:w="495"/>
        <w:gridCol w:w="500"/>
        <w:gridCol w:w="109"/>
        <w:gridCol w:w="109"/>
        <w:gridCol w:w="109"/>
        <w:gridCol w:w="239"/>
        <w:gridCol w:w="784"/>
        <w:gridCol w:w="123"/>
        <w:gridCol w:w="123"/>
        <w:gridCol w:w="123"/>
        <w:gridCol w:w="123"/>
        <w:gridCol w:w="239"/>
        <w:gridCol w:w="699"/>
        <w:gridCol w:w="123"/>
        <w:gridCol w:w="109"/>
        <w:gridCol w:w="109"/>
        <w:gridCol w:w="109"/>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FX (losses) gains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foreign exchange gains and losses</w:t>
      </w:r>
    </w:p>
    <w:p>
      <w:pPr>
        <w:pStyle w:val="TextBody"/>
        <w:spacing w:lineRule="auto" w:line="276" w:before="0" w:after="0"/>
        <w:ind w:left="0" w:right="0" w:hanging="360"/>
        <w:rPr/>
      </w:pPr>
      <w:r>
        <w:rPr>
          <w:rFonts w:ascii="Times New Roman;sans-serif" w:hAnsi="Times New Roman;sans-serif"/>
          <w:b w:val="false"/>
          <w:color w:val="000000"/>
          <w:sz w:val="12"/>
        </w:rPr>
        <w:t>2    </w:t>
      </w:r>
      <w:r>
        <w:rPr>
          <w:rFonts w:ascii="Times New Roman;sans-serif" w:hAnsi="Times New Roman;sans-serif"/>
          <w:b w:val="false"/>
          <w:color w:val="000000"/>
          <w:sz w:val="18"/>
        </w:rPr>
        <w:t>Represents an aggregate of individually immaterial transactions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w:t>
      </w:r>
      <w:r>
        <w:rPr>
          <w:color w:val="000000"/>
        </w:rPr>
        <w:t xml:space="preserve"> </w:t>
      </w:r>
      <w:r>
        <w:rPr>
          <w:rFonts w:ascii="Times New Roman;sans-serif" w:hAnsi="Times New Roman;sans-serif"/>
          <w:b/>
          <w:i/>
          <w:color w:val="000000"/>
          <w:sz w:val="20"/>
        </w:rPr>
        <w:t>DISCUSSION AND ANALYSIS OF FINANCIAL</w:t>
      </w:r>
      <w:r>
        <w:rPr>
          <w:color w:val="000000"/>
        </w:rPr>
        <w:t xml:space="preserve"> </w:t>
      </w:r>
      <w:r>
        <w:rPr>
          <w:rFonts w:ascii="Times New Roman;sans-serif" w:hAnsi="Times New Roman;sans-serif"/>
          <w:b/>
          <w:i/>
          <w:color w:val="000000"/>
          <w:sz w:val="20"/>
        </w:rPr>
        <w:t>CONDITION AND RESULTS OF</w:t>
      </w:r>
      <w:r>
        <w:rPr>
          <w:color w:val="000000"/>
        </w:rPr>
        <w:t xml:space="preserve"> </w:t>
      </w:r>
      <w:r>
        <w:rPr>
          <w:rFonts w:ascii="Times New Roman;sans-serif" w:hAnsi="Times New Roman;sans-serif"/>
          <w:b/>
          <w:i/>
          <w:color w:val="000000"/>
          <w:sz w:val="20"/>
        </w:rPr>
        <w:t>OPERATIONS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product sets allow our customers to create a positive experience throughout their subscribers’ lifecycle by engaging, onboarding and managing the network to ensure reliable service.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EngageX:</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Personal Cloud: Backup, manage and engage with content.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highlight w:val="white"/>
        </w:rPr>
        <w:t>A</w:t>
      </w:r>
      <w:r>
        <w:rPr>
          <w:rFonts w:ascii="Times New Roman;sans-serif" w:hAnsi="Times New Roman;sans-serif"/>
          <w:b w:val="false"/>
          <w:color w:val="000000"/>
          <w:sz w:val="20"/>
        </w:rPr>
        <w:t xml:space="preserve">dvanced Messaging: multi-channel messaging, peer-to-peer (“P2P”) communications and application-to-person (“A2P”) commerce solutions.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Email Suite: White label consumer email solutions.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OnboardingX:</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Backup and Restore: Backup, view and restore subscriber content across operating systems and devices.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Out of Box Experience: Streamline the activation of new services and devices.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Content Transfer: Effortlessly move content between mobile devices.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NetworkX:</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NetworkX: integrated application suite that designs, procures, manages and optimizes telecom network infrastructure.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in and markets its solutions and services directly through its sales organizations in North America, Europe and Asia-Pacific.</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generate most of our revenues on a per transaction or subscription basis, which is derived from contracts that extend up to 60 months from execution.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revenues are recorded in U.S. dollars but as we continue to expand our footprint with international carriers, we will continue to be subject to currency translation that could affect our future net sales as reported in U.S. dollars.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Our top five customers accounted for</w:t>
      </w:r>
      <w:r>
        <w:rPr>
          <w:color w:val="000000"/>
          <w:highlight w:val="white"/>
        </w:rPr>
        <w:t xml:space="preserve"> </w:t>
      </w:r>
      <w:r>
        <w:rPr>
          <w:rFonts w:ascii="Times New Roman;sans-serif" w:hAnsi="Times New Roman;sans-serif"/>
          <w:b w:val="false"/>
          <w:color w:val="000000"/>
          <w:sz w:val="20"/>
          <w:highlight w:val="white"/>
        </w:rPr>
        <w:t xml:space="preserve">76.1% </w:t>
      </w:r>
      <w:r>
        <w:rPr>
          <w:rFonts w:ascii="Times New Roman;sans-serif" w:hAnsi="Times New Roman;sans-serif"/>
          <w:b w:val="false"/>
          <w:color w:val="000000"/>
          <w:sz w:val="20"/>
        </w:rPr>
        <w:t xml:space="preserve">and 71.4% of net revenues for the three months ended March 31, 2023 and March 31, 2022, respectively. Contracts with these customers typically run for three to five years. Of these customers, Verizon accounted for more than 10% of our revenues in 2023 and 2022. The loss of Verizon as a customer would have a material negative impact on our company. However, we believe that the costs incurred and subscriber disruption by Verizon to replace Synchronoss’ solutions would be substantial.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Current Trends Affecting Our Results of Operations</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t>
      </w:r>
      <w:r>
        <w:rPr>
          <w:rFonts w:ascii="Times New Roman;sans-serif" w:hAnsi="Times New Roman;sans-serif"/>
          <w:b w:val="false"/>
          <w:color w:val="000000"/>
          <w:sz w:val="20"/>
          <w:highlight w:val="white"/>
        </w:rPr>
        <w:t>We believe that advanced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Discussion of the Condensed Consolidated Statements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to the three months ended March 31, 2022</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overview of our results of operations for the three months ended March 31, 2023 and 2022 (in thousands):</w:t>
      </w:r>
    </w:p>
    <w:tbl>
      <w:tblPr>
        <w:tblW w:w="8149" w:type="dxa"/>
        <w:jc w:val="left"/>
        <w:tblInd w:w="0" w:type="dxa"/>
        <w:tblCellMar>
          <w:top w:w="28" w:type="dxa"/>
          <w:left w:w="28" w:type="dxa"/>
          <w:bottom w:w="28" w:type="dxa"/>
          <w:right w:w="28" w:type="dxa"/>
        </w:tblCellMar>
      </w:tblPr>
      <w:tblGrid>
        <w:gridCol w:w="1068"/>
        <w:gridCol w:w="941"/>
        <w:gridCol w:w="945"/>
        <w:gridCol w:w="226"/>
        <w:gridCol w:w="772"/>
        <w:gridCol w:w="116"/>
        <w:gridCol w:w="116"/>
        <w:gridCol w:w="116"/>
        <w:gridCol w:w="116"/>
        <w:gridCol w:w="226"/>
        <w:gridCol w:w="772"/>
        <w:gridCol w:w="116"/>
        <w:gridCol w:w="109"/>
        <w:gridCol w:w="841"/>
        <w:gridCol w:w="109"/>
        <w:gridCol w:w="109"/>
        <w:gridCol w:w="109"/>
        <w:gridCol w:w="225"/>
        <w:gridCol w:w="738"/>
        <w:gridCol w:w="116"/>
        <w:gridCol w:w="109"/>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Cost of revenues excludes depreciation and amortization which are shown separately.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color w:val="000000"/>
          <w:sz w:val="20"/>
          <w:highlight w:val="white"/>
        </w:rPr>
        <w:t>Net revenues</w:t>
      </w:r>
      <w:r>
        <w:rPr>
          <w:color w:val="000000"/>
          <w:highlight w:val="white"/>
        </w:rPr>
        <w:t xml:space="preserve"> </w:t>
      </w:r>
      <w:r>
        <w:rPr>
          <w:rFonts w:ascii="Times New Roman;sans-serif" w:hAnsi="Times New Roman;sans-serif"/>
          <w:b w:val="false"/>
          <w:color w:val="000000"/>
          <w:sz w:val="20"/>
          <w:highlight w:val="white"/>
        </w:rPr>
        <w:t>decreased $8.2 million to $57.7 million for the three months ended March 31, 2023, compared to the same period in 2022. The overall change in revenue was a result of the expected impact from the sale and product sunsetting of the non-strategic DXP and Activation assets in the first half of 2022, the expected deferred revenue run-off in the current quarter, temporary slowdowns in purchasing activity and unfavorable foreign exchange impact related to current macroeconomic conditions. The change in revenue was partially offset by Cloud subscriber growth.</w:t>
      </w:r>
    </w:p>
    <w:p>
      <w:pPr>
        <w:pStyle w:val="TextBody"/>
        <w:spacing w:before="0" w:after="0"/>
        <w:rPr/>
      </w:pPr>
      <w:r>
        <w:rPr/>
      </w:r>
    </w:p>
    <w:p>
      <w:pPr>
        <w:pStyle w:val="TextBody"/>
        <w:spacing w:lineRule="auto" w:line="276" w:before="0" w:after="0"/>
        <w:ind w:left="0" w:right="0" w:firstLine="360"/>
        <w:jc w:val="both"/>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 xml:space="preserve">decreased $4.5 million to $20.4 million for the three months ended March 31, 2023, compared to the same period in 2022. </w:t>
      </w:r>
      <w:r>
        <w:rPr>
          <w:rFonts w:ascii="Times New Roman;sans-serif" w:hAnsi="Times New Roman;sans-serif"/>
          <w:b w:val="false"/>
          <w:color w:val="000000"/>
          <w:sz w:val="20"/>
          <w:highlight w:val="white"/>
        </w:rPr>
        <w:t>The 2023 decrease was primarily attributable to changes in revenue mix and continued efforts to streamline our business operations, reduce costs and focus on higher margin products.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Research and development</w:t>
      </w:r>
      <w:r>
        <w:rPr>
          <w:color w:val="000000"/>
        </w:rPr>
        <w:t xml:space="preserve"> </w:t>
      </w:r>
      <w:r>
        <w:rPr>
          <w:rFonts w:ascii="Times New Roman;sans-serif" w:hAnsi="Times New Roman;sans-serif"/>
          <w:b w:val="false"/>
          <w:color w:val="000000"/>
          <w:sz w:val="20"/>
        </w:rPr>
        <w:t>expense decreased $1.1 million to $14.7 million for the three months ended March 31, 2023, compared to the same period in 2022. The research and development costs decreased year over year mainly as a result of executed cost savings initiatives to streamline our workforce and reduce vendor spend and overhead costs.</w:t>
      </w:r>
    </w:p>
    <w:p>
      <w:pPr>
        <w:pStyle w:val="TextBody"/>
        <w:spacing w:before="0" w:after="0"/>
        <w:ind w:left="0" w:right="0" w:firstLine="360"/>
        <w:jc w:val="both"/>
        <w:rPr/>
      </w:pPr>
      <w:r>
        <w:rPr/>
      </w:r>
    </w:p>
    <w:p>
      <w:pPr>
        <w:pStyle w:val="TextBody"/>
        <w:spacing w:lineRule="auto" w:line="256" w:before="0" w:after="0"/>
        <w:ind w:left="0" w:right="0" w:firstLine="360"/>
        <w:jc w:val="both"/>
        <w:rPr/>
      </w:pPr>
      <w:r>
        <w:rPr>
          <w:rFonts w:ascii="Times New Roman;sans-serif" w:hAnsi="Times New Roman;sans-serif"/>
          <w:b/>
          <w:color w:val="000000"/>
          <w:sz w:val="20"/>
          <w:highlight w:val="white"/>
        </w:rPr>
        <w:t>Selling, general and administrative</w:t>
      </w:r>
      <w:r>
        <w:rPr>
          <w:color w:val="000000"/>
          <w:highlight w:val="white"/>
        </w:rPr>
        <w:t xml:space="preserve"> </w:t>
      </w:r>
      <w:r>
        <w:rPr>
          <w:rFonts w:ascii="Times New Roman;sans-serif" w:hAnsi="Times New Roman;sans-serif"/>
          <w:b w:val="false"/>
          <w:color w:val="000000"/>
          <w:sz w:val="20"/>
          <w:highlight w:val="white"/>
        </w:rPr>
        <w:t>expense remained flat for the three months ended March 31, 2023, compared to the same period in 2022. The Company executed significant cost savings initiatives for selling, general and administrative costs in fiscal 2021 and 2022. These savings and optimization efforts are reflected in the current and prior quarter results.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Restructuring charges</w:t>
      </w:r>
      <w:r>
        <w:rPr>
          <w:color w:val="000000"/>
        </w:rPr>
        <w:t xml:space="preserve"> </w:t>
      </w:r>
      <w:r>
        <w:rPr>
          <w:rFonts w:ascii="Times New Roman;sans-serif" w:hAnsi="Times New Roman;sans-serif"/>
          <w:b w:val="false"/>
          <w:color w:val="000000"/>
          <w:sz w:val="20"/>
        </w:rPr>
        <w:t xml:space="preserve">were </w:t>
      </w:r>
      <w:r>
        <w:rPr>
          <w:rFonts w:ascii="Times New Roman;sans-serif" w:hAnsi="Times New Roman;sans-serif"/>
          <w:b w:val="false"/>
          <w:color w:val="000000"/>
          <w:sz w:val="20"/>
          <w:highlight w:val="white"/>
        </w:rPr>
        <w:t>$0.3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$0.7 million</w:t>
      </w:r>
      <w:r>
        <w:rPr>
          <w:color w:val="000000"/>
        </w:rPr>
        <w:t xml:space="preserve"> </w:t>
      </w:r>
      <w:r>
        <w:rPr>
          <w:rFonts w:ascii="Times New Roman;sans-serif" w:hAnsi="Times New Roman;sans-serif"/>
          <w:b w:val="false"/>
          <w:color w:val="000000"/>
          <w:sz w:val="20"/>
        </w:rPr>
        <w:t xml:space="preserve">for the three months ended March 31, 2023 and 2022, respectively, which primarily related to employment termination costs as a result of the work-force reductions initiated to reduce operating costs and align our resources with our key strategic priorities.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Depreciation and amortization</w:t>
      </w:r>
      <w:r>
        <w:rPr>
          <w:color w:val="000000"/>
        </w:rPr>
        <w:t xml:space="preserve"> </w:t>
      </w:r>
      <w:r>
        <w:rPr>
          <w:rFonts w:ascii="Times New Roman;sans-serif" w:hAnsi="Times New Roman;sans-serif"/>
          <w:b w:val="false"/>
          <w:color w:val="000000"/>
          <w:sz w:val="20"/>
        </w:rPr>
        <w:t xml:space="preserve">expense decreased $0.5 million to $7.5 million for the three months ended March 31, 2023, compared to the same period in 2022. </w:t>
      </w:r>
      <w:r>
        <w:rPr>
          <w:rFonts w:ascii="Times New Roman;sans-serif" w:hAnsi="Times New Roman;sans-serif"/>
          <w:b w:val="false"/>
          <w:color w:val="000000"/>
          <w:sz w:val="20"/>
          <w:highlight w:val="white"/>
        </w:rPr>
        <w:t xml:space="preserve">The 2023 decrease was primarily attributable to the expiration of amortizable acquired assets in combination with reduced capital expenditures mainly as a result of efforts to streamline business operations, partially offset by the increased amortization of capitalized software.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 xml:space="preserve">Income tax. </w:t>
      </w:r>
      <w:r>
        <w:rPr>
          <w:rFonts w:ascii="Times New Roman;sans-serif" w:hAnsi="Times New Roman;sans-serif"/>
          <w:b w:val="false"/>
          <w:color w:val="000000"/>
          <w:sz w:val="20"/>
        </w:rPr>
        <w:t xml:space="preserve">The Company recognized an income tax expense of approximately $1.1 million and approximately $0.1 million during the three months ended March 31, 2023 and 2022, respectively. The effective tax rate was approximately (10.7)% for the three months ended March 31, 2023, </w:t>
      </w:r>
      <w:r>
        <w:rPr>
          <w:rFonts w:ascii="Times New Roman;sans-serif" w:hAnsi="Times New Roman;sans-serif"/>
          <w:b w:val="false"/>
          <w:color w:val="000000"/>
          <w:sz w:val="20"/>
          <w:highlight w:val="white"/>
        </w:rPr>
        <w:t xml:space="preserve">which was lower than the U.S. federal statutory rate primarily due to pre-tax losses in jurisdictions where full valuation allowances have been recorded and certain jurisdictions projecting current income tax expense. </w:t>
      </w:r>
      <w:r>
        <w:rPr>
          <w:rFonts w:ascii="Times New Roman;sans-serif" w:hAnsi="Times New Roman;sans-serif"/>
          <w:b w:val="false"/>
          <w:color w:val="000000"/>
          <w:sz w:val="20"/>
        </w:rPr>
        <w:t xml:space="preserve">The Company’s income tax expense for the period is mainly driven by the enacted Section 174 rules that require the Company to amortize qualifying research and development expenses over five years in the U.S. and fifteen years in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 xml:space="preserve">foreign jurisdictions. </w:t>
      </w:r>
      <w:r>
        <w:rPr>
          <w:rFonts w:ascii="Times New Roman;sans-serif" w:hAnsi="Times New Roman;sans-serif"/>
          <w:b w:val="false"/>
          <w:color w:val="000000"/>
          <w:sz w:val="20"/>
          <w:highlight w:val="white"/>
        </w:rPr>
        <w:t xml:space="preserve">The Company’s effective tax rate was approximately </w:t>
      </w:r>
      <w:r>
        <w:rPr>
          <w:rFonts w:ascii="Times New Roman;sans-serif" w:hAnsi="Times New Roman;sans-serif"/>
          <w:b w:val="false"/>
          <w:color w:val="000000"/>
          <w:sz w:val="20"/>
        </w:rPr>
        <w:t xml:space="preserve">(4.4)% for the three months ended March 31, 2022, </w:t>
      </w:r>
      <w:r>
        <w:rPr>
          <w:rFonts w:ascii="Times New Roman;sans-serif" w:hAnsi="Times New Roman;sans-serif"/>
          <w:b w:val="false"/>
          <w:color w:val="000000"/>
          <w:sz w:val="20"/>
          <w:highlight w:val="white"/>
        </w:rPr>
        <w:t xml:space="preserve">which was lower than the U.S. federal statutory rate primarily due to pre-tax losses in jurisdictions where full valuation allowances have been recorded and certain foreign jurisdictions projecting current income tax expense. This decrease was partially offset by a discrete income tax benefit recorded in the period associated with the release of certain reserves for uncertain tax benefits. </w:t>
      </w:r>
    </w:p>
    <w:p>
      <w:pPr>
        <w:pStyle w:val="TextBody"/>
        <w:spacing w:before="0" w:after="0"/>
        <w:ind w:left="0" w:right="0" w:firstLine="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principal sources of liquidity were cash provided by operations and the remaining proceeds from the financing transactions. Our cash and cash equivalents balance was $15.6 million at March 31, 2023. We anticipate that our principal uses of cash and cash equivalents will be to fund our business, including technology expansion and working capital.</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highlight w:val="white"/>
        </w:rPr>
        <w:t xml:space="preserve">At March 31, 2023, our non-U.S. subsidiaries held approximately $9.7 million of cash and cash equivalents that are available for use by our operations around the world. </w:t>
      </w:r>
      <w:r>
        <w:rPr>
          <w:rFonts w:ascii="Times New Roman;sans-serif" w:hAnsi="Times New Roman;sans-serif"/>
          <w:b w:val="false"/>
          <w:color w:val="000000"/>
          <w:sz w:val="20"/>
        </w:rPr>
        <w:t>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2022, some of which are outside of our control.</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For further details, see </w:t>
      </w:r>
      <w:r>
        <w:rPr>
          <w:rFonts w:ascii="Times New Roman;sans-serif" w:hAnsi="Times New Roman;sans-serif"/>
          <w:b w:val="false"/>
          <w:i/>
          <w:color w:val="000000"/>
          <w:sz w:val="20"/>
        </w:rPr>
        <w:t>Note 7. Debt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 xml:space="preserve">Note </w:t>
      </w:r>
      <w:r>
        <w:rPr>
          <w:rFonts w:ascii="Times New Roman;sans-serif" w:hAnsi="Times New Roman;sans-serif"/>
          <w:b w:val="false"/>
          <w:i/>
          <w:color w:val="000000"/>
          <w:sz w:val="20"/>
          <w:highlight w:val="white"/>
        </w:rPr>
        <w:t>9. Capital Structure</w:t>
      </w:r>
      <w:r>
        <w:rPr>
          <w:color w:val="000000"/>
        </w:rPr>
        <w:t xml:space="preserve"> </w:t>
      </w:r>
      <w:r>
        <w:rPr>
          <w:rFonts w:ascii="Times New Roman;sans-serif" w:hAnsi="Times New Roman;sans-serif"/>
          <w:b w:val="false"/>
          <w:color w:val="000000"/>
          <w:sz w:val="20"/>
        </w:rPr>
        <w:t xml:space="preserve">of the Notes to Condensed Consolidated Financial Statements in Item 1 of this Form 10-Q. </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of Cash Flows</w:t>
      </w:r>
    </w:p>
    <w:p>
      <w:pPr>
        <w:pStyle w:val="TextBody"/>
        <w:spacing w:before="0" w:after="0"/>
        <w:jc w:val="both"/>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net cash flows follows (in thousands): </w:t>
      </w:r>
    </w:p>
    <w:tbl>
      <w:tblPr>
        <w:tblW w:w="6140" w:type="dxa"/>
        <w:jc w:val="left"/>
        <w:tblInd w:w="0" w:type="dxa"/>
        <w:tblCellMar>
          <w:top w:w="28" w:type="dxa"/>
          <w:left w:w="28" w:type="dxa"/>
          <w:bottom w:w="28" w:type="dxa"/>
          <w:right w:w="28" w:type="dxa"/>
        </w:tblCellMar>
      </w:tblPr>
      <w:tblGrid>
        <w:gridCol w:w="961"/>
        <w:gridCol w:w="843"/>
        <w:gridCol w:w="850"/>
        <w:gridCol w:w="250"/>
        <w:gridCol w:w="821"/>
        <w:gridCol w:w="129"/>
        <w:gridCol w:w="129"/>
        <w:gridCol w:w="129"/>
        <w:gridCol w:w="129"/>
        <w:gridCol w:w="250"/>
        <w:gridCol w:w="821"/>
        <w:gridCol w:w="129"/>
        <w:gridCol w:w="109"/>
        <w:gridCol w:w="109"/>
        <w:gridCol w:w="109"/>
        <w:gridCol w:w="109"/>
        <w:gridCol w:w="109"/>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Our primary source of cash is receipts from revenue. The primary uses of cash are personnel and related costs, telecommunications and facility costs related primarily to our cost of r</w:t>
      </w:r>
      <w:r>
        <w:rPr>
          <w:rFonts w:ascii="Times New Roman;sans-serif" w:hAnsi="Times New Roman;sans-serif"/>
          <w:b w:val="false"/>
          <w:color w:val="000000"/>
          <w:sz w:val="20"/>
          <w:highlight w:val="white"/>
        </w:rPr>
        <w:t xml:space="preserve">evenue and general operating expenses including professional service fees, consulting fees, building and equipment maintenance and marketing expense.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highlight w:val="white"/>
        </w:rPr>
        <w:t xml:space="preserve">Cash provided by operating activities </w:t>
      </w:r>
      <w:r>
        <w:rPr>
          <w:rFonts w:ascii="Times New Roman;sans-serif" w:hAnsi="Times New Roman;sans-serif"/>
          <w:b w:val="false"/>
          <w:color w:val="000000"/>
          <w:sz w:val="20"/>
          <w:highlight w:val="white"/>
        </w:rPr>
        <w:t>for the three months ended March 31, 2023 was $1.3 million as compared to $2.7 million of cash used in operating activities for the same period in 2022. In the current period, the Company generated cash from operations mainly driven by continued growth in cloud subscribers, reduced operating costs and favorable movements in working capital compared to the first quarter of 2022.</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highlight w:val="white"/>
        </w:rPr>
        <w:t>Cash used in investing</w:t>
      </w:r>
      <w:r>
        <w:rPr>
          <w:color w:val="000000"/>
          <w:highlight w:val="white"/>
        </w:rPr>
        <w:t xml:space="preserve"> </w:t>
      </w:r>
      <w:r>
        <w:rPr>
          <w:rFonts w:ascii="Times New Roman;sans-serif" w:hAnsi="Times New Roman;sans-serif"/>
          <w:b/>
          <w:color w:val="000000"/>
          <w:sz w:val="20"/>
          <w:highlight w:val="white"/>
        </w:rPr>
        <w:t xml:space="preserve">activities </w:t>
      </w:r>
      <w:r>
        <w:rPr>
          <w:rFonts w:ascii="Times New Roman;sans-serif" w:hAnsi="Times New Roman;sans-serif"/>
          <w:b w:val="false"/>
          <w:color w:val="000000"/>
          <w:sz w:val="20"/>
          <w:highlight w:val="white"/>
        </w:rPr>
        <w:t xml:space="preserve">for the three months ended March 31, 2023 was $5.5 million as compared to $5.4 million in cash used in investing activities during the same period in 2022. The cash used for investing activities in the current year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prior year was primarily related to continued investment in product development for our Cloud offering and capitalization of associated labor costs.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highlight w:val="white"/>
        </w:rPr>
        <w:t>Cash used in financing activities</w:t>
      </w:r>
      <w:r>
        <w:rPr>
          <w:color w:val="000000"/>
          <w:highlight w:val="white"/>
        </w:rPr>
        <w:t xml:space="preserve"> </w:t>
      </w:r>
      <w:r>
        <w:rPr>
          <w:rFonts w:ascii="Times New Roman;sans-serif" w:hAnsi="Times New Roman;sans-serif"/>
          <w:b w:val="false"/>
          <w:color w:val="000000"/>
          <w:sz w:val="20"/>
          <w:highlight w:val="white"/>
        </w:rPr>
        <w:t>for the three months ended March 31, 2023 was $2.3 million primarily due to dividend payments on the Series B Preferred Stock. In 2022, $1.8 million of cash used was to pay the dividend on the Series B Preferred Stock.</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Inflation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Inflationary increases in certain input costs, such as occupancy, labor and benefits, and general administrative costs, have impacted our business. Management does not believe these impacts however have had a material impact on our results of operations during the three months March 31, 2023 and 2022. We cannot assure you, however, that we will not be affected by general inflation in the future.</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March 31, 2023 (in thousands):</w:t>
      </w:r>
    </w:p>
    <w:p>
      <w:pPr>
        <w:pStyle w:val="TextBody"/>
        <w:spacing w:before="0" w:after="0"/>
        <w:ind w:left="0" w:right="0" w:firstLine="360"/>
        <w:jc w:val="both"/>
        <w:rPr/>
      </w:pPr>
      <w:r>
        <w:rPr/>
      </w:r>
    </w:p>
    <w:tbl>
      <w:tblPr>
        <w:tblW w:w="8300" w:type="dxa"/>
        <w:jc w:val="left"/>
        <w:tblInd w:w="0" w:type="dxa"/>
        <w:tblCellMar>
          <w:top w:w="28" w:type="dxa"/>
          <w:left w:w="28" w:type="dxa"/>
          <w:bottom w:w="28" w:type="dxa"/>
          <w:right w:w="28" w:type="dxa"/>
        </w:tblCellMar>
      </w:tblPr>
      <w:tblGrid>
        <w:gridCol w:w="854"/>
        <w:gridCol w:w="748"/>
        <w:gridCol w:w="753"/>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54"/>
      </w:tblGrid>
      <w:tr>
        <w:trPr/>
        <w:tc>
          <w:tcPr>
            <w:tcW w:w="854"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c>
          <w:tcPr>
            <w:tcW w:w="263" w:type="dxa"/>
            <w:gridSpan w:val="2"/>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2027-2028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Amount represents obligations associated with colocation agreements and other customer delivery related purchase obligations.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Uncertain Tax Positions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tax positions of $4.4 million at March 31, 2023 are excluded from the table above as we are not able to reasonably estimate when we would make any cash payments required to settle these liabilities, but we do not believe that the ultimate settlement of our obligations will materially affect our liquidity. We anticipate that the balance of unrecognized tax benefits will decrease by approximately $0.3 million over the next twelve months. </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significant changes in our critical accounting policies and estimates discussed in our Form 10-K for the year ended December 31, 2022. Please refer to Management’s Discussion and Analysis of Financial Condition and Results of Operations contained in Part II, Item 7 of our Annual Report on Form 10-K for the year ended December 31, 2022 for a more complete discussion of our critical accounting policies and estimates.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For a discussion of recently issued accounting standards see </w:t>
      </w:r>
      <w:r>
        <w:rPr>
          <w:rFonts w:ascii="Times New Roman;sans-serif" w:hAnsi="Times New Roman;sans-serif"/>
          <w:b w:val="false"/>
          <w:i/>
          <w:color w:val="000000"/>
          <w:sz w:val="20"/>
        </w:rPr>
        <w:t>Note 2. Basis of Presentation and Consolidation</w:t>
      </w:r>
      <w:r>
        <w:rPr>
          <w:color w:val="000000"/>
        </w:rPr>
        <w:t> </w:t>
      </w:r>
      <w:r>
        <w:rPr>
          <w:rFonts w:ascii="Times New Roman;sans-serif" w:hAnsi="Times New Roman;sans-serif"/>
          <w:b w:val="false"/>
          <w:color w:val="000000"/>
          <w:sz w:val="20"/>
        </w:rPr>
        <w:t>included in Part I, Item 1. “Notes to Condensed Consolidated Financial Statements (unaudited)” of this Quarterly Report on Form 10-Q.</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off-balance sheet arrangements as of March 31, 2023 and December 31, 2022 that have, or are reasonably likely to have, a current or future effect on our financial condition, changes in financial condition, revenues or expenses, results of operations, liquidity, capital expenditures or capital resources that are material to investors.</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2023 and December 31, 2022 were invested in liquid money market accounts, certificates of deposit and government securities. All market-risk sensitive instruments were entered into for non-trading purposes.</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interest rate fluctuations on the interest income earned on our cash and cash equivalents. A hypothetical 100 basis point movement in interest rates applicable to our cash and cash equivalents outstanding at March 31, 2023 would increase interest income by approximately $0.2 million on an annual basis.</w:t>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4. </w:t>
      </w:r>
      <w:r>
        <w:rPr>
          <w:rFonts w:ascii="Times New Roman;sans-serif" w:hAnsi="Times New Roman;sans-serif"/>
          <w:b/>
          <w:i/>
          <w:color w:val="000000"/>
          <w:sz w:val="20"/>
        </w:rPr>
        <w:t xml:space="preserve">CONTROLS AND PROCEDURES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March 31,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ITEM 1.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For a discussion of our material pending legal proceedings that could impact our results of operations, financial condition or cash flows see </w:t>
      </w:r>
      <w:r>
        <w:rPr>
          <w:rFonts w:ascii="Times New Roman;sans-serif" w:hAnsi="Times New Roman;sans-serif"/>
          <w:b w:val="false"/>
          <w:i/>
          <w:color w:val="000000"/>
          <w:sz w:val="20"/>
        </w:rPr>
        <w:t>Note 13. Commitments, Contingencies and Other</w:t>
      </w:r>
      <w:r>
        <w:rPr>
          <w:color w:val="000000"/>
        </w:rPr>
        <w:t xml:space="preserve"> </w:t>
      </w:r>
      <w:r>
        <w:rPr>
          <w:rFonts w:ascii="Times New Roman;sans-serif" w:hAnsi="Times New Roman;sans-serif"/>
          <w:b w:val="false"/>
          <w:color w:val="000000"/>
          <w:sz w:val="20"/>
        </w:rPr>
        <w:t>included in Part I, Item 1. “Notes to Condensed Consolidated Financial Statements (unaudited)” of this Quarterly Report on Form 10-Q.</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set forth below, there have been no material changes to our risk factors as previously disclosed in Part I, Item 1A. included in our Annual Report on Form 10-K for the year ended December 31, 2022.</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engaged UBS Securities, LLC as its financial advisor to assist in exploring and evaluating potential strategic transactions. Additionally, we have received a non-binding proposal from B. Riley Financial, Inc. and its affiliates (“BRF”), and there can be no assurance that a transaction will be agreed to or consummated.</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announced that we have engaged UBS Securities, LLC as our financial advisor to assist in exploring and evaluating potential strategic transactions, and the receipt from BRF of a non-binding acquisition proposal (the “BRF Offer”). Management and our board of directors, in accordance with their fiduciary duties and consistent with their commitment to maximize shareholder value, are reviewing the BRF Offer and are evaluating potential strategic transactions. There can be no assurance that any transaction will ultimately be consummated. The price of the common stock may be impacted by the outcome of the board of directors’ review of the BRF Offer and any potential strategic transactions, and whether or not any transaction is agreed to or consummated.</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 action lawsuits and derivative lawsuits are often brought against public companies and their directors when companies either reject acquisition proposals or enter into agreements for transactions similar to those contemplated by the BRF Offer, and such lawsuits may be brought against our company and our directors in connection with the BRF Offer or a potential strategic transaction, whether or not a transaction is ultimately agreed to or consummated. Even if the lawsuits are without merit, these claims can result in substantial costs and divert management time and resources. An adverse judgment could result in monetary damages, which could have a negative impact on our liquidity and financial condition.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perceived uncertainties as to our future direction, strategy or leadership created as a consequence of new activist shareholder initiatives may result in the loss of potential business opportunities, harm our ability to attract new investors, customers, and employees, and cause our stock price to experience periods of volatility or stagnation.</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FDIC and Federal Reserve Board will provide access to uninsured funds in the future in the event of the closure of other banks or financial institutions in a timely fashion or at all.</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cash and cash equivalents could be adversely affected if the financial institutions in which we hold our cash and cash equivalents fail.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and financial performance.</w:t>
      </w:r>
    </w:p>
    <w:p>
      <w:pPr>
        <w:pStyle w:val="TextBody"/>
        <w:spacing w:before="0" w:after="0"/>
        <w:ind w:left="0" w:right="0" w:firstLine="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ITEM 2. UNREGISTERED SALES OF EQUITY SECURITIES AND</w:t>
      </w:r>
      <w:r>
        <w:rPr>
          <w:color w:val="000000"/>
        </w:rPr>
        <w:t xml:space="preserve"> </w:t>
      </w:r>
      <w:r>
        <w:rPr>
          <w:rFonts w:ascii="Times New Roman;sans-serif" w:hAnsi="Times New Roman;sans-serif"/>
          <w:b/>
          <w:color w:val="000000"/>
          <w:sz w:val="20"/>
        </w:rPr>
        <w:t>USE OF PROCEEDS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417" w:before="0" w:after="180"/>
        <w:jc w:val="both"/>
        <w:rPr/>
      </w:pPr>
      <w:r>
        <w:rPr>
          <w:rFonts w:ascii="Times New Roman;sans-serif" w:hAnsi="Times New Roman;sans-serif"/>
          <w:b/>
          <w:color w:val="000000"/>
          <w:sz w:val="20"/>
        </w:rPr>
        <w:t>ITEM 5. </w:t>
      </w:r>
      <w:r>
        <w:rPr>
          <w:rFonts w:ascii="Times New Roman;sans-serif" w:hAnsi="Times New Roman;sans-serif"/>
          <w:b/>
          <w:i/>
          <w:color w:val="000000"/>
          <w:sz w:val="20"/>
        </w:rPr>
        <w:t xml:space="preserve">OTHER INFORMATION </w:t>
      </w:r>
    </w:p>
    <w:p>
      <w:pPr>
        <w:pStyle w:val="TextBody"/>
        <w:spacing w:lineRule="auto" w:line="41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6. </w:t>
      </w:r>
      <w:r>
        <w:rPr>
          <w:rFonts w:ascii="Times New Roman;sans-serif" w:hAnsi="Times New Roman;sans-serif"/>
          <w:b/>
          <w:i/>
          <w:color w:val="000000"/>
          <w:sz w:val="20"/>
        </w:rPr>
        <w:t>EXHIBITS</w:t>
      </w:r>
    </w:p>
    <w:tbl>
      <w:tblPr>
        <w:tblW w:w="10539" w:type="dxa"/>
        <w:jc w:val="left"/>
        <w:tblInd w:w="0" w:type="dxa"/>
        <w:tblCellMar>
          <w:top w:w="28" w:type="dxa"/>
          <w:left w:w="28" w:type="dxa"/>
          <w:bottom w:w="28" w:type="dxa"/>
          <w:right w:w="28" w:type="dxa"/>
        </w:tblCellMar>
      </w:tblPr>
      <w:tblGrid>
        <w:gridCol w:w="258"/>
        <w:gridCol w:w="226"/>
        <w:gridCol w:w="228"/>
        <w:gridCol w:w="109"/>
        <w:gridCol w:w="109"/>
        <w:gridCol w:w="109"/>
        <w:gridCol w:w="1499"/>
        <w:gridCol w:w="1337"/>
        <w:gridCol w:w="1353"/>
        <w:gridCol w:w="109"/>
        <w:gridCol w:w="109"/>
        <w:gridCol w:w="109"/>
        <w:gridCol w:w="170"/>
        <w:gridCol w:w="170"/>
        <w:gridCol w:w="171"/>
        <w:gridCol w:w="109"/>
        <w:gridCol w:w="109"/>
        <w:gridCol w:w="109"/>
        <w:gridCol w:w="300"/>
        <w:gridCol w:w="248"/>
        <w:gridCol w:w="172"/>
        <w:gridCol w:w="109"/>
        <w:gridCol w:w="109"/>
        <w:gridCol w:w="109"/>
        <w:gridCol w:w="210"/>
        <w:gridCol w:w="210"/>
        <w:gridCol w:w="211"/>
        <w:gridCol w:w="109"/>
        <w:gridCol w:w="109"/>
        <w:gridCol w:w="109"/>
        <w:gridCol w:w="404"/>
        <w:gridCol w:w="242"/>
        <w:gridCol w:w="243"/>
        <w:gridCol w:w="109"/>
        <w:gridCol w:w="109"/>
        <w:gridCol w:w="109"/>
        <w:gridCol w:w="269"/>
        <w:gridCol w:w="269"/>
        <w:gridCol w:w="387"/>
      </w:tblGrid>
      <w:tr>
        <w:trPr/>
        <w:tc>
          <w:tcPr>
            <w:tcW w:w="25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2" w:type="dxa"/>
            <w:gridSpan w:val="21"/>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5" w:type="dxa"/>
            <w:gridSpan w:val="3"/>
            <w:tcBorders/>
            <w:shd w:fill="auto" w:val="clear"/>
            <w:vAlign w:val="center"/>
          </w:tcPr>
          <w:p>
            <w:pPr>
              <w:pStyle w:val="TableContents"/>
              <w:spacing w:before="0" w:after="283"/>
              <w:rPr>
                <w:sz w:val="4"/>
                <w:szCs w:val="4"/>
              </w:rPr>
            </w:pPr>
            <w:r>
              <w:rPr>
                <w:sz w:val="4"/>
                <w:szCs w:val="4"/>
              </w:rPr>
            </w:r>
          </w:p>
        </w:tc>
      </w:tr>
      <w:tr>
        <w:trPr/>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FF"/>
                  <w:sz w:val="16"/>
                  <w:u w:val="single"/>
                </w:rPr>
                <w:t>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
              <w:r>
                <w:rPr>
                  <w:rStyle w:val="InternetLink"/>
                  <w:rFonts w:ascii="Times New Roman;sans-serif" w:hAnsi="Times New Roman;sans-serif"/>
                  <w:b w:val="false"/>
                  <w:color w:val="0000FF"/>
                  <w:sz w:val="16"/>
                  <w:u w:val="single"/>
                </w:rPr>
                <w:t>Certificate of Amendment to the 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001-40574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16"/>
                  <w:u w:val="single"/>
                </w:rPr>
                <w:t>Amended and Restated Bylaws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333-132080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9, 2006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16"/>
                  <w:u w:val="single"/>
                </w:rPr>
                <w:t>Amendment No. 1 to Amended and Restated Bylaws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r:id="rId6">
              <w:r>
                <w:rPr>
                  <w:rStyle w:val="InternetLink"/>
                  <w:rFonts w:ascii="Times New Roman;sans-serif" w:hAnsi="Times New Roman;sans-serif"/>
                  <w:b w:val="false"/>
                  <w:color w:val="0000FF"/>
                  <w:sz w:val="16"/>
                  <w:u w:val="single"/>
                </w:rPr>
                <w:t>Amendment No. 2 to the Amended and Restated Bylaws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Fonts w:ascii="Times New Roman;sans-serif" w:hAnsi="Times New Roman;sans-serif"/>
                  <w:b w:val="false"/>
                  <w:color w:val="0000FF"/>
                  <w:sz w:val="16"/>
                  <w:u w:val="single"/>
                </w:rPr>
                <w:t>Certificate of Designations of the Series B Perpetual Non-Convertible Preferred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000-52049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ncr-033123ex311.htm">
              <w:r>
                <w:rPr>
                  <w:rStyle w:val="InternetLink"/>
                  <w:rFonts w:ascii="Times New Roman;sans-serif" w:hAnsi="Times New Roman;sans-serif"/>
                  <w:b w:val="false"/>
                  <w:color w:val="0000FF"/>
                  <w:sz w:val="16"/>
                  <w:u w:val="single"/>
                </w:rPr>
                <w:t>Certification of Principal Executive Officer pursuant to Rule 13a</w:t>
                <w:noBreakHyphen/>
                <w:t>14(a) of the Exchange Act, as adopted pursuant to section 302 of the Sarbanes</w:t>
                <w:noBreakHyphen/>
                <w:t>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ncr-033123ex312.htm">
              <w:r>
                <w:rPr>
                  <w:rStyle w:val="InternetLink"/>
                  <w:rFonts w:ascii="Times New Roman;sans-serif" w:hAnsi="Times New Roman;sans-serif"/>
                  <w:b w:val="false"/>
                  <w:color w:val="0000FF"/>
                  <w:sz w:val="16"/>
                  <w:u w:val="single"/>
                </w:rPr>
                <w:t>Certification of Principal Financial Officer pursuant to Rule 13a</w:t>
                <w:noBreakHyphen/>
                <w:t>14(a) of the Exchange Act, as adopted pursuant to section 302 of the Sarbanes</w:t>
                <w:noBreakHyphen/>
                <w:t>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ncr-033123ex321.htm">
              <w:r>
                <w:rPr>
                  <w:rStyle w:val="InternetLink"/>
                  <w:rFonts w:ascii="Times New Roman;sans-serif" w:hAnsi="Times New Roman;sans-serif"/>
                  <w:b w:val="false"/>
                  <w:color w:val="0000FF"/>
                  <w:sz w:val="16"/>
                  <w:u w:val="single"/>
                </w:rPr>
                <w:t>Certification of Principal Executive Officer pursuant to Rule 13a</w:t>
                <w:noBreakHyphen/>
                <w:t>14(b) of the Exchange Act and section 18 U.S.C. Section 1350, as adopted pursuant to section 906 of the Sarbanes</w:t>
                <w:noBreakHyphen/>
                <w:t>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sncr-033123ex322.htm">
              <w:r>
                <w:rPr>
                  <w:rStyle w:val="InternetLink"/>
                  <w:rFonts w:ascii="Times New Roman;sans-serif" w:hAnsi="Times New Roman;sans-serif"/>
                  <w:b w:val="false"/>
                  <w:color w:val="0000FF"/>
                  <w:sz w:val="16"/>
                  <w:u w:val="single"/>
                </w:rPr>
                <w:t>Certification of Principal Financial Officer pursuant to Rule 13a</w:t>
                <w:noBreakHyphen/>
                <w:t>14(b) of the Exchange Act and section 18 U.S.C. Section 1350, as adopted pursuant to section 906 of the Sarbanes</w:t>
                <w:noBreakHyphen/>
                <w:t>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Labels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XBRL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5" w:type="dxa"/>
            <w:gridSpan w:val="3"/>
            <w:tcBorders/>
            <w:shd w:fill="auto" w:val="clear"/>
            <w:vAlign w:val="center"/>
          </w:tcPr>
          <w:p>
            <w:pPr>
              <w:pStyle w:val="TableContents"/>
              <w:spacing w:before="0" w:after="283"/>
              <w:rPr>
                <w:sz w:val="4"/>
                <w:szCs w:val="4"/>
              </w:rPr>
            </w:pPr>
            <w:r>
              <w:rPr>
                <w:sz w:val="4"/>
                <w:szCs w:val="4"/>
              </w:rPr>
            </w:r>
          </w:p>
        </w:tc>
      </w:tr>
      <w:tr>
        <w:trPr/>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5f2bc1e6dfd2435b91c4ff05de847e56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caused this Report to be signed on its behalf by the undersigned, thereunto duly authorized.</w:t>
      </w:r>
    </w:p>
    <w:tbl>
      <w:tblPr>
        <w:tblW w:w="3725" w:type="dxa"/>
        <w:jc w:val="left"/>
        <w:tblInd w:w="0" w:type="dxa"/>
        <w:tblCellMar>
          <w:top w:w="28" w:type="dxa"/>
          <w:left w:w="28" w:type="dxa"/>
          <w:bottom w:w="28" w:type="dxa"/>
          <w:right w:w="28" w:type="dxa"/>
        </w:tblCellMar>
      </w:tblPr>
      <w:tblGrid>
        <w:gridCol w:w="124"/>
        <w:gridCol w:w="109"/>
        <w:gridCol w:w="109"/>
        <w:gridCol w:w="109"/>
        <w:gridCol w:w="109"/>
        <w:gridCol w:w="109"/>
        <w:gridCol w:w="894"/>
        <w:gridCol w:w="894"/>
        <w:gridCol w:w="89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Synchronoss Technologies,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ind w:left="0" w:right="0" w:firstLine="720"/>
        <w:jc w:val="center"/>
        <w:rPr>
          <w:color w:val="000000"/>
        </w:rPr>
      </w:pPr>
      <w:r>
        <w:rPr>
          <w:color w:val="000000"/>
        </w:rPr>
        <w:t> </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Jeff Miller</w:t>
      </w:r>
      <w:r>
        <w:rPr>
          <w:rFonts w:ascii="Times New Roman;sans-serif" w:hAnsi="Times New Roman;sans-serif"/>
          <w:b w:val="false"/>
          <w:color w:val="000000"/>
          <w:sz w:val="20"/>
        </w:rPr>
        <w:t>, certify that:</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Synchronoss Technologies, Inc. for the quarter ended March 31, 2023; </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ind w:left="0" w:right="0" w:firstLine="720"/>
        <w:jc w:val="both"/>
        <w:rPr>
          <w:color w:val="000000"/>
        </w:rPr>
      </w:pPr>
      <w:r>
        <w:rPr>
          <w:color w:val="000000"/>
        </w:rPr>
        <w:t>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bl>
      <w:tblPr>
        <w:tblW w:w="3264" w:type="dxa"/>
        <w:jc w:val="left"/>
        <w:tblInd w:w="0" w:type="dxa"/>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both"/>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75260"/>
                <wp:effectExtent l="0" t="0" r="0" b="0"/>
                <wp:wrapNone/>
                <wp:docPr id="37"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SECURITIES AND EXCHANGE COMMISSION RULE 13a-14(a)</w:t>
      </w:r>
    </w:p>
    <w:p>
      <w:pPr>
        <w:pStyle w:val="TextBody"/>
        <w:spacing w:lineRule="auto" w:line="288" w:before="0" w:after="0"/>
        <w:ind w:left="0" w:right="0" w:firstLine="720"/>
        <w:jc w:val="center"/>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 xml:space="preserve">I, </w:t>
      </w:r>
      <w:r>
        <w:rPr>
          <w:rFonts w:ascii="Times New Roman;sans-serif" w:hAnsi="Times New Roman;sans-serif"/>
          <w:b/>
          <w:color w:val="000000"/>
          <w:sz w:val="20"/>
        </w:rPr>
        <w:t>Louis Ferraro</w:t>
      </w:r>
      <w:r>
        <w:rPr>
          <w:rFonts w:ascii="Times New Roman;sans-serif" w:hAnsi="Times New Roman;sans-serif"/>
          <w:b w:val="false"/>
          <w:color w:val="000000"/>
          <w:sz w:val="20"/>
        </w:rPr>
        <w:t>, certify that:</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Synchronoss Technologies, Inc. for the quarter ended March 31, 2023;</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 </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3096" w:type="dxa"/>
        <w:jc w:val="left"/>
        <w:tblInd w:w="0" w:type="dxa"/>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38"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ind w:left="0" w:right="0" w:firstLine="720"/>
        <w:jc w:val="right"/>
        <w:rPr>
          <w:color w:val="000000"/>
        </w:rPr>
      </w:pPr>
      <w:r>
        <w:rPr>
          <w:color w:val="000000"/>
        </w:rPr>
        <w:t> </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ind w:left="0" w:right="0" w:firstLine="720"/>
        <w:jc w:val="center"/>
        <w:rPr/>
      </w:pPr>
      <w:r>
        <w:rPr>
          <w:rFonts w:ascii="Times New Roman;sans-serif" w:hAnsi="Times New Roman;sans-serif"/>
          <w:b/>
          <w:color w:val="000000"/>
          <w:sz w:val="20"/>
        </w:rPr>
        <w:t>SECTION 906 OF THE SARBANES-OXLEY ACT OF 2002</w:t>
      </w:r>
      <w:r>
        <w:rPr>
          <w:color w:val="000000"/>
        </w:rPr>
        <w:t> </w:t>
      </w:r>
    </w:p>
    <w:p>
      <w:pPr>
        <w:pStyle w:val="TextBody"/>
        <w:spacing w:lineRule="auto" w:line="288" w:before="0" w:after="0"/>
        <w:ind w:left="0" w:right="0" w:firstLine="720"/>
        <w:jc w:val="both"/>
        <w:rPr>
          <w:color w:val="000000"/>
        </w:rPr>
      </w:pPr>
      <w:r>
        <w:rPr>
          <w:color w:val="000000"/>
        </w:rPr>
        <w:t> </w:t>
      </w:r>
    </w:p>
    <w:p>
      <w:pPr>
        <w:pStyle w:val="TextBody"/>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March 31, 2023, as filed with the Securities and Exchange Commission on the date hereof (the “Report”), I, </w:t>
      </w:r>
      <w:r>
        <w:rPr>
          <w:rFonts w:ascii="Times New Roman;sans-serif" w:hAnsi="Times New Roman;sans-serif"/>
          <w:b/>
          <w:color w:val="000000"/>
          <w:sz w:val="20"/>
        </w:rPr>
        <w:t>Jeff Miller</w:t>
      </w:r>
      <w:r>
        <w:rPr>
          <w:rFonts w:ascii="Times New Roman;sans-serif" w:hAnsi="Times New Roman;sans-serif"/>
          <w:b w:val="false"/>
          <w:color w:val="000000"/>
          <w:sz w:val="20"/>
        </w:rPr>
        <w:t>, the Chief Executive Officer of the Company, hereby certify, pursuant to 18 U.S.C. 1350, as adopted pursuant to Section 906 of the Sarbanes-Oxley Act of 2002, to the best of my knowledge and belief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spacing w:before="200" w:after="283"/>
        <w:jc w:val="both"/>
        <w:rPr/>
      </w:pPr>
      <w:r>
        <w:rPr/>
      </w:r>
    </w:p>
    <w:p>
      <w:pPr>
        <w:pStyle w:val="TextBody"/>
        <w:spacing w:lineRule="auto" w:line="288" w:before="0" w:after="120"/>
        <w:ind w:left="0" w:right="0" w:firstLine="720"/>
        <w:jc w:val="both"/>
        <w:rPr>
          <w:color w:val="000000"/>
        </w:rPr>
      </w:pPr>
      <w:r>
        <w:rPr>
          <w:color w:val="000000"/>
        </w:rPr>
        <w: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bl>
      <w:tblPr>
        <w:tblW w:w="3591" w:type="dxa"/>
        <w:jc w:val="left"/>
        <w:tblInd w:w="0" w:type="dxa"/>
        <w:tblCellMar>
          <w:top w:w="28" w:type="dxa"/>
          <w:left w:w="28" w:type="dxa"/>
          <w:bottom w:w="28" w:type="dxa"/>
          <w:right w:w="28" w:type="dxa"/>
        </w:tblCellMar>
      </w:tblPr>
      <w:tblGrid>
        <w:gridCol w:w="124"/>
        <w:gridCol w:w="109"/>
        <w:gridCol w:w="109"/>
        <w:gridCol w:w="109"/>
        <w:gridCol w:w="109"/>
        <w:gridCol w:w="109"/>
        <w:gridCol w:w="849"/>
        <w:gridCol w:w="849"/>
        <w:gridCol w:w="85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Jeff Miller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jc w:val="both"/>
        <w:rPr>
          <w:color w:val="000000"/>
        </w:rPr>
      </w:pPr>
      <w:r>
        <w:rPr>
          <w:color w:val="000000"/>
        </w:rPr>
        <w: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75260"/>
                <wp:effectExtent l="0" t="0" r="0" b="0"/>
                <wp:wrapNone/>
                <wp:docPr id="39" name="Frame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ind w:left="0" w:right="0" w:firstLine="72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pPr>
      <w:r>
        <w:rPr>
          <w:rFonts w:ascii="Times New Roman;sans-serif" w:hAnsi="Times New Roman;sans-serif"/>
          <w:b/>
          <w:color w:val="000000"/>
          <w:sz w:val="20"/>
        </w:rPr>
        <w:t>SECTION 906 OF THE SARBANES-OXLEY ACT OF 2002</w:t>
      </w:r>
      <w:r>
        <w:rPr>
          <w:color w:val="000000"/>
        </w:rPr>
        <w:t> </w:t>
      </w:r>
    </w:p>
    <w:p>
      <w:pPr>
        <w:pStyle w:val="TextBody"/>
        <w:spacing w:lineRule="auto" w:line="288" w:before="0" w:after="0"/>
        <w:ind w:left="0" w:right="0" w:firstLine="720"/>
        <w:jc w:val="center"/>
        <w:rPr>
          <w:color w:val="000000"/>
        </w:rPr>
      </w:pPr>
      <w:r>
        <w:rPr>
          <w:color w:val="000000"/>
        </w:rPr>
        <w:t> </w:t>
      </w:r>
    </w:p>
    <w:p>
      <w:pPr>
        <w:pStyle w:val="TextBody"/>
        <w:spacing w:lineRule="auto" w:line="288" w:before="0" w:after="120"/>
        <w:jc w:val="both"/>
        <w:rPr/>
      </w:pPr>
      <w:r>
        <w:rPr>
          <w:rFonts w:ascii="Times New Roman;sans-serif" w:hAnsi="Times New Roman;sans-serif"/>
          <w:b w:val="false"/>
          <w:color w:val="000000"/>
          <w:sz w:val="20"/>
        </w:rPr>
        <w:t xml:space="preserve">In connection with the Quarterly Report on Form 10-Q of Synchronoss Technologies, Inc. (the “Company”) for the quarter ended March 31, 2023, as filed with the Securities and Exchange Commission on the date hereof (the “Report”), I, </w:t>
      </w:r>
      <w:r>
        <w:rPr>
          <w:rFonts w:ascii="Times New Roman;sans-serif" w:hAnsi="Times New Roman;sans-serif"/>
          <w:b/>
          <w:color w:val="000000"/>
          <w:sz w:val="20"/>
        </w:rPr>
        <w:t>Louis Ferraro</w:t>
      </w:r>
      <w:r>
        <w:rPr>
          <w:rFonts w:ascii="Times New Roman;sans-serif" w:hAnsi="Times New Roman;sans-serif"/>
          <w:b w:val="false"/>
          <w:color w:val="000000"/>
          <w:sz w:val="20"/>
        </w:rPr>
        <w:t>, the Chief Financial Officer of the Company, hereby certify, pursuant to 18 U.S.C. 1350, as adopted pursuant to Section 906 of the Sarbanes-Oxley Act of 2002, to the best of my knowledge and belief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provided pursuant to 18 U.S.C. 1350 and is not to be deemed a part of the Report, nor is it to be deemed to be “filed” for any purpose whatsoever.</w:t>
      </w:r>
    </w:p>
    <w:p>
      <w:pPr>
        <w:pStyle w:val="TextBody"/>
        <w:spacing w:before="200" w:after="283"/>
        <w:jc w:val="both"/>
        <w:rPr/>
      </w:pPr>
      <w:r>
        <w:rPr/>
      </w:r>
    </w:p>
    <w:p>
      <w:pPr>
        <w:pStyle w:val="TextBody"/>
        <w:spacing w:lineRule="auto" w:line="288" w:before="0" w:after="120"/>
        <w:ind w:left="0" w:right="0" w:firstLine="720"/>
        <w:jc w:val="both"/>
        <w:rPr>
          <w:color w:val="000000"/>
        </w:rPr>
      </w:pPr>
      <w:r>
        <w:rPr>
          <w:color w:val="000000"/>
        </w:rPr>
        <w: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bl>
      <w:tblPr>
        <w:tblW w:w="3096" w:type="dxa"/>
        <w:jc w:val="left"/>
        <w:tblInd w:w="0" w:type="dxa"/>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Louis Ferraro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75260"/>
                <wp:effectExtent l="0" t="0" r="0" b="0"/>
                <wp:wrapNone/>
                <wp:docPr id="40"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1554/000113155423000013/sncr-123122xex31restatedce.htm" TargetMode="External"/><Relationship Id="rId3" Type="http://schemas.openxmlformats.org/officeDocument/2006/relationships/hyperlink" Target="https://www.sec.gov/Archives/edgar/data/1131554/000113155422000035/sncr-exhx31certificateofam.htm" TargetMode="External"/><Relationship Id="rId4" Type="http://schemas.openxmlformats.org/officeDocument/2006/relationships/hyperlink" Target="http://www.sec.gov/Archives/edgar/data/1131554/000095012306005985/y15440a2exv3w4.txt" TargetMode="External"/><Relationship Id="rId5" Type="http://schemas.openxmlformats.org/officeDocument/2006/relationships/hyperlink" Target="http://www.sec.gov/Archives/edgar/data/1131554/000110465918010721/a18-6289_1ex3d2.htm" TargetMode="External"/><Relationship Id="rId6" Type="http://schemas.openxmlformats.org/officeDocument/2006/relationships/hyperlink" Target="https://www.sec.gov/Archives/edgar/data/1131554/000110465921087598/tm2120300d3_ex3-3.htm" TargetMode="External"/><Relationship Id="rId7" Type="http://schemas.openxmlformats.org/officeDocument/2006/relationships/hyperlink" Target="https://www.sec.gov/Archives/edgar/data/1131554/000110465921087598/tm2120300d3_ex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17100</Words>
  <CharactersWithSpaces>111698</CharactersWithSpaces>
  <Paragraphs>1970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